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77E188" w14:textId="01610427" w:rsidR="00785D1C" w:rsidRDefault="0008116E" w:rsidP="0008116E">
      <w:pPr>
        <w:jc w:val="center"/>
        <w:rPr>
          <w:b/>
          <w:sz w:val="32"/>
          <w:u w:val="single"/>
        </w:rPr>
      </w:pPr>
      <w:r w:rsidRPr="0008116E">
        <w:rPr>
          <w:b/>
          <w:sz w:val="32"/>
          <w:u w:val="single"/>
        </w:rPr>
        <w:t>Critically examine the descriptions given by Greek authors about the land, animals and peoples of India prior to Alexander the Great. What can they tell us about archaic and classical Greek conceptions of the edges of the earth?</w:t>
      </w:r>
    </w:p>
    <w:p w14:paraId="01E8F84E" w14:textId="618A7B49" w:rsidR="0008116E" w:rsidRDefault="0008116E" w:rsidP="0008116E">
      <w:pPr>
        <w:jc w:val="center"/>
        <w:rPr>
          <w:b/>
          <w:sz w:val="32"/>
          <w:u w:val="single"/>
        </w:rPr>
      </w:pPr>
    </w:p>
    <w:p w14:paraId="6FB64EF5" w14:textId="1D5A25B8" w:rsidR="000E127E" w:rsidRDefault="1C02E3E2" w:rsidP="0008116E">
      <w:pPr>
        <w:jc w:val="both"/>
      </w:pPr>
      <w:r>
        <w:t xml:space="preserve">With regards to India and those who wrote about the subcontinent in antiquity, such as </w:t>
      </w:r>
      <w:proofErr w:type="spellStart"/>
      <w:r w:rsidRPr="002075F4">
        <w:t>Scylax</w:t>
      </w:r>
      <w:proofErr w:type="spellEnd"/>
      <w:r w:rsidRPr="002075F4">
        <w:t xml:space="preserve"> </w:t>
      </w:r>
      <w:r w:rsidR="002075F4">
        <w:t>of</w:t>
      </w:r>
      <w:r w:rsidRPr="002075F4">
        <w:t xml:space="preserve"> </w:t>
      </w:r>
      <w:proofErr w:type="spellStart"/>
      <w:r w:rsidRPr="002075F4">
        <w:t>Caryanda</w:t>
      </w:r>
      <w:proofErr w:type="spellEnd"/>
      <w:r>
        <w:t xml:space="preserve">, </w:t>
      </w:r>
      <w:proofErr w:type="spellStart"/>
      <w:r>
        <w:t>Hecataeus</w:t>
      </w:r>
      <w:proofErr w:type="spellEnd"/>
      <w:r>
        <w:t xml:space="preserve">, Herodotus and </w:t>
      </w:r>
      <w:proofErr w:type="spellStart"/>
      <w:r>
        <w:t>Ctesias</w:t>
      </w:r>
      <w:proofErr w:type="spellEnd"/>
      <w:r>
        <w:t xml:space="preserve">, one </w:t>
      </w:r>
      <w:proofErr w:type="gramStart"/>
      <w:r>
        <w:t>is able to</w:t>
      </w:r>
      <w:proofErr w:type="gramEnd"/>
      <w:r>
        <w:t xml:space="preserve"> see just how the edges of the known world were perceived and also what existed within them. This essay shows just how such authors did this, whilst enabling insight in to how the world was viewed and thus the development of knowledge that ensued.</w:t>
      </w:r>
    </w:p>
    <w:p w14:paraId="1846C83A" w14:textId="36993ACC" w:rsidR="006A5099" w:rsidRPr="000321FB" w:rsidRDefault="005E4064" w:rsidP="0008116E">
      <w:pPr>
        <w:jc w:val="both"/>
      </w:pPr>
      <w:r>
        <w:t>Firstly, w</w:t>
      </w:r>
      <w:r w:rsidR="000E127E">
        <w:t xml:space="preserve">ith regards to the written information surrounding the peoples of India, </w:t>
      </w:r>
      <w:r w:rsidR="0075540A">
        <w:t>that which survives pertains more to the fantastical elements of this ‘unknown’ population</w:t>
      </w:r>
      <w:r>
        <w:t>, because they were as such, unknown and wonderous to the Greek peoples</w:t>
      </w:r>
      <w:r w:rsidR="0075540A">
        <w:t xml:space="preserve">. For example, </w:t>
      </w:r>
      <w:proofErr w:type="spellStart"/>
      <w:r w:rsidR="0075540A">
        <w:t>Scylax</w:t>
      </w:r>
      <w:proofErr w:type="spellEnd"/>
      <w:r w:rsidR="0075540A">
        <w:t xml:space="preserve"> of </w:t>
      </w:r>
      <w:proofErr w:type="spellStart"/>
      <w:r w:rsidR="0075540A">
        <w:t>Caryanda</w:t>
      </w:r>
      <w:proofErr w:type="spellEnd"/>
      <w:r w:rsidR="0075540A">
        <w:t xml:space="preserve">, whose remaining works seems to refer to the </w:t>
      </w:r>
      <w:proofErr w:type="spellStart"/>
      <w:r w:rsidR="0075540A" w:rsidRPr="0075540A">
        <w:rPr>
          <w:i/>
        </w:rPr>
        <w:t>Ektrapeloi</w:t>
      </w:r>
      <w:proofErr w:type="spellEnd"/>
      <w:r w:rsidR="0075540A">
        <w:t xml:space="preserve">, the freaks, in India, like the </w:t>
      </w:r>
      <w:proofErr w:type="spellStart"/>
      <w:r w:rsidR="0075540A">
        <w:rPr>
          <w:i/>
        </w:rPr>
        <w:t>Makrokephaloi</w:t>
      </w:r>
      <w:proofErr w:type="spellEnd"/>
      <w:r w:rsidR="0075540A">
        <w:rPr>
          <w:i/>
        </w:rPr>
        <w:t xml:space="preserve">, </w:t>
      </w:r>
      <w:proofErr w:type="spellStart"/>
      <w:r w:rsidR="0075540A">
        <w:rPr>
          <w:i/>
        </w:rPr>
        <w:t>Monophthalmoi</w:t>
      </w:r>
      <w:proofErr w:type="spellEnd"/>
      <w:r w:rsidR="0075540A">
        <w:rPr>
          <w:i/>
        </w:rPr>
        <w:t xml:space="preserve">, </w:t>
      </w:r>
      <w:proofErr w:type="spellStart"/>
      <w:r w:rsidR="0075540A">
        <w:rPr>
          <w:i/>
        </w:rPr>
        <w:t>Otoliknoi</w:t>
      </w:r>
      <w:proofErr w:type="spellEnd"/>
      <w:r w:rsidR="0075540A">
        <w:rPr>
          <w:i/>
        </w:rPr>
        <w:t xml:space="preserve"> </w:t>
      </w:r>
      <w:r w:rsidR="0075540A" w:rsidRPr="0075540A">
        <w:t>and</w:t>
      </w:r>
      <w:r w:rsidR="0075540A">
        <w:rPr>
          <w:i/>
        </w:rPr>
        <w:t xml:space="preserve"> </w:t>
      </w:r>
      <w:proofErr w:type="spellStart"/>
      <w:r w:rsidR="0075540A">
        <w:rPr>
          <w:i/>
        </w:rPr>
        <w:t>Skyapods</w:t>
      </w:r>
      <w:proofErr w:type="spellEnd"/>
      <w:r w:rsidR="0075540A">
        <w:rPr>
          <w:i/>
        </w:rPr>
        <w:t xml:space="preserve"> </w:t>
      </w:r>
      <w:r w:rsidR="0075540A">
        <w:t>(Big-heads, Single-eyes, Winnowing Fan-Ears and Sh</w:t>
      </w:r>
      <w:r w:rsidR="00B5684F">
        <w:t>a</w:t>
      </w:r>
      <w:r w:rsidR="0075540A">
        <w:t>dow-feet, respectively)</w:t>
      </w:r>
      <w:r w:rsidR="00F47587">
        <w:t>, aspects that can also be seen in Hesiod’s accounts</w:t>
      </w:r>
      <w:r w:rsidR="0075540A">
        <w:rPr>
          <w:rStyle w:val="FootnoteReference"/>
        </w:rPr>
        <w:footnoteReference w:id="2"/>
      </w:r>
      <w:r w:rsidR="0075540A">
        <w:t xml:space="preserve">. Furthermore, </w:t>
      </w:r>
      <w:proofErr w:type="spellStart"/>
      <w:r w:rsidR="0075540A">
        <w:t>Scylax</w:t>
      </w:r>
      <w:proofErr w:type="spellEnd"/>
      <w:r w:rsidR="0075540A">
        <w:t xml:space="preserve"> is one of the first to produce </w:t>
      </w:r>
      <w:r w:rsidR="00BB117F">
        <w:t xml:space="preserve">a </w:t>
      </w:r>
      <w:r w:rsidR="0075540A">
        <w:t>written report on India</w:t>
      </w:r>
      <w:r w:rsidR="001B4CC6">
        <w:t xml:space="preserve"> based of his own travels, something </w:t>
      </w:r>
      <w:r w:rsidR="00734104">
        <w:t>very few of these authors would have done</w:t>
      </w:r>
      <w:r w:rsidR="0075540A">
        <w:t xml:space="preserve">, </w:t>
      </w:r>
      <w:r w:rsidR="00734104">
        <w:t xml:space="preserve">and his </w:t>
      </w:r>
      <w:r w:rsidR="00690068">
        <w:t>accounts seem</w:t>
      </w:r>
      <w:r w:rsidR="0075540A">
        <w:t xml:space="preserve"> to</w:t>
      </w:r>
      <w:r w:rsidR="00690068">
        <w:t xml:space="preserve"> have</w:t>
      </w:r>
      <w:r w:rsidR="0075540A">
        <w:t xml:space="preserve"> </w:t>
      </w:r>
      <w:r w:rsidR="00690068">
        <w:t>survived</w:t>
      </w:r>
      <w:r w:rsidR="0075540A">
        <w:t xml:space="preserve"> through over a thousand years of history,</w:t>
      </w:r>
      <w:r w:rsidR="00690068">
        <w:t xml:space="preserve"> despite not physically surviving,</w:t>
      </w:r>
      <w:r w:rsidR="0075540A">
        <w:t xml:space="preserve"> with these monstrous beings being seen in medieval manuscripts</w:t>
      </w:r>
      <w:r w:rsidR="00A406C8">
        <w:rPr>
          <w:rStyle w:val="FootnoteReference"/>
        </w:rPr>
        <w:footnoteReference w:id="3"/>
      </w:r>
      <w:r w:rsidR="0075540A">
        <w:t xml:space="preserve">. </w:t>
      </w:r>
      <w:r w:rsidR="00A406C8">
        <w:t xml:space="preserve">Slightly later sources referring to the peoples </w:t>
      </w:r>
      <w:r w:rsidR="006A5099">
        <w:t xml:space="preserve">include Herodotus and </w:t>
      </w:r>
      <w:proofErr w:type="spellStart"/>
      <w:r w:rsidR="006A5099">
        <w:t>Ctesias</w:t>
      </w:r>
      <w:proofErr w:type="spellEnd"/>
      <w:r w:rsidR="006A5099">
        <w:t>. Herodotus mentions the people of India with a reasonable amount of detail, however, more so with regards to ethnographic groups, referring to their lifestyles and how they are wonderous in terms of how they live a different life to the Greeks, or perhaps as seen with certain groups within the two nations, some similarities</w:t>
      </w:r>
      <w:r w:rsidR="006A5099">
        <w:rPr>
          <w:rStyle w:val="FootnoteReference"/>
        </w:rPr>
        <w:footnoteReference w:id="4"/>
      </w:r>
      <w:r w:rsidR="006A5099">
        <w:t xml:space="preserve">. He mentions how great these people are in numbers, whilst differentiating them by aspects such as languages, locations, diets and other cultural differences, for example, the </w:t>
      </w:r>
      <w:proofErr w:type="spellStart"/>
      <w:r w:rsidR="006A5099">
        <w:t>Padaei</w:t>
      </w:r>
      <w:proofErr w:type="spellEnd"/>
      <w:r w:rsidR="006A5099">
        <w:t xml:space="preserve">, nomadic peoples who eat raw flesh and kill </w:t>
      </w:r>
      <w:r>
        <w:t xml:space="preserve">and eat </w:t>
      </w:r>
      <w:r w:rsidR="006A5099">
        <w:t>their sick</w:t>
      </w:r>
      <w:r>
        <w:t xml:space="preserve"> and elderly (should they reach old age without being ill)</w:t>
      </w:r>
      <w:r w:rsidR="006A5099">
        <w:rPr>
          <w:rStyle w:val="FootnoteReference"/>
        </w:rPr>
        <w:footnoteReference w:id="5"/>
      </w:r>
      <w:r>
        <w:t>.</w:t>
      </w:r>
      <w:r w:rsidR="006A5099">
        <w:t xml:space="preserve"> </w:t>
      </w:r>
      <w:r>
        <w:t>T</w:t>
      </w:r>
      <w:r w:rsidR="006A5099">
        <w:t xml:space="preserve">here are also those who are not named, but </w:t>
      </w:r>
      <w:r>
        <w:t>live a completely peaceful life, killing no living creature nor plant, live with no permanent homes, and those who are sick would just leave for the desert, and wait for their death</w:t>
      </w:r>
      <w:r>
        <w:rPr>
          <w:rStyle w:val="FootnoteReference"/>
        </w:rPr>
        <w:footnoteReference w:id="6"/>
      </w:r>
      <w:r>
        <w:t>. Herodotus then refers to a weirder and more wonderful feature that may surprise his Greek audience, these Indian peoples produce black semen that matches their skin colour</w:t>
      </w:r>
      <w:r>
        <w:rPr>
          <w:rStyle w:val="FootnoteReference"/>
        </w:rPr>
        <w:footnoteReference w:id="7"/>
      </w:r>
      <w:r>
        <w:t xml:space="preserve">. Another </w:t>
      </w:r>
      <w:r w:rsidR="00EE17B1">
        <w:t xml:space="preserve">arguably useful, pre-Alexander author is </w:t>
      </w:r>
      <w:proofErr w:type="spellStart"/>
      <w:r w:rsidR="00EE17B1">
        <w:t>Ctesias</w:t>
      </w:r>
      <w:proofErr w:type="spellEnd"/>
      <w:r>
        <w:t xml:space="preserve">, who </w:t>
      </w:r>
      <w:r w:rsidR="00EE17B1">
        <w:t xml:space="preserve">has a similar method in describing the </w:t>
      </w:r>
      <w:r w:rsidR="00EE518A">
        <w:t xml:space="preserve">apparently limitless </w:t>
      </w:r>
      <w:r w:rsidR="00EE17B1">
        <w:t xml:space="preserve">population of India to </w:t>
      </w:r>
      <w:proofErr w:type="spellStart"/>
      <w:r w:rsidR="00EE17B1">
        <w:t>Scylax</w:t>
      </w:r>
      <w:proofErr w:type="spellEnd"/>
      <w:r w:rsidR="00EE17B1">
        <w:t xml:space="preserve"> and makes a ‘report’ on the monsters that live on the edge of the earth. </w:t>
      </w:r>
      <w:r w:rsidR="0020257A">
        <w:t xml:space="preserve">These beings include </w:t>
      </w:r>
      <w:proofErr w:type="spellStart"/>
      <w:r w:rsidR="0020257A" w:rsidRPr="00EE17B1">
        <w:rPr>
          <w:i/>
        </w:rPr>
        <w:t>Cynocephaloi</w:t>
      </w:r>
      <w:proofErr w:type="spellEnd"/>
      <w:r w:rsidR="0020257A">
        <w:rPr>
          <w:i/>
        </w:rPr>
        <w:t xml:space="preserve"> </w:t>
      </w:r>
      <w:r w:rsidR="0020257A">
        <w:t>(dog-headed) who lived in the mountains, and the pygmies, who were constantly at war with cranes</w:t>
      </w:r>
      <w:r w:rsidR="007C7FE4">
        <w:t>, whilst</w:t>
      </w:r>
      <w:r w:rsidR="0020257A" w:rsidRPr="0020257A">
        <w:t xml:space="preserve"> </w:t>
      </w:r>
      <w:r w:rsidR="0020257A">
        <w:t xml:space="preserve">referring to these groups in particular </w:t>
      </w:r>
      <w:proofErr w:type="gramStart"/>
      <w:r w:rsidR="0020257A">
        <w:t>and also</w:t>
      </w:r>
      <w:proofErr w:type="gramEnd"/>
      <w:r w:rsidR="0020257A">
        <w:t xml:space="preserve"> the population as a whole, as very just people who could live for up to two hundred years</w:t>
      </w:r>
      <w:r w:rsidR="0020257A">
        <w:rPr>
          <w:rStyle w:val="FootnoteReference"/>
        </w:rPr>
        <w:footnoteReference w:id="8"/>
      </w:r>
      <w:r w:rsidR="0020257A">
        <w:t xml:space="preserve">. </w:t>
      </w:r>
      <w:r w:rsidR="00A570E3">
        <w:t xml:space="preserve">This key theme of fantasy does seem to be a pervasive </w:t>
      </w:r>
      <w:r w:rsidR="00712B5F">
        <w:t xml:space="preserve">element in most accounts of the Indians, but </w:t>
      </w:r>
      <w:r w:rsidR="00712B5F">
        <w:lastRenderedPageBreak/>
        <w:t xml:space="preserve">this could arguably be because this </w:t>
      </w:r>
      <w:r w:rsidR="00407F59">
        <w:t xml:space="preserve">will keep readers invested in the authors work and </w:t>
      </w:r>
      <w:r w:rsidR="000321FB">
        <w:t xml:space="preserve">also demonstrates how as one moves further away from the </w:t>
      </w:r>
      <w:r w:rsidR="000321FB" w:rsidRPr="000321FB">
        <w:rPr>
          <w:i/>
        </w:rPr>
        <w:t>Oikumene</w:t>
      </w:r>
      <w:r w:rsidR="000321FB">
        <w:t>, the known world, and approach the alleged end of the world, we encounter stranger and stranger people</w:t>
      </w:r>
      <w:r w:rsidR="00806496">
        <w:t>.</w:t>
      </w:r>
    </w:p>
    <w:p w14:paraId="141E8E36" w14:textId="77115511" w:rsidR="00F46639" w:rsidRPr="0090674E" w:rsidRDefault="00B37E3C" w:rsidP="0008116E">
      <w:pPr>
        <w:jc w:val="both"/>
      </w:pPr>
      <w:r>
        <w:t xml:space="preserve">Secondly, these sources also mention </w:t>
      </w:r>
      <w:r w:rsidR="000D1D68">
        <w:t xml:space="preserve">the topography of India, for example, </w:t>
      </w:r>
      <w:r w:rsidR="006A5099">
        <w:t>Herodotus</w:t>
      </w:r>
      <w:r w:rsidR="000D1D68">
        <w:t xml:space="preserve"> refers to </w:t>
      </w:r>
      <w:r w:rsidR="00BF1CF7">
        <w:t xml:space="preserve">the large amounts of gold that could be found within the subcontinent, which suggests that </w:t>
      </w:r>
      <w:r w:rsidR="000F6484">
        <w:t>geographically</w:t>
      </w:r>
      <w:r w:rsidR="009B4430">
        <w:t>, there would lots of mountains, or possible places to mine such a resource</w:t>
      </w:r>
      <w:r w:rsidR="00B374AD">
        <w:rPr>
          <w:rStyle w:val="FootnoteReference"/>
        </w:rPr>
        <w:footnoteReference w:id="9"/>
      </w:r>
      <w:r w:rsidR="001A5805">
        <w:t xml:space="preserve">. </w:t>
      </w:r>
      <w:r w:rsidR="00AA271E">
        <w:t>I</w:t>
      </w:r>
      <w:r w:rsidR="00516833">
        <w:t xml:space="preserve">n relation to finding gold, </w:t>
      </w:r>
      <w:proofErr w:type="spellStart"/>
      <w:r w:rsidR="00516833">
        <w:t>Ctesias</w:t>
      </w:r>
      <w:proofErr w:type="spellEnd"/>
      <w:r w:rsidR="00516833">
        <w:t xml:space="preserve"> also mentions the fact there was a fountain that </w:t>
      </w:r>
      <w:r w:rsidR="008C14B1">
        <w:t>produced liquid gold, and that India had a larger sun with rivers that flowed with honey</w:t>
      </w:r>
      <w:r w:rsidR="008C14B1">
        <w:rPr>
          <w:rStyle w:val="FootnoteReference"/>
        </w:rPr>
        <w:footnoteReference w:id="10"/>
      </w:r>
      <w:r w:rsidR="008C14B1">
        <w:t>.</w:t>
      </w:r>
      <w:r w:rsidR="00E067F0">
        <w:t xml:space="preserve"> </w:t>
      </w:r>
      <w:proofErr w:type="spellStart"/>
      <w:r w:rsidR="00E067F0">
        <w:t>Skylax</w:t>
      </w:r>
      <w:proofErr w:type="spellEnd"/>
      <w:r w:rsidR="00E067F0">
        <w:t xml:space="preserve"> and </w:t>
      </w:r>
      <w:proofErr w:type="spellStart"/>
      <w:r w:rsidR="00E067F0">
        <w:t>Hecataeus</w:t>
      </w:r>
      <w:proofErr w:type="spellEnd"/>
      <w:r w:rsidR="00E067F0">
        <w:t xml:space="preserve"> both mention </w:t>
      </w:r>
      <w:r w:rsidR="00F746A8">
        <w:t xml:space="preserve">the growth of artichokes in order to remember the location and </w:t>
      </w:r>
      <w:r w:rsidR="00002604">
        <w:t>are apparently</w:t>
      </w:r>
      <w:r w:rsidR="002C3659">
        <w:t xml:space="preserve"> an</w:t>
      </w:r>
      <w:r w:rsidR="00F746A8">
        <w:t xml:space="preserve"> interesting feature of the Indus river</w:t>
      </w:r>
      <w:r w:rsidR="00F746A8">
        <w:rPr>
          <w:rStyle w:val="FootnoteReference"/>
        </w:rPr>
        <w:footnoteReference w:id="11"/>
      </w:r>
      <w:r w:rsidR="002C3659">
        <w:t xml:space="preserve">. </w:t>
      </w:r>
      <w:r w:rsidR="001A5805">
        <w:t xml:space="preserve">However, </w:t>
      </w:r>
      <w:r w:rsidR="00516833">
        <w:t>Herodotus</w:t>
      </w:r>
      <w:r w:rsidR="001A5805">
        <w:t xml:space="preserve"> had a poor idea of </w:t>
      </w:r>
      <w:r w:rsidR="00F5413C">
        <w:t xml:space="preserve">the specific geography in the subcontinent, </w:t>
      </w:r>
      <w:r w:rsidR="0092020C">
        <w:t xml:space="preserve">as can be seen when he summarises </w:t>
      </w:r>
      <w:proofErr w:type="spellStart"/>
      <w:r w:rsidR="0092020C">
        <w:t>Scylax’s</w:t>
      </w:r>
      <w:proofErr w:type="spellEnd"/>
      <w:r w:rsidR="0092020C">
        <w:t xml:space="preserve"> travels</w:t>
      </w:r>
      <w:r w:rsidR="00025CAF">
        <w:t xml:space="preserve">, where upon detailing </w:t>
      </w:r>
      <w:proofErr w:type="spellStart"/>
      <w:r w:rsidR="00025CAF">
        <w:t>Scylax’s</w:t>
      </w:r>
      <w:proofErr w:type="spellEnd"/>
      <w:r w:rsidR="00025CAF">
        <w:t xml:space="preserve"> route, he refers to </w:t>
      </w:r>
      <w:r w:rsidR="00FC2026">
        <w:t>him following the Indus</w:t>
      </w:r>
      <w:r w:rsidR="00E9772F">
        <w:t xml:space="preserve"> to the east</w:t>
      </w:r>
      <w:r w:rsidR="00FC2026">
        <w:t>,</w:t>
      </w:r>
      <w:r w:rsidR="00E9772F">
        <w:t xml:space="preserve"> the river runs in a south-westerly direction</w:t>
      </w:r>
      <w:r w:rsidR="00D41104">
        <w:t xml:space="preserve"> his may be due to the fact that Herodotus also used </w:t>
      </w:r>
      <w:proofErr w:type="spellStart"/>
      <w:r w:rsidR="00D41104">
        <w:t>Scylax</w:t>
      </w:r>
      <w:proofErr w:type="spellEnd"/>
      <w:r w:rsidR="00D41104">
        <w:t xml:space="preserve"> as one of his own sources</w:t>
      </w:r>
      <w:r w:rsidR="003C0494">
        <w:t xml:space="preserve"> and most of his information comes from the r</w:t>
      </w:r>
      <w:r w:rsidR="00E067F0">
        <w:t>e</w:t>
      </w:r>
      <w:r w:rsidR="003C0494">
        <w:t xml:space="preserve">ports that were for Darius, just as </w:t>
      </w:r>
      <w:proofErr w:type="spellStart"/>
      <w:r w:rsidR="003C0494">
        <w:t>Scylax</w:t>
      </w:r>
      <w:proofErr w:type="spellEnd"/>
      <w:r w:rsidR="003C0494">
        <w:t xml:space="preserve"> had done</w:t>
      </w:r>
      <w:r w:rsidR="007F3E67">
        <w:rPr>
          <w:rStyle w:val="FootnoteReference"/>
        </w:rPr>
        <w:footnoteReference w:id="12"/>
      </w:r>
      <w:r w:rsidR="00D41104">
        <w:t>.</w:t>
      </w:r>
      <w:r w:rsidR="00425620">
        <w:t xml:space="preserve"> </w:t>
      </w:r>
      <w:r w:rsidR="00A63571">
        <w:t xml:space="preserve">At this point it was also believed that because of the </w:t>
      </w:r>
      <w:r w:rsidR="00E86F12">
        <w:t xml:space="preserve">concept of the known world, India and its eastern coast would signify the complete end of the world, and </w:t>
      </w:r>
      <w:r w:rsidR="00B03419">
        <w:t xml:space="preserve">was known as the great River Ocean, which </w:t>
      </w:r>
      <w:r w:rsidR="00873733">
        <w:t xml:space="preserve">encompassed the all land that was </w:t>
      </w:r>
      <w:r w:rsidR="004474B8">
        <w:t xml:space="preserve">considered the periphery of the </w:t>
      </w:r>
      <w:r w:rsidR="004474B8">
        <w:rPr>
          <w:i/>
        </w:rPr>
        <w:t>Oikumene</w:t>
      </w:r>
      <w:r w:rsidR="0026123F">
        <w:rPr>
          <w:i/>
        </w:rPr>
        <w:t xml:space="preserve">. </w:t>
      </w:r>
      <w:r w:rsidR="0019010E">
        <w:t>W</w:t>
      </w:r>
      <w:r w:rsidR="0090674E">
        <w:t xml:space="preserve">e know this as there is evidence to suggest that Alexander the Great sought the to reach that same </w:t>
      </w:r>
      <w:r w:rsidR="00DD7A2A">
        <w:t xml:space="preserve">end of the </w:t>
      </w:r>
      <w:r w:rsidR="0019010E">
        <w:t>world and</w:t>
      </w:r>
      <w:r w:rsidR="00DD7A2A">
        <w:t xml:space="preserve"> argues it to be his goal before he turns around following his mutiny</w:t>
      </w:r>
      <w:r w:rsidR="00DD7A2A">
        <w:rPr>
          <w:rStyle w:val="FootnoteReference"/>
        </w:rPr>
        <w:footnoteReference w:id="13"/>
      </w:r>
      <w:r w:rsidR="00DD7A2A">
        <w:t>.</w:t>
      </w:r>
      <w:r w:rsidR="0095679D">
        <w:t xml:space="preserve"> This idea also permeates </w:t>
      </w:r>
      <w:r w:rsidR="00D26B1D">
        <w:t>beliefs regarding the end of the world through to medieval era as it did with the fantastic peoples, as one can see in</w:t>
      </w:r>
      <w:r w:rsidR="0078355B">
        <w:t xml:space="preserve"> the </w:t>
      </w:r>
      <w:r w:rsidR="0095679D">
        <w:t>further</w:t>
      </w:r>
      <w:r w:rsidR="00074191">
        <w:t xml:space="preserve"> in multiple maps of the world, for example</w:t>
      </w:r>
      <w:r w:rsidR="00F5117D">
        <w:t xml:space="preserve"> the Psalter World Map, created </w:t>
      </w:r>
      <w:r w:rsidR="00E60A4E">
        <w:t>circa 1260AD</w:t>
      </w:r>
      <w:r w:rsidR="00E60A4E">
        <w:rPr>
          <w:rStyle w:val="FootnoteReference"/>
        </w:rPr>
        <w:footnoteReference w:id="14"/>
      </w:r>
      <w:r w:rsidR="00E60A4E">
        <w:t>.</w:t>
      </w:r>
      <w:r w:rsidR="0095679D">
        <w:t xml:space="preserve"> </w:t>
      </w:r>
      <w:r w:rsidR="00DD7A2A">
        <w:t xml:space="preserve"> </w:t>
      </w:r>
      <w:r w:rsidR="0019010E">
        <w:t xml:space="preserve">Focussing more within the continent before we reach the alleged end of the world, </w:t>
      </w:r>
      <w:proofErr w:type="spellStart"/>
      <w:r w:rsidR="0019010E">
        <w:t>Hecataeus</w:t>
      </w:r>
      <w:proofErr w:type="spellEnd"/>
      <w:r w:rsidR="0019010E">
        <w:t xml:space="preserve"> </w:t>
      </w:r>
      <w:r w:rsidR="00B92006">
        <w:t>is argued to provide a more comprehensive and larger in scale record of the geography</w:t>
      </w:r>
      <w:r w:rsidR="006A461B">
        <w:t>,</w:t>
      </w:r>
      <w:r w:rsidR="00993C4F">
        <w:t xml:space="preserve"> inland towns and other Indian topographical features</w:t>
      </w:r>
      <w:r w:rsidR="00B92006">
        <w:t xml:space="preserve"> in comparison to the accounts of </w:t>
      </w:r>
      <w:proofErr w:type="spellStart"/>
      <w:r w:rsidR="00B92006">
        <w:t>Scylax</w:t>
      </w:r>
      <w:proofErr w:type="spellEnd"/>
      <w:r w:rsidR="00B92006">
        <w:rPr>
          <w:rStyle w:val="FootnoteReference"/>
        </w:rPr>
        <w:footnoteReference w:id="15"/>
      </w:r>
      <w:r w:rsidR="00CB52EC">
        <w:t>.</w:t>
      </w:r>
      <w:r w:rsidR="00223164">
        <w:t xml:space="preserve"> </w:t>
      </w:r>
      <w:r w:rsidR="0024137C">
        <w:t>At this time, however, a lot of the geography is mention</w:t>
      </w:r>
      <w:r w:rsidR="009A6A3E">
        <w:t>ed</w:t>
      </w:r>
      <w:r w:rsidR="0024137C">
        <w:t xml:space="preserve"> especially with links to locations of peoples rather than the significant </w:t>
      </w:r>
      <w:r w:rsidR="00F57441">
        <w:t xml:space="preserve">topographical features, for example mentions of the mountains in which the </w:t>
      </w:r>
      <w:proofErr w:type="spellStart"/>
      <w:r w:rsidR="00F57441" w:rsidRPr="00951FC4">
        <w:rPr>
          <w:i/>
        </w:rPr>
        <w:t>Cynocepheloi</w:t>
      </w:r>
      <w:proofErr w:type="spellEnd"/>
      <w:r w:rsidR="004F553A">
        <w:t xml:space="preserve"> dwell, as mentioned by </w:t>
      </w:r>
      <w:proofErr w:type="spellStart"/>
      <w:r w:rsidR="00337362">
        <w:t>Ctesias</w:t>
      </w:r>
      <w:proofErr w:type="spellEnd"/>
      <w:r w:rsidR="00337362">
        <w:rPr>
          <w:rStyle w:val="FootnoteReference"/>
        </w:rPr>
        <w:footnoteReference w:id="16"/>
      </w:r>
      <w:r w:rsidR="00337362">
        <w:t>.</w:t>
      </w:r>
      <w:r w:rsidR="00AF482D">
        <w:t xml:space="preserve"> By doing this, the</w:t>
      </w:r>
      <w:r w:rsidR="00F52616">
        <w:t xml:space="preserve"> sources are</w:t>
      </w:r>
      <w:r w:rsidR="00AF482D">
        <w:t xml:space="preserve"> also </w:t>
      </w:r>
      <w:r w:rsidR="00622AE6">
        <w:t xml:space="preserve">in </w:t>
      </w:r>
      <w:r w:rsidR="00AF482D">
        <w:t>reference</w:t>
      </w:r>
      <w:r w:rsidR="00622AE6">
        <w:t xml:space="preserve"> to</w:t>
      </w:r>
      <w:r w:rsidR="00AF482D">
        <w:t xml:space="preserve"> the locations </w:t>
      </w:r>
      <w:r w:rsidR="00F52616">
        <w:t>of the animals and creatures that abide in the subcontinent.</w:t>
      </w:r>
      <w:r w:rsidR="00E31E98">
        <w:t xml:space="preserve"> </w:t>
      </w:r>
    </w:p>
    <w:p w14:paraId="5C59E975" w14:textId="3A7D088B" w:rsidR="0039514E" w:rsidRPr="00C83449" w:rsidRDefault="00EC0B19" w:rsidP="0008116E">
      <w:pPr>
        <w:jc w:val="both"/>
      </w:pPr>
      <w:r>
        <w:t>T</w:t>
      </w:r>
      <w:r w:rsidR="0039514E">
        <w:t xml:space="preserve">he </w:t>
      </w:r>
      <w:r w:rsidR="00F608C8">
        <w:t xml:space="preserve">description of </w:t>
      </w:r>
      <w:r w:rsidR="0039514E">
        <w:t>animals</w:t>
      </w:r>
      <w:r w:rsidR="005800EC">
        <w:t xml:space="preserve"> in India follow a similar fashion to how </w:t>
      </w:r>
      <w:r w:rsidR="00F608C8">
        <w:t xml:space="preserve">the peoples were described, with a significant level of fantasy. </w:t>
      </w:r>
      <w:r w:rsidR="002149B0">
        <w:t>For example, Herodotus mentions the horrific gold hunting ants</w:t>
      </w:r>
      <w:r w:rsidR="0029646A">
        <w:t xml:space="preserve"> and the </w:t>
      </w:r>
      <w:r w:rsidR="00E717CE">
        <w:t xml:space="preserve">process in which the population </w:t>
      </w:r>
      <w:r w:rsidR="004253AC">
        <w:t>gathered</w:t>
      </w:r>
      <w:r w:rsidR="00E717CE">
        <w:t xml:space="preserve"> their abundance of gold</w:t>
      </w:r>
      <w:r w:rsidR="004253AC">
        <w:t xml:space="preserve"> with their four jointed </w:t>
      </w:r>
      <w:r w:rsidR="00C141FA">
        <w:t>camels</w:t>
      </w:r>
      <w:r w:rsidR="009C34B5">
        <w:t xml:space="preserve"> that were as swift as horses</w:t>
      </w:r>
      <w:r w:rsidR="00E717CE">
        <w:rPr>
          <w:rStyle w:val="FootnoteReference"/>
        </w:rPr>
        <w:footnoteReference w:id="17"/>
      </w:r>
      <w:r w:rsidR="00C141FA">
        <w:t>.</w:t>
      </w:r>
      <w:r w:rsidR="00E66D37">
        <w:t xml:space="preserve"> </w:t>
      </w:r>
      <w:proofErr w:type="spellStart"/>
      <w:r w:rsidR="00E66D37">
        <w:t>Ctesias</w:t>
      </w:r>
      <w:proofErr w:type="spellEnd"/>
      <w:r w:rsidR="00E66D37">
        <w:t xml:space="preserve"> had a </w:t>
      </w:r>
      <w:r w:rsidR="00FE52CA">
        <w:t xml:space="preserve">focus more on the natural history, wrote a significant amount on the creatures in India, </w:t>
      </w:r>
      <w:r w:rsidR="00DA5D31">
        <w:t>for example his description of a “tiger”, as found in Pausanias</w:t>
      </w:r>
      <w:r w:rsidR="00A36245">
        <w:t>, which had rows of teeth, a scorpion tail</w:t>
      </w:r>
      <w:r w:rsidR="004E3A8D">
        <w:t>, and became what was known as the manticore</w:t>
      </w:r>
      <w:r w:rsidR="004E3A8D">
        <w:rPr>
          <w:rStyle w:val="FootnoteReference"/>
        </w:rPr>
        <w:footnoteReference w:id="18"/>
      </w:r>
      <w:r w:rsidR="00660631">
        <w:t>. However, although mention</w:t>
      </w:r>
      <w:r w:rsidR="002C5559">
        <w:t>ing</w:t>
      </w:r>
      <w:r w:rsidR="00660631">
        <w:t xml:space="preserve"> fantastical creature</w:t>
      </w:r>
      <w:r w:rsidR="002C5559">
        <w:t>s</w:t>
      </w:r>
      <w:r w:rsidR="00660631">
        <w:t xml:space="preserve"> in his work, there were also animals that with today’s knowledge of the fauna in India</w:t>
      </w:r>
      <w:r w:rsidR="002C5559">
        <w:t xml:space="preserve">, can easily be understood, for example a parrot, which amazed him as a bird that </w:t>
      </w:r>
      <w:r w:rsidR="002C5559">
        <w:lastRenderedPageBreak/>
        <w:t>could learn human languag</w:t>
      </w:r>
      <w:r w:rsidR="00701B95">
        <w:t>e</w:t>
      </w:r>
      <w:r w:rsidR="002C5559">
        <w:rPr>
          <w:rStyle w:val="FootnoteReference"/>
        </w:rPr>
        <w:footnoteReference w:id="19"/>
      </w:r>
      <w:r w:rsidR="00B356A3">
        <w:t xml:space="preserve">. With such descriptions of animals, </w:t>
      </w:r>
      <w:proofErr w:type="spellStart"/>
      <w:r w:rsidR="00B356A3">
        <w:t>Ctesias</w:t>
      </w:r>
      <w:proofErr w:type="spellEnd"/>
      <w:r w:rsidR="00B356A3">
        <w:t xml:space="preserve"> became a </w:t>
      </w:r>
      <w:proofErr w:type="gramStart"/>
      <w:r w:rsidR="00B356A3">
        <w:t>fairly reliable</w:t>
      </w:r>
      <w:proofErr w:type="gramEnd"/>
      <w:r w:rsidR="00B356A3">
        <w:t xml:space="preserve"> source for this information, with later historians such as Aristotle using </w:t>
      </w:r>
      <w:r w:rsidR="007E153C">
        <w:t>his writing to provide detail of what an elephant was</w:t>
      </w:r>
      <w:r w:rsidR="007E153C">
        <w:rPr>
          <w:rStyle w:val="FootnoteReference"/>
        </w:rPr>
        <w:footnoteReference w:id="20"/>
      </w:r>
      <w:r w:rsidR="007E153C">
        <w:t>.</w:t>
      </w:r>
      <w:r w:rsidR="007B30A3">
        <w:t xml:space="preserve"> </w:t>
      </w:r>
      <w:r w:rsidR="009F2DD8">
        <w:t xml:space="preserve">Some animals were </w:t>
      </w:r>
      <w:r w:rsidR="004F23EF">
        <w:t>reasonably</w:t>
      </w:r>
      <w:r w:rsidR="009F2DD8">
        <w:t xml:space="preserve"> normal to the Greek audience, however they would have minor differences, for example, </w:t>
      </w:r>
      <w:r w:rsidR="00FF0368">
        <w:t xml:space="preserve">sheep and goats were larger than asses </w:t>
      </w:r>
      <w:r w:rsidR="007F1ABF">
        <w:t>and could produce litters of offspring</w:t>
      </w:r>
      <w:r w:rsidR="007F1ABF">
        <w:rPr>
          <w:rStyle w:val="FootnoteReference"/>
        </w:rPr>
        <w:footnoteReference w:id="21"/>
      </w:r>
      <w:r w:rsidR="004F23EF">
        <w:t>. Other beasts s</w:t>
      </w:r>
      <w:r w:rsidR="007B30A3">
        <w:t xml:space="preserve">uch as the </w:t>
      </w:r>
      <w:r w:rsidR="007960A1">
        <w:t>m</w:t>
      </w:r>
      <w:r w:rsidR="007B30A3">
        <w:t xml:space="preserve">anticore and the </w:t>
      </w:r>
      <w:r w:rsidR="007960A1">
        <w:t>g</w:t>
      </w:r>
      <w:r w:rsidR="007B30A3">
        <w:t xml:space="preserve">riffin, a </w:t>
      </w:r>
      <w:r w:rsidR="007960A1">
        <w:t>beast</w:t>
      </w:r>
      <w:r w:rsidR="00D57F72">
        <w:t>ly bird with four feet, the size of wolves and the legs and claws of a lion</w:t>
      </w:r>
      <w:r w:rsidR="00671F00">
        <w:t xml:space="preserve"> are mythical beasts that again are still seen in tales today but were regularly depicted </w:t>
      </w:r>
      <w:r w:rsidR="007870AD">
        <w:t>in medieval artworks</w:t>
      </w:r>
      <w:r w:rsidR="00D57F72">
        <w:rPr>
          <w:rStyle w:val="FootnoteReference"/>
        </w:rPr>
        <w:footnoteReference w:id="22"/>
      </w:r>
      <w:r w:rsidR="00734A86">
        <w:t xml:space="preserve">. What is interesting about the information provided by </w:t>
      </w:r>
      <w:proofErr w:type="spellStart"/>
      <w:r w:rsidR="00734A86">
        <w:t>Ctesias</w:t>
      </w:r>
      <w:proofErr w:type="spellEnd"/>
      <w:r w:rsidR="00734A86">
        <w:t xml:space="preserve">, especially </w:t>
      </w:r>
      <w:r w:rsidR="007B337D">
        <w:t xml:space="preserve">with regards to the animals he depicts in his works is that they did manage to seep in to modern culture, just in a completely different way to how it would have been received </w:t>
      </w:r>
      <w:r w:rsidR="00983513">
        <w:t xml:space="preserve">contemporarily, as today, it is accepted that these creatures are not real, but for those who had never been to India, or any of the peripheral locations outside the </w:t>
      </w:r>
      <w:r w:rsidR="00983513" w:rsidRPr="00983513">
        <w:rPr>
          <w:i/>
        </w:rPr>
        <w:t>oikumene</w:t>
      </w:r>
      <w:r w:rsidR="00C83449">
        <w:rPr>
          <w:i/>
        </w:rPr>
        <w:t xml:space="preserve"> </w:t>
      </w:r>
      <w:r w:rsidR="00C83449">
        <w:t>of archaic and classical Greece</w:t>
      </w:r>
      <w:r w:rsidR="009774A3">
        <w:t xml:space="preserve"> (as was the case with almost everyone, even certain authors), the concept that these monsters </w:t>
      </w:r>
      <w:r w:rsidR="00D42144">
        <w:t>could exist was perfectly reasonable.</w:t>
      </w:r>
    </w:p>
    <w:p w14:paraId="25065B68" w14:textId="538E35B6" w:rsidR="0039514E" w:rsidRDefault="0039514E" w:rsidP="0008116E">
      <w:pPr>
        <w:jc w:val="both"/>
      </w:pPr>
      <w:r>
        <w:t xml:space="preserve">Finally, due to the fantastical element of these accounts, it is </w:t>
      </w:r>
      <w:r w:rsidR="00EB764D">
        <w:t xml:space="preserve">necessary to hold almost all of these sources with suspicion, </w:t>
      </w:r>
      <w:r w:rsidR="00D509E1">
        <w:t xml:space="preserve">for example, </w:t>
      </w:r>
      <w:proofErr w:type="spellStart"/>
      <w:r w:rsidR="00D509E1">
        <w:t>Karttunen</w:t>
      </w:r>
      <w:proofErr w:type="spellEnd"/>
      <w:r w:rsidR="00D509E1">
        <w:t xml:space="preserve"> argues that with </w:t>
      </w:r>
      <w:proofErr w:type="spellStart"/>
      <w:r w:rsidR="00D509E1">
        <w:t>Ctesias</w:t>
      </w:r>
      <w:proofErr w:type="spellEnd"/>
      <w:r w:rsidR="00D509E1">
        <w:t xml:space="preserve">’ work, his goal was not to give in depth insight surrounding India, but to entertain those who read his writing, and as such would </w:t>
      </w:r>
      <w:r w:rsidR="00E21EE1">
        <w:t>exaggerate or omit possible factual information</w:t>
      </w:r>
      <w:r w:rsidR="00E21EE1">
        <w:rPr>
          <w:rStyle w:val="FootnoteReference"/>
        </w:rPr>
        <w:footnoteReference w:id="23"/>
      </w:r>
      <w:r w:rsidR="00E21EE1">
        <w:t>.</w:t>
      </w:r>
      <w:r w:rsidR="00232296">
        <w:t xml:space="preserve"> Furthermore, </w:t>
      </w:r>
      <w:r w:rsidR="00B879D0">
        <w:t xml:space="preserve">it is also important to recognise that we are not sure who provided the original source information for the first authors, like </w:t>
      </w:r>
      <w:proofErr w:type="spellStart"/>
      <w:r w:rsidR="00B879D0">
        <w:t>Scylax</w:t>
      </w:r>
      <w:proofErr w:type="spellEnd"/>
      <w:r w:rsidR="00234E30">
        <w:t xml:space="preserve">. It is presumed that the information is oral accounts and traditions, but that will therefore bring a level of suspicion </w:t>
      </w:r>
      <w:proofErr w:type="gramStart"/>
      <w:r w:rsidR="00234E30">
        <w:t>due to the fact that</w:t>
      </w:r>
      <w:proofErr w:type="gramEnd"/>
      <w:r w:rsidR="00234E30">
        <w:t xml:space="preserve"> stories will vary depending on location, as well as having a difficulty with understanding languages, etc.</w:t>
      </w:r>
      <w:r w:rsidR="007A4BBB">
        <w:t xml:space="preserve"> </w:t>
      </w:r>
      <w:r w:rsidR="00310935">
        <w:t xml:space="preserve">As well as this, all the later sources were likely to have used some elements of evidence from the previous accounts and therefore, with sources like Herodotus using </w:t>
      </w:r>
      <w:proofErr w:type="spellStart"/>
      <w:r w:rsidR="00310935">
        <w:t>Scylax’s</w:t>
      </w:r>
      <w:proofErr w:type="spellEnd"/>
      <w:r w:rsidR="00310935">
        <w:t xml:space="preserve"> account </w:t>
      </w:r>
      <w:r w:rsidR="00862463">
        <w:t>without travelling to India himself, there is evidently going to be problems with accuracy of information.</w:t>
      </w:r>
      <w:r w:rsidR="00145063">
        <w:t xml:space="preserve"> This was even called upon by </w:t>
      </w:r>
      <w:r w:rsidR="009E0BAE">
        <w:t>Lucan, who call</w:t>
      </w:r>
      <w:r w:rsidR="00C20DD0">
        <w:t>s</w:t>
      </w:r>
      <w:r w:rsidR="009E0BAE">
        <w:t xml:space="preserve"> </w:t>
      </w:r>
      <w:proofErr w:type="spellStart"/>
      <w:r w:rsidR="009E0BAE">
        <w:t>Ctesias</w:t>
      </w:r>
      <w:proofErr w:type="spellEnd"/>
      <w:r w:rsidR="009E0BAE">
        <w:t xml:space="preserve"> and</w:t>
      </w:r>
      <w:r w:rsidR="00B538B0">
        <w:t xml:space="preserve"> Herodotus</w:t>
      </w:r>
      <w:r w:rsidR="009E0BAE">
        <w:t xml:space="preserve"> liar</w:t>
      </w:r>
      <w:r w:rsidR="00B538B0">
        <w:t>s</w:t>
      </w:r>
      <w:r w:rsidR="009F00CC">
        <w:rPr>
          <w:rStyle w:val="FootnoteReference"/>
        </w:rPr>
        <w:footnoteReference w:id="24"/>
      </w:r>
      <w:r w:rsidR="009F00CC">
        <w:t>.</w:t>
      </w:r>
      <w:r w:rsidR="00DA687B">
        <w:t xml:space="preserve"> However, the fact that these sources were still used </w:t>
      </w:r>
      <w:r w:rsidR="00834BCB">
        <w:t xml:space="preserve">by their successive historians nonetheless suggests </w:t>
      </w:r>
      <w:r w:rsidR="006B1459">
        <w:t>t</w:t>
      </w:r>
      <w:r w:rsidR="00834BCB">
        <w:t xml:space="preserve">wo things: that there was truth in some aspects of the accounts, </w:t>
      </w:r>
      <w:r w:rsidR="00E068BF">
        <w:t>and that there was no other option if they did not wish to travel and do this type of research themselves</w:t>
      </w:r>
      <w:r w:rsidR="009F20B7">
        <w:t xml:space="preserve">. Nonetheless it doesn’t necessarily mean that the sources were </w:t>
      </w:r>
      <w:r w:rsidR="00BA7A2C">
        <w:t>the best that they could have been.</w:t>
      </w:r>
    </w:p>
    <w:p w14:paraId="5D329A22" w14:textId="3660706C" w:rsidR="000E127E" w:rsidRDefault="00BA7A2C" w:rsidP="0008116E">
      <w:pPr>
        <w:jc w:val="both"/>
      </w:pPr>
      <w:r>
        <w:t xml:space="preserve">In conclusion, </w:t>
      </w:r>
      <w:r w:rsidR="001C0E2E">
        <w:t xml:space="preserve">these sources provide a detailed </w:t>
      </w:r>
      <w:r w:rsidR="00574259">
        <w:t xml:space="preserve">account of what was believed to exist in the peripheral regions of the Archaic and Classical Greek </w:t>
      </w:r>
      <w:r w:rsidR="00574259">
        <w:rPr>
          <w:i/>
        </w:rPr>
        <w:t>Oikumene</w:t>
      </w:r>
      <w:r w:rsidR="007514A6">
        <w:t xml:space="preserve">, whether they were factually correct or not. They show that in places unknown </w:t>
      </w:r>
      <w:r w:rsidR="001F1EBC">
        <w:t xml:space="preserve">there is still civilisation, despite elements of ‘barbarism’, whilst maintaining </w:t>
      </w:r>
      <w:r w:rsidR="0039029D">
        <w:t xml:space="preserve">features of fantasy and wonderment. </w:t>
      </w:r>
      <w:r w:rsidR="00F743CC">
        <w:t xml:space="preserve">As a modern historian, one is able to </w:t>
      </w:r>
      <w:r w:rsidR="00E42CBE">
        <w:t xml:space="preserve">differentiate the fiction from the non-fiction and develop a </w:t>
      </w:r>
      <w:r w:rsidR="000D5B70">
        <w:t xml:space="preserve">reasonably </w:t>
      </w:r>
      <w:r w:rsidR="00E42CBE">
        <w:t xml:space="preserve">strong idea of how </w:t>
      </w:r>
      <w:r w:rsidR="000D5B70">
        <w:t>Greeks would portray peoples and nations that were just out of their reach</w:t>
      </w:r>
      <w:r w:rsidR="003F0EAF">
        <w:t xml:space="preserve"> and nonetheless learn more about the archaic and classical world</w:t>
      </w:r>
      <w:r w:rsidR="00BE5308">
        <w:t>s have formed the modern world, as seen with depictions and stories that surpassed the medieval era and even permeated in to modern day myth.</w:t>
      </w:r>
      <w:r w:rsidR="00C66533">
        <w:t xml:space="preserve"> The edge of the world to them was a wonderous place and this concept </w:t>
      </w:r>
      <w:r w:rsidR="00E75385">
        <w:t xml:space="preserve">has also continued in to modern ideology, just as the </w:t>
      </w:r>
      <w:r w:rsidR="00C640C6">
        <w:t>knowledge of the human race grew</w:t>
      </w:r>
      <w:r w:rsidR="00C5019C">
        <w:t xml:space="preserve">, so did the boundaries of the </w:t>
      </w:r>
      <w:r w:rsidR="00E75385">
        <w:t>peripher</w:t>
      </w:r>
      <w:r w:rsidR="00C5019C">
        <w:t xml:space="preserve">al regions, and therefore it would </w:t>
      </w:r>
      <w:r w:rsidR="00664895">
        <w:t>rather closed-minded to view these sources to inherently wrong, due to the idea that</w:t>
      </w:r>
      <w:r w:rsidR="00E40B3A">
        <w:t xml:space="preserve"> the limits of our knowledge is almost constantly growing.</w:t>
      </w:r>
    </w:p>
    <w:p w14:paraId="2CC5C297" w14:textId="39C6EF27" w:rsidR="00350361" w:rsidRDefault="00350361" w:rsidP="0008116E">
      <w:pPr>
        <w:jc w:val="both"/>
      </w:pPr>
    </w:p>
    <w:p w14:paraId="1FD16BE9" w14:textId="7D4EB75D" w:rsidR="00350361" w:rsidRDefault="00776845" w:rsidP="00776845">
      <w:pPr>
        <w:jc w:val="center"/>
        <w:rPr>
          <w:b/>
          <w:sz w:val="32"/>
          <w:u w:val="single"/>
        </w:rPr>
      </w:pPr>
      <w:r w:rsidRPr="00A7749D">
        <w:rPr>
          <w:b/>
          <w:sz w:val="32"/>
          <w:u w:val="single"/>
        </w:rPr>
        <w:t>Bibliography</w:t>
      </w:r>
    </w:p>
    <w:p w14:paraId="4FDD551C" w14:textId="3B217B00" w:rsidR="00A7749D" w:rsidRDefault="00A7749D" w:rsidP="00A7749D"/>
    <w:p w14:paraId="1906BC64" w14:textId="3C9B9FED" w:rsidR="00E97362" w:rsidRPr="00F30B2D" w:rsidRDefault="00E97362" w:rsidP="00BE2727">
      <w:pPr>
        <w:pStyle w:val="FootnoteText"/>
        <w:rPr>
          <w:sz w:val="22"/>
        </w:rPr>
      </w:pPr>
      <w:r w:rsidRPr="00F30B2D">
        <w:rPr>
          <w:sz w:val="22"/>
        </w:rPr>
        <w:t>Aristotle, F45bα</w:t>
      </w:r>
    </w:p>
    <w:p w14:paraId="39530A02" w14:textId="7B10ADC7" w:rsidR="00DE5F67" w:rsidRPr="00F30B2D" w:rsidRDefault="00DE5F67" w:rsidP="00BE2727">
      <w:pPr>
        <w:pStyle w:val="FootnoteText"/>
        <w:rPr>
          <w:sz w:val="22"/>
        </w:rPr>
      </w:pPr>
      <w:r w:rsidRPr="00F30B2D">
        <w:rPr>
          <w:sz w:val="22"/>
        </w:rPr>
        <w:t xml:space="preserve">Arrian, </w:t>
      </w:r>
      <w:r w:rsidRPr="00F30B2D">
        <w:rPr>
          <w:i/>
          <w:sz w:val="22"/>
        </w:rPr>
        <w:t>Anabasis.</w:t>
      </w:r>
    </w:p>
    <w:p w14:paraId="327612E2" w14:textId="7AD55D29" w:rsidR="00E97362" w:rsidRPr="00F30B2D" w:rsidRDefault="00E97362" w:rsidP="00BE2727">
      <w:pPr>
        <w:pStyle w:val="FootnoteText"/>
        <w:rPr>
          <w:sz w:val="22"/>
          <w:szCs w:val="22"/>
        </w:rPr>
      </w:pPr>
      <w:proofErr w:type="spellStart"/>
      <w:r w:rsidRPr="28C2AFE2">
        <w:rPr>
          <w:sz w:val="22"/>
          <w:szCs w:val="22"/>
        </w:rPr>
        <w:t>Atheneaus</w:t>
      </w:r>
      <w:proofErr w:type="spellEnd"/>
      <w:r w:rsidRPr="28C2AFE2">
        <w:rPr>
          <w:sz w:val="22"/>
          <w:szCs w:val="22"/>
        </w:rPr>
        <w:t xml:space="preserve">, </w:t>
      </w:r>
      <w:proofErr w:type="spellStart"/>
      <w:r w:rsidRPr="001A1735">
        <w:rPr>
          <w:i/>
          <w:sz w:val="22"/>
          <w:szCs w:val="22"/>
        </w:rPr>
        <w:t>Deipnosophistae</w:t>
      </w:r>
      <w:proofErr w:type="spellEnd"/>
      <w:r w:rsidRPr="28C2AFE2">
        <w:rPr>
          <w:sz w:val="22"/>
          <w:szCs w:val="22"/>
        </w:rPr>
        <w:t>. 2.70b-c</w:t>
      </w:r>
    </w:p>
    <w:p w14:paraId="20C7BDF1" w14:textId="39D9C7DA" w:rsidR="00E97362" w:rsidRPr="00F30B2D" w:rsidRDefault="00E97362" w:rsidP="00BE2727">
      <w:pPr>
        <w:pStyle w:val="FootnoteText"/>
        <w:rPr>
          <w:sz w:val="22"/>
        </w:rPr>
      </w:pPr>
      <w:proofErr w:type="spellStart"/>
      <w:r w:rsidRPr="00F30B2D">
        <w:rPr>
          <w:sz w:val="22"/>
        </w:rPr>
        <w:t>Ctesias</w:t>
      </w:r>
      <w:proofErr w:type="spellEnd"/>
      <w:r w:rsidR="00AC4B3D">
        <w:rPr>
          <w:sz w:val="22"/>
        </w:rPr>
        <w:t>:</w:t>
      </w:r>
      <w:r w:rsidRPr="00F30B2D">
        <w:rPr>
          <w:sz w:val="22"/>
        </w:rPr>
        <w:t xml:space="preserve">  F45 §8</w:t>
      </w:r>
      <w:r w:rsidR="00F30B2D">
        <w:rPr>
          <w:sz w:val="22"/>
        </w:rPr>
        <w:t>;</w:t>
      </w:r>
      <w:r>
        <w:rPr>
          <w:sz w:val="22"/>
        </w:rPr>
        <w:t xml:space="preserve"> </w:t>
      </w:r>
      <w:r w:rsidRPr="00F30B2D">
        <w:rPr>
          <w:sz w:val="22"/>
        </w:rPr>
        <w:t>F45 § 23; F45 §37, 43; F45pβ-γ; F45 §16, 20, 30; F45 §32.</w:t>
      </w:r>
    </w:p>
    <w:p w14:paraId="29CE9527" w14:textId="6E3CC297" w:rsidR="00E97362" w:rsidRDefault="00AC4B3D" w:rsidP="00BE2727">
      <w:pPr>
        <w:pStyle w:val="FootnoteText"/>
        <w:rPr>
          <w:sz w:val="22"/>
          <w:szCs w:val="22"/>
        </w:rPr>
      </w:pPr>
      <w:r w:rsidRPr="1C2A1550">
        <w:rPr>
          <w:sz w:val="22"/>
          <w:szCs w:val="22"/>
        </w:rPr>
        <w:t>Herodotus</w:t>
      </w:r>
      <w:r w:rsidR="000D63DC" w:rsidRPr="1C2A1550">
        <w:rPr>
          <w:sz w:val="22"/>
          <w:szCs w:val="22"/>
        </w:rPr>
        <w:t xml:space="preserve">, </w:t>
      </w:r>
      <w:r w:rsidR="000D63DC" w:rsidRPr="1C2A1550">
        <w:rPr>
          <w:i/>
          <w:sz w:val="22"/>
          <w:szCs w:val="22"/>
        </w:rPr>
        <w:t>Histories</w:t>
      </w:r>
      <w:r w:rsidR="001A1735" w:rsidRPr="1C2A1550">
        <w:rPr>
          <w:sz w:val="22"/>
          <w:szCs w:val="22"/>
        </w:rPr>
        <w:t>, Book 3</w:t>
      </w:r>
    </w:p>
    <w:p w14:paraId="599B8B00" w14:textId="6E3CC297" w:rsidR="001A1735" w:rsidRPr="001A1735" w:rsidRDefault="001A1735" w:rsidP="00BE2727">
      <w:pPr>
        <w:pStyle w:val="FootnoteText"/>
        <w:rPr>
          <w:sz w:val="22"/>
          <w:szCs w:val="22"/>
        </w:rPr>
      </w:pPr>
      <w:r w:rsidRPr="1C2A1550">
        <w:rPr>
          <w:sz w:val="22"/>
          <w:szCs w:val="22"/>
        </w:rPr>
        <w:t xml:space="preserve">Herodotus, </w:t>
      </w:r>
      <w:r w:rsidRPr="1C2A1550">
        <w:rPr>
          <w:i/>
          <w:sz w:val="22"/>
          <w:szCs w:val="22"/>
        </w:rPr>
        <w:t xml:space="preserve">Histories, </w:t>
      </w:r>
      <w:r w:rsidRPr="1C2A1550">
        <w:rPr>
          <w:sz w:val="22"/>
          <w:szCs w:val="22"/>
        </w:rPr>
        <w:t>Book 4</w:t>
      </w:r>
    </w:p>
    <w:p w14:paraId="4CD3B683" w14:textId="6E3CC297" w:rsidR="00E97362" w:rsidRPr="00F30B2D" w:rsidRDefault="1C02E3E2" w:rsidP="00BE2727">
      <w:pPr>
        <w:pStyle w:val="FootnoteText"/>
        <w:rPr>
          <w:sz w:val="22"/>
          <w:szCs w:val="22"/>
        </w:rPr>
      </w:pPr>
      <w:r w:rsidRPr="1C2A1550">
        <w:rPr>
          <w:sz w:val="22"/>
          <w:szCs w:val="22"/>
        </w:rPr>
        <w:t>Hesiod, fr.153 M-W</w:t>
      </w:r>
    </w:p>
    <w:p w14:paraId="32D4F659" w14:textId="7A8D4F1B" w:rsidR="00E97362" w:rsidRPr="006D0A06" w:rsidRDefault="1C02E3E2" w:rsidP="00BE2727">
      <w:pPr>
        <w:pStyle w:val="FootnoteText"/>
        <w:rPr>
          <w:sz w:val="22"/>
          <w:szCs w:val="22"/>
        </w:rPr>
      </w:pPr>
      <w:r w:rsidRPr="1C2A1550">
        <w:rPr>
          <w:sz w:val="22"/>
          <w:szCs w:val="22"/>
        </w:rPr>
        <w:t xml:space="preserve">Lucian </w:t>
      </w:r>
      <w:r w:rsidRPr="1C2A1550">
        <w:rPr>
          <w:i/>
          <w:sz w:val="22"/>
          <w:szCs w:val="22"/>
        </w:rPr>
        <w:t>Ver. Hist</w:t>
      </w:r>
      <w:r w:rsidRPr="1C2A1550">
        <w:rPr>
          <w:sz w:val="22"/>
          <w:szCs w:val="22"/>
        </w:rPr>
        <w:t>.</w:t>
      </w:r>
    </w:p>
    <w:p w14:paraId="544AA11B" w14:textId="6E3CC297" w:rsidR="00E97362" w:rsidRPr="006D0A06" w:rsidRDefault="1C02E3E2" w:rsidP="00BE2727">
      <w:pPr>
        <w:pStyle w:val="FootnoteText"/>
        <w:rPr>
          <w:sz w:val="22"/>
          <w:szCs w:val="22"/>
        </w:rPr>
      </w:pPr>
      <w:r w:rsidRPr="006D0A06">
        <w:rPr>
          <w:sz w:val="22"/>
          <w:szCs w:val="22"/>
        </w:rPr>
        <w:t>Pausanias, 9.21</w:t>
      </w:r>
    </w:p>
    <w:p w14:paraId="09FF19AB" w14:textId="12D9D2E8" w:rsidR="00EB3ACD" w:rsidRPr="006D0A06" w:rsidRDefault="00E97362" w:rsidP="00BE2727">
      <w:pPr>
        <w:pStyle w:val="FootnoteText"/>
        <w:rPr>
          <w:sz w:val="22"/>
          <w:szCs w:val="22"/>
        </w:rPr>
      </w:pPr>
      <w:proofErr w:type="spellStart"/>
      <w:r w:rsidRPr="006D0A06">
        <w:rPr>
          <w:sz w:val="22"/>
          <w:szCs w:val="22"/>
        </w:rPr>
        <w:t>Photius</w:t>
      </w:r>
      <w:proofErr w:type="spellEnd"/>
      <w:r w:rsidRPr="006D0A06">
        <w:rPr>
          <w:sz w:val="22"/>
          <w:szCs w:val="22"/>
        </w:rPr>
        <w:t xml:space="preserve">, </w:t>
      </w:r>
      <w:proofErr w:type="spellStart"/>
      <w:r w:rsidRPr="006D0A06">
        <w:rPr>
          <w:i/>
          <w:sz w:val="22"/>
          <w:szCs w:val="22"/>
        </w:rPr>
        <w:t>Bibl</w:t>
      </w:r>
      <w:r w:rsidR="002C10F1" w:rsidRPr="006D0A06">
        <w:rPr>
          <w:i/>
          <w:sz w:val="22"/>
          <w:szCs w:val="22"/>
        </w:rPr>
        <w:t>iotecha</w:t>
      </w:r>
      <w:proofErr w:type="spellEnd"/>
      <w:r w:rsidRPr="006D0A06">
        <w:rPr>
          <w:i/>
          <w:sz w:val="22"/>
          <w:szCs w:val="22"/>
        </w:rPr>
        <w:t>.</w:t>
      </w:r>
      <w:r w:rsidRPr="006D0A06">
        <w:rPr>
          <w:sz w:val="22"/>
          <w:szCs w:val="22"/>
        </w:rPr>
        <w:t xml:space="preserve"> 72 p. 27</w:t>
      </w:r>
    </w:p>
    <w:p w14:paraId="04CB4FC9" w14:textId="77777777" w:rsidR="00E97362" w:rsidRPr="006D0A06" w:rsidRDefault="00E97362" w:rsidP="00BE2727">
      <w:pPr>
        <w:pStyle w:val="FootnoteText"/>
        <w:rPr>
          <w:sz w:val="22"/>
          <w:szCs w:val="22"/>
        </w:rPr>
      </w:pPr>
      <w:proofErr w:type="spellStart"/>
      <w:r w:rsidRPr="006D0A06">
        <w:rPr>
          <w:sz w:val="22"/>
          <w:szCs w:val="22"/>
        </w:rPr>
        <w:t>Scylax</w:t>
      </w:r>
      <w:proofErr w:type="spellEnd"/>
      <w:r w:rsidRPr="006D0A06">
        <w:rPr>
          <w:sz w:val="22"/>
          <w:szCs w:val="22"/>
        </w:rPr>
        <w:t xml:space="preserve">, F7a; F7b; </w:t>
      </w:r>
    </w:p>
    <w:p w14:paraId="01A6878F" w14:textId="30F46655" w:rsidR="00522E48" w:rsidRPr="006D0A06" w:rsidRDefault="00522E48" w:rsidP="00BE2727">
      <w:pPr>
        <w:pStyle w:val="FootnoteText"/>
        <w:rPr>
          <w:sz w:val="22"/>
          <w:szCs w:val="22"/>
        </w:rPr>
      </w:pPr>
    </w:p>
    <w:p w14:paraId="2819FA0F" w14:textId="4D941DE8" w:rsidR="005F5FBC" w:rsidRPr="006D0A06" w:rsidRDefault="00FF0FA8" w:rsidP="0048504F">
      <w:pPr>
        <w:pStyle w:val="FootnoteText"/>
        <w:rPr>
          <w:sz w:val="22"/>
          <w:szCs w:val="22"/>
        </w:rPr>
      </w:pPr>
      <w:proofErr w:type="spellStart"/>
      <w:r w:rsidRPr="006D0A06">
        <w:rPr>
          <w:sz w:val="22"/>
          <w:szCs w:val="22"/>
        </w:rPr>
        <w:t>Matijašić</w:t>
      </w:r>
      <w:proofErr w:type="spellEnd"/>
      <w:r w:rsidR="005216A9" w:rsidRPr="006D0A06">
        <w:rPr>
          <w:sz w:val="22"/>
          <w:szCs w:val="22"/>
        </w:rPr>
        <w:t xml:space="preserve">, I., </w:t>
      </w:r>
      <w:r w:rsidR="00DC62C8" w:rsidRPr="006D0A06">
        <w:rPr>
          <w:sz w:val="22"/>
          <w:szCs w:val="22"/>
        </w:rPr>
        <w:t xml:space="preserve">2016, </w:t>
      </w:r>
      <w:r w:rsidR="00922A7D" w:rsidRPr="006D0A06">
        <w:rPr>
          <w:sz w:val="22"/>
          <w:szCs w:val="22"/>
        </w:rPr>
        <w:t>“</w:t>
      </w:r>
      <w:proofErr w:type="spellStart"/>
      <w:r w:rsidR="00922A7D" w:rsidRPr="006D0A06">
        <w:rPr>
          <w:sz w:val="22"/>
          <w:szCs w:val="22"/>
        </w:rPr>
        <w:t>Scylax</w:t>
      </w:r>
      <w:proofErr w:type="spellEnd"/>
      <w:r w:rsidR="00922A7D" w:rsidRPr="006D0A06">
        <w:rPr>
          <w:sz w:val="22"/>
          <w:szCs w:val="22"/>
        </w:rPr>
        <w:t xml:space="preserve"> of </w:t>
      </w:r>
      <w:proofErr w:type="spellStart"/>
      <w:r w:rsidR="00922A7D" w:rsidRPr="006D0A06">
        <w:rPr>
          <w:sz w:val="22"/>
          <w:szCs w:val="22"/>
        </w:rPr>
        <w:t>Caryanda</w:t>
      </w:r>
      <w:proofErr w:type="spellEnd"/>
      <w:r w:rsidR="00922A7D" w:rsidRPr="006D0A06">
        <w:rPr>
          <w:sz w:val="22"/>
          <w:szCs w:val="22"/>
        </w:rPr>
        <w:t>, Pseudo-</w:t>
      </w:r>
      <w:proofErr w:type="spellStart"/>
      <w:r w:rsidR="00922A7D" w:rsidRPr="006D0A06">
        <w:rPr>
          <w:sz w:val="22"/>
          <w:szCs w:val="22"/>
        </w:rPr>
        <w:t>Scylax</w:t>
      </w:r>
      <w:proofErr w:type="spellEnd"/>
      <w:r w:rsidR="00922A7D" w:rsidRPr="006D0A06">
        <w:rPr>
          <w:sz w:val="22"/>
          <w:szCs w:val="22"/>
        </w:rPr>
        <w:t xml:space="preserve">, and the Paris Periplus: Reconsidering the Ancient Tradition of a Geographical Text” in </w:t>
      </w:r>
      <w:r w:rsidR="00906502" w:rsidRPr="006D0A06">
        <w:rPr>
          <w:i/>
          <w:sz w:val="22"/>
          <w:szCs w:val="22"/>
        </w:rPr>
        <w:t>Mare Nostrum</w:t>
      </w:r>
      <w:r w:rsidR="00906502" w:rsidRPr="006D0A06">
        <w:rPr>
          <w:sz w:val="22"/>
          <w:szCs w:val="22"/>
        </w:rPr>
        <w:t xml:space="preserve"> (</w:t>
      </w:r>
      <w:r w:rsidR="009701E4" w:rsidRPr="006D0A06">
        <w:rPr>
          <w:sz w:val="22"/>
          <w:szCs w:val="22"/>
        </w:rPr>
        <w:t>7)</w:t>
      </w:r>
    </w:p>
    <w:p w14:paraId="46D12405" w14:textId="052CF0AE" w:rsidR="0048504F" w:rsidRPr="006D0A06" w:rsidRDefault="1C02E3E2" w:rsidP="0048504F">
      <w:pPr>
        <w:pStyle w:val="FootnoteText"/>
        <w:rPr>
          <w:sz w:val="22"/>
          <w:szCs w:val="22"/>
        </w:rPr>
      </w:pPr>
      <w:r w:rsidRPr="006D0A06">
        <w:rPr>
          <w:sz w:val="22"/>
          <w:szCs w:val="22"/>
        </w:rPr>
        <w:t xml:space="preserve">Parker, </w:t>
      </w:r>
      <w:r w:rsidR="00FE17D8" w:rsidRPr="006D0A06">
        <w:rPr>
          <w:sz w:val="22"/>
          <w:szCs w:val="22"/>
        </w:rPr>
        <w:t xml:space="preserve">G., </w:t>
      </w:r>
      <w:r w:rsidRPr="006D0A06">
        <w:rPr>
          <w:sz w:val="22"/>
          <w:szCs w:val="22"/>
        </w:rPr>
        <w:t>2008</w:t>
      </w:r>
      <w:r w:rsidR="00FE17D8" w:rsidRPr="006D0A06">
        <w:rPr>
          <w:sz w:val="22"/>
          <w:szCs w:val="22"/>
        </w:rPr>
        <w:t xml:space="preserve">, </w:t>
      </w:r>
      <w:r w:rsidR="00FE17D8" w:rsidRPr="006D0A06">
        <w:rPr>
          <w:i/>
          <w:sz w:val="22"/>
          <w:szCs w:val="22"/>
        </w:rPr>
        <w:t>The Making of Roman India</w:t>
      </w:r>
      <w:r w:rsidR="00FE17D8" w:rsidRPr="006D0A06">
        <w:rPr>
          <w:sz w:val="22"/>
          <w:szCs w:val="22"/>
        </w:rPr>
        <w:t xml:space="preserve">, </w:t>
      </w:r>
      <w:r w:rsidR="001632C4" w:rsidRPr="006D0A06">
        <w:rPr>
          <w:sz w:val="22"/>
          <w:szCs w:val="22"/>
        </w:rPr>
        <w:t>Cambridge University Press</w:t>
      </w:r>
    </w:p>
    <w:p w14:paraId="6D80E910" w14:textId="77777777" w:rsidR="0011352D" w:rsidRPr="00440C7B" w:rsidRDefault="0011352D" w:rsidP="00BE2727">
      <w:pPr>
        <w:pStyle w:val="FootnoteText"/>
        <w:rPr>
          <w:rFonts w:cs="Times New Roman"/>
          <w:sz w:val="22"/>
          <w:szCs w:val="22"/>
        </w:rPr>
      </w:pPr>
      <w:proofErr w:type="spellStart"/>
      <w:r w:rsidRPr="00440C7B">
        <w:rPr>
          <w:rFonts w:cs="Times New Roman"/>
          <w:sz w:val="22"/>
          <w:szCs w:val="22"/>
        </w:rPr>
        <w:t>Karttunen</w:t>
      </w:r>
      <w:proofErr w:type="spellEnd"/>
      <w:r w:rsidRPr="00440C7B">
        <w:rPr>
          <w:rFonts w:cs="Times New Roman"/>
          <w:sz w:val="22"/>
          <w:szCs w:val="22"/>
        </w:rPr>
        <w:t>, K. (1997) ‘</w:t>
      </w:r>
      <w:proofErr w:type="spellStart"/>
      <w:r w:rsidRPr="00440C7B">
        <w:rPr>
          <w:rFonts w:cs="Times New Roman"/>
          <w:sz w:val="22"/>
          <w:szCs w:val="22"/>
        </w:rPr>
        <w:t>Ctesias</w:t>
      </w:r>
      <w:proofErr w:type="spellEnd"/>
      <w:r w:rsidRPr="00440C7B">
        <w:rPr>
          <w:rFonts w:cs="Times New Roman"/>
          <w:sz w:val="22"/>
          <w:szCs w:val="22"/>
        </w:rPr>
        <w:t xml:space="preserve"> in Transmission and Tradition’, </w:t>
      </w:r>
      <w:proofErr w:type="spellStart"/>
      <w:r w:rsidRPr="00440C7B">
        <w:rPr>
          <w:rFonts w:cs="Times New Roman"/>
          <w:i/>
          <w:sz w:val="22"/>
          <w:szCs w:val="22"/>
        </w:rPr>
        <w:t>Topoi</w:t>
      </w:r>
      <w:proofErr w:type="spellEnd"/>
      <w:r w:rsidRPr="00440C7B">
        <w:rPr>
          <w:rFonts w:cs="Times New Roman"/>
          <w:i/>
          <w:sz w:val="22"/>
          <w:szCs w:val="22"/>
        </w:rPr>
        <w:t xml:space="preserve"> </w:t>
      </w:r>
      <w:r w:rsidRPr="00440C7B">
        <w:rPr>
          <w:rFonts w:cs="Times New Roman"/>
          <w:sz w:val="22"/>
          <w:szCs w:val="22"/>
        </w:rPr>
        <w:t>7 (2): 635-646.</w:t>
      </w:r>
    </w:p>
    <w:p w14:paraId="7E21A377" w14:textId="44997723" w:rsidR="00522E48" w:rsidRPr="00440C7B" w:rsidRDefault="00440C7B" w:rsidP="00BE2727">
      <w:pPr>
        <w:pStyle w:val="FootnoteText"/>
        <w:rPr>
          <w:rFonts w:ascii="Calibri" w:hAnsi="Calibri"/>
          <w:color w:val="000000"/>
          <w:sz w:val="22"/>
          <w:szCs w:val="22"/>
          <w:shd w:val="clear" w:color="auto" w:fill="FFFFFF"/>
        </w:rPr>
      </w:pPr>
      <w:r w:rsidRPr="00440C7B">
        <w:rPr>
          <w:rFonts w:ascii="Calibri" w:hAnsi="Calibri"/>
          <w:color w:val="000000"/>
          <w:sz w:val="22"/>
          <w:szCs w:val="22"/>
          <w:shd w:val="clear" w:color="auto" w:fill="FFFFFF"/>
        </w:rPr>
        <w:t>Stoneman, R. (forthcoming) </w:t>
      </w:r>
      <w:r w:rsidRPr="00440C7B">
        <w:rPr>
          <w:rFonts w:ascii="Calibri" w:hAnsi="Calibri"/>
          <w:i/>
          <w:iCs/>
          <w:color w:val="000000"/>
          <w:sz w:val="22"/>
          <w:szCs w:val="22"/>
          <w:shd w:val="clear" w:color="auto" w:fill="FFFFFF"/>
        </w:rPr>
        <w:t>The Greek Experience of India: From Alexander to the Indo-Greeks</w:t>
      </w:r>
      <w:r w:rsidRPr="00440C7B">
        <w:rPr>
          <w:rFonts w:ascii="Calibri" w:hAnsi="Calibri"/>
          <w:color w:val="000000"/>
          <w:sz w:val="22"/>
          <w:szCs w:val="22"/>
          <w:shd w:val="clear" w:color="auto" w:fill="FFFFFF"/>
        </w:rPr>
        <w:t>. Princeton: Princeton University Press.</w:t>
      </w:r>
    </w:p>
    <w:p w14:paraId="3558A007" w14:textId="77777777" w:rsidR="00440C7B" w:rsidRPr="006D0A06" w:rsidRDefault="00440C7B" w:rsidP="00BE2727">
      <w:pPr>
        <w:pStyle w:val="FootnoteText"/>
        <w:rPr>
          <w:sz w:val="22"/>
          <w:szCs w:val="22"/>
        </w:rPr>
      </w:pPr>
    </w:p>
    <w:p w14:paraId="1EBA7D81" w14:textId="11396A7A" w:rsidR="00522E48" w:rsidRPr="006D0A06" w:rsidRDefault="00DF08EE" w:rsidP="00522E48">
      <w:pPr>
        <w:pStyle w:val="FootnoteText"/>
        <w:rPr>
          <w:sz w:val="22"/>
          <w:szCs w:val="22"/>
        </w:rPr>
      </w:pPr>
      <w:r>
        <w:rPr>
          <w:sz w:val="22"/>
          <w:szCs w:val="22"/>
        </w:rPr>
        <w:t xml:space="preserve">Image: </w:t>
      </w:r>
      <w:r w:rsidR="00522E48" w:rsidRPr="006D0A06">
        <w:rPr>
          <w:sz w:val="22"/>
          <w:szCs w:val="22"/>
        </w:rPr>
        <w:t>Medieval Bestiary: Griffin</w:t>
      </w:r>
      <w:r w:rsidR="00383520">
        <w:rPr>
          <w:sz w:val="22"/>
          <w:szCs w:val="22"/>
        </w:rPr>
        <w:t>,</w:t>
      </w:r>
      <w:r>
        <w:rPr>
          <w:sz w:val="22"/>
          <w:szCs w:val="22"/>
        </w:rPr>
        <w:t xml:space="preserve"> </w:t>
      </w:r>
      <w:r w:rsidR="00383520">
        <w:rPr>
          <w:rFonts w:ascii="Verdana" w:hAnsi="Verdana"/>
          <w:color w:val="000000"/>
          <w:sz w:val="17"/>
          <w:szCs w:val="17"/>
          <w:shd w:val="clear" w:color="auto" w:fill="FFFFFF"/>
        </w:rPr>
        <w:t>British Library, Harley MS 4751, Folio 7v</w:t>
      </w:r>
      <w:r w:rsidR="00C16D22">
        <w:rPr>
          <w:sz w:val="22"/>
          <w:szCs w:val="22"/>
        </w:rPr>
        <w:t xml:space="preserve"> </w:t>
      </w:r>
    </w:p>
    <w:p w14:paraId="388BB38E" w14:textId="19756A26" w:rsidR="00BE0ED8" w:rsidRDefault="00BE0ED8" w:rsidP="1C02E3E2">
      <w:pPr>
        <w:pStyle w:val="FootnoteText"/>
        <w:rPr>
          <w:rFonts w:ascii="Verdana" w:hAnsi="Verdana"/>
          <w:color w:val="000000"/>
          <w:sz w:val="17"/>
          <w:szCs w:val="17"/>
          <w:shd w:val="clear" w:color="auto" w:fill="FFFFFF"/>
        </w:rPr>
      </w:pPr>
      <w:r>
        <w:rPr>
          <w:sz w:val="22"/>
          <w:szCs w:val="22"/>
        </w:rPr>
        <w:t xml:space="preserve">Image: </w:t>
      </w:r>
      <w:r w:rsidR="1C02E3E2" w:rsidRPr="006D0A06">
        <w:rPr>
          <w:sz w:val="22"/>
          <w:szCs w:val="22"/>
        </w:rPr>
        <w:t>Medieval Bestiary: Manticore</w:t>
      </w:r>
      <w:r w:rsidR="00C16D22">
        <w:rPr>
          <w:sz w:val="22"/>
          <w:szCs w:val="22"/>
        </w:rPr>
        <w:t xml:space="preserve"> </w:t>
      </w:r>
      <w:r>
        <w:rPr>
          <w:rFonts w:ascii="Verdana" w:hAnsi="Verdana"/>
          <w:color w:val="000000"/>
          <w:sz w:val="17"/>
          <w:szCs w:val="17"/>
          <w:shd w:val="clear" w:color="auto" w:fill="FFFFFF"/>
        </w:rPr>
        <w:t xml:space="preserve">Museum </w:t>
      </w:r>
      <w:proofErr w:type="spellStart"/>
      <w:r>
        <w:rPr>
          <w:rFonts w:ascii="Verdana" w:hAnsi="Verdana"/>
          <w:color w:val="000000"/>
          <w:sz w:val="17"/>
          <w:szCs w:val="17"/>
          <w:shd w:val="clear" w:color="auto" w:fill="FFFFFF"/>
        </w:rPr>
        <w:t>Meermanno</w:t>
      </w:r>
      <w:proofErr w:type="spellEnd"/>
      <w:r>
        <w:rPr>
          <w:rFonts w:ascii="Verdana" w:hAnsi="Verdana"/>
          <w:color w:val="000000"/>
          <w:sz w:val="17"/>
          <w:szCs w:val="17"/>
          <w:shd w:val="clear" w:color="auto" w:fill="FFFFFF"/>
        </w:rPr>
        <w:t>, MMW, 10 B 25, Folio 13r</w:t>
      </w:r>
    </w:p>
    <w:p w14:paraId="7E520847" w14:textId="3A0E9D54" w:rsidR="0048504F" w:rsidRPr="006D0A06" w:rsidRDefault="00E26421" w:rsidP="1C02E3E2">
      <w:pPr>
        <w:pStyle w:val="FootnoteText"/>
        <w:rPr>
          <w:b/>
          <w:sz w:val="22"/>
          <w:szCs w:val="22"/>
        </w:rPr>
      </w:pPr>
      <w:r>
        <w:rPr>
          <w:sz w:val="22"/>
          <w:szCs w:val="22"/>
        </w:rPr>
        <w:t xml:space="preserve">Image: </w:t>
      </w:r>
      <w:r w:rsidR="1C02E3E2" w:rsidRPr="006D0A06">
        <w:rPr>
          <w:sz w:val="22"/>
          <w:szCs w:val="22"/>
        </w:rPr>
        <w:t>Nuremburg Chronicle, 1493</w:t>
      </w:r>
      <w:r w:rsidR="1C02E3E2" w:rsidRPr="006D0A06">
        <w:rPr>
          <w:b/>
          <w:sz w:val="22"/>
          <w:szCs w:val="22"/>
        </w:rPr>
        <w:t>.</w:t>
      </w:r>
      <w:r w:rsidR="00C16D22">
        <w:rPr>
          <w:b/>
          <w:sz w:val="22"/>
          <w:szCs w:val="22"/>
        </w:rPr>
        <w:t xml:space="preserve"> </w:t>
      </w:r>
      <w:r w:rsidR="00C16D22">
        <w:rPr>
          <w:sz w:val="22"/>
          <w:szCs w:val="22"/>
        </w:rPr>
        <w:t>(available at:</w:t>
      </w:r>
      <w:r w:rsidR="00216AC3">
        <w:rPr>
          <w:sz w:val="22"/>
          <w:szCs w:val="22"/>
        </w:rPr>
        <w:t xml:space="preserve"> </w:t>
      </w:r>
      <w:hyperlink r:id="rId7" w:history="1">
        <w:r w:rsidR="00B36DFC" w:rsidRPr="00B415F2">
          <w:rPr>
            <w:rStyle w:val="Hyperlink"/>
            <w:sz w:val="22"/>
            <w:szCs w:val="22"/>
          </w:rPr>
          <w:t>https://digital.library.cornell.edu/catalog/ss:3293718</w:t>
        </w:r>
      </w:hyperlink>
      <w:r w:rsidR="00B36DFC">
        <w:rPr>
          <w:sz w:val="22"/>
          <w:szCs w:val="22"/>
        </w:rPr>
        <w:t xml:space="preserve"> accessed on:</w:t>
      </w:r>
      <w:r w:rsidR="00945063">
        <w:rPr>
          <w:sz w:val="22"/>
          <w:szCs w:val="22"/>
        </w:rPr>
        <w:t xml:space="preserve"> 20/</w:t>
      </w:r>
      <w:r w:rsidR="00BF5018">
        <w:rPr>
          <w:sz w:val="22"/>
          <w:szCs w:val="22"/>
        </w:rPr>
        <w:t>12/2018</w:t>
      </w:r>
      <w:r w:rsidR="00B75E1D">
        <w:rPr>
          <w:sz w:val="22"/>
          <w:szCs w:val="22"/>
        </w:rPr>
        <w:t xml:space="preserve">, </w:t>
      </w:r>
      <w:r>
        <w:rPr>
          <w:sz w:val="22"/>
          <w:szCs w:val="22"/>
        </w:rPr>
        <w:t>12:23</w:t>
      </w:r>
      <w:r w:rsidR="00B75E1D">
        <w:rPr>
          <w:sz w:val="22"/>
          <w:szCs w:val="22"/>
        </w:rPr>
        <w:t>)</w:t>
      </w:r>
    </w:p>
    <w:p w14:paraId="21D9D5CE" w14:textId="39DE27A6" w:rsidR="00E97362" w:rsidRPr="00F30B2D" w:rsidRDefault="00E26421" w:rsidP="00BE2727">
      <w:pPr>
        <w:pStyle w:val="FootnoteText"/>
        <w:rPr>
          <w:sz w:val="22"/>
        </w:rPr>
      </w:pPr>
      <w:r>
        <w:rPr>
          <w:sz w:val="22"/>
        </w:rPr>
        <w:t xml:space="preserve">Image: </w:t>
      </w:r>
      <w:r w:rsidR="00E97362" w:rsidRPr="00F30B2D">
        <w:rPr>
          <w:sz w:val="22"/>
        </w:rPr>
        <w:t>The Psalter World Map</w:t>
      </w:r>
      <w:r w:rsidR="00C16D22">
        <w:rPr>
          <w:sz w:val="22"/>
        </w:rPr>
        <w:t xml:space="preserve"> </w:t>
      </w:r>
      <w:r w:rsidR="00C16D22">
        <w:rPr>
          <w:sz w:val="22"/>
          <w:szCs w:val="22"/>
        </w:rPr>
        <w:t>(available at:</w:t>
      </w:r>
      <w:r w:rsidR="0077413A">
        <w:rPr>
          <w:sz w:val="22"/>
          <w:szCs w:val="22"/>
        </w:rPr>
        <w:t xml:space="preserve"> </w:t>
      </w:r>
      <w:hyperlink r:id="rId8" w:history="1">
        <w:r w:rsidR="0077413A" w:rsidRPr="00B415F2">
          <w:rPr>
            <w:rStyle w:val="Hyperlink"/>
            <w:sz w:val="22"/>
            <w:szCs w:val="22"/>
          </w:rPr>
          <w:t>https://www.jewishvirtuallibrary.org/the-ldquo-psalter-map-rdquo-c-1225</w:t>
        </w:r>
      </w:hyperlink>
      <w:r w:rsidR="0077413A">
        <w:rPr>
          <w:sz w:val="22"/>
          <w:szCs w:val="22"/>
        </w:rPr>
        <w:t xml:space="preserve"> accessed on: </w:t>
      </w:r>
      <w:r w:rsidR="00C6159E">
        <w:rPr>
          <w:sz w:val="22"/>
          <w:szCs w:val="22"/>
        </w:rPr>
        <w:t>20/12/18, 13:48)</w:t>
      </w:r>
    </w:p>
    <w:p w14:paraId="0E78713D" w14:textId="77777777" w:rsidR="00BE2727" w:rsidRPr="00A7749D" w:rsidRDefault="00BE2727" w:rsidP="00A7749D"/>
    <w:sectPr w:rsidR="00BE2727" w:rsidRPr="00A774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D89741" w14:textId="77777777" w:rsidR="00C17BAD" w:rsidRDefault="00C17BAD" w:rsidP="0075540A">
      <w:pPr>
        <w:spacing w:after="0" w:line="240" w:lineRule="auto"/>
      </w:pPr>
      <w:r>
        <w:separator/>
      </w:r>
    </w:p>
  </w:endnote>
  <w:endnote w:type="continuationSeparator" w:id="0">
    <w:p w14:paraId="001C594E" w14:textId="77777777" w:rsidR="00C17BAD" w:rsidRDefault="00C17BAD" w:rsidP="0075540A">
      <w:pPr>
        <w:spacing w:after="0" w:line="240" w:lineRule="auto"/>
      </w:pPr>
      <w:r>
        <w:continuationSeparator/>
      </w:r>
    </w:p>
  </w:endnote>
  <w:endnote w:type="continuationNotice" w:id="1">
    <w:p w14:paraId="7F00FA97" w14:textId="77777777" w:rsidR="00FB5EF4" w:rsidRDefault="00FB5E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0"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A71AD5" w14:textId="77777777" w:rsidR="00C17BAD" w:rsidRDefault="00C17BAD" w:rsidP="0075540A">
      <w:pPr>
        <w:spacing w:after="0" w:line="240" w:lineRule="auto"/>
      </w:pPr>
      <w:r>
        <w:separator/>
      </w:r>
    </w:p>
  </w:footnote>
  <w:footnote w:type="continuationSeparator" w:id="0">
    <w:p w14:paraId="5BE58912" w14:textId="77777777" w:rsidR="00C17BAD" w:rsidRDefault="00C17BAD" w:rsidP="0075540A">
      <w:pPr>
        <w:spacing w:after="0" w:line="240" w:lineRule="auto"/>
      </w:pPr>
      <w:r>
        <w:continuationSeparator/>
      </w:r>
    </w:p>
  </w:footnote>
  <w:footnote w:type="continuationNotice" w:id="1">
    <w:p w14:paraId="12B8C9FC" w14:textId="77777777" w:rsidR="00FB5EF4" w:rsidRDefault="00FB5EF4">
      <w:pPr>
        <w:spacing w:after="0" w:line="240" w:lineRule="auto"/>
      </w:pPr>
    </w:p>
  </w:footnote>
  <w:footnote w:id="2">
    <w:p w14:paraId="0893CEB9" w14:textId="69D223A1" w:rsidR="0075540A" w:rsidRPr="00EE17B1" w:rsidRDefault="0075540A">
      <w:pPr>
        <w:pStyle w:val="FootnoteText"/>
      </w:pPr>
      <w:r w:rsidRPr="00EE17B1">
        <w:rPr>
          <w:rStyle w:val="FootnoteReference"/>
        </w:rPr>
        <w:footnoteRef/>
      </w:r>
      <w:r w:rsidRPr="00EE17B1">
        <w:t xml:space="preserve"> </w:t>
      </w:r>
      <w:proofErr w:type="spellStart"/>
      <w:r w:rsidRPr="00EE17B1">
        <w:t>Scylax</w:t>
      </w:r>
      <w:proofErr w:type="spellEnd"/>
      <w:r w:rsidRPr="00EE17B1">
        <w:t>, F7a; F7b</w:t>
      </w:r>
      <w:r w:rsidR="00110018">
        <w:t xml:space="preserve">; Hesiod, </w:t>
      </w:r>
      <w:r w:rsidR="00657A03">
        <w:t>fr.153 M-W</w:t>
      </w:r>
    </w:p>
  </w:footnote>
  <w:footnote w:id="3">
    <w:p w14:paraId="502E0763" w14:textId="7B8EC293" w:rsidR="00A406C8" w:rsidRPr="00EE17B1" w:rsidRDefault="00A406C8">
      <w:pPr>
        <w:pStyle w:val="FootnoteText"/>
        <w:rPr>
          <w:b/>
        </w:rPr>
      </w:pPr>
      <w:r w:rsidRPr="00EE17B1">
        <w:rPr>
          <w:rStyle w:val="FootnoteReference"/>
        </w:rPr>
        <w:footnoteRef/>
      </w:r>
      <w:r w:rsidRPr="00EE17B1">
        <w:t xml:space="preserve"> Nuremburg Chronicle, 1493</w:t>
      </w:r>
      <w:r w:rsidRPr="00EE17B1">
        <w:rPr>
          <w:b/>
        </w:rPr>
        <w:t>.</w:t>
      </w:r>
    </w:p>
  </w:footnote>
  <w:footnote w:id="4">
    <w:p w14:paraId="73FF3486" w14:textId="189389B6" w:rsidR="006A5099" w:rsidRPr="0032677C" w:rsidRDefault="006A5099">
      <w:pPr>
        <w:pStyle w:val="FootnoteText"/>
      </w:pPr>
      <w:r w:rsidRPr="00EE17B1">
        <w:rPr>
          <w:rStyle w:val="FootnoteReference"/>
        </w:rPr>
        <w:footnoteRef/>
      </w:r>
      <w:r w:rsidRPr="00EE17B1">
        <w:t xml:space="preserve"> </w:t>
      </w:r>
      <w:proofErr w:type="spellStart"/>
      <w:r w:rsidR="0032677C">
        <w:t>Hdt</w:t>
      </w:r>
      <w:proofErr w:type="spellEnd"/>
      <w:r w:rsidR="0032677C">
        <w:t xml:space="preserve">. </w:t>
      </w:r>
      <w:r w:rsidR="0032677C">
        <w:rPr>
          <w:i/>
        </w:rPr>
        <w:t>Hist.</w:t>
      </w:r>
      <w:r w:rsidR="0032677C">
        <w:t xml:space="preserve"> 3.100; Stoneman</w:t>
      </w:r>
      <w:r w:rsidR="00B5684F">
        <w:t>, (Forthcoming).</w:t>
      </w:r>
    </w:p>
  </w:footnote>
  <w:footnote w:id="5">
    <w:p w14:paraId="7A4B7251" w14:textId="5A653D5C" w:rsidR="006A5099" w:rsidRPr="00EE17B1" w:rsidRDefault="006A5099">
      <w:pPr>
        <w:pStyle w:val="FootnoteText"/>
      </w:pPr>
      <w:r w:rsidRPr="00EE17B1">
        <w:rPr>
          <w:rStyle w:val="FootnoteReference"/>
        </w:rPr>
        <w:footnoteRef/>
      </w:r>
      <w:r w:rsidRPr="00EE17B1">
        <w:t xml:space="preserve"> </w:t>
      </w:r>
      <w:proofErr w:type="spellStart"/>
      <w:r w:rsidRPr="00EE17B1">
        <w:t>Hdt</w:t>
      </w:r>
      <w:proofErr w:type="spellEnd"/>
      <w:r w:rsidRPr="00EE17B1">
        <w:t xml:space="preserve">. </w:t>
      </w:r>
      <w:r w:rsidRPr="00EE17B1">
        <w:rPr>
          <w:i/>
        </w:rPr>
        <w:t xml:space="preserve">Hist. </w:t>
      </w:r>
      <w:r w:rsidR="005E4064" w:rsidRPr="00EE17B1">
        <w:t>3.99</w:t>
      </w:r>
    </w:p>
  </w:footnote>
  <w:footnote w:id="6">
    <w:p w14:paraId="55D0FE25" w14:textId="0613FBEB" w:rsidR="005E4064" w:rsidRPr="00EE17B1" w:rsidRDefault="005E4064">
      <w:pPr>
        <w:pStyle w:val="FootnoteText"/>
      </w:pPr>
      <w:r w:rsidRPr="00EE17B1">
        <w:rPr>
          <w:rStyle w:val="FootnoteReference"/>
        </w:rPr>
        <w:footnoteRef/>
      </w:r>
      <w:r w:rsidRPr="00EE17B1">
        <w:t xml:space="preserve"> </w:t>
      </w:r>
      <w:proofErr w:type="spellStart"/>
      <w:r w:rsidRPr="00EE17B1">
        <w:t>Hdt</w:t>
      </w:r>
      <w:proofErr w:type="spellEnd"/>
      <w:r w:rsidRPr="00EE17B1">
        <w:t xml:space="preserve">. </w:t>
      </w:r>
      <w:r w:rsidRPr="00EE17B1">
        <w:rPr>
          <w:i/>
        </w:rPr>
        <w:t xml:space="preserve">Hist. </w:t>
      </w:r>
      <w:r w:rsidRPr="00EE17B1">
        <w:t>3.100</w:t>
      </w:r>
    </w:p>
  </w:footnote>
  <w:footnote w:id="7">
    <w:p w14:paraId="0FB82F1D" w14:textId="32DCD2FC" w:rsidR="005E4064" w:rsidRPr="00EE17B1" w:rsidRDefault="005E4064">
      <w:pPr>
        <w:pStyle w:val="FootnoteText"/>
      </w:pPr>
      <w:r w:rsidRPr="00EE17B1">
        <w:rPr>
          <w:rStyle w:val="FootnoteReference"/>
        </w:rPr>
        <w:footnoteRef/>
      </w:r>
      <w:r w:rsidRPr="00EE17B1">
        <w:t xml:space="preserve"> </w:t>
      </w:r>
      <w:proofErr w:type="spellStart"/>
      <w:r w:rsidRPr="00EE17B1">
        <w:t>Hdt</w:t>
      </w:r>
      <w:proofErr w:type="spellEnd"/>
      <w:r w:rsidRPr="00EE17B1">
        <w:t xml:space="preserve">. </w:t>
      </w:r>
      <w:r w:rsidRPr="00EE17B1">
        <w:rPr>
          <w:i/>
        </w:rPr>
        <w:t>Hist.</w:t>
      </w:r>
      <w:r w:rsidRPr="00EE17B1">
        <w:t xml:space="preserve"> 3.101</w:t>
      </w:r>
    </w:p>
  </w:footnote>
  <w:footnote w:id="8">
    <w:p w14:paraId="5693A46A" w14:textId="1DB2C4C0" w:rsidR="0020257A" w:rsidRPr="00EE17B1" w:rsidRDefault="0020257A" w:rsidP="0020257A">
      <w:pPr>
        <w:pStyle w:val="FootnoteText"/>
      </w:pPr>
      <w:r w:rsidRPr="00EE17B1">
        <w:rPr>
          <w:rStyle w:val="FootnoteReference"/>
        </w:rPr>
        <w:footnoteRef/>
      </w:r>
      <w:r w:rsidRPr="00EE17B1">
        <w:t xml:space="preserve"> </w:t>
      </w:r>
      <w:proofErr w:type="spellStart"/>
      <w:r w:rsidRPr="00EE17B1">
        <w:t>Ctesias</w:t>
      </w:r>
      <w:proofErr w:type="spellEnd"/>
      <w:r w:rsidRPr="00EE17B1">
        <w:t>, F45 § 23; F45 §37, 43; F45pβ-γ</w:t>
      </w:r>
      <w:r>
        <w:t>; F45 §16, 20, 30; F45 §32.</w:t>
      </w:r>
    </w:p>
  </w:footnote>
  <w:footnote w:id="9">
    <w:p w14:paraId="0529DF26" w14:textId="75BADCCD" w:rsidR="00B374AD" w:rsidRPr="00341D70" w:rsidRDefault="00B374AD">
      <w:pPr>
        <w:pStyle w:val="FootnoteText"/>
      </w:pPr>
      <w:r>
        <w:rPr>
          <w:rStyle w:val="FootnoteReference"/>
        </w:rPr>
        <w:footnoteRef/>
      </w:r>
      <w:r>
        <w:t xml:space="preserve"> </w:t>
      </w:r>
      <w:proofErr w:type="spellStart"/>
      <w:r>
        <w:t>Hdt</w:t>
      </w:r>
      <w:proofErr w:type="spellEnd"/>
      <w:r>
        <w:t>.</w:t>
      </w:r>
      <w:r w:rsidR="00341D70">
        <w:t xml:space="preserve"> </w:t>
      </w:r>
      <w:r w:rsidR="00341D70">
        <w:rPr>
          <w:i/>
        </w:rPr>
        <w:t xml:space="preserve">Hist. </w:t>
      </w:r>
      <w:r w:rsidR="00DA1E23">
        <w:t>3.98</w:t>
      </w:r>
      <w:r w:rsidR="00121352">
        <w:t>.1</w:t>
      </w:r>
    </w:p>
  </w:footnote>
  <w:footnote w:id="10">
    <w:p w14:paraId="5595238C" w14:textId="1D2C3398" w:rsidR="008C14B1" w:rsidRPr="00CA2649" w:rsidRDefault="008C14B1">
      <w:pPr>
        <w:pStyle w:val="FootnoteText"/>
      </w:pPr>
      <w:r>
        <w:rPr>
          <w:rStyle w:val="FootnoteReference"/>
        </w:rPr>
        <w:footnoteRef/>
      </w:r>
      <w:r>
        <w:t xml:space="preserve"> </w:t>
      </w:r>
      <w:proofErr w:type="spellStart"/>
      <w:r w:rsidR="00A25CA3">
        <w:t>Photius</w:t>
      </w:r>
      <w:proofErr w:type="spellEnd"/>
      <w:r w:rsidR="00CA2649">
        <w:t xml:space="preserve">, </w:t>
      </w:r>
      <w:r w:rsidR="00CA2649">
        <w:rPr>
          <w:i/>
        </w:rPr>
        <w:t>Bibl.</w:t>
      </w:r>
      <w:r w:rsidR="00CA2649">
        <w:t xml:space="preserve"> 72 p. 27</w:t>
      </w:r>
    </w:p>
  </w:footnote>
  <w:footnote w:id="11">
    <w:p w14:paraId="0DB70DAD" w14:textId="54A1AC56" w:rsidR="00F746A8" w:rsidRDefault="00F746A8">
      <w:pPr>
        <w:pStyle w:val="FootnoteText"/>
      </w:pPr>
      <w:r>
        <w:rPr>
          <w:rStyle w:val="FootnoteReference"/>
        </w:rPr>
        <w:footnoteRef/>
      </w:r>
      <w:r>
        <w:t xml:space="preserve"> </w:t>
      </w:r>
      <w:proofErr w:type="spellStart"/>
      <w:r w:rsidR="00E85E56">
        <w:t>Athen</w:t>
      </w:r>
      <w:r w:rsidR="006414C3">
        <w:t>eaus</w:t>
      </w:r>
      <w:proofErr w:type="spellEnd"/>
      <w:r w:rsidR="006414C3">
        <w:t xml:space="preserve">, </w:t>
      </w:r>
      <w:proofErr w:type="spellStart"/>
      <w:r w:rsidR="006414C3">
        <w:t>Deipnosophistae</w:t>
      </w:r>
      <w:proofErr w:type="spellEnd"/>
      <w:r w:rsidR="006414C3">
        <w:t>.</w:t>
      </w:r>
      <w:r w:rsidR="00733890">
        <w:t xml:space="preserve"> 2.70b-c</w:t>
      </w:r>
    </w:p>
  </w:footnote>
  <w:footnote w:id="12">
    <w:p w14:paraId="17676F5F" w14:textId="75783346" w:rsidR="007F3E67" w:rsidRPr="007F3E67" w:rsidRDefault="007F3E67">
      <w:pPr>
        <w:pStyle w:val="FootnoteText"/>
      </w:pPr>
      <w:r>
        <w:rPr>
          <w:rStyle w:val="FootnoteReference"/>
        </w:rPr>
        <w:footnoteRef/>
      </w:r>
      <w:r>
        <w:t xml:space="preserve"> </w:t>
      </w:r>
      <w:proofErr w:type="spellStart"/>
      <w:r>
        <w:t>Hdt</w:t>
      </w:r>
      <w:proofErr w:type="spellEnd"/>
      <w:r>
        <w:t xml:space="preserve">. </w:t>
      </w:r>
      <w:r>
        <w:rPr>
          <w:i/>
        </w:rPr>
        <w:t xml:space="preserve">Hist. </w:t>
      </w:r>
      <w:r>
        <w:t>4.44</w:t>
      </w:r>
    </w:p>
  </w:footnote>
  <w:footnote w:id="13">
    <w:p w14:paraId="7B10B696" w14:textId="4BD2CB99" w:rsidR="00DD7A2A" w:rsidRPr="00DD7A2A" w:rsidRDefault="00DD7A2A">
      <w:pPr>
        <w:pStyle w:val="FootnoteText"/>
      </w:pPr>
      <w:r>
        <w:rPr>
          <w:rStyle w:val="FootnoteReference"/>
        </w:rPr>
        <w:footnoteRef/>
      </w:r>
      <w:r>
        <w:t xml:space="preserve"> </w:t>
      </w:r>
      <w:r w:rsidR="00D905B9">
        <w:t xml:space="preserve">Arr. </w:t>
      </w:r>
      <w:proofErr w:type="spellStart"/>
      <w:r w:rsidR="00D905B9">
        <w:rPr>
          <w:i/>
        </w:rPr>
        <w:t>Anab</w:t>
      </w:r>
      <w:proofErr w:type="spellEnd"/>
      <w:r w:rsidR="00D905B9">
        <w:rPr>
          <w:i/>
        </w:rPr>
        <w:t>.</w:t>
      </w:r>
      <w:r w:rsidR="00D905B9">
        <w:t xml:space="preserve"> 7.8</w:t>
      </w:r>
      <w:r w:rsidR="00DE5F67">
        <w:t>.</w:t>
      </w:r>
      <w:r w:rsidR="00D905B9">
        <w:t>9</w:t>
      </w:r>
      <w:r>
        <w:t xml:space="preserve"> </w:t>
      </w:r>
    </w:p>
  </w:footnote>
  <w:footnote w:id="14">
    <w:p w14:paraId="53954CFE" w14:textId="5A7922B0" w:rsidR="00E60A4E" w:rsidRDefault="00E60A4E">
      <w:pPr>
        <w:pStyle w:val="FootnoteText"/>
      </w:pPr>
      <w:r>
        <w:rPr>
          <w:rStyle w:val="FootnoteReference"/>
        </w:rPr>
        <w:footnoteRef/>
      </w:r>
      <w:r>
        <w:t xml:space="preserve"> The Psalter World Map</w:t>
      </w:r>
    </w:p>
  </w:footnote>
  <w:footnote w:id="15">
    <w:p w14:paraId="07F719D8" w14:textId="7DE72E85" w:rsidR="00B92006" w:rsidRDefault="00B92006">
      <w:pPr>
        <w:pStyle w:val="FootnoteText"/>
      </w:pPr>
      <w:r>
        <w:rPr>
          <w:rStyle w:val="FootnoteReference"/>
        </w:rPr>
        <w:footnoteRef/>
      </w:r>
      <w:r>
        <w:t xml:space="preserve"> Parker</w:t>
      </w:r>
      <w:r w:rsidR="00094AD6">
        <w:t>, 2008: pg. 19</w:t>
      </w:r>
    </w:p>
  </w:footnote>
  <w:footnote w:id="16">
    <w:p w14:paraId="211532AB" w14:textId="69C702E2" w:rsidR="00337362" w:rsidRPr="008C7E9B" w:rsidRDefault="00337362">
      <w:pPr>
        <w:pStyle w:val="FootnoteText"/>
      </w:pPr>
      <w:r>
        <w:rPr>
          <w:rStyle w:val="FootnoteReference"/>
        </w:rPr>
        <w:footnoteRef/>
      </w:r>
      <w:r>
        <w:t xml:space="preserve"> </w:t>
      </w:r>
      <w:proofErr w:type="spellStart"/>
      <w:r w:rsidR="005C52FE">
        <w:t>Photius</w:t>
      </w:r>
      <w:proofErr w:type="spellEnd"/>
      <w:r w:rsidR="005C52FE">
        <w:t xml:space="preserve">, </w:t>
      </w:r>
      <w:r w:rsidR="005C52FE" w:rsidRPr="008C7E9B">
        <w:rPr>
          <w:i/>
        </w:rPr>
        <w:t>Bibl.</w:t>
      </w:r>
      <w:r w:rsidR="008C7E9B">
        <w:rPr>
          <w:i/>
        </w:rPr>
        <w:t xml:space="preserve"> </w:t>
      </w:r>
      <w:r w:rsidR="008C7E9B">
        <w:t xml:space="preserve">72. </w:t>
      </w:r>
      <w:r w:rsidR="00350361">
        <w:t>P 40</w:t>
      </w:r>
    </w:p>
  </w:footnote>
  <w:footnote w:id="17">
    <w:p w14:paraId="1DD87BAE" w14:textId="7829A376" w:rsidR="00E717CE" w:rsidRPr="00E717CE" w:rsidRDefault="00E717CE">
      <w:pPr>
        <w:pStyle w:val="FootnoteText"/>
      </w:pPr>
      <w:r>
        <w:rPr>
          <w:rStyle w:val="FootnoteReference"/>
        </w:rPr>
        <w:footnoteRef/>
      </w:r>
      <w:r>
        <w:t xml:space="preserve"> </w:t>
      </w:r>
      <w:proofErr w:type="spellStart"/>
      <w:r>
        <w:t>Hdt</w:t>
      </w:r>
      <w:proofErr w:type="spellEnd"/>
      <w:r>
        <w:t xml:space="preserve">. </w:t>
      </w:r>
      <w:r w:rsidRPr="00E717CE">
        <w:rPr>
          <w:i/>
        </w:rPr>
        <w:t>Hist.</w:t>
      </w:r>
      <w:r>
        <w:rPr>
          <w:i/>
        </w:rPr>
        <w:t xml:space="preserve"> </w:t>
      </w:r>
      <w:r w:rsidR="009D6F55" w:rsidRPr="009D6F55">
        <w:t>3.102-103</w:t>
      </w:r>
    </w:p>
  </w:footnote>
  <w:footnote w:id="18">
    <w:p w14:paraId="0FAD1A80" w14:textId="52634E6D" w:rsidR="004E3A8D" w:rsidRDefault="004E3A8D">
      <w:pPr>
        <w:pStyle w:val="FootnoteText"/>
      </w:pPr>
      <w:r>
        <w:rPr>
          <w:rStyle w:val="FootnoteReference"/>
        </w:rPr>
        <w:footnoteRef/>
      </w:r>
      <w:r>
        <w:t xml:space="preserve"> Pausanias, 9.21</w:t>
      </w:r>
    </w:p>
  </w:footnote>
  <w:footnote w:id="19">
    <w:p w14:paraId="71AAADF9" w14:textId="7630BD03" w:rsidR="002C5559" w:rsidRDefault="002C5559">
      <w:pPr>
        <w:pStyle w:val="FootnoteText"/>
      </w:pPr>
      <w:r>
        <w:rPr>
          <w:rStyle w:val="FootnoteReference"/>
        </w:rPr>
        <w:footnoteRef/>
      </w:r>
      <w:r>
        <w:t xml:space="preserve"> </w:t>
      </w:r>
      <w:proofErr w:type="spellStart"/>
      <w:proofErr w:type="gramStart"/>
      <w:r>
        <w:t>Ctesias</w:t>
      </w:r>
      <w:proofErr w:type="spellEnd"/>
      <w:r>
        <w:t xml:space="preserve"> </w:t>
      </w:r>
      <w:r w:rsidR="002F4A17">
        <w:t xml:space="preserve"> </w:t>
      </w:r>
      <w:r w:rsidR="002F4A17" w:rsidRPr="002F4A17">
        <w:t>F</w:t>
      </w:r>
      <w:proofErr w:type="gramEnd"/>
      <w:r w:rsidR="002F4A17" w:rsidRPr="002F4A17">
        <w:t>45 §8</w:t>
      </w:r>
    </w:p>
  </w:footnote>
  <w:footnote w:id="20">
    <w:p w14:paraId="428FB63C" w14:textId="42AE24AC" w:rsidR="007E153C" w:rsidRDefault="007E153C">
      <w:pPr>
        <w:pStyle w:val="FootnoteText"/>
      </w:pPr>
      <w:r>
        <w:rPr>
          <w:rStyle w:val="FootnoteReference"/>
        </w:rPr>
        <w:footnoteRef/>
      </w:r>
      <w:r>
        <w:t xml:space="preserve"> Aristotle</w:t>
      </w:r>
      <w:r w:rsidR="005D0B97">
        <w:t>, F45</w:t>
      </w:r>
      <w:r w:rsidR="005D0B97" w:rsidRPr="005D0B97">
        <w:t>bα</w:t>
      </w:r>
    </w:p>
  </w:footnote>
  <w:footnote w:id="21">
    <w:p w14:paraId="46362FB0" w14:textId="6BC2B20B" w:rsidR="007F1ABF" w:rsidRDefault="007F1ABF">
      <w:pPr>
        <w:pStyle w:val="FootnoteText"/>
      </w:pPr>
      <w:r>
        <w:rPr>
          <w:rStyle w:val="FootnoteReference"/>
        </w:rPr>
        <w:footnoteRef/>
      </w:r>
      <w:r>
        <w:t xml:space="preserve"> Phot. Bibl. 72 p.</w:t>
      </w:r>
      <w:r w:rsidR="00F761C0">
        <w:t xml:space="preserve"> 27</w:t>
      </w:r>
      <w:bookmarkStart w:id="0" w:name="_GoBack"/>
      <w:bookmarkEnd w:id="0"/>
    </w:p>
  </w:footnote>
  <w:footnote w:id="22">
    <w:p w14:paraId="1A1A0147" w14:textId="4AF3DCBA" w:rsidR="00D57F72" w:rsidRDefault="00D57F72">
      <w:pPr>
        <w:pStyle w:val="FootnoteText"/>
      </w:pPr>
      <w:r>
        <w:rPr>
          <w:rStyle w:val="FootnoteReference"/>
        </w:rPr>
        <w:footnoteRef/>
      </w:r>
      <w:r>
        <w:t xml:space="preserve"> </w:t>
      </w:r>
      <w:r w:rsidR="005E53E2">
        <w:t>Phot. Bibl. 72</w:t>
      </w:r>
      <w:r w:rsidR="008D4700">
        <w:t xml:space="preserve"> p. </w:t>
      </w:r>
      <w:r w:rsidR="004F23EF">
        <w:t>26</w:t>
      </w:r>
      <w:r w:rsidR="00110549">
        <w:t>; Medieval Bestiary: Manticore;</w:t>
      </w:r>
      <w:r w:rsidR="00D83AA9">
        <w:t xml:space="preserve"> Medieval Bestiary: Griffin</w:t>
      </w:r>
    </w:p>
  </w:footnote>
  <w:footnote w:id="23">
    <w:p w14:paraId="0607F39A" w14:textId="28A25C77" w:rsidR="00E21EE1" w:rsidRDefault="00E21EE1">
      <w:pPr>
        <w:pStyle w:val="FootnoteText"/>
      </w:pPr>
      <w:r>
        <w:rPr>
          <w:rStyle w:val="FootnoteReference"/>
        </w:rPr>
        <w:footnoteRef/>
      </w:r>
      <w:r>
        <w:t xml:space="preserve"> </w:t>
      </w:r>
      <w:proofErr w:type="spellStart"/>
      <w:r>
        <w:t>Kartt</w:t>
      </w:r>
      <w:r w:rsidR="00EF7B39">
        <w:t>unen</w:t>
      </w:r>
      <w:proofErr w:type="spellEnd"/>
      <w:r w:rsidR="00EF7B39">
        <w:t xml:space="preserve">, 1997: pg. </w:t>
      </w:r>
      <w:r w:rsidR="004A7C24">
        <w:t>636</w:t>
      </w:r>
    </w:p>
  </w:footnote>
  <w:footnote w:id="24">
    <w:p w14:paraId="2FAB6072" w14:textId="3083F8B4" w:rsidR="009F00CC" w:rsidRDefault="009F00CC">
      <w:pPr>
        <w:pStyle w:val="FootnoteText"/>
      </w:pPr>
      <w:r>
        <w:rPr>
          <w:rStyle w:val="FootnoteReference"/>
        </w:rPr>
        <w:footnoteRef/>
      </w:r>
      <w:r>
        <w:t xml:space="preserve"> </w:t>
      </w:r>
      <w:r w:rsidRPr="009F00CC">
        <w:rPr>
          <w:bCs/>
        </w:rPr>
        <w:t xml:space="preserve">Lucian </w:t>
      </w:r>
      <w:r w:rsidRPr="009F00CC">
        <w:rPr>
          <w:bCs/>
          <w:i/>
          <w:iCs/>
        </w:rPr>
        <w:t>Ver. Hist</w:t>
      </w:r>
      <w:r w:rsidRPr="009F00CC">
        <w:rPr>
          <w:bCs/>
        </w:rPr>
        <w:t>. 1.3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22D"/>
    <w:rsid w:val="00002604"/>
    <w:rsid w:val="00025CAF"/>
    <w:rsid w:val="000321FB"/>
    <w:rsid w:val="0003748E"/>
    <w:rsid w:val="00074191"/>
    <w:rsid w:val="0008116E"/>
    <w:rsid w:val="00094AD6"/>
    <w:rsid w:val="000D1D68"/>
    <w:rsid w:val="000D5B70"/>
    <w:rsid w:val="000D63DC"/>
    <w:rsid w:val="000E127E"/>
    <w:rsid w:val="000F6484"/>
    <w:rsid w:val="00110018"/>
    <w:rsid w:val="00110549"/>
    <w:rsid w:val="0011352D"/>
    <w:rsid w:val="00121352"/>
    <w:rsid w:val="00145063"/>
    <w:rsid w:val="001632C4"/>
    <w:rsid w:val="0019010E"/>
    <w:rsid w:val="001A1735"/>
    <w:rsid w:val="001A5805"/>
    <w:rsid w:val="001B4CC6"/>
    <w:rsid w:val="001C0E2E"/>
    <w:rsid w:val="001C2F99"/>
    <w:rsid w:val="001D304E"/>
    <w:rsid w:val="001F1EBC"/>
    <w:rsid w:val="0020257A"/>
    <w:rsid w:val="002075F4"/>
    <w:rsid w:val="00207723"/>
    <w:rsid w:val="002149B0"/>
    <w:rsid w:val="00216AC3"/>
    <w:rsid w:val="00223164"/>
    <w:rsid w:val="00232296"/>
    <w:rsid w:val="00234E30"/>
    <w:rsid w:val="0024137C"/>
    <w:rsid w:val="0026123F"/>
    <w:rsid w:val="00283AE0"/>
    <w:rsid w:val="00290927"/>
    <w:rsid w:val="00294DA7"/>
    <w:rsid w:val="0029646A"/>
    <w:rsid w:val="002B42F6"/>
    <w:rsid w:val="002B54E7"/>
    <w:rsid w:val="002C10F1"/>
    <w:rsid w:val="002C3659"/>
    <w:rsid w:val="002C5559"/>
    <w:rsid w:val="002D32D5"/>
    <w:rsid w:val="002E3D01"/>
    <w:rsid w:val="002F4A17"/>
    <w:rsid w:val="00310935"/>
    <w:rsid w:val="0032677C"/>
    <w:rsid w:val="00337362"/>
    <w:rsid w:val="00341D70"/>
    <w:rsid w:val="00350361"/>
    <w:rsid w:val="0036175B"/>
    <w:rsid w:val="00383520"/>
    <w:rsid w:val="0039029D"/>
    <w:rsid w:val="00393E35"/>
    <w:rsid w:val="0039514E"/>
    <w:rsid w:val="003B1179"/>
    <w:rsid w:val="003C0494"/>
    <w:rsid w:val="003E1CA0"/>
    <w:rsid w:val="003F0EAF"/>
    <w:rsid w:val="003F757D"/>
    <w:rsid w:val="00407F59"/>
    <w:rsid w:val="004253AC"/>
    <w:rsid w:val="00425620"/>
    <w:rsid w:val="00440C7B"/>
    <w:rsid w:val="004474B8"/>
    <w:rsid w:val="00472073"/>
    <w:rsid w:val="00475DF6"/>
    <w:rsid w:val="0048504F"/>
    <w:rsid w:val="004A7C24"/>
    <w:rsid w:val="004E12FB"/>
    <w:rsid w:val="004E27DA"/>
    <w:rsid w:val="004E3A8D"/>
    <w:rsid w:val="004F185D"/>
    <w:rsid w:val="004F23EF"/>
    <w:rsid w:val="004F553A"/>
    <w:rsid w:val="004F6367"/>
    <w:rsid w:val="00516833"/>
    <w:rsid w:val="005216A9"/>
    <w:rsid w:val="00522E48"/>
    <w:rsid w:val="00574259"/>
    <w:rsid w:val="005800EC"/>
    <w:rsid w:val="00583E9D"/>
    <w:rsid w:val="005A2A6F"/>
    <w:rsid w:val="005C52FE"/>
    <w:rsid w:val="005C7B10"/>
    <w:rsid w:val="005D0B97"/>
    <w:rsid w:val="005E4064"/>
    <w:rsid w:val="005E53E2"/>
    <w:rsid w:val="005F5FBC"/>
    <w:rsid w:val="00604482"/>
    <w:rsid w:val="00614D86"/>
    <w:rsid w:val="00622AE6"/>
    <w:rsid w:val="006414C3"/>
    <w:rsid w:val="00657A03"/>
    <w:rsid w:val="00660631"/>
    <w:rsid w:val="00664379"/>
    <w:rsid w:val="00664895"/>
    <w:rsid w:val="00671F00"/>
    <w:rsid w:val="00690068"/>
    <w:rsid w:val="006A461B"/>
    <w:rsid w:val="006A5099"/>
    <w:rsid w:val="006B1459"/>
    <w:rsid w:val="006C7CE3"/>
    <w:rsid w:val="006D0A06"/>
    <w:rsid w:val="006F4822"/>
    <w:rsid w:val="00701B95"/>
    <w:rsid w:val="00712B5F"/>
    <w:rsid w:val="00733890"/>
    <w:rsid w:val="00734104"/>
    <w:rsid w:val="00734A86"/>
    <w:rsid w:val="007514A6"/>
    <w:rsid w:val="0075540A"/>
    <w:rsid w:val="0077413A"/>
    <w:rsid w:val="00776845"/>
    <w:rsid w:val="0078355B"/>
    <w:rsid w:val="0078422D"/>
    <w:rsid w:val="00785D1C"/>
    <w:rsid w:val="007870AD"/>
    <w:rsid w:val="007960A1"/>
    <w:rsid w:val="007A3FAB"/>
    <w:rsid w:val="007A4BBB"/>
    <w:rsid w:val="007B27AB"/>
    <w:rsid w:val="007B30A3"/>
    <w:rsid w:val="007B337D"/>
    <w:rsid w:val="007C7FE4"/>
    <w:rsid w:val="007E153C"/>
    <w:rsid w:val="007F1ABF"/>
    <w:rsid w:val="007F3E67"/>
    <w:rsid w:val="00806496"/>
    <w:rsid w:val="00807C00"/>
    <w:rsid w:val="00834BCB"/>
    <w:rsid w:val="008508EA"/>
    <w:rsid w:val="008545B3"/>
    <w:rsid w:val="00862463"/>
    <w:rsid w:val="00873733"/>
    <w:rsid w:val="008868E3"/>
    <w:rsid w:val="008C14B1"/>
    <w:rsid w:val="008C7E9B"/>
    <w:rsid w:val="008D4700"/>
    <w:rsid w:val="00903F9C"/>
    <w:rsid w:val="00906502"/>
    <w:rsid w:val="0090674E"/>
    <w:rsid w:val="0092020C"/>
    <w:rsid w:val="00922A7D"/>
    <w:rsid w:val="00945063"/>
    <w:rsid w:val="00951FC4"/>
    <w:rsid w:val="0095679D"/>
    <w:rsid w:val="009701E4"/>
    <w:rsid w:val="009774A3"/>
    <w:rsid w:val="00981C11"/>
    <w:rsid w:val="00983513"/>
    <w:rsid w:val="00993C4F"/>
    <w:rsid w:val="009A6A3E"/>
    <w:rsid w:val="009B4430"/>
    <w:rsid w:val="009C34B5"/>
    <w:rsid w:val="009D6F55"/>
    <w:rsid w:val="009E0BAE"/>
    <w:rsid w:val="009F00CC"/>
    <w:rsid w:val="009F20B7"/>
    <w:rsid w:val="009F2DD8"/>
    <w:rsid w:val="00A23617"/>
    <w:rsid w:val="00A25CA3"/>
    <w:rsid w:val="00A36245"/>
    <w:rsid w:val="00A406C8"/>
    <w:rsid w:val="00A40DC4"/>
    <w:rsid w:val="00A44905"/>
    <w:rsid w:val="00A561CC"/>
    <w:rsid w:val="00A570E3"/>
    <w:rsid w:val="00A63571"/>
    <w:rsid w:val="00A7749D"/>
    <w:rsid w:val="00A968B7"/>
    <w:rsid w:val="00AA271E"/>
    <w:rsid w:val="00AC3B93"/>
    <w:rsid w:val="00AC4B3D"/>
    <w:rsid w:val="00AD64F9"/>
    <w:rsid w:val="00AF482D"/>
    <w:rsid w:val="00B03419"/>
    <w:rsid w:val="00B0625D"/>
    <w:rsid w:val="00B356A3"/>
    <w:rsid w:val="00B36DFC"/>
    <w:rsid w:val="00B374AD"/>
    <w:rsid w:val="00B37E3C"/>
    <w:rsid w:val="00B538B0"/>
    <w:rsid w:val="00B5684F"/>
    <w:rsid w:val="00B75E1D"/>
    <w:rsid w:val="00B879D0"/>
    <w:rsid w:val="00B92006"/>
    <w:rsid w:val="00BA148F"/>
    <w:rsid w:val="00BA7A2C"/>
    <w:rsid w:val="00BB117F"/>
    <w:rsid w:val="00BE0ED8"/>
    <w:rsid w:val="00BE2727"/>
    <w:rsid w:val="00BE5308"/>
    <w:rsid w:val="00BF1CF7"/>
    <w:rsid w:val="00BF5018"/>
    <w:rsid w:val="00C10215"/>
    <w:rsid w:val="00C141FA"/>
    <w:rsid w:val="00C16D22"/>
    <w:rsid w:val="00C17BAD"/>
    <w:rsid w:val="00C20DD0"/>
    <w:rsid w:val="00C423F3"/>
    <w:rsid w:val="00C5019C"/>
    <w:rsid w:val="00C52E71"/>
    <w:rsid w:val="00C6159E"/>
    <w:rsid w:val="00C640C6"/>
    <w:rsid w:val="00C66533"/>
    <w:rsid w:val="00C76361"/>
    <w:rsid w:val="00C83449"/>
    <w:rsid w:val="00CA2649"/>
    <w:rsid w:val="00CA423A"/>
    <w:rsid w:val="00CB52EC"/>
    <w:rsid w:val="00CE03B7"/>
    <w:rsid w:val="00D26B1D"/>
    <w:rsid w:val="00D3740D"/>
    <w:rsid w:val="00D41104"/>
    <w:rsid w:val="00D42144"/>
    <w:rsid w:val="00D509E1"/>
    <w:rsid w:val="00D57F72"/>
    <w:rsid w:val="00D60658"/>
    <w:rsid w:val="00D7170D"/>
    <w:rsid w:val="00D83AA9"/>
    <w:rsid w:val="00D905B9"/>
    <w:rsid w:val="00DA1E23"/>
    <w:rsid w:val="00DA5D31"/>
    <w:rsid w:val="00DA687B"/>
    <w:rsid w:val="00DC62C8"/>
    <w:rsid w:val="00DD7A2A"/>
    <w:rsid w:val="00DE5F67"/>
    <w:rsid w:val="00DF08EE"/>
    <w:rsid w:val="00E067F0"/>
    <w:rsid w:val="00E068BF"/>
    <w:rsid w:val="00E12D61"/>
    <w:rsid w:val="00E21EE1"/>
    <w:rsid w:val="00E26421"/>
    <w:rsid w:val="00E31E98"/>
    <w:rsid w:val="00E40B3A"/>
    <w:rsid w:val="00E42CBE"/>
    <w:rsid w:val="00E60A4E"/>
    <w:rsid w:val="00E66D37"/>
    <w:rsid w:val="00E717CE"/>
    <w:rsid w:val="00E73CB5"/>
    <w:rsid w:val="00E75385"/>
    <w:rsid w:val="00E85E56"/>
    <w:rsid w:val="00E86F12"/>
    <w:rsid w:val="00E97362"/>
    <w:rsid w:val="00E9772F"/>
    <w:rsid w:val="00EB3ACD"/>
    <w:rsid w:val="00EB64A3"/>
    <w:rsid w:val="00EB764D"/>
    <w:rsid w:val="00EC0B19"/>
    <w:rsid w:val="00ED5C36"/>
    <w:rsid w:val="00EE17B1"/>
    <w:rsid w:val="00EE4AA7"/>
    <w:rsid w:val="00EE518A"/>
    <w:rsid w:val="00EF0318"/>
    <w:rsid w:val="00EF7B39"/>
    <w:rsid w:val="00F2544A"/>
    <w:rsid w:val="00F30B2D"/>
    <w:rsid w:val="00F32875"/>
    <w:rsid w:val="00F46639"/>
    <w:rsid w:val="00F47587"/>
    <w:rsid w:val="00F5117D"/>
    <w:rsid w:val="00F52616"/>
    <w:rsid w:val="00F5413C"/>
    <w:rsid w:val="00F57441"/>
    <w:rsid w:val="00F608C8"/>
    <w:rsid w:val="00F743CC"/>
    <w:rsid w:val="00F746A8"/>
    <w:rsid w:val="00F761C0"/>
    <w:rsid w:val="00F77BDA"/>
    <w:rsid w:val="00FB5EF4"/>
    <w:rsid w:val="00FC2026"/>
    <w:rsid w:val="00FE17D8"/>
    <w:rsid w:val="00FE52CA"/>
    <w:rsid w:val="00FF0368"/>
    <w:rsid w:val="00FF0FA8"/>
    <w:rsid w:val="00FF1960"/>
    <w:rsid w:val="1C02E3E2"/>
    <w:rsid w:val="1C2A1550"/>
    <w:rsid w:val="1DA5D780"/>
    <w:rsid w:val="28C2AFE2"/>
    <w:rsid w:val="2D9ED7D9"/>
    <w:rsid w:val="3D150D91"/>
    <w:rsid w:val="48C9039F"/>
    <w:rsid w:val="4AEC18E9"/>
    <w:rsid w:val="54EE56F9"/>
    <w:rsid w:val="65E6D00E"/>
    <w:rsid w:val="7EBA692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F0A1952"/>
  <w15:chartTrackingRefBased/>
  <w15:docId w15:val="{2D48F7EA-EADE-4DD3-AC0A-B4C512493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554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540A"/>
    <w:rPr>
      <w:sz w:val="20"/>
      <w:szCs w:val="20"/>
    </w:rPr>
  </w:style>
  <w:style w:type="character" w:styleId="FootnoteReference">
    <w:name w:val="footnote reference"/>
    <w:basedOn w:val="DefaultParagraphFont"/>
    <w:uiPriority w:val="99"/>
    <w:semiHidden/>
    <w:unhideWhenUsed/>
    <w:rsid w:val="0075540A"/>
    <w:rPr>
      <w:vertAlign w:val="superscript"/>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semiHidden/>
    <w:unhideWhenUsed/>
    <w:rsid w:val="00F30B2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B5EF4"/>
  </w:style>
  <w:style w:type="paragraph" w:styleId="Footer">
    <w:name w:val="footer"/>
    <w:basedOn w:val="Normal"/>
    <w:link w:val="FooterChar"/>
    <w:uiPriority w:val="99"/>
    <w:semiHidden/>
    <w:unhideWhenUsed/>
    <w:rsid w:val="00F30B2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B5EF4"/>
  </w:style>
  <w:style w:type="paragraph" w:styleId="BalloonText">
    <w:name w:val="Balloon Text"/>
    <w:basedOn w:val="Normal"/>
    <w:link w:val="BalloonTextChar"/>
    <w:uiPriority w:val="99"/>
    <w:semiHidden/>
    <w:unhideWhenUsed/>
    <w:rsid w:val="00EF03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0318"/>
    <w:rPr>
      <w:rFonts w:ascii="Segoe UI" w:hAnsi="Segoe UI" w:cs="Segoe UI"/>
      <w:sz w:val="18"/>
      <w:szCs w:val="18"/>
    </w:rPr>
  </w:style>
  <w:style w:type="paragraph" w:styleId="Revision">
    <w:name w:val="Revision"/>
    <w:hidden/>
    <w:uiPriority w:val="99"/>
    <w:semiHidden/>
    <w:rsid w:val="00002604"/>
    <w:pPr>
      <w:spacing w:after="0" w:line="240" w:lineRule="auto"/>
    </w:pPr>
  </w:style>
  <w:style w:type="character" w:styleId="Hyperlink">
    <w:name w:val="Hyperlink"/>
    <w:basedOn w:val="DefaultParagraphFont"/>
    <w:uiPriority w:val="99"/>
    <w:unhideWhenUsed/>
    <w:rsid w:val="00B36DFC"/>
    <w:rPr>
      <w:color w:val="0563C1" w:themeColor="hyperlink"/>
      <w:u w:val="single"/>
    </w:rPr>
  </w:style>
  <w:style w:type="character" w:styleId="UnresolvedMention">
    <w:name w:val="Unresolved Mention"/>
    <w:basedOn w:val="DefaultParagraphFont"/>
    <w:uiPriority w:val="99"/>
    <w:semiHidden/>
    <w:unhideWhenUsed/>
    <w:rsid w:val="00B36D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ewishvirtuallibrary.org/the-ldquo-psalter-map-rdquo-c-1225" TargetMode="External"/><Relationship Id="rId3" Type="http://schemas.openxmlformats.org/officeDocument/2006/relationships/settings" Target="settings.xml"/><Relationship Id="rId7" Type="http://schemas.openxmlformats.org/officeDocument/2006/relationships/hyperlink" Target="https://digital.library.cornell.edu/catalog/ss:329371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1789</Words>
  <Characters>10199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11965</CharactersWithSpaces>
  <SharedDoc>false</SharedDoc>
  <HLinks>
    <vt:vector size="12" baseType="variant">
      <vt:variant>
        <vt:i4>2818152</vt:i4>
      </vt:variant>
      <vt:variant>
        <vt:i4>3</vt:i4>
      </vt:variant>
      <vt:variant>
        <vt:i4>0</vt:i4>
      </vt:variant>
      <vt:variant>
        <vt:i4>5</vt:i4>
      </vt:variant>
      <vt:variant>
        <vt:lpwstr>https://www.jewishvirtuallibrary.org/the-ldquo-psalter-map-rdquo-c-1225</vt:lpwstr>
      </vt:variant>
      <vt:variant>
        <vt:lpwstr/>
      </vt:variant>
      <vt:variant>
        <vt:i4>2555936</vt:i4>
      </vt:variant>
      <vt:variant>
        <vt:i4>0</vt:i4>
      </vt:variant>
      <vt:variant>
        <vt:i4>0</vt:i4>
      </vt:variant>
      <vt:variant>
        <vt:i4>5</vt:i4>
      </vt:variant>
      <vt:variant>
        <vt:lpwstr>https://digital.library.cornell.edu/catalog/ss:3293718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Enrico Atkinson (1500923)</dc:creator>
  <cp:keywords/>
  <dc:description/>
  <cp:lastModifiedBy>Enrico Atkinson (1500923)</cp:lastModifiedBy>
  <cp:revision>2</cp:revision>
  <dcterms:created xsi:type="dcterms:W3CDTF">2018-12-20T16:24:00Z</dcterms:created>
  <dcterms:modified xsi:type="dcterms:W3CDTF">2018-12-20T16:24:00Z</dcterms:modified>
</cp:coreProperties>
</file>