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EE992B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17E89">
              <w:rPr>
                <w:rFonts w:ascii="Times New Roman" w:hAnsi="Times New Roman" w:cs="Times New Roman"/>
                <w:b/>
                <w:color w:val="auto"/>
                <w:sz w:val="48"/>
              </w:rPr>
              <w:t>Rhys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42470A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17E89">
              <w:rPr>
                <w:rFonts w:ascii="Times New Roman" w:hAnsi="Times New Roman" w:cs="Times New Roman"/>
                <w:b/>
                <w:color w:val="auto"/>
                <w:sz w:val="48"/>
              </w:rPr>
              <w:t xml:space="preserve"> rhys.w20@outlook.com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F37F509" w14:textId="188E3B05" w:rsidR="00117E89" w:rsidRPr="005D3F07" w:rsidRDefault="00117E89" w:rsidP="005D3F07">
            <w:pPr>
              <w:overflowPunct/>
              <w:autoSpaceDE/>
              <w:autoSpaceDN/>
              <w:adjustRightInd/>
              <w:ind w:right="-957"/>
              <w:textAlignment w:val="auto"/>
              <w:rPr>
                <w:rFonts w:ascii="Times New Roman" w:hAnsi="Times New Roman" w:cs="Times New Roman"/>
                <w:b/>
                <w:color w:val="auto"/>
                <w:sz w:val="48"/>
              </w:rPr>
            </w:pPr>
            <w:r w:rsidRPr="00117E89">
              <w:rPr>
                <w:rFonts w:ascii="Times New Roman" w:hAnsi="Times New Roman" w:cs="Times New Roman"/>
                <w:b/>
                <w:color w:val="auto"/>
                <w:sz w:val="48"/>
              </w:rPr>
              <w:t>2318650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2F2D3816" w14:textId="3A187681" w:rsidR="00E326C8" w:rsidRDefault="00186DD3" w:rsidP="005E058B">
            <w:pPr>
              <w:jc w:val="both"/>
              <w:rPr>
                <w:iCs/>
                <w:sz w:val="24"/>
                <w:szCs w:val="24"/>
              </w:rPr>
            </w:pPr>
            <w:r>
              <w:rPr>
                <w:iCs/>
                <w:sz w:val="24"/>
                <w:szCs w:val="24"/>
              </w:rPr>
              <w:t xml:space="preserve">In the case Re X (Emergency Protection Orders) (2006) Judge McFarlane stated ‘the child protection system depends upon the skill, insight and sheer hard work of frontline social workers’. This statement recognises that social workers safeguarding children need to possess the right skills, the right knowledge </w:t>
            </w:r>
            <w:r w:rsidR="008779ED">
              <w:rPr>
                <w:iCs/>
                <w:sz w:val="24"/>
                <w:szCs w:val="24"/>
              </w:rPr>
              <w:t xml:space="preserve">and the right values.  </w:t>
            </w:r>
            <w:r w:rsidR="009051B1">
              <w:rPr>
                <w:iCs/>
                <w:sz w:val="24"/>
                <w:szCs w:val="24"/>
              </w:rPr>
              <w:t>The Wales Safeguarding Procedures (2019</w:t>
            </w:r>
            <w:r w:rsidR="008E5C45">
              <w:rPr>
                <w:iCs/>
                <w:sz w:val="24"/>
                <w:szCs w:val="24"/>
              </w:rPr>
              <w:t>a</w:t>
            </w:r>
            <w:r w:rsidR="009051B1">
              <w:rPr>
                <w:iCs/>
                <w:sz w:val="24"/>
                <w:szCs w:val="24"/>
              </w:rPr>
              <w:t xml:space="preserve">) states ‘safeguarding </w:t>
            </w:r>
            <w:r w:rsidR="009051B1" w:rsidRPr="009051B1">
              <w:rPr>
                <w:iCs/>
                <w:sz w:val="24"/>
                <w:szCs w:val="24"/>
              </w:rPr>
              <w:t>means preventing and protecting children and adults at risk from abuse or neglect and educating those around them to recognise the signs and dangers</w:t>
            </w:r>
            <w:r w:rsidR="009051B1">
              <w:rPr>
                <w:iCs/>
                <w:sz w:val="24"/>
                <w:szCs w:val="24"/>
              </w:rPr>
              <w:t xml:space="preserve">.’ </w:t>
            </w:r>
            <w:r w:rsidR="007E285F">
              <w:rPr>
                <w:iCs/>
                <w:sz w:val="24"/>
                <w:szCs w:val="24"/>
              </w:rPr>
              <w:t>Within social work, safeguarding of children can be an emotive topic. Cree and Wallace (2</w:t>
            </w:r>
            <w:r w:rsidR="003E568E">
              <w:rPr>
                <w:iCs/>
                <w:sz w:val="24"/>
                <w:szCs w:val="24"/>
              </w:rPr>
              <w:t>009</w:t>
            </w:r>
            <w:r w:rsidR="007E285F">
              <w:rPr>
                <w:iCs/>
                <w:sz w:val="24"/>
                <w:szCs w:val="24"/>
              </w:rPr>
              <w:t xml:space="preserve">, p42) highlight the publics expectation that risk should be controlled and vulnerable children protected. Within Wales, </w:t>
            </w:r>
            <w:r w:rsidR="00643A16">
              <w:rPr>
                <w:iCs/>
                <w:sz w:val="24"/>
                <w:szCs w:val="24"/>
              </w:rPr>
              <w:t>the tragic death of Logan Mwangi</w:t>
            </w:r>
            <w:r w:rsidR="005E058B">
              <w:rPr>
                <w:iCs/>
                <w:sz w:val="24"/>
                <w:szCs w:val="24"/>
              </w:rPr>
              <w:t xml:space="preserve"> shocked the nation and shook trust in social workers ability to safeguard children.</w:t>
            </w:r>
            <w:r w:rsidR="00643A16">
              <w:rPr>
                <w:iCs/>
                <w:sz w:val="24"/>
                <w:szCs w:val="24"/>
              </w:rPr>
              <w:t xml:space="preserve"> The serious case review by </w:t>
            </w:r>
            <w:r w:rsidR="005E058B">
              <w:rPr>
                <w:iCs/>
                <w:sz w:val="24"/>
                <w:szCs w:val="24"/>
              </w:rPr>
              <w:t>Cwm Taf Morgannwg Safeguarding Board (2022) in it’s list of recommendations stated ‘</w:t>
            </w:r>
            <w:r w:rsidR="00BA4A37">
              <w:rPr>
                <w:iCs/>
                <w:sz w:val="24"/>
                <w:szCs w:val="24"/>
              </w:rPr>
              <w:t>t</w:t>
            </w:r>
            <w:r w:rsidR="005E058B" w:rsidRPr="005E058B">
              <w:rPr>
                <w:iCs/>
                <w:sz w:val="24"/>
                <w:szCs w:val="24"/>
              </w:rPr>
              <w:t xml:space="preserve">he </w:t>
            </w:r>
            <w:r w:rsidR="00BA4A37">
              <w:rPr>
                <w:iCs/>
                <w:sz w:val="24"/>
                <w:szCs w:val="24"/>
              </w:rPr>
              <w:t>l</w:t>
            </w:r>
            <w:r w:rsidR="005E058B" w:rsidRPr="005E058B">
              <w:rPr>
                <w:iCs/>
                <w:sz w:val="24"/>
                <w:szCs w:val="24"/>
              </w:rPr>
              <w:t xml:space="preserve">ocal </w:t>
            </w:r>
            <w:r w:rsidR="00BA4A37">
              <w:rPr>
                <w:iCs/>
                <w:sz w:val="24"/>
                <w:szCs w:val="24"/>
              </w:rPr>
              <w:t>a</w:t>
            </w:r>
            <w:r w:rsidR="005E058B" w:rsidRPr="005E058B">
              <w:rPr>
                <w:iCs/>
                <w:sz w:val="24"/>
                <w:szCs w:val="24"/>
              </w:rPr>
              <w:t>uthority needs to improve its approach to analysing and managing risk through adopting a clear model of practice. This should include a clear framework for management oversight of safeguarding decisions and risk management plans.</w:t>
            </w:r>
            <w:r w:rsidR="005E058B">
              <w:rPr>
                <w:iCs/>
                <w:sz w:val="24"/>
                <w:szCs w:val="24"/>
              </w:rPr>
              <w:t>’</w:t>
            </w:r>
            <w:r w:rsidR="005E058B">
              <w:t xml:space="preserve"> </w:t>
            </w:r>
            <w:r w:rsidR="005E058B" w:rsidRPr="005E058B">
              <w:rPr>
                <w:iCs/>
                <w:sz w:val="24"/>
                <w:szCs w:val="24"/>
              </w:rPr>
              <w:t xml:space="preserve">Within my current role as a social worker in a children with disabilities team comes responsibilities around safeguarding children. Within this essay I will critically reflect on a case where I had to assess the risk of harm to a child. </w:t>
            </w:r>
          </w:p>
          <w:p w14:paraId="340ADBD7" w14:textId="5BD1A57C" w:rsidR="0036214D" w:rsidRDefault="00E326C8" w:rsidP="00FF7EBB">
            <w:pPr>
              <w:jc w:val="both"/>
              <w:rPr>
                <w:iCs/>
                <w:sz w:val="24"/>
                <w:szCs w:val="24"/>
              </w:rPr>
            </w:pPr>
            <w:r>
              <w:rPr>
                <w:iCs/>
                <w:sz w:val="24"/>
                <w:szCs w:val="24"/>
              </w:rPr>
              <w:t>The context for this safeguarding reflection</w:t>
            </w:r>
            <w:r w:rsidR="005B08A7">
              <w:rPr>
                <w:iCs/>
                <w:sz w:val="24"/>
                <w:szCs w:val="24"/>
              </w:rPr>
              <w:t xml:space="preserve"> is I was asked to attend a strategy discussion regarding concerns that Child A</w:t>
            </w:r>
            <w:r w:rsidR="007C12E4">
              <w:rPr>
                <w:iCs/>
                <w:sz w:val="24"/>
                <w:szCs w:val="24"/>
              </w:rPr>
              <w:t xml:space="preserve"> was not brough to</w:t>
            </w:r>
            <w:r w:rsidR="005B08A7">
              <w:rPr>
                <w:iCs/>
                <w:sz w:val="24"/>
                <w:szCs w:val="24"/>
              </w:rPr>
              <w:t xml:space="preserve"> health appointments and concerns regarding poor housing conditions. Child A’s family had been open to long term care and support due to Child A’s disability</w:t>
            </w:r>
            <w:r w:rsidR="00BA4A37">
              <w:rPr>
                <w:iCs/>
                <w:sz w:val="24"/>
                <w:szCs w:val="24"/>
              </w:rPr>
              <w:t xml:space="preserve"> under s</w:t>
            </w:r>
            <w:r w:rsidR="005B08A7">
              <w:rPr>
                <w:iCs/>
                <w:sz w:val="24"/>
                <w:szCs w:val="24"/>
              </w:rPr>
              <w:t xml:space="preserve">21 of the Social Services and Wellbeing Act </w:t>
            </w:r>
            <w:r w:rsidR="00D4160B">
              <w:rPr>
                <w:iCs/>
                <w:sz w:val="24"/>
                <w:szCs w:val="24"/>
              </w:rPr>
              <w:t xml:space="preserve"> (SSWBA) </w:t>
            </w:r>
            <w:r w:rsidR="005B08A7">
              <w:rPr>
                <w:iCs/>
                <w:sz w:val="24"/>
                <w:szCs w:val="24"/>
              </w:rPr>
              <w:t>(2014)</w:t>
            </w:r>
            <w:r w:rsidR="00BA4A37">
              <w:rPr>
                <w:iCs/>
                <w:sz w:val="24"/>
                <w:szCs w:val="24"/>
              </w:rPr>
              <w:t xml:space="preserve">. </w:t>
            </w:r>
            <w:r w:rsidR="0036214D" w:rsidRPr="0036214D">
              <w:rPr>
                <w:iCs/>
                <w:sz w:val="24"/>
                <w:szCs w:val="24"/>
              </w:rPr>
              <w:t xml:space="preserve">This essay will critically reflect on the legal basis for the safeguarding </w:t>
            </w:r>
            <w:r w:rsidR="0036214D" w:rsidRPr="0036214D">
              <w:rPr>
                <w:iCs/>
                <w:sz w:val="24"/>
                <w:szCs w:val="24"/>
              </w:rPr>
              <w:lastRenderedPageBreak/>
              <w:t>assessment, the integration of analysis in the assessment, collaborative working and professional judgement in increasingly complex situations.</w:t>
            </w:r>
          </w:p>
          <w:p w14:paraId="283256BD" w14:textId="6AEA45E4" w:rsidR="00CC028C" w:rsidRDefault="006025CC" w:rsidP="006025CC">
            <w:pPr>
              <w:jc w:val="both"/>
              <w:rPr>
                <w:iCs/>
                <w:sz w:val="24"/>
                <w:szCs w:val="24"/>
              </w:rPr>
            </w:pPr>
            <w:r>
              <w:rPr>
                <w:iCs/>
                <w:sz w:val="24"/>
                <w:szCs w:val="24"/>
              </w:rPr>
              <w:t>As highlighted earlier, two of the key components of good practice are professional knowledge and awareness of the social work process. Social Care Wales (201</w:t>
            </w:r>
            <w:r w:rsidR="001E43F5">
              <w:rPr>
                <w:iCs/>
                <w:sz w:val="24"/>
                <w:szCs w:val="24"/>
              </w:rPr>
              <w:t>9</w:t>
            </w:r>
            <w:r>
              <w:rPr>
                <w:iCs/>
                <w:sz w:val="24"/>
                <w:szCs w:val="24"/>
              </w:rPr>
              <w:t>) highlights ‘</w:t>
            </w:r>
            <w:r w:rsidR="007C12E4">
              <w:rPr>
                <w:iCs/>
                <w:sz w:val="24"/>
                <w:szCs w:val="24"/>
              </w:rPr>
              <w:t>s</w:t>
            </w:r>
            <w:r w:rsidRPr="006025CC">
              <w:rPr>
                <w:iCs/>
                <w:sz w:val="24"/>
                <w:szCs w:val="24"/>
              </w:rPr>
              <w:t>ocial workers are expected to use their professional judgement, applying the general principles and the Code of Professional Practice for Social Care. Social workers must adhere to requirements on them set out in legislation, statutory regulations and guidance.</w:t>
            </w:r>
            <w:r>
              <w:rPr>
                <w:iCs/>
                <w:sz w:val="24"/>
                <w:szCs w:val="24"/>
              </w:rPr>
              <w:t xml:space="preserve">’ </w:t>
            </w:r>
            <w:r w:rsidR="008D1744">
              <w:rPr>
                <w:iCs/>
                <w:sz w:val="24"/>
                <w:szCs w:val="24"/>
              </w:rPr>
              <w:t xml:space="preserve">In addition to this Brammer (2020, p4) cites Braye and Preston-Shoot (1990) ‘competence in practice requires both an acknowledgement of relevance and applicability of the law and also assessment skills inspired by social work values’. Both statements highlight the need for social workers supporting children in safeguarding situations to know the law and apply it in </w:t>
            </w:r>
            <w:r w:rsidR="00D010AE">
              <w:rPr>
                <w:iCs/>
                <w:sz w:val="24"/>
                <w:szCs w:val="24"/>
              </w:rPr>
              <w:t>practice.</w:t>
            </w:r>
            <w:r w:rsidR="00170E6B">
              <w:rPr>
                <w:iCs/>
                <w:sz w:val="24"/>
                <w:szCs w:val="24"/>
              </w:rPr>
              <w:t xml:space="preserve"> This section will seek to understand the legal steps taken in this reflection on safeguarding of Child A.</w:t>
            </w:r>
          </w:p>
          <w:p w14:paraId="0A33E3B9" w14:textId="1853018D" w:rsidR="00CC028C" w:rsidRDefault="0006208B" w:rsidP="008C5787">
            <w:pPr>
              <w:jc w:val="both"/>
              <w:rPr>
                <w:iCs/>
                <w:sz w:val="24"/>
                <w:szCs w:val="24"/>
              </w:rPr>
            </w:pPr>
            <w:r>
              <w:rPr>
                <w:iCs/>
                <w:sz w:val="24"/>
                <w:szCs w:val="24"/>
              </w:rPr>
              <w:t>My involvement began by reading a multi-agency referral from Child A’s school nurse. This referral highlighted school’s significant concerns regarding Child A’s hygiene and missed health appointments. The Wales Safeguarding Procedures (2019</w:t>
            </w:r>
            <w:r w:rsidR="0065507D">
              <w:rPr>
                <w:iCs/>
                <w:sz w:val="24"/>
                <w:szCs w:val="24"/>
              </w:rPr>
              <w:t>b</w:t>
            </w:r>
            <w:r>
              <w:rPr>
                <w:iCs/>
                <w:sz w:val="24"/>
                <w:szCs w:val="24"/>
              </w:rPr>
              <w:t>)</w:t>
            </w:r>
            <w:r w:rsidR="00C465F8">
              <w:rPr>
                <w:iCs/>
                <w:sz w:val="24"/>
                <w:szCs w:val="24"/>
              </w:rPr>
              <w:t xml:space="preserve"> highlights the need to complete initial checks, contact others for multi-agency contributions and make a decision regarding what action is appropriate. Following this gathering of multi-agency information further concerns around neglectful housing conditions were recognised which added to the concerns regarding Child A. </w:t>
            </w:r>
            <w:r w:rsidR="003A7ED7">
              <w:rPr>
                <w:iCs/>
                <w:sz w:val="24"/>
                <w:szCs w:val="24"/>
              </w:rPr>
              <w:t>Further to this the Wales Safeguarding Procedures (2019</w:t>
            </w:r>
            <w:r w:rsidR="0065507D">
              <w:rPr>
                <w:iCs/>
                <w:sz w:val="24"/>
                <w:szCs w:val="24"/>
              </w:rPr>
              <w:t>b</w:t>
            </w:r>
            <w:r w:rsidR="003A7ED7">
              <w:rPr>
                <w:iCs/>
                <w:sz w:val="24"/>
                <w:szCs w:val="24"/>
              </w:rPr>
              <w:t xml:space="preserve">) highlights </w:t>
            </w:r>
            <w:r w:rsidR="00675718">
              <w:rPr>
                <w:iCs/>
                <w:sz w:val="24"/>
                <w:szCs w:val="24"/>
              </w:rPr>
              <w:t xml:space="preserve">the next steps ‘if </w:t>
            </w:r>
            <w:r w:rsidR="00675718" w:rsidRPr="00675718">
              <w:rPr>
                <w:iCs/>
                <w:sz w:val="24"/>
                <w:szCs w:val="24"/>
              </w:rPr>
              <w:t>social services have reasonable cause to suspect that a child is at risk of significant harm (The Children Act 1989) they should convene a strategy discussion/ meeting to determine whether s47 Enquiries should be initiated</w:t>
            </w:r>
            <w:r w:rsidR="00675718">
              <w:rPr>
                <w:iCs/>
                <w:sz w:val="24"/>
                <w:szCs w:val="24"/>
              </w:rPr>
              <w:t xml:space="preserve">’. It must be recognised that during this time, </w:t>
            </w:r>
            <w:r w:rsidR="004A5CF6">
              <w:rPr>
                <w:iCs/>
                <w:sz w:val="24"/>
                <w:szCs w:val="24"/>
              </w:rPr>
              <w:t xml:space="preserve">the parents of child A were unaware that steps were taken to safeguard their child. </w:t>
            </w:r>
            <w:r w:rsidR="006F4FA2">
              <w:rPr>
                <w:iCs/>
                <w:sz w:val="24"/>
                <w:szCs w:val="24"/>
              </w:rPr>
              <w:t>Article 8 of the European Convention of Human Rights (ECHR) (1950)</w:t>
            </w:r>
            <w:r w:rsidR="00CC028C">
              <w:rPr>
                <w:iCs/>
                <w:sz w:val="24"/>
                <w:szCs w:val="24"/>
              </w:rPr>
              <w:t xml:space="preserve"> which provides the right to respect for a private family life</w:t>
            </w:r>
            <w:r w:rsidR="006F4FA2">
              <w:rPr>
                <w:iCs/>
                <w:sz w:val="24"/>
                <w:szCs w:val="24"/>
              </w:rPr>
              <w:t xml:space="preserve"> were enshrined in UK legislation in 1998 through the Human Rights Act (2008). </w:t>
            </w:r>
            <w:r w:rsidR="00623611">
              <w:rPr>
                <w:iCs/>
                <w:sz w:val="24"/>
                <w:szCs w:val="24"/>
              </w:rPr>
              <w:t>Reflecting upon this, The Wales Safeguarding Procedures (20</w:t>
            </w:r>
            <w:r w:rsidR="00C71A00">
              <w:rPr>
                <w:iCs/>
                <w:sz w:val="24"/>
                <w:szCs w:val="24"/>
              </w:rPr>
              <w:t>19c</w:t>
            </w:r>
            <w:r w:rsidR="00623611">
              <w:rPr>
                <w:iCs/>
                <w:sz w:val="24"/>
                <w:szCs w:val="24"/>
              </w:rPr>
              <w:t>) highlights that it is good practice to inform parents about safeguarding concerns unless a decision is made that it would put a chid at further risk of harm. There are some recognisable tensions here as this was a report of neglect of health needs, but with the additional concerns raised of housing conditions this created a picture of neglect of a child’s needs in a number of different ways.</w:t>
            </w:r>
            <w:r w:rsidR="00BA4A37">
              <w:rPr>
                <w:iCs/>
                <w:sz w:val="24"/>
                <w:szCs w:val="24"/>
              </w:rPr>
              <w:t xml:space="preserve"> </w:t>
            </w:r>
            <w:r w:rsidR="008D291D">
              <w:rPr>
                <w:iCs/>
                <w:sz w:val="24"/>
                <w:szCs w:val="24"/>
              </w:rPr>
              <w:t>The</w:t>
            </w:r>
            <w:r w:rsidR="009D37E3">
              <w:rPr>
                <w:iCs/>
                <w:sz w:val="24"/>
                <w:szCs w:val="24"/>
              </w:rPr>
              <w:t xml:space="preserve"> Social Care Wales (2017) </w:t>
            </w:r>
            <w:r w:rsidR="008D291D">
              <w:rPr>
                <w:iCs/>
                <w:sz w:val="24"/>
                <w:szCs w:val="24"/>
              </w:rPr>
              <w:t xml:space="preserve">Code of Professional Practice </w:t>
            </w:r>
            <w:r w:rsidR="009D37E3">
              <w:rPr>
                <w:iCs/>
                <w:sz w:val="24"/>
                <w:szCs w:val="24"/>
              </w:rPr>
              <w:t xml:space="preserve">section 2.2 highlights the need to ‘work in an appropriate, open and straightforward way’. </w:t>
            </w:r>
            <w:r w:rsidR="0077327B">
              <w:rPr>
                <w:iCs/>
                <w:sz w:val="24"/>
                <w:szCs w:val="24"/>
              </w:rPr>
              <w:t>Reflecting upon this, I recognise that while at the time I felt professional tension I took the necessary steps to follow the safeguarding procedures.</w:t>
            </w:r>
            <w:r w:rsidR="009956EB">
              <w:rPr>
                <w:iCs/>
                <w:sz w:val="24"/>
                <w:szCs w:val="24"/>
              </w:rPr>
              <w:t xml:space="preserve"> </w:t>
            </w:r>
            <w:r w:rsidR="00EB56FF">
              <w:rPr>
                <w:iCs/>
                <w:sz w:val="24"/>
                <w:szCs w:val="24"/>
              </w:rPr>
              <w:t xml:space="preserve">The Code of Professional Practice section 5.8 highlights ‘you must not put yourself or other people at risk’. There are some clear tensions here as there was a potential that informing parents of a potential investigation due to safeguarding concerns could jeopardise the child’s safety and cause parents to react irrationally. </w:t>
            </w:r>
            <w:r w:rsidR="002F256E">
              <w:rPr>
                <w:iCs/>
                <w:sz w:val="24"/>
                <w:szCs w:val="24"/>
              </w:rPr>
              <w:t>My professional values around working openly and honestly means that I am drawn more to working collaboratively with parents if there are significant worries. The Wales Safeguarding Procedures (20</w:t>
            </w:r>
            <w:r w:rsidR="00486DAC">
              <w:rPr>
                <w:iCs/>
                <w:sz w:val="24"/>
                <w:szCs w:val="24"/>
              </w:rPr>
              <w:t>19d</w:t>
            </w:r>
            <w:r w:rsidR="002F256E">
              <w:rPr>
                <w:iCs/>
                <w:sz w:val="24"/>
                <w:szCs w:val="24"/>
              </w:rPr>
              <w:t>) states ‘e</w:t>
            </w:r>
            <w:r w:rsidR="002F256E" w:rsidRPr="002F256E">
              <w:rPr>
                <w:iCs/>
                <w:sz w:val="24"/>
                <w:szCs w:val="24"/>
              </w:rPr>
              <w:t>ngaging parents and/or carers from the very start of the safeguarding process is more likely to create an effective working relationship that leads to child-centred outcomes</w:t>
            </w:r>
            <w:r w:rsidR="002F256E">
              <w:rPr>
                <w:iCs/>
                <w:sz w:val="24"/>
                <w:szCs w:val="24"/>
              </w:rPr>
              <w:t xml:space="preserve">’. </w:t>
            </w:r>
            <w:r w:rsidR="00BC0531">
              <w:rPr>
                <w:iCs/>
                <w:sz w:val="24"/>
                <w:szCs w:val="24"/>
              </w:rPr>
              <w:t>Additionally, M</w:t>
            </w:r>
            <w:r w:rsidR="002F256E">
              <w:rPr>
                <w:iCs/>
                <w:sz w:val="24"/>
                <w:szCs w:val="24"/>
              </w:rPr>
              <w:t>cCormack (2013, p239) sta</w:t>
            </w:r>
            <w:r w:rsidR="00BC0531">
              <w:rPr>
                <w:iCs/>
                <w:sz w:val="24"/>
                <w:szCs w:val="24"/>
              </w:rPr>
              <w:t>tes</w:t>
            </w:r>
            <w:r w:rsidR="002F256E">
              <w:rPr>
                <w:iCs/>
                <w:sz w:val="24"/>
                <w:szCs w:val="24"/>
              </w:rPr>
              <w:t xml:space="preserve"> importance of maintaining a respectful, open and honest approach can have in </w:t>
            </w:r>
            <w:r w:rsidR="00BC0531">
              <w:rPr>
                <w:iCs/>
                <w:sz w:val="24"/>
                <w:szCs w:val="24"/>
              </w:rPr>
              <w:t xml:space="preserve">building ‘helpful foundations’ in child protection practice. For future practice, I will seek if safe to do so to involve parents </w:t>
            </w:r>
            <w:r w:rsidR="00BC0531">
              <w:rPr>
                <w:iCs/>
                <w:sz w:val="24"/>
                <w:szCs w:val="24"/>
              </w:rPr>
              <w:lastRenderedPageBreak/>
              <w:t>from early on into the safeguarding worries as possible as this helps achieve positive changes for the children.</w:t>
            </w:r>
          </w:p>
          <w:p w14:paraId="3CDAEB22" w14:textId="4F25C119" w:rsidR="0077327B" w:rsidRDefault="0077327B" w:rsidP="00FF7EBB">
            <w:pPr>
              <w:jc w:val="both"/>
              <w:rPr>
                <w:iCs/>
                <w:sz w:val="24"/>
                <w:szCs w:val="24"/>
              </w:rPr>
            </w:pPr>
            <w:r>
              <w:rPr>
                <w:iCs/>
                <w:sz w:val="24"/>
                <w:szCs w:val="24"/>
              </w:rPr>
              <w:t>F</w:t>
            </w:r>
            <w:r w:rsidR="00C27A98">
              <w:rPr>
                <w:iCs/>
                <w:sz w:val="24"/>
                <w:szCs w:val="24"/>
              </w:rPr>
              <w:t xml:space="preserve">ollowing this, a strategy discussion was held where myself, a senior manager, health professional and police discussed the report and the further information from discussions with </w:t>
            </w:r>
            <w:r w:rsidR="0010580A">
              <w:rPr>
                <w:iCs/>
                <w:sz w:val="24"/>
                <w:szCs w:val="24"/>
              </w:rPr>
              <w:t>other</w:t>
            </w:r>
            <w:r w:rsidR="00C27A98">
              <w:rPr>
                <w:iCs/>
                <w:sz w:val="24"/>
                <w:szCs w:val="24"/>
              </w:rPr>
              <w:t xml:space="preserve"> professionals. </w:t>
            </w:r>
            <w:r w:rsidR="00EE31C5">
              <w:rPr>
                <w:iCs/>
                <w:sz w:val="24"/>
                <w:szCs w:val="24"/>
              </w:rPr>
              <w:t>Th</w:t>
            </w:r>
            <w:r w:rsidR="00C61588">
              <w:rPr>
                <w:iCs/>
                <w:sz w:val="24"/>
                <w:szCs w:val="24"/>
              </w:rPr>
              <w:t>e Wales Safeguarding Procedures (2</w:t>
            </w:r>
            <w:r w:rsidR="00ED3283">
              <w:rPr>
                <w:iCs/>
                <w:sz w:val="24"/>
                <w:szCs w:val="24"/>
              </w:rPr>
              <w:t>019e</w:t>
            </w:r>
            <w:r w:rsidR="00C61588">
              <w:rPr>
                <w:iCs/>
                <w:sz w:val="24"/>
                <w:szCs w:val="24"/>
              </w:rPr>
              <w:t xml:space="preserve">) highlights </w:t>
            </w:r>
            <w:r w:rsidR="00EE31C5">
              <w:rPr>
                <w:iCs/>
                <w:sz w:val="24"/>
                <w:szCs w:val="24"/>
              </w:rPr>
              <w:t>strategy discussion</w:t>
            </w:r>
            <w:r w:rsidR="00C61588">
              <w:rPr>
                <w:iCs/>
                <w:sz w:val="24"/>
                <w:szCs w:val="24"/>
              </w:rPr>
              <w:t>s</w:t>
            </w:r>
            <w:r w:rsidR="00EE31C5">
              <w:rPr>
                <w:iCs/>
                <w:sz w:val="24"/>
                <w:szCs w:val="24"/>
              </w:rPr>
              <w:t xml:space="preserve"> </w:t>
            </w:r>
            <w:r w:rsidR="00C61588">
              <w:rPr>
                <w:iCs/>
                <w:sz w:val="24"/>
                <w:szCs w:val="24"/>
              </w:rPr>
              <w:t xml:space="preserve">help determine what the worries are, if immediate action is required to safeguard the child and importantly to decide if </w:t>
            </w:r>
            <w:r w:rsidR="00F66618">
              <w:rPr>
                <w:iCs/>
                <w:sz w:val="24"/>
                <w:szCs w:val="24"/>
              </w:rPr>
              <w:t>a s47 investigation should be initiated to determine if the child is suffering significant harm.</w:t>
            </w:r>
            <w:r w:rsidR="00D77E1D">
              <w:rPr>
                <w:iCs/>
                <w:sz w:val="24"/>
                <w:szCs w:val="24"/>
              </w:rPr>
              <w:t xml:space="preserve"> The strategy discussion found a</w:t>
            </w:r>
            <w:r w:rsidR="0049645E">
              <w:rPr>
                <w:iCs/>
                <w:sz w:val="24"/>
                <w:szCs w:val="24"/>
              </w:rPr>
              <w:t xml:space="preserve"> long-standing concern regarding the child’s hygiene, home conditions and identified a number of missed health appointments. A vital part of this strategy discussion from my perspective was highlighting how this could impact Child A’s overall health, development and wellbeing. At the conclusion of the meeting it was decided that this would be a single agency s47, meaning it would be assessed by social services. </w:t>
            </w:r>
            <w:r w:rsidR="008C6B7A">
              <w:rPr>
                <w:iCs/>
                <w:sz w:val="24"/>
                <w:szCs w:val="24"/>
              </w:rPr>
              <w:t xml:space="preserve">Reflecting upon the strategy discussion, I felt though we did a good job in identifying worries and needs, a significant loss was the child’s voice. This is increasingly difficult due to Child A’s significant learning </w:t>
            </w:r>
            <w:r w:rsidR="00733195">
              <w:rPr>
                <w:iCs/>
                <w:sz w:val="24"/>
                <w:szCs w:val="24"/>
              </w:rPr>
              <w:t>disability,</w:t>
            </w:r>
            <w:r w:rsidR="008C6B7A">
              <w:rPr>
                <w:iCs/>
                <w:sz w:val="24"/>
                <w:szCs w:val="24"/>
              </w:rPr>
              <w:t xml:space="preserve"> but it would have been beneficial to have a professional who knew him well such as his class teacher. The Care Inspectorate Wales (2024) notes in it’s joint inspection of child protection arrangements that ‘</w:t>
            </w:r>
            <w:r w:rsidR="008C6B7A" w:rsidRPr="008C6B7A">
              <w:rPr>
                <w:iCs/>
                <w:sz w:val="24"/>
                <w:szCs w:val="24"/>
              </w:rPr>
              <w:t>Sometimes, professionals are not invited or do not attend strategy meetings and core groups</w:t>
            </w:r>
            <w:r w:rsidR="008C6B7A">
              <w:rPr>
                <w:iCs/>
                <w:sz w:val="24"/>
                <w:szCs w:val="24"/>
              </w:rPr>
              <w:t>’. This could have a detrimental impact in understanding the voice of the child and their feelings regarding the worries. For future practice, I would seek to include more professionals who know the child well, this would aid our understanding and how we could support.</w:t>
            </w:r>
          </w:p>
          <w:p w14:paraId="31816865" w14:textId="1F4176F9" w:rsidR="00CC028C" w:rsidRDefault="000749AD" w:rsidP="00FF7EBB">
            <w:pPr>
              <w:jc w:val="both"/>
              <w:rPr>
                <w:iCs/>
                <w:sz w:val="24"/>
                <w:szCs w:val="24"/>
              </w:rPr>
            </w:pPr>
            <w:r w:rsidRPr="000749AD">
              <w:rPr>
                <w:iCs/>
                <w:sz w:val="24"/>
                <w:szCs w:val="24"/>
              </w:rPr>
              <w:t>The strategy discussion helped highlight what those concerns were and gave me a better understanding of the worries relating to Child A.</w:t>
            </w:r>
            <w:r>
              <w:rPr>
                <w:iCs/>
                <w:sz w:val="24"/>
                <w:szCs w:val="24"/>
              </w:rPr>
              <w:t xml:space="preserve"> </w:t>
            </w:r>
            <w:r w:rsidR="00D77E1D">
              <w:rPr>
                <w:iCs/>
                <w:sz w:val="24"/>
                <w:szCs w:val="24"/>
              </w:rPr>
              <w:t xml:space="preserve">The </w:t>
            </w:r>
            <w:r w:rsidR="00113645">
              <w:rPr>
                <w:iCs/>
                <w:sz w:val="24"/>
                <w:szCs w:val="24"/>
              </w:rPr>
              <w:t>Children’s</w:t>
            </w:r>
            <w:r w:rsidR="00D77E1D">
              <w:rPr>
                <w:iCs/>
                <w:sz w:val="24"/>
                <w:szCs w:val="24"/>
              </w:rPr>
              <w:t xml:space="preserve"> Act (1989) s47 highlights</w:t>
            </w:r>
            <w:r w:rsidR="00A55BA1">
              <w:rPr>
                <w:iCs/>
                <w:sz w:val="24"/>
                <w:szCs w:val="24"/>
              </w:rPr>
              <w:t xml:space="preserve"> the</w:t>
            </w:r>
            <w:r w:rsidR="00D77E1D">
              <w:rPr>
                <w:iCs/>
                <w:sz w:val="24"/>
                <w:szCs w:val="24"/>
              </w:rPr>
              <w:t xml:space="preserve"> duty of a local authority to investigate if it has ‘reasonable cause to suspect that a child who lives, or is found, in their area is suffering, or is likely to suffer, significant harm’. </w:t>
            </w:r>
            <w:r w:rsidR="00A925F1">
              <w:rPr>
                <w:iCs/>
                <w:sz w:val="24"/>
                <w:szCs w:val="24"/>
              </w:rPr>
              <w:t>The Children’s Act (1989) s47(4) highlights the need to see a child for the purpose of the investigation, and s47(5a) ascertain or give due considerations to the wishes and feelings of the child</w:t>
            </w:r>
            <w:r>
              <w:rPr>
                <w:iCs/>
                <w:sz w:val="24"/>
                <w:szCs w:val="24"/>
              </w:rPr>
              <w:t>.</w:t>
            </w:r>
            <w:r w:rsidR="00C16DC5">
              <w:rPr>
                <w:iCs/>
                <w:sz w:val="24"/>
                <w:szCs w:val="24"/>
              </w:rPr>
              <w:t xml:space="preserve"> This legislation seeks to promote a child’s participations and that their lived experiences, views and wishes are central to the safeguarding assessment. </w:t>
            </w:r>
            <w:r w:rsidR="00467AB0">
              <w:rPr>
                <w:iCs/>
                <w:sz w:val="24"/>
                <w:szCs w:val="24"/>
              </w:rPr>
              <w:t>The Munro Review (2011) highlights that the United Nations Convention on the Rights of the Child (1990) gives social workers an understanding of the basic needs of a child such as ‘</w:t>
            </w:r>
            <w:r w:rsidR="00467AB0" w:rsidRPr="00467AB0">
              <w:rPr>
                <w:iCs/>
                <w:sz w:val="24"/>
                <w:szCs w:val="24"/>
              </w:rPr>
              <w:t>the right to survival; to develop to the fullest; to protection from harmful influences, abuse and exploitation; and to participate fully in family, cultural and social life</w:t>
            </w:r>
            <w:r w:rsidR="00467AB0">
              <w:rPr>
                <w:iCs/>
                <w:sz w:val="24"/>
                <w:szCs w:val="24"/>
              </w:rPr>
              <w:t>’. Munro (2011) further states ‘</w:t>
            </w:r>
            <w:r w:rsidR="00BF5CF6">
              <w:rPr>
                <w:iCs/>
                <w:sz w:val="24"/>
                <w:szCs w:val="24"/>
              </w:rPr>
              <w:t>t</w:t>
            </w:r>
            <w:r w:rsidR="00467AB0" w:rsidRPr="00467AB0">
              <w:rPr>
                <w:iCs/>
                <w:sz w:val="24"/>
                <w:szCs w:val="24"/>
              </w:rPr>
              <w:t>he child protection system should be child-centre</w:t>
            </w:r>
            <w:r w:rsidR="00467AB0">
              <w:rPr>
                <w:iCs/>
                <w:sz w:val="24"/>
                <w:szCs w:val="24"/>
              </w:rPr>
              <w:t>d</w:t>
            </w:r>
            <w:r w:rsidR="00467AB0" w:rsidRPr="00467AB0">
              <w:rPr>
                <w:iCs/>
                <w:sz w:val="24"/>
                <w:szCs w:val="24"/>
              </w:rPr>
              <w:t>, recognising children and young people as individuals with rights, including their right to participate in major decisions about them in line with their age and maturit</w:t>
            </w:r>
            <w:r w:rsidR="00467AB0">
              <w:rPr>
                <w:iCs/>
                <w:sz w:val="24"/>
                <w:szCs w:val="24"/>
              </w:rPr>
              <w:t xml:space="preserve">y’. There is a clear understanding in both legislation and professional reviews that the child should be involved in a safeguarding assessment as much as it is safely possible for them too. </w:t>
            </w:r>
          </w:p>
          <w:p w14:paraId="1724B7E9" w14:textId="6605A1A6" w:rsidR="00405AFA" w:rsidRDefault="004E1EE1" w:rsidP="00416AD0">
            <w:pPr>
              <w:jc w:val="both"/>
              <w:rPr>
                <w:iCs/>
                <w:sz w:val="24"/>
                <w:szCs w:val="24"/>
              </w:rPr>
            </w:pPr>
            <w:r>
              <w:rPr>
                <w:iCs/>
                <w:sz w:val="24"/>
                <w:szCs w:val="24"/>
              </w:rPr>
              <w:t xml:space="preserve">As I had completed </w:t>
            </w:r>
            <w:r w:rsidR="00733195">
              <w:rPr>
                <w:iCs/>
                <w:sz w:val="24"/>
                <w:szCs w:val="24"/>
              </w:rPr>
              <w:t>several</w:t>
            </w:r>
            <w:r>
              <w:rPr>
                <w:iCs/>
                <w:sz w:val="24"/>
                <w:szCs w:val="24"/>
              </w:rPr>
              <w:t xml:space="preserve"> s47 investigations I was partly confident, but did feel unsure about my knowledge and experience around neglectful home conditions. Child A’s parents were distraught upon me going to the family home and discussing with them the worries and the decision to start a s47 investigation.</w:t>
            </w:r>
            <w:r w:rsidR="00322B26">
              <w:rPr>
                <w:iCs/>
                <w:sz w:val="24"/>
                <w:szCs w:val="24"/>
              </w:rPr>
              <w:t xml:space="preserve"> </w:t>
            </w:r>
            <w:r w:rsidR="00C16DC5">
              <w:rPr>
                <w:iCs/>
                <w:sz w:val="24"/>
                <w:szCs w:val="24"/>
              </w:rPr>
              <w:t>Child A’s parents felt aggrieved that school had not discussed the worries with them directly and instead went to social services. I discussed with them, when other professionals have significant worries a child is at risk of harm they can</w:t>
            </w:r>
            <w:r w:rsidR="00CC028C">
              <w:rPr>
                <w:iCs/>
                <w:sz w:val="24"/>
                <w:szCs w:val="24"/>
              </w:rPr>
              <w:t xml:space="preserve"> inform social services.</w:t>
            </w:r>
            <w:r w:rsidR="009F7A8F">
              <w:rPr>
                <w:iCs/>
                <w:sz w:val="24"/>
                <w:szCs w:val="24"/>
              </w:rPr>
              <w:t xml:space="preserve"> It was important that I had an understanding of </w:t>
            </w:r>
            <w:r w:rsidR="009F7A8F" w:rsidRPr="009F7A8F">
              <w:rPr>
                <w:iCs/>
                <w:sz w:val="24"/>
                <w:szCs w:val="24"/>
              </w:rPr>
              <w:t>General Data Protection Regulation (GDPR)</w:t>
            </w:r>
            <w:r w:rsidR="009F7A8F">
              <w:rPr>
                <w:iCs/>
                <w:sz w:val="24"/>
                <w:szCs w:val="24"/>
              </w:rPr>
              <w:t xml:space="preserve"> and the </w:t>
            </w:r>
            <w:r w:rsidR="009F7A8F" w:rsidRPr="009F7A8F">
              <w:rPr>
                <w:iCs/>
                <w:sz w:val="24"/>
                <w:szCs w:val="24"/>
              </w:rPr>
              <w:t xml:space="preserve">Data Protection Act </w:t>
            </w:r>
            <w:r w:rsidR="0072118B">
              <w:rPr>
                <w:iCs/>
                <w:sz w:val="24"/>
                <w:szCs w:val="24"/>
              </w:rPr>
              <w:t>(</w:t>
            </w:r>
            <w:r w:rsidR="009F7A8F" w:rsidRPr="009F7A8F">
              <w:rPr>
                <w:iCs/>
                <w:sz w:val="24"/>
                <w:szCs w:val="24"/>
              </w:rPr>
              <w:t>2018</w:t>
            </w:r>
            <w:r w:rsidR="0072118B">
              <w:rPr>
                <w:iCs/>
                <w:sz w:val="24"/>
                <w:szCs w:val="24"/>
              </w:rPr>
              <w:t>)</w:t>
            </w:r>
            <w:r w:rsidR="009F7A8F">
              <w:rPr>
                <w:iCs/>
                <w:sz w:val="24"/>
                <w:szCs w:val="24"/>
              </w:rPr>
              <w:t xml:space="preserve">. This enabled me to explain effectively </w:t>
            </w:r>
            <w:r w:rsidR="009F7A8F">
              <w:rPr>
                <w:iCs/>
                <w:sz w:val="24"/>
                <w:szCs w:val="24"/>
              </w:rPr>
              <w:lastRenderedPageBreak/>
              <w:t>to the family why a referral was made.</w:t>
            </w:r>
            <w:r w:rsidR="00322B26">
              <w:rPr>
                <w:iCs/>
                <w:sz w:val="24"/>
                <w:szCs w:val="24"/>
              </w:rPr>
              <w:t xml:space="preserve"> The GDPR and Data Protection Act (2018) does not prevent the sharing of information when a child is at risk, The Welsh Government (2019) states ‘i</w:t>
            </w:r>
            <w:r w:rsidR="00322B26" w:rsidRPr="00322B26">
              <w:rPr>
                <w:iCs/>
                <w:sz w:val="24"/>
                <w:szCs w:val="24"/>
              </w:rPr>
              <w:t>nformation can be shared legally without consent, if a practitioner is unable to, cannot be reasonably expected to gain consent from the individual, or if to gain consent could place a child at risk.</w:t>
            </w:r>
            <w:r w:rsidR="00322B26">
              <w:rPr>
                <w:iCs/>
                <w:sz w:val="24"/>
                <w:szCs w:val="24"/>
              </w:rPr>
              <w:t xml:space="preserve">’ </w:t>
            </w:r>
            <w:r w:rsidR="00E76B96">
              <w:rPr>
                <w:iCs/>
                <w:sz w:val="24"/>
                <w:szCs w:val="24"/>
              </w:rPr>
              <w:t>U</w:t>
            </w:r>
            <w:r w:rsidR="00013521">
              <w:rPr>
                <w:iCs/>
                <w:sz w:val="24"/>
                <w:szCs w:val="24"/>
              </w:rPr>
              <w:t xml:space="preserve">nder legislation due to concerns that Child A was at risk of significant harm, this information was able to </w:t>
            </w:r>
            <w:r w:rsidR="002F4BAF">
              <w:rPr>
                <w:iCs/>
                <w:sz w:val="24"/>
                <w:szCs w:val="24"/>
              </w:rPr>
              <w:t>be shared</w:t>
            </w:r>
            <w:r w:rsidR="00013521">
              <w:rPr>
                <w:iCs/>
                <w:sz w:val="24"/>
                <w:szCs w:val="24"/>
              </w:rPr>
              <w:t xml:space="preserve"> without </w:t>
            </w:r>
            <w:r w:rsidR="002F4BAF">
              <w:rPr>
                <w:iCs/>
                <w:sz w:val="24"/>
                <w:szCs w:val="24"/>
              </w:rPr>
              <w:t>parents’</w:t>
            </w:r>
            <w:r w:rsidR="00013521">
              <w:rPr>
                <w:iCs/>
                <w:sz w:val="24"/>
                <w:szCs w:val="24"/>
              </w:rPr>
              <w:t xml:space="preserve"> consent. </w:t>
            </w:r>
            <w:r w:rsidR="00416AD0">
              <w:rPr>
                <w:iCs/>
                <w:sz w:val="24"/>
                <w:szCs w:val="24"/>
              </w:rPr>
              <w:t xml:space="preserve">Reflecting upon the importance of data sharing, a serious case review by </w:t>
            </w:r>
            <w:r w:rsidR="00416AD0" w:rsidRPr="00416AD0">
              <w:rPr>
                <w:iCs/>
                <w:sz w:val="24"/>
                <w:szCs w:val="24"/>
              </w:rPr>
              <w:t>Cardiff &amp; Vale of Glamorgan Safeguarding Board</w:t>
            </w:r>
            <w:r w:rsidR="00416AD0">
              <w:rPr>
                <w:iCs/>
                <w:sz w:val="24"/>
                <w:szCs w:val="24"/>
              </w:rPr>
              <w:t xml:space="preserve"> (2019) in relation to a small child who physically abused by their parents found that the professionals supporting the family worked in silos which ‘</w:t>
            </w:r>
            <w:r w:rsidR="00416AD0" w:rsidRPr="00416AD0">
              <w:rPr>
                <w:iCs/>
                <w:sz w:val="24"/>
                <w:szCs w:val="24"/>
              </w:rPr>
              <w:t>impacts on an analysis, reflection and sharing of information, which in turn impacts on the risk assessments and decision making</w:t>
            </w:r>
            <w:r w:rsidR="00416AD0">
              <w:rPr>
                <w:iCs/>
                <w:sz w:val="24"/>
                <w:szCs w:val="24"/>
              </w:rPr>
              <w:t xml:space="preserve">’. The importance of sharing data and information at the right time can have significant impact on a child’s safety and wellbeing. It was important that I knew the legislation around this to adequately explain the decision making to Child A’s parents. </w:t>
            </w:r>
            <w:r w:rsidR="0003703C">
              <w:rPr>
                <w:iCs/>
                <w:sz w:val="24"/>
                <w:szCs w:val="24"/>
              </w:rPr>
              <w:t xml:space="preserve">For future practice, I will seek to ensure parent’s consent when </w:t>
            </w:r>
            <w:r w:rsidR="002F4BAF">
              <w:rPr>
                <w:iCs/>
                <w:sz w:val="24"/>
                <w:szCs w:val="24"/>
              </w:rPr>
              <w:t>appropriate and</w:t>
            </w:r>
            <w:r w:rsidR="0003703C">
              <w:rPr>
                <w:iCs/>
                <w:sz w:val="24"/>
                <w:szCs w:val="24"/>
              </w:rPr>
              <w:t xml:space="preserve"> use supervision with senior social workers to discuss scenario’s where not seeking consent is required to safeguard a child.</w:t>
            </w:r>
          </w:p>
          <w:p w14:paraId="60416395" w14:textId="4EBB3D88" w:rsidR="00405AFA" w:rsidRDefault="00405AFA" w:rsidP="00416AD0">
            <w:pPr>
              <w:jc w:val="both"/>
              <w:rPr>
                <w:iCs/>
                <w:sz w:val="24"/>
                <w:szCs w:val="24"/>
              </w:rPr>
            </w:pPr>
            <w:r>
              <w:rPr>
                <w:iCs/>
                <w:sz w:val="24"/>
                <w:szCs w:val="24"/>
              </w:rPr>
              <w:t>During this s47 investigation,</w:t>
            </w:r>
            <w:r w:rsidR="00EE5876">
              <w:rPr>
                <w:iCs/>
                <w:sz w:val="24"/>
                <w:szCs w:val="24"/>
              </w:rPr>
              <w:t xml:space="preserve"> it was important that I had a template which focused on what were the risks, what were the strengths and what needed to happen to safeguard the child. To best enable myself to do this, it was important to utilise professional knowledge and social work theories that as MacClean and Harrison (2015</w:t>
            </w:r>
            <w:r w:rsidR="0020394C">
              <w:rPr>
                <w:iCs/>
                <w:sz w:val="24"/>
                <w:szCs w:val="24"/>
              </w:rPr>
              <w:t>, p9</w:t>
            </w:r>
            <w:r w:rsidR="00EE5876">
              <w:rPr>
                <w:iCs/>
                <w:sz w:val="24"/>
                <w:szCs w:val="24"/>
              </w:rPr>
              <w:t>) state ‘help social workers to describe, explain and predict’. Despite the importance of social work theory in safeguarding children, Matthews (2011</w:t>
            </w:r>
            <w:r w:rsidR="00F85553">
              <w:rPr>
                <w:iCs/>
                <w:sz w:val="24"/>
                <w:szCs w:val="24"/>
              </w:rPr>
              <w:t>, p112</w:t>
            </w:r>
            <w:r w:rsidR="00EE5876">
              <w:rPr>
                <w:iCs/>
                <w:sz w:val="24"/>
                <w:szCs w:val="24"/>
              </w:rPr>
              <w:t xml:space="preserve">) notes that </w:t>
            </w:r>
            <w:r w:rsidR="00DB60B0">
              <w:rPr>
                <w:iCs/>
                <w:sz w:val="24"/>
                <w:szCs w:val="24"/>
              </w:rPr>
              <w:t xml:space="preserve">use of theory is undermined by modern social work practice with it's ‘process driven </w:t>
            </w:r>
            <w:r w:rsidR="00733195">
              <w:rPr>
                <w:iCs/>
                <w:sz w:val="24"/>
                <w:szCs w:val="24"/>
              </w:rPr>
              <w:t>deadlines’</w:t>
            </w:r>
            <w:r w:rsidR="00DB60B0">
              <w:rPr>
                <w:iCs/>
                <w:sz w:val="24"/>
                <w:szCs w:val="24"/>
              </w:rPr>
              <w:t xml:space="preserve">. </w:t>
            </w:r>
            <w:r w:rsidR="002F4BAF">
              <w:rPr>
                <w:iCs/>
                <w:sz w:val="24"/>
                <w:szCs w:val="24"/>
              </w:rPr>
              <w:t>O</w:t>
            </w:r>
            <w:r w:rsidR="00DB60B0">
              <w:rPr>
                <w:iCs/>
                <w:sz w:val="24"/>
                <w:szCs w:val="24"/>
              </w:rPr>
              <w:t xml:space="preserve">pportunities to use theories to understand the child, the family and circumstances can be missed to the detriment of the assessment as a whole. Within my s47 assessment, I used a template which had Signs of Safety embedded into it. </w:t>
            </w:r>
            <w:r w:rsidR="006D0442">
              <w:rPr>
                <w:iCs/>
                <w:sz w:val="24"/>
                <w:szCs w:val="24"/>
              </w:rPr>
              <w:t xml:space="preserve">Smeeton (2013, p467) states that Signs of Safety ‘provides a straightforward way of expressing the concerns and strengths of the family’ and ‘spells out the goals and suggests what success would look like’. Within my template, this was broken down into what’s working, what are we worried about and what needs to happen next. </w:t>
            </w:r>
            <w:r w:rsidR="001A7355">
              <w:rPr>
                <w:iCs/>
                <w:sz w:val="24"/>
                <w:szCs w:val="24"/>
              </w:rPr>
              <w:t xml:space="preserve">This enabled the assessment to concisely state the strengths and risks in ‘plain </w:t>
            </w:r>
            <w:r w:rsidR="00733195">
              <w:rPr>
                <w:iCs/>
                <w:sz w:val="24"/>
                <w:szCs w:val="24"/>
              </w:rPr>
              <w:t>English</w:t>
            </w:r>
            <w:r w:rsidR="001A7355">
              <w:rPr>
                <w:iCs/>
                <w:sz w:val="24"/>
                <w:szCs w:val="24"/>
              </w:rPr>
              <w:t xml:space="preserve">’. </w:t>
            </w:r>
            <w:r w:rsidR="00F85553">
              <w:rPr>
                <w:iCs/>
                <w:sz w:val="24"/>
                <w:szCs w:val="24"/>
              </w:rPr>
              <w:t xml:space="preserve">Baginsky et al </w:t>
            </w:r>
            <w:r w:rsidR="00B20991">
              <w:rPr>
                <w:iCs/>
                <w:sz w:val="24"/>
                <w:szCs w:val="24"/>
              </w:rPr>
              <w:t>(2017) evaluation of Signs of Safety in 1</w:t>
            </w:r>
            <w:r w:rsidR="001268A1">
              <w:rPr>
                <w:iCs/>
                <w:sz w:val="24"/>
                <w:szCs w:val="24"/>
              </w:rPr>
              <w:t xml:space="preserve">0 pilot local authorities found that 75% of parents interviewed said they agreed with the social worker about the changes required. </w:t>
            </w:r>
            <w:r w:rsidR="003067BA">
              <w:rPr>
                <w:iCs/>
                <w:sz w:val="24"/>
                <w:szCs w:val="24"/>
              </w:rPr>
              <w:t xml:space="preserve">This highlights that Signs of Safety enables a better understanding of the worries and what goals are needed to make positive changes. One of the main </w:t>
            </w:r>
            <w:r w:rsidR="00733195">
              <w:rPr>
                <w:iCs/>
                <w:sz w:val="24"/>
                <w:szCs w:val="24"/>
              </w:rPr>
              <w:t>areas</w:t>
            </w:r>
            <w:r w:rsidR="003067BA">
              <w:rPr>
                <w:iCs/>
                <w:sz w:val="24"/>
                <w:szCs w:val="24"/>
              </w:rPr>
              <w:t xml:space="preserve"> of Signs of Safety which helped me concisely communicate the worries was the use of ‘danger statements’. This statement </w:t>
            </w:r>
            <w:r w:rsidR="00733195">
              <w:rPr>
                <w:iCs/>
                <w:sz w:val="24"/>
                <w:szCs w:val="24"/>
              </w:rPr>
              <w:t>helps</w:t>
            </w:r>
            <w:r w:rsidR="003067BA">
              <w:rPr>
                <w:iCs/>
                <w:sz w:val="24"/>
                <w:szCs w:val="24"/>
              </w:rPr>
              <w:t xml:space="preserve"> to identify the worry or risk and evaluate the impact this has on the child and family. </w:t>
            </w:r>
            <w:r w:rsidR="00862BC7">
              <w:rPr>
                <w:iCs/>
                <w:sz w:val="24"/>
                <w:szCs w:val="24"/>
              </w:rPr>
              <w:t xml:space="preserve">A benefit of this danger statement was that it invited collaboration from Child A’s parents and professionals, who could scale the worries between 0 (significant risk) and 10 (no risk at all). This allowed me to better explore </w:t>
            </w:r>
            <w:r w:rsidR="00733195">
              <w:rPr>
                <w:iCs/>
                <w:sz w:val="24"/>
                <w:szCs w:val="24"/>
              </w:rPr>
              <w:t>parent’s</w:t>
            </w:r>
            <w:r w:rsidR="00862BC7">
              <w:rPr>
                <w:iCs/>
                <w:sz w:val="24"/>
                <w:szCs w:val="24"/>
              </w:rPr>
              <w:t xml:space="preserve"> views of the </w:t>
            </w:r>
            <w:r w:rsidR="002F0C3A">
              <w:rPr>
                <w:iCs/>
                <w:sz w:val="24"/>
                <w:szCs w:val="24"/>
              </w:rPr>
              <w:t>risk and</w:t>
            </w:r>
            <w:r w:rsidR="00862BC7">
              <w:rPr>
                <w:iCs/>
                <w:sz w:val="24"/>
                <w:szCs w:val="24"/>
              </w:rPr>
              <w:t xml:space="preserve"> helped them identify what they needed to do better meet Child A's needs.</w:t>
            </w:r>
          </w:p>
          <w:p w14:paraId="40546A16" w14:textId="6FBC3823" w:rsidR="00CF4166" w:rsidRDefault="00CF4166" w:rsidP="00416AD0">
            <w:pPr>
              <w:jc w:val="both"/>
              <w:rPr>
                <w:iCs/>
                <w:sz w:val="24"/>
                <w:szCs w:val="24"/>
              </w:rPr>
            </w:pPr>
            <w:r>
              <w:rPr>
                <w:iCs/>
                <w:sz w:val="24"/>
                <w:szCs w:val="24"/>
              </w:rPr>
              <w:t>While Signs of Safety allowed for strengths and risks to be identified and shared concisely, I did recognise some weaknesses in using this theory. Throughout the assessment, I felt consistently drawn back to using the Child Assessment Framework</w:t>
            </w:r>
            <w:r w:rsidR="000254FA">
              <w:rPr>
                <w:iCs/>
                <w:sz w:val="24"/>
                <w:szCs w:val="24"/>
              </w:rPr>
              <w:t xml:space="preserve">. The Child Assessment Framework was devised by The Department of Health (2000) to holistically assess a child’s needs and circumstances. This framework seeks to understand a child’s developmental needs, parental capacity and environmental impact and support. </w:t>
            </w:r>
            <w:r w:rsidR="003F6E56">
              <w:rPr>
                <w:iCs/>
                <w:sz w:val="24"/>
                <w:szCs w:val="24"/>
              </w:rPr>
              <w:t xml:space="preserve">Using the Child Assessment </w:t>
            </w:r>
            <w:r w:rsidR="003F6E56">
              <w:rPr>
                <w:iCs/>
                <w:sz w:val="24"/>
                <w:szCs w:val="24"/>
              </w:rPr>
              <w:lastRenderedPageBreak/>
              <w:t xml:space="preserve">Framework allowed the assessment to focus on </w:t>
            </w:r>
            <w:r w:rsidR="002F0C3A">
              <w:rPr>
                <w:iCs/>
                <w:sz w:val="24"/>
                <w:szCs w:val="24"/>
              </w:rPr>
              <w:t>areas</w:t>
            </w:r>
            <w:r w:rsidR="003F6E56">
              <w:rPr>
                <w:iCs/>
                <w:sz w:val="24"/>
                <w:szCs w:val="24"/>
              </w:rPr>
              <w:t xml:space="preserve"> of specific concern and explore both strengths or weaknesses. </w:t>
            </w:r>
            <w:r w:rsidR="005A670C">
              <w:rPr>
                <w:iCs/>
                <w:sz w:val="24"/>
                <w:szCs w:val="24"/>
              </w:rPr>
              <w:t xml:space="preserve">Reflecting upon using both The Child Assessment Framework and Signs of Safety, both had it’s uses in ensuring a comprehensive safeguarding assessment. The Child Assessment Framework allowed for a holistic assessment where different </w:t>
            </w:r>
            <w:r w:rsidR="002F0C3A">
              <w:rPr>
                <w:iCs/>
                <w:sz w:val="24"/>
                <w:szCs w:val="24"/>
              </w:rPr>
              <w:t>areas</w:t>
            </w:r>
            <w:r w:rsidR="005A670C">
              <w:rPr>
                <w:iCs/>
                <w:sz w:val="24"/>
                <w:szCs w:val="24"/>
              </w:rPr>
              <w:t xml:space="preserve"> of need and risk were identified. This was then reinforced by The Signs of Safety which ensured an in</w:t>
            </w:r>
            <w:r w:rsidR="00104F3A">
              <w:rPr>
                <w:iCs/>
                <w:sz w:val="24"/>
                <w:szCs w:val="24"/>
              </w:rPr>
              <w:t>-</w:t>
            </w:r>
            <w:r w:rsidR="005A670C">
              <w:rPr>
                <w:iCs/>
                <w:sz w:val="24"/>
                <w:szCs w:val="24"/>
              </w:rPr>
              <w:t xml:space="preserve">depth approach considering the strengths and worries </w:t>
            </w:r>
            <w:r w:rsidR="00104F3A">
              <w:rPr>
                <w:iCs/>
                <w:sz w:val="24"/>
                <w:szCs w:val="24"/>
              </w:rPr>
              <w:t>relating to the identified need or risk. Research by Baginsky, Manthorpe and Moriarty (202</w:t>
            </w:r>
            <w:r w:rsidR="00B03446">
              <w:rPr>
                <w:iCs/>
                <w:sz w:val="24"/>
                <w:szCs w:val="24"/>
              </w:rPr>
              <w:t>1</w:t>
            </w:r>
            <w:r w:rsidR="00104F3A">
              <w:rPr>
                <w:iCs/>
                <w:sz w:val="24"/>
                <w:szCs w:val="24"/>
              </w:rPr>
              <w:t>) regarding the complimentary use of the Child Assessment Framework and Signs of Safety found ‘a</w:t>
            </w:r>
            <w:r w:rsidR="0013172F">
              <w:rPr>
                <w:iCs/>
                <w:sz w:val="24"/>
                <w:szCs w:val="24"/>
              </w:rPr>
              <w:t xml:space="preserve"> </w:t>
            </w:r>
            <w:r w:rsidR="00104F3A" w:rsidRPr="00104F3A">
              <w:rPr>
                <w:iCs/>
                <w:sz w:val="24"/>
                <w:szCs w:val="24"/>
              </w:rPr>
              <w:t>deeper understanding of what was happening to children and families that could then be applied to mapping against strengths and concerns</w:t>
            </w:r>
            <w:r w:rsidR="00104F3A">
              <w:rPr>
                <w:iCs/>
                <w:sz w:val="24"/>
                <w:szCs w:val="24"/>
              </w:rPr>
              <w:t xml:space="preserve">’. </w:t>
            </w:r>
            <w:r w:rsidR="0013172F">
              <w:rPr>
                <w:iCs/>
                <w:sz w:val="24"/>
                <w:szCs w:val="24"/>
              </w:rPr>
              <w:t xml:space="preserve">Despite this positive, the research also found a general view that newly qualified or less confident social workers lacked the depth of understanding to use both models of assessment in their work. Within my own practice, I felt confident in using both models of assessment and combining them ensure an in-depth, holistic </w:t>
            </w:r>
            <w:r w:rsidR="00206BEE">
              <w:rPr>
                <w:iCs/>
                <w:sz w:val="24"/>
                <w:szCs w:val="24"/>
              </w:rPr>
              <w:t xml:space="preserve">analysis </w:t>
            </w:r>
            <w:r w:rsidR="0013172F">
              <w:rPr>
                <w:iCs/>
                <w:sz w:val="24"/>
                <w:szCs w:val="24"/>
              </w:rPr>
              <w:t>of the risks and strengths. For future practice, I will continue to use both assessment models. It will aid my future practice to attend Signs of Safety training and develop my practice around danger statements and scaling of worries.</w:t>
            </w:r>
            <w:r w:rsidR="00206BEE">
              <w:rPr>
                <w:iCs/>
                <w:sz w:val="24"/>
                <w:szCs w:val="24"/>
              </w:rPr>
              <w:t xml:space="preserve"> This will aid my analysis of complex situations so that informed support or action can be used to better safeguard children.</w:t>
            </w:r>
          </w:p>
          <w:p w14:paraId="32EDAECA" w14:textId="6575F77B" w:rsidR="00896FAF" w:rsidRDefault="001C14D7" w:rsidP="00A53558">
            <w:pPr>
              <w:jc w:val="both"/>
              <w:rPr>
                <w:iCs/>
                <w:sz w:val="24"/>
                <w:szCs w:val="24"/>
              </w:rPr>
            </w:pPr>
            <w:r>
              <w:rPr>
                <w:iCs/>
                <w:sz w:val="24"/>
                <w:szCs w:val="24"/>
              </w:rPr>
              <w:t xml:space="preserve">Another social work theory which I found instrumental in this assessment was person centred practice. </w:t>
            </w:r>
            <w:r w:rsidR="00206BEE">
              <w:rPr>
                <w:iCs/>
                <w:sz w:val="24"/>
                <w:szCs w:val="24"/>
              </w:rPr>
              <w:t xml:space="preserve">Child A was non-verbal and </w:t>
            </w:r>
            <w:r w:rsidR="002F45A9">
              <w:rPr>
                <w:iCs/>
                <w:sz w:val="24"/>
                <w:szCs w:val="24"/>
              </w:rPr>
              <w:t>had</w:t>
            </w:r>
            <w:r w:rsidR="00206BEE">
              <w:rPr>
                <w:iCs/>
                <w:sz w:val="24"/>
                <w:szCs w:val="24"/>
              </w:rPr>
              <w:t xml:space="preserve"> a significant learning disability. This was a significant barrier in Child A’s ability to communicate his worries and needs. </w:t>
            </w:r>
            <w:r w:rsidR="00163E9E">
              <w:rPr>
                <w:iCs/>
                <w:sz w:val="24"/>
                <w:szCs w:val="24"/>
              </w:rPr>
              <w:t xml:space="preserve">I felt despite these barriers that social work values which I also uphold around inclusivity, </w:t>
            </w:r>
            <w:r w:rsidR="002F0C3A">
              <w:rPr>
                <w:iCs/>
                <w:sz w:val="24"/>
                <w:szCs w:val="24"/>
              </w:rPr>
              <w:t>empathy</w:t>
            </w:r>
            <w:r w:rsidR="00163E9E">
              <w:rPr>
                <w:iCs/>
                <w:sz w:val="24"/>
                <w:szCs w:val="24"/>
              </w:rPr>
              <w:t xml:space="preserve"> and respect were important and that I would seek other ways of understanding Child A’s lived experience. The Welsh Government (2018</w:t>
            </w:r>
            <w:r w:rsidR="0072683A">
              <w:rPr>
                <w:iCs/>
                <w:sz w:val="24"/>
                <w:szCs w:val="24"/>
              </w:rPr>
              <w:t>a</w:t>
            </w:r>
            <w:r w:rsidR="00163E9E">
              <w:rPr>
                <w:iCs/>
                <w:sz w:val="24"/>
                <w:szCs w:val="24"/>
              </w:rPr>
              <w:t>) states the importance of a child centred approach to safeguard, it recognises the need to speak to the child, listen to them, understand their views and wishes and work in partnership with them to determine how to meet their needs. Achieving the above should mean that any safeguarding assessment</w:t>
            </w:r>
            <w:r w:rsidR="00F06E2D">
              <w:rPr>
                <w:iCs/>
                <w:sz w:val="24"/>
                <w:szCs w:val="24"/>
              </w:rPr>
              <w:t xml:space="preserve">, incorporates and respects the child’s views and wishes. </w:t>
            </w:r>
            <w:r w:rsidR="00D4160B">
              <w:rPr>
                <w:iCs/>
                <w:sz w:val="24"/>
                <w:szCs w:val="24"/>
              </w:rPr>
              <w:t xml:space="preserve">To better aid my understanding and ensure a </w:t>
            </w:r>
            <w:r w:rsidR="002F0C3A">
              <w:rPr>
                <w:iCs/>
                <w:sz w:val="24"/>
                <w:szCs w:val="24"/>
              </w:rPr>
              <w:t>person-centred</w:t>
            </w:r>
            <w:r w:rsidR="00D4160B">
              <w:rPr>
                <w:iCs/>
                <w:sz w:val="24"/>
                <w:szCs w:val="24"/>
              </w:rPr>
              <w:t xml:space="preserve"> assessment, I initially spoke with school who confirmed to me that Child A could communicate brief 2 worded sentences through a talk aid. Collaboration with the school allowed me to understand this communication aid and how to support Child A’s use of it. This was then used to make simple sentences such as ‘I like …’ and ‘I don’t like ….’.</w:t>
            </w:r>
            <w:r w:rsidR="0085315D">
              <w:rPr>
                <w:iCs/>
                <w:sz w:val="24"/>
                <w:szCs w:val="24"/>
              </w:rPr>
              <w:t xml:space="preserve"> While I could not get an in-depth understanding of Child A’s whole views, I did learn a lot about him and incorporated this into the assessment. To also aid my understanding of Child A’s lived experiences I completed observations at the family home and at school.</w:t>
            </w:r>
            <w:r w:rsidR="00D560CE">
              <w:rPr>
                <w:iCs/>
                <w:sz w:val="24"/>
                <w:szCs w:val="24"/>
              </w:rPr>
              <w:t xml:space="preserve"> </w:t>
            </w:r>
            <w:r w:rsidR="0085315D">
              <w:rPr>
                <w:iCs/>
                <w:sz w:val="24"/>
                <w:szCs w:val="24"/>
              </w:rPr>
              <w:t xml:space="preserve">Gardner (2013, p 460) states that listening and focusing on what people want is key to person centred practice, and it was clear from my observations and use of the communication aid that Child A felt valued at home and that his relationship with his parents was important to him. Reflecting upon the use of </w:t>
            </w:r>
            <w:r w:rsidR="002F0C3A">
              <w:rPr>
                <w:iCs/>
                <w:sz w:val="24"/>
                <w:szCs w:val="24"/>
              </w:rPr>
              <w:t>person-centred</w:t>
            </w:r>
            <w:r w:rsidR="0085315D">
              <w:rPr>
                <w:iCs/>
                <w:sz w:val="24"/>
                <w:szCs w:val="24"/>
              </w:rPr>
              <w:t xml:space="preserve"> practice, I feel that it was vital to my communication with Child A and aided my understanding of his lived experience. </w:t>
            </w:r>
            <w:r w:rsidR="00073696">
              <w:rPr>
                <w:iCs/>
                <w:sz w:val="24"/>
                <w:szCs w:val="24"/>
              </w:rPr>
              <w:t xml:space="preserve">Collaborating with other key professionals such as the school, school nurse and community paediatrician also helped expand my understanding of Child A’s lived experience and helped the assessment maintain a </w:t>
            </w:r>
            <w:r w:rsidR="002F0C3A">
              <w:rPr>
                <w:iCs/>
                <w:sz w:val="24"/>
                <w:szCs w:val="24"/>
              </w:rPr>
              <w:t>person-centred</w:t>
            </w:r>
            <w:r w:rsidR="00073696">
              <w:rPr>
                <w:iCs/>
                <w:sz w:val="24"/>
                <w:szCs w:val="24"/>
              </w:rPr>
              <w:t xml:space="preserve"> element. Despite these positives, I was worried that due to Child A’s disability that I would miss out on key information that could help determine the level risk.  I found a severe lack of resources or information that would allow me to complete meaningful direct work with a child with such a significant learning disability. This meant that a lot of the assessment was determined by what parents and professionals said. To ensure a better </w:t>
            </w:r>
            <w:r w:rsidR="002F0C3A">
              <w:rPr>
                <w:iCs/>
                <w:sz w:val="24"/>
                <w:szCs w:val="24"/>
              </w:rPr>
              <w:t>person-centred</w:t>
            </w:r>
            <w:r w:rsidR="00073696">
              <w:rPr>
                <w:iCs/>
                <w:sz w:val="24"/>
                <w:szCs w:val="24"/>
              </w:rPr>
              <w:t xml:space="preserve"> safeguarding assessment in future, I </w:t>
            </w:r>
            <w:r w:rsidR="00073696">
              <w:rPr>
                <w:iCs/>
                <w:sz w:val="24"/>
                <w:szCs w:val="24"/>
              </w:rPr>
              <w:lastRenderedPageBreak/>
              <w:t xml:space="preserve">have created a Pictoral Exchange Communication System (PECs) in line with the 3 houses from Signs of Safety </w:t>
            </w:r>
            <w:r w:rsidR="00602F75">
              <w:rPr>
                <w:iCs/>
                <w:sz w:val="24"/>
                <w:szCs w:val="24"/>
              </w:rPr>
              <w:t xml:space="preserve">so that non-verbal children can communicate what makes them happy or sad. </w:t>
            </w:r>
          </w:p>
          <w:p w14:paraId="4CE3890D" w14:textId="2017D134" w:rsidR="00383FF5" w:rsidRDefault="00896FAF" w:rsidP="00A53558">
            <w:pPr>
              <w:jc w:val="both"/>
              <w:rPr>
                <w:iCs/>
                <w:sz w:val="24"/>
                <w:szCs w:val="24"/>
              </w:rPr>
            </w:pPr>
            <w:r>
              <w:rPr>
                <w:iCs/>
                <w:sz w:val="24"/>
                <w:szCs w:val="24"/>
              </w:rPr>
              <w:t xml:space="preserve">Using legislation and social work models and theories </w:t>
            </w:r>
            <w:r w:rsidR="00616CE3">
              <w:rPr>
                <w:iCs/>
                <w:sz w:val="24"/>
                <w:szCs w:val="24"/>
              </w:rPr>
              <w:t xml:space="preserve">helped aid the assessment and analysis of a child at risk. Section 130 of the SSWBA (2014) defines a child at risk as a child who is experiencing or at risk of abuse, neglect </w:t>
            </w:r>
            <w:r w:rsidR="00E16E7C">
              <w:rPr>
                <w:iCs/>
                <w:sz w:val="24"/>
                <w:szCs w:val="24"/>
              </w:rPr>
              <w:t xml:space="preserve">or other kinds of harm. </w:t>
            </w:r>
            <w:r w:rsidR="000F123C">
              <w:rPr>
                <w:iCs/>
                <w:sz w:val="24"/>
                <w:szCs w:val="24"/>
              </w:rPr>
              <w:t>Applying the children at risk definition to Child A, it was clear from the assessment that the concerns were regarding neglect of Child A's health and safe housing needs. Devaney (2013, p140) states neglect is a consistent failure to meet a child’s basic needs for physical and psychological care</w:t>
            </w:r>
            <w:r w:rsidR="00962CBE">
              <w:rPr>
                <w:iCs/>
                <w:sz w:val="24"/>
                <w:szCs w:val="24"/>
              </w:rPr>
              <w:t xml:space="preserve">. This potentially meant that Child A was not having the right care to help him feel better and promote his wellbeing. </w:t>
            </w:r>
            <w:r w:rsidR="008F5863">
              <w:rPr>
                <w:iCs/>
                <w:sz w:val="24"/>
                <w:szCs w:val="24"/>
              </w:rPr>
              <w:t xml:space="preserve">Research on neglect of a child’s health needs by Ward and Baird (2022) </w:t>
            </w:r>
            <w:r w:rsidR="00962CBE">
              <w:rPr>
                <w:iCs/>
                <w:sz w:val="24"/>
                <w:szCs w:val="24"/>
              </w:rPr>
              <w:t xml:space="preserve">highlights the need to understand why a child’s parents are not adhering to health advice and guidance. It further recognises the need to explore any barriers that parents are experiencing in adhering to health advice. During discussions with </w:t>
            </w:r>
            <w:r w:rsidR="002F0C3A">
              <w:rPr>
                <w:iCs/>
                <w:sz w:val="24"/>
                <w:szCs w:val="24"/>
              </w:rPr>
              <w:t>parents,</w:t>
            </w:r>
            <w:r w:rsidR="00962CBE">
              <w:rPr>
                <w:iCs/>
                <w:sz w:val="24"/>
                <w:szCs w:val="24"/>
              </w:rPr>
              <w:t xml:space="preserve"> I discovered and was shown evidence of a number of calls to the GP where they sought advice and guidance. I also found that Child A’s parents were struggling to keep up with the number of health appointments Child A had, both were working and were parents of other children with additional learning needs. This meant </w:t>
            </w:r>
            <w:r w:rsidR="00BA156C">
              <w:rPr>
                <w:iCs/>
                <w:sz w:val="24"/>
                <w:szCs w:val="24"/>
              </w:rPr>
              <w:t>a</w:t>
            </w:r>
            <w:r w:rsidR="00962CBE">
              <w:rPr>
                <w:iCs/>
                <w:sz w:val="24"/>
                <w:szCs w:val="24"/>
              </w:rPr>
              <w:t xml:space="preserve">s part of the outcomes of the assessment, myself and Child A’s parents co-produced goals around attending </w:t>
            </w:r>
            <w:r w:rsidR="00BA156C">
              <w:rPr>
                <w:iCs/>
                <w:sz w:val="24"/>
                <w:szCs w:val="24"/>
              </w:rPr>
              <w:t xml:space="preserve">planned appointment and </w:t>
            </w:r>
            <w:r w:rsidR="00341DFC">
              <w:rPr>
                <w:iCs/>
                <w:sz w:val="24"/>
                <w:szCs w:val="24"/>
              </w:rPr>
              <w:t xml:space="preserve">regular meetings to ensure that Child A’s health outcomes were actioned. These outcomes involved collaboration between myself, parents and health professionals. Thompson (2020, p147) highlights that to achieve good collaborative practice a social worker must nurture effective working relationships with service users and professionals. Good collaboration and communication ensured that we could work with Child A’s family and support them, this in turn reduced the risk of health neglect. </w:t>
            </w:r>
            <w:r w:rsidR="002F0C3A">
              <w:rPr>
                <w:iCs/>
                <w:sz w:val="24"/>
                <w:szCs w:val="24"/>
              </w:rPr>
              <w:t>Another positive impact</w:t>
            </w:r>
            <w:r w:rsidR="00232EE7">
              <w:rPr>
                <w:iCs/>
                <w:sz w:val="24"/>
                <w:szCs w:val="24"/>
              </w:rPr>
              <w:t xml:space="preserve"> was that discussing the worries with the family and school nurse, we set clear boundaries and guidance for when Child A was not brought to appointments. The Royal College of Paediatrics and Child Health (2019) states a consistent approach is required to pro-actively follow up on children who are not brought to health appointments. </w:t>
            </w:r>
            <w:r w:rsidR="002D7E61">
              <w:rPr>
                <w:iCs/>
                <w:sz w:val="24"/>
                <w:szCs w:val="24"/>
              </w:rPr>
              <w:t xml:space="preserve">Collaboration with other professionals and Child A’s parents gave increased context of the barriers in meeting Child A’s </w:t>
            </w:r>
            <w:r w:rsidR="00C8100A">
              <w:rPr>
                <w:iCs/>
                <w:sz w:val="24"/>
                <w:szCs w:val="24"/>
              </w:rPr>
              <w:t xml:space="preserve">health needs and helped create the goals and outcomes to help them meet this need. </w:t>
            </w:r>
          </w:p>
          <w:p w14:paraId="2CC83A6C" w14:textId="0933A3E8" w:rsidR="0026001E" w:rsidRDefault="00C8100A" w:rsidP="00A53558">
            <w:pPr>
              <w:jc w:val="both"/>
              <w:rPr>
                <w:iCs/>
                <w:sz w:val="24"/>
                <w:szCs w:val="24"/>
              </w:rPr>
            </w:pPr>
            <w:r>
              <w:rPr>
                <w:iCs/>
                <w:sz w:val="24"/>
                <w:szCs w:val="24"/>
              </w:rPr>
              <w:t xml:space="preserve">Another risk identified was around neglectful home conditions. Upon coming into the home I recognised that the kitchen was messy and saw signs of disrepair and water damage. But in addition to this, I saw </w:t>
            </w:r>
            <w:r w:rsidR="007520B9">
              <w:rPr>
                <w:iCs/>
                <w:sz w:val="24"/>
                <w:szCs w:val="24"/>
              </w:rPr>
              <w:t xml:space="preserve">toys, </w:t>
            </w:r>
            <w:r w:rsidR="00993D5F">
              <w:rPr>
                <w:iCs/>
                <w:sz w:val="24"/>
                <w:szCs w:val="24"/>
              </w:rPr>
              <w:t xml:space="preserve">family activities and cleaning supplies. Upon discussion with Child A’s parents I found out they were exhausted from working and caring for a number of children with additional needs. This was having an adverse impact on their ability to ensure that home conditions were good. </w:t>
            </w:r>
            <w:r w:rsidR="00575853">
              <w:rPr>
                <w:iCs/>
                <w:sz w:val="24"/>
                <w:szCs w:val="24"/>
              </w:rPr>
              <w:t>Nicol</w:t>
            </w:r>
            <w:r w:rsidR="00754024">
              <w:rPr>
                <w:iCs/>
                <w:sz w:val="24"/>
                <w:szCs w:val="24"/>
              </w:rPr>
              <w:t>i</w:t>
            </w:r>
            <w:r w:rsidR="00575853">
              <w:rPr>
                <w:iCs/>
                <w:sz w:val="24"/>
                <w:szCs w:val="24"/>
              </w:rPr>
              <w:t xml:space="preserve"> et al </w:t>
            </w:r>
            <w:r w:rsidR="00F8778E">
              <w:rPr>
                <w:iCs/>
                <w:sz w:val="24"/>
                <w:szCs w:val="24"/>
              </w:rPr>
              <w:t>(2019)</w:t>
            </w:r>
            <w:r w:rsidR="00754024">
              <w:rPr>
                <w:iCs/>
                <w:sz w:val="24"/>
                <w:szCs w:val="24"/>
              </w:rPr>
              <w:t xml:space="preserve"> research on poor housing quality in Wales</w:t>
            </w:r>
            <w:r w:rsidR="00F8778E">
              <w:rPr>
                <w:iCs/>
                <w:sz w:val="24"/>
                <w:szCs w:val="24"/>
              </w:rPr>
              <w:t xml:space="preserve"> states the impact poor housing conditions have on a child’s health outcomes, educational opportunities and negative impact on wellbeing. In context with Child A, I could see how these home conditions could lead to increased sickness and be detrimental to his wellbeing. </w:t>
            </w:r>
            <w:r w:rsidR="00993D5F">
              <w:rPr>
                <w:iCs/>
                <w:sz w:val="24"/>
                <w:szCs w:val="24"/>
              </w:rPr>
              <w:t xml:space="preserve">As stated above, I was worried about my professional knowledge base regarding neglectful home conditions. I was not very experienced in my responses to neglect of home conditions and was constantly questioning if my values and personal views were impacting my assessment. </w:t>
            </w:r>
            <w:r w:rsidR="00905F75">
              <w:rPr>
                <w:iCs/>
                <w:sz w:val="24"/>
                <w:szCs w:val="24"/>
              </w:rPr>
              <w:t xml:space="preserve">Community Care (2023) states the difficulty with neglect cases are that our understanding of neglect is ‘rooted in our individual experiences and perceptions’. My own personal values were highlighting to me that the home conditions were unsuitable for a child but not </w:t>
            </w:r>
            <w:r w:rsidR="00970C84">
              <w:rPr>
                <w:iCs/>
                <w:sz w:val="24"/>
                <w:szCs w:val="24"/>
              </w:rPr>
              <w:t>unsafe</w:t>
            </w:r>
            <w:r w:rsidR="00905F75">
              <w:rPr>
                <w:iCs/>
                <w:sz w:val="24"/>
                <w:szCs w:val="24"/>
              </w:rPr>
              <w:t xml:space="preserve">. </w:t>
            </w:r>
            <w:r w:rsidR="00F8778E">
              <w:rPr>
                <w:iCs/>
                <w:sz w:val="24"/>
                <w:szCs w:val="24"/>
              </w:rPr>
              <w:lastRenderedPageBreak/>
              <w:t xml:space="preserve">Due to my uncertainty regarding the home conditions, I utilised an emergency supervision with my line manager where we discussed the home conditions and how they could be assessed. We identified </w:t>
            </w:r>
            <w:r w:rsidR="00546C7D">
              <w:rPr>
                <w:iCs/>
                <w:sz w:val="24"/>
                <w:szCs w:val="24"/>
              </w:rPr>
              <w:t xml:space="preserve">a ‘neglectful housing conditions’ risk assessment via the Wakefield Safeguarding Trust (2023) that would be easy for parents to understand and would aid collaboration between myself and parents. In the next visit I took out the risk assessment and identified area’s which required attention, this enabled parents to understand and improve the home conditions. </w:t>
            </w:r>
            <w:r w:rsidR="00383FF5">
              <w:rPr>
                <w:iCs/>
                <w:sz w:val="24"/>
                <w:szCs w:val="24"/>
              </w:rPr>
              <w:t xml:space="preserve">Every visit following this until the end of the s47 assessment, saw improvements in the home conditions. Reflecting upon the worries, it was vital that there was an analysis of the home conditions within the assessment. </w:t>
            </w:r>
            <w:r w:rsidR="00E8199E">
              <w:rPr>
                <w:iCs/>
                <w:sz w:val="24"/>
                <w:szCs w:val="24"/>
              </w:rPr>
              <w:t>This analysis helped me consider what were the conditions within the home that brought about concerns of neglect, what is the context of the neglectful home conditions and how can I safeguard Child A. What lacked in this analysis was a professional knowledge base around neglectful home conditions initially. Fortunately, I was able to utilise supervision and identify what I needed to better assess and analyse.</w:t>
            </w:r>
          </w:p>
          <w:p w14:paraId="28761DDA" w14:textId="59E318D6" w:rsidR="0026001E" w:rsidRDefault="0026001E" w:rsidP="00A53558">
            <w:pPr>
              <w:jc w:val="both"/>
              <w:rPr>
                <w:iCs/>
                <w:sz w:val="24"/>
                <w:szCs w:val="24"/>
              </w:rPr>
            </w:pPr>
            <w:r>
              <w:rPr>
                <w:iCs/>
                <w:sz w:val="24"/>
                <w:szCs w:val="24"/>
              </w:rPr>
              <w:t xml:space="preserve">As I understood more about Child A and his family, I recognised that this was a complex scenario where a number of different and challenging needs were being unmet. Adams (2009, p18) states ‘complexity arises through the accumulation of different kind of factors that contribute to people’s problems and </w:t>
            </w:r>
            <w:r w:rsidR="00B47FD6">
              <w:rPr>
                <w:iCs/>
                <w:sz w:val="24"/>
                <w:szCs w:val="24"/>
              </w:rPr>
              <w:t>vulnerabilities</w:t>
            </w:r>
            <w:r>
              <w:rPr>
                <w:iCs/>
                <w:sz w:val="24"/>
                <w:szCs w:val="24"/>
              </w:rPr>
              <w:t>. Within this assessment, I recognised an intersectionality of different needs and risks</w:t>
            </w:r>
            <w:r w:rsidR="00D42239">
              <w:rPr>
                <w:iCs/>
                <w:sz w:val="24"/>
                <w:szCs w:val="24"/>
              </w:rPr>
              <w:t xml:space="preserve">. </w:t>
            </w:r>
            <w:r>
              <w:rPr>
                <w:iCs/>
                <w:sz w:val="24"/>
                <w:szCs w:val="24"/>
              </w:rPr>
              <w:t>Applying analysis, allowed for the assessment to</w:t>
            </w:r>
            <w:r w:rsidR="00D42239">
              <w:rPr>
                <w:iCs/>
                <w:sz w:val="24"/>
                <w:szCs w:val="24"/>
              </w:rPr>
              <w:t xml:space="preserve"> consider the impact this had on Child A and identify what strengths were there to negate the risk. </w:t>
            </w:r>
            <w:r w:rsidR="00F81D2D">
              <w:rPr>
                <w:iCs/>
                <w:sz w:val="24"/>
                <w:szCs w:val="24"/>
              </w:rPr>
              <w:t xml:space="preserve">To navigate the complexities, professional judgement was required to identify the factors that increased complexity and harm risk of harm. </w:t>
            </w:r>
            <w:r w:rsidR="00E0790A">
              <w:rPr>
                <w:iCs/>
                <w:sz w:val="24"/>
                <w:szCs w:val="24"/>
              </w:rPr>
              <w:t xml:space="preserve">Munro (2011) recognises that professional judgement requires that a social worker has time, knowledge and the capability for clear reasoning. Within this assessment, a big benefit was utilising other professionals to better understand Child A’s health needs and the impact of not attending appointments. This gave me increased knowledge, which when put in context with Child A’s living conditions allowed for good analysis. </w:t>
            </w:r>
          </w:p>
          <w:p w14:paraId="66D097EE" w14:textId="1492578F" w:rsidR="00E8199E" w:rsidRDefault="00050D80" w:rsidP="00A53558">
            <w:pPr>
              <w:jc w:val="both"/>
              <w:rPr>
                <w:iCs/>
                <w:sz w:val="24"/>
                <w:szCs w:val="24"/>
              </w:rPr>
            </w:pPr>
            <w:r>
              <w:rPr>
                <w:iCs/>
                <w:sz w:val="24"/>
                <w:szCs w:val="24"/>
              </w:rPr>
              <w:t xml:space="preserve">For the conclusion of my assessment, I was required to determine what were the next appropriate steps in relation to safeguarding Child A. To enable effective decision making and planning, it was important that the assessment and analysis was coherent and factual regarding the risk of harm and protective factors. </w:t>
            </w:r>
            <w:r w:rsidR="002162C8">
              <w:rPr>
                <w:iCs/>
                <w:sz w:val="24"/>
                <w:szCs w:val="24"/>
              </w:rPr>
              <w:t>O’Sullivan (2009, p203) cautiously states ‘despite a decision being carefully thought through, with a wide variety of factors and views taken into account, negative outcomes can still occur’. The decision making for what happened next, had to be in line with legal social work practice. The Wales Safeguarding Procedures (20</w:t>
            </w:r>
            <w:r w:rsidR="00B47FD6">
              <w:rPr>
                <w:iCs/>
                <w:sz w:val="24"/>
                <w:szCs w:val="24"/>
              </w:rPr>
              <w:t>19f</w:t>
            </w:r>
            <w:r w:rsidR="002162C8">
              <w:rPr>
                <w:iCs/>
                <w:sz w:val="24"/>
                <w:szCs w:val="24"/>
              </w:rPr>
              <w:t>) states there are 3 determinations that can be made</w:t>
            </w:r>
            <w:r w:rsidR="00C81C03">
              <w:rPr>
                <w:iCs/>
                <w:sz w:val="24"/>
                <w:szCs w:val="24"/>
              </w:rPr>
              <w:t xml:space="preserve"> following a s47 investigation.</w:t>
            </w:r>
          </w:p>
          <w:p w14:paraId="021AC128" w14:textId="0F852EC2" w:rsidR="002162C8" w:rsidRDefault="002162C8" w:rsidP="00A53558">
            <w:pPr>
              <w:jc w:val="both"/>
              <w:rPr>
                <w:iCs/>
                <w:sz w:val="24"/>
                <w:szCs w:val="24"/>
              </w:rPr>
            </w:pPr>
            <w:r>
              <w:rPr>
                <w:iCs/>
                <w:sz w:val="24"/>
                <w:szCs w:val="24"/>
              </w:rPr>
              <w:t>1 – concerns are not substantiated</w:t>
            </w:r>
          </w:p>
          <w:p w14:paraId="0014DD79" w14:textId="29861314" w:rsidR="002162C8" w:rsidRDefault="002162C8" w:rsidP="00A53558">
            <w:pPr>
              <w:jc w:val="both"/>
              <w:rPr>
                <w:iCs/>
                <w:sz w:val="24"/>
                <w:szCs w:val="24"/>
              </w:rPr>
            </w:pPr>
            <w:r>
              <w:rPr>
                <w:iCs/>
                <w:sz w:val="24"/>
                <w:szCs w:val="24"/>
              </w:rPr>
              <w:t>2 – concerns are substantiated but the child is not judged to be at continuing risk but may have care and support needs</w:t>
            </w:r>
          </w:p>
          <w:p w14:paraId="0AD67A32" w14:textId="1E4A9ED3" w:rsidR="002162C8" w:rsidRDefault="002162C8" w:rsidP="00A53558">
            <w:pPr>
              <w:jc w:val="both"/>
              <w:rPr>
                <w:iCs/>
                <w:sz w:val="24"/>
                <w:szCs w:val="24"/>
              </w:rPr>
            </w:pPr>
            <w:r>
              <w:rPr>
                <w:iCs/>
                <w:sz w:val="24"/>
                <w:szCs w:val="24"/>
              </w:rPr>
              <w:t>3 – concerns are substantiated, and the child is judged to be at risk and a child protection conference should be convened.</w:t>
            </w:r>
          </w:p>
          <w:p w14:paraId="213D6A7E" w14:textId="60DF0BDC" w:rsidR="00E0790A" w:rsidRDefault="00C81C03" w:rsidP="00A53558">
            <w:pPr>
              <w:jc w:val="both"/>
              <w:rPr>
                <w:iCs/>
                <w:sz w:val="24"/>
                <w:szCs w:val="24"/>
              </w:rPr>
            </w:pPr>
            <w:r>
              <w:rPr>
                <w:iCs/>
                <w:sz w:val="24"/>
                <w:szCs w:val="24"/>
              </w:rPr>
              <w:t xml:space="preserve">Initially I was required to consider what the information gathered from the assessment said about the risk of harm to Child A and what protective factors were there that alleviated these risks. </w:t>
            </w:r>
            <w:r w:rsidR="00E708E0">
              <w:rPr>
                <w:iCs/>
                <w:sz w:val="24"/>
                <w:szCs w:val="24"/>
              </w:rPr>
              <w:t xml:space="preserve">O’Sullivan (2011, p3) recognises that at some points social workers require making ‘justified detailed consideration of different options’. Using both Signs of Safety and the Child Assessment Framework allowed for a detailed understanding of the risk, that highlighted </w:t>
            </w:r>
            <w:r w:rsidR="00E708E0">
              <w:rPr>
                <w:iCs/>
                <w:sz w:val="24"/>
                <w:szCs w:val="24"/>
              </w:rPr>
              <w:lastRenderedPageBreak/>
              <w:t xml:space="preserve">evidence and analysed it’s impact on the child. Drawing upon all the evidence and analysis, I felt there was enough information to make an informed decision that Child A had suffered </w:t>
            </w:r>
            <w:r w:rsidR="0006609E">
              <w:rPr>
                <w:iCs/>
                <w:sz w:val="24"/>
                <w:szCs w:val="24"/>
              </w:rPr>
              <w:t xml:space="preserve">neglect, but was not at continuing risk of harm. I further recommended that child remain open to my team for on-going support, with a number of interventions that would offer help to the family to minimise future risks and worries. </w:t>
            </w:r>
          </w:p>
          <w:p w14:paraId="47F21B6A" w14:textId="451C8A28" w:rsidR="007A628F" w:rsidRPr="005438F1" w:rsidRDefault="00E0790A" w:rsidP="00FF7EBB">
            <w:pPr>
              <w:jc w:val="both"/>
              <w:rPr>
                <w:iCs/>
                <w:sz w:val="24"/>
                <w:szCs w:val="24"/>
              </w:rPr>
            </w:pPr>
            <w:r>
              <w:rPr>
                <w:iCs/>
                <w:sz w:val="24"/>
                <w:szCs w:val="24"/>
              </w:rPr>
              <w:t>This</w:t>
            </w:r>
            <w:r w:rsidR="00093F20">
              <w:rPr>
                <w:iCs/>
                <w:sz w:val="24"/>
                <w:szCs w:val="24"/>
              </w:rPr>
              <w:t xml:space="preserve"> essay has allowed for a critical reflection of a child protection assessment of Child A. Reflecting upon this assessment, I recognise that while my practice is developing and I am becoming a more confident social worker, there are still many area’s which require improvement and further reflection. Within the next few years of practice, I will seek to develop my practice around safeguarding by attending further training and shadowing more experienced social workers. </w:t>
            </w:r>
          </w:p>
        </w:tc>
      </w:tr>
      <w:tr w:rsidR="008C5787" w:rsidRPr="008B28E7" w14:paraId="65A141E8" w14:textId="77777777" w:rsidTr="7B2CF1A9">
        <w:tc>
          <w:tcPr>
            <w:tcW w:w="10031" w:type="dxa"/>
            <w:shd w:val="clear" w:color="auto" w:fill="auto"/>
          </w:tcPr>
          <w:p w14:paraId="31069C27" w14:textId="09802495" w:rsidR="008C5787" w:rsidRPr="006872A0" w:rsidRDefault="005438F1" w:rsidP="00064063">
            <w:pPr>
              <w:jc w:val="both"/>
              <w:rPr>
                <w:b/>
                <w:sz w:val="24"/>
                <w:szCs w:val="24"/>
              </w:rPr>
            </w:pPr>
            <w:r>
              <w:rPr>
                <w:b/>
                <w:sz w:val="24"/>
                <w:szCs w:val="24"/>
              </w:rPr>
              <w:lastRenderedPageBreak/>
              <w:t>Word Count: 42</w:t>
            </w:r>
            <w:r w:rsidR="00BC4566">
              <w:rPr>
                <w:b/>
                <w:sz w:val="24"/>
                <w:szCs w:val="24"/>
              </w:rPr>
              <w:t>77</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C32DC0" w14:textId="77777777" w:rsidR="009A0516" w:rsidRDefault="009A0516">
      <w:r>
        <w:separator/>
      </w:r>
    </w:p>
  </w:endnote>
  <w:endnote w:type="continuationSeparator" w:id="0">
    <w:p w14:paraId="2936F755" w14:textId="77777777" w:rsidR="009A0516" w:rsidRDefault="009A05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58CA4BAF" w:rsidR="00A5656A" w:rsidRDefault="00F8778E">
    <w:pPr>
      <w:pStyle w:val="Footer"/>
      <w:jc w:val="right"/>
    </w:pPr>
    <w:r>
      <w:t xml:space="preserve"> </w:t>
    </w:r>
    <w:r w:rsidR="00A5656A">
      <w:fldChar w:fldCharType="begin"/>
    </w:r>
    <w:r w:rsidR="00A5656A">
      <w:instrText xml:space="preserve"> PAGE   \* MERGEFORMAT </w:instrText>
    </w:r>
    <w:r w:rsidR="00A5656A">
      <w:fldChar w:fldCharType="separate"/>
    </w:r>
    <w:r w:rsidR="006F1438">
      <w:rPr>
        <w:noProof/>
      </w:rPr>
      <w:t>24</w:t>
    </w:r>
    <w:r w:rsidR="00A5656A">
      <w:rPr>
        <w:noProof/>
      </w:rPr>
      <w:fldChar w:fldCharType="end"/>
    </w:r>
  </w:p>
  <w:p w14:paraId="5CA2AEEC" w14:textId="12DD6542" w:rsidR="00A5656A" w:rsidRPr="00E60F42" w:rsidRDefault="00A5656A" w:rsidP="00F8778E">
    <w:pPr>
      <w:pStyle w:val="Footer"/>
      <w:ind w:right="360"/>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303C3E" w14:textId="77777777" w:rsidR="009A0516" w:rsidRDefault="009A0516">
      <w:r>
        <w:separator/>
      </w:r>
    </w:p>
  </w:footnote>
  <w:footnote w:type="continuationSeparator" w:id="0">
    <w:p w14:paraId="7F758ACD" w14:textId="77777777" w:rsidR="009A0516" w:rsidRDefault="009A05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9" w15:restartNumberingAfterBreak="0">
    <w:nsid w:val="7D4479E7"/>
    <w:multiLevelType w:val="hybridMultilevel"/>
    <w:tmpl w:val="98825886"/>
    <w:lvl w:ilvl="0" w:tplc="155CE598">
      <w:start w:val="4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719159732">
    <w:abstractNumId w:val="4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3521"/>
    <w:rsid w:val="000136DF"/>
    <w:rsid w:val="00020EEC"/>
    <w:rsid w:val="0002440E"/>
    <w:rsid w:val="000254FA"/>
    <w:rsid w:val="0002759A"/>
    <w:rsid w:val="00027B1F"/>
    <w:rsid w:val="0003088B"/>
    <w:rsid w:val="000325D9"/>
    <w:rsid w:val="0003703C"/>
    <w:rsid w:val="000372B2"/>
    <w:rsid w:val="0004079F"/>
    <w:rsid w:val="00043543"/>
    <w:rsid w:val="00045B87"/>
    <w:rsid w:val="00045C07"/>
    <w:rsid w:val="00045C40"/>
    <w:rsid w:val="00046861"/>
    <w:rsid w:val="00050D80"/>
    <w:rsid w:val="00054A07"/>
    <w:rsid w:val="00055D43"/>
    <w:rsid w:val="00056FAC"/>
    <w:rsid w:val="00057751"/>
    <w:rsid w:val="0006208B"/>
    <w:rsid w:val="00062E39"/>
    <w:rsid w:val="00064063"/>
    <w:rsid w:val="0006581A"/>
    <w:rsid w:val="0006609E"/>
    <w:rsid w:val="00073696"/>
    <w:rsid w:val="00074461"/>
    <w:rsid w:val="000749AD"/>
    <w:rsid w:val="000766EC"/>
    <w:rsid w:val="00080E58"/>
    <w:rsid w:val="00083D99"/>
    <w:rsid w:val="00084DA6"/>
    <w:rsid w:val="00085699"/>
    <w:rsid w:val="00090160"/>
    <w:rsid w:val="00091F52"/>
    <w:rsid w:val="00092970"/>
    <w:rsid w:val="00093720"/>
    <w:rsid w:val="000938E6"/>
    <w:rsid w:val="00093B3C"/>
    <w:rsid w:val="00093F20"/>
    <w:rsid w:val="0009488C"/>
    <w:rsid w:val="00095C1B"/>
    <w:rsid w:val="00096DEA"/>
    <w:rsid w:val="000A4240"/>
    <w:rsid w:val="000A469A"/>
    <w:rsid w:val="000A584A"/>
    <w:rsid w:val="000A6458"/>
    <w:rsid w:val="000C378F"/>
    <w:rsid w:val="000C5974"/>
    <w:rsid w:val="000C6892"/>
    <w:rsid w:val="000C6FFE"/>
    <w:rsid w:val="000D0BB6"/>
    <w:rsid w:val="000D2ED2"/>
    <w:rsid w:val="000D6653"/>
    <w:rsid w:val="000E0D51"/>
    <w:rsid w:val="000E26B0"/>
    <w:rsid w:val="000E37C2"/>
    <w:rsid w:val="000E38C3"/>
    <w:rsid w:val="000F123C"/>
    <w:rsid w:val="000F1599"/>
    <w:rsid w:val="000F1769"/>
    <w:rsid w:val="000F1A97"/>
    <w:rsid w:val="000F42AE"/>
    <w:rsid w:val="000F6196"/>
    <w:rsid w:val="000F6BC3"/>
    <w:rsid w:val="0010312C"/>
    <w:rsid w:val="00104F3A"/>
    <w:rsid w:val="00105026"/>
    <w:rsid w:val="0010580A"/>
    <w:rsid w:val="0010662B"/>
    <w:rsid w:val="00106DC7"/>
    <w:rsid w:val="00112391"/>
    <w:rsid w:val="00113645"/>
    <w:rsid w:val="00114F52"/>
    <w:rsid w:val="00117E89"/>
    <w:rsid w:val="00125010"/>
    <w:rsid w:val="001268A1"/>
    <w:rsid w:val="00130119"/>
    <w:rsid w:val="0013172F"/>
    <w:rsid w:val="00132812"/>
    <w:rsid w:val="001347F8"/>
    <w:rsid w:val="001359EE"/>
    <w:rsid w:val="00137BB5"/>
    <w:rsid w:val="00137E05"/>
    <w:rsid w:val="001447F6"/>
    <w:rsid w:val="00147DE3"/>
    <w:rsid w:val="00150794"/>
    <w:rsid w:val="00151DA6"/>
    <w:rsid w:val="0015334E"/>
    <w:rsid w:val="001560BA"/>
    <w:rsid w:val="001608C4"/>
    <w:rsid w:val="00163E9E"/>
    <w:rsid w:val="00164832"/>
    <w:rsid w:val="00170E6B"/>
    <w:rsid w:val="00171418"/>
    <w:rsid w:val="001772BF"/>
    <w:rsid w:val="001772DE"/>
    <w:rsid w:val="00186DD3"/>
    <w:rsid w:val="001910F9"/>
    <w:rsid w:val="0019496C"/>
    <w:rsid w:val="001961CF"/>
    <w:rsid w:val="001A59BB"/>
    <w:rsid w:val="001A607E"/>
    <w:rsid w:val="001A6A51"/>
    <w:rsid w:val="001A7355"/>
    <w:rsid w:val="001A79C4"/>
    <w:rsid w:val="001B331A"/>
    <w:rsid w:val="001C0237"/>
    <w:rsid w:val="001C0E74"/>
    <w:rsid w:val="001C14D7"/>
    <w:rsid w:val="001C4DB8"/>
    <w:rsid w:val="001C50B8"/>
    <w:rsid w:val="001C548C"/>
    <w:rsid w:val="001D229F"/>
    <w:rsid w:val="001D52A9"/>
    <w:rsid w:val="001D730F"/>
    <w:rsid w:val="001E2EB6"/>
    <w:rsid w:val="001E43F5"/>
    <w:rsid w:val="001F4552"/>
    <w:rsid w:val="002019EB"/>
    <w:rsid w:val="0020394C"/>
    <w:rsid w:val="00204B58"/>
    <w:rsid w:val="00205051"/>
    <w:rsid w:val="00206BEE"/>
    <w:rsid w:val="00211F65"/>
    <w:rsid w:val="00214047"/>
    <w:rsid w:val="002162C8"/>
    <w:rsid w:val="00216563"/>
    <w:rsid w:val="0021792F"/>
    <w:rsid w:val="00220D06"/>
    <w:rsid w:val="002246A0"/>
    <w:rsid w:val="00230439"/>
    <w:rsid w:val="00232A09"/>
    <w:rsid w:val="00232EE7"/>
    <w:rsid w:val="00235176"/>
    <w:rsid w:val="00236061"/>
    <w:rsid w:val="0024100E"/>
    <w:rsid w:val="00241C1B"/>
    <w:rsid w:val="0024288B"/>
    <w:rsid w:val="00243DB0"/>
    <w:rsid w:val="00247265"/>
    <w:rsid w:val="0026001E"/>
    <w:rsid w:val="00260663"/>
    <w:rsid w:val="002657E9"/>
    <w:rsid w:val="0026665E"/>
    <w:rsid w:val="0027147E"/>
    <w:rsid w:val="002730FF"/>
    <w:rsid w:val="002731A4"/>
    <w:rsid w:val="002761F4"/>
    <w:rsid w:val="0027712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ADC"/>
    <w:rsid w:val="002D2F29"/>
    <w:rsid w:val="002D46C0"/>
    <w:rsid w:val="002D5A92"/>
    <w:rsid w:val="002D65D2"/>
    <w:rsid w:val="002D6B31"/>
    <w:rsid w:val="002D7E61"/>
    <w:rsid w:val="002E5F1D"/>
    <w:rsid w:val="002E6D17"/>
    <w:rsid w:val="002E7017"/>
    <w:rsid w:val="002E7F2C"/>
    <w:rsid w:val="002F0C3A"/>
    <w:rsid w:val="002F1FC7"/>
    <w:rsid w:val="002F2185"/>
    <w:rsid w:val="002F256E"/>
    <w:rsid w:val="002F45A9"/>
    <w:rsid w:val="002F4BAF"/>
    <w:rsid w:val="002F4F6E"/>
    <w:rsid w:val="003008D1"/>
    <w:rsid w:val="003015C3"/>
    <w:rsid w:val="003067BA"/>
    <w:rsid w:val="003106DB"/>
    <w:rsid w:val="0031350A"/>
    <w:rsid w:val="00315962"/>
    <w:rsid w:val="00316815"/>
    <w:rsid w:val="003168CA"/>
    <w:rsid w:val="00321255"/>
    <w:rsid w:val="0032230D"/>
    <w:rsid w:val="00322A0B"/>
    <w:rsid w:val="00322B26"/>
    <w:rsid w:val="00330881"/>
    <w:rsid w:val="00330D3D"/>
    <w:rsid w:val="00331CD2"/>
    <w:rsid w:val="00332426"/>
    <w:rsid w:val="00335C41"/>
    <w:rsid w:val="00335FC5"/>
    <w:rsid w:val="0033771E"/>
    <w:rsid w:val="00337FEF"/>
    <w:rsid w:val="00341DFC"/>
    <w:rsid w:val="00354B6D"/>
    <w:rsid w:val="00355210"/>
    <w:rsid w:val="00355CFD"/>
    <w:rsid w:val="0036214D"/>
    <w:rsid w:val="00365DF9"/>
    <w:rsid w:val="0037066E"/>
    <w:rsid w:val="00372DB4"/>
    <w:rsid w:val="00373A36"/>
    <w:rsid w:val="0037419E"/>
    <w:rsid w:val="00375AF5"/>
    <w:rsid w:val="003761BD"/>
    <w:rsid w:val="00377448"/>
    <w:rsid w:val="00377884"/>
    <w:rsid w:val="003826BD"/>
    <w:rsid w:val="00383274"/>
    <w:rsid w:val="00383FF5"/>
    <w:rsid w:val="00385414"/>
    <w:rsid w:val="00390074"/>
    <w:rsid w:val="00392F73"/>
    <w:rsid w:val="00393600"/>
    <w:rsid w:val="0039762B"/>
    <w:rsid w:val="003A0C37"/>
    <w:rsid w:val="003A1B6B"/>
    <w:rsid w:val="003A46C0"/>
    <w:rsid w:val="003A600E"/>
    <w:rsid w:val="003A6513"/>
    <w:rsid w:val="003A7ED7"/>
    <w:rsid w:val="003B16C7"/>
    <w:rsid w:val="003B1E4F"/>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68E"/>
    <w:rsid w:val="003E5FBA"/>
    <w:rsid w:val="003E7EC9"/>
    <w:rsid w:val="003F1233"/>
    <w:rsid w:val="003F56D6"/>
    <w:rsid w:val="003F67A4"/>
    <w:rsid w:val="003F6E56"/>
    <w:rsid w:val="00400786"/>
    <w:rsid w:val="00401CD3"/>
    <w:rsid w:val="00401FDA"/>
    <w:rsid w:val="004046F0"/>
    <w:rsid w:val="00405AFA"/>
    <w:rsid w:val="0040668F"/>
    <w:rsid w:val="00411EF7"/>
    <w:rsid w:val="00412677"/>
    <w:rsid w:val="00416AD0"/>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AB0"/>
    <w:rsid w:val="00467F66"/>
    <w:rsid w:val="00470461"/>
    <w:rsid w:val="00470BB1"/>
    <w:rsid w:val="00471284"/>
    <w:rsid w:val="00473153"/>
    <w:rsid w:val="0047350F"/>
    <w:rsid w:val="004743AF"/>
    <w:rsid w:val="00482C17"/>
    <w:rsid w:val="00484CE3"/>
    <w:rsid w:val="00486DAC"/>
    <w:rsid w:val="004911B4"/>
    <w:rsid w:val="0049196A"/>
    <w:rsid w:val="004923DA"/>
    <w:rsid w:val="00492EEB"/>
    <w:rsid w:val="00493434"/>
    <w:rsid w:val="0049645E"/>
    <w:rsid w:val="004968E2"/>
    <w:rsid w:val="004A2A49"/>
    <w:rsid w:val="004A5A64"/>
    <w:rsid w:val="004A5CF6"/>
    <w:rsid w:val="004A75C1"/>
    <w:rsid w:val="004B5553"/>
    <w:rsid w:val="004B600B"/>
    <w:rsid w:val="004B6822"/>
    <w:rsid w:val="004B69F6"/>
    <w:rsid w:val="004C2D3A"/>
    <w:rsid w:val="004D03C4"/>
    <w:rsid w:val="004D0BF1"/>
    <w:rsid w:val="004D0F4E"/>
    <w:rsid w:val="004D3278"/>
    <w:rsid w:val="004D35A4"/>
    <w:rsid w:val="004D445F"/>
    <w:rsid w:val="004E087B"/>
    <w:rsid w:val="004E1EE1"/>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528"/>
    <w:rsid w:val="00521123"/>
    <w:rsid w:val="00521221"/>
    <w:rsid w:val="0052250B"/>
    <w:rsid w:val="005305C6"/>
    <w:rsid w:val="00540EEC"/>
    <w:rsid w:val="005414F4"/>
    <w:rsid w:val="005438F1"/>
    <w:rsid w:val="00546187"/>
    <w:rsid w:val="00546C7D"/>
    <w:rsid w:val="00547B11"/>
    <w:rsid w:val="00557D77"/>
    <w:rsid w:val="00562EAA"/>
    <w:rsid w:val="00563B58"/>
    <w:rsid w:val="005640C4"/>
    <w:rsid w:val="0056684C"/>
    <w:rsid w:val="00571DDA"/>
    <w:rsid w:val="00574A0C"/>
    <w:rsid w:val="00575853"/>
    <w:rsid w:val="0057780F"/>
    <w:rsid w:val="00581E0A"/>
    <w:rsid w:val="00586D89"/>
    <w:rsid w:val="005877C8"/>
    <w:rsid w:val="00587923"/>
    <w:rsid w:val="005917B7"/>
    <w:rsid w:val="00594F9F"/>
    <w:rsid w:val="005A1B4C"/>
    <w:rsid w:val="005A545C"/>
    <w:rsid w:val="005A670C"/>
    <w:rsid w:val="005B08A7"/>
    <w:rsid w:val="005B271A"/>
    <w:rsid w:val="005B3A2D"/>
    <w:rsid w:val="005C1567"/>
    <w:rsid w:val="005C28D3"/>
    <w:rsid w:val="005C6CE5"/>
    <w:rsid w:val="005D2AE8"/>
    <w:rsid w:val="005D3F07"/>
    <w:rsid w:val="005D4A1E"/>
    <w:rsid w:val="005D4F72"/>
    <w:rsid w:val="005E058B"/>
    <w:rsid w:val="005E13EA"/>
    <w:rsid w:val="005E17F1"/>
    <w:rsid w:val="005E289B"/>
    <w:rsid w:val="005F64AA"/>
    <w:rsid w:val="005F7851"/>
    <w:rsid w:val="006025CC"/>
    <w:rsid w:val="00602F75"/>
    <w:rsid w:val="00606E27"/>
    <w:rsid w:val="006108C9"/>
    <w:rsid w:val="00614DF7"/>
    <w:rsid w:val="00616CE3"/>
    <w:rsid w:val="006179BB"/>
    <w:rsid w:val="0062158D"/>
    <w:rsid w:val="006223FD"/>
    <w:rsid w:val="00623611"/>
    <w:rsid w:val="00625A68"/>
    <w:rsid w:val="006326D1"/>
    <w:rsid w:val="00632E0A"/>
    <w:rsid w:val="00633165"/>
    <w:rsid w:val="00643A16"/>
    <w:rsid w:val="006447DE"/>
    <w:rsid w:val="00644889"/>
    <w:rsid w:val="00651A36"/>
    <w:rsid w:val="0065276E"/>
    <w:rsid w:val="00654329"/>
    <w:rsid w:val="00654CEC"/>
    <w:rsid w:val="0065507D"/>
    <w:rsid w:val="00655507"/>
    <w:rsid w:val="006579FD"/>
    <w:rsid w:val="006635E3"/>
    <w:rsid w:val="00664778"/>
    <w:rsid w:val="006669F3"/>
    <w:rsid w:val="006712A7"/>
    <w:rsid w:val="00672CED"/>
    <w:rsid w:val="00674FC2"/>
    <w:rsid w:val="00675718"/>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0442"/>
    <w:rsid w:val="006D18A3"/>
    <w:rsid w:val="006D5970"/>
    <w:rsid w:val="006E481E"/>
    <w:rsid w:val="006E795F"/>
    <w:rsid w:val="006F0862"/>
    <w:rsid w:val="006F1438"/>
    <w:rsid w:val="006F2A9E"/>
    <w:rsid w:val="006F4FA2"/>
    <w:rsid w:val="006F5ED3"/>
    <w:rsid w:val="00700249"/>
    <w:rsid w:val="007069CD"/>
    <w:rsid w:val="00706BB5"/>
    <w:rsid w:val="0071231A"/>
    <w:rsid w:val="00712E90"/>
    <w:rsid w:val="00713B7E"/>
    <w:rsid w:val="0072118B"/>
    <w:rsid w:val="00723447"/>
    <w:rsid w:val="0072678F"/>
    <w:rsid w:val="0072683A"/>
    <w:rsid w:val="007276E5"/>
    <w:rsid w:val="00727C4C"/>
    <w:rsid w:val="00733195"/>
    <w:rsid w:val="00733469"/>
    <w:rsid w:val="00734809"/>
    <w:rsid w:val="0073714E"/>
    <w:rsid w:val="007374EF"/>
    <w:rsid w:val="007406E1"/>
    <w:rsid w:val="00741690"/>
    <w:rsid w:val="00743E40"/>
    <w:rsid w:val="00745016"/>
    <w:rsid w:val="00747A2B"/>
    <w:rsid w:val="0075031F"/>
    <w:rsid w:val="00751263"/>
    <w:rsid w:val="007520B9"/>
    <w:rsid w:val="00754024"/>
    <w:rsid w:val="007544FC"/>
    <w:rsid w:val="00755427"/>
    <w:rsid w:val="00756548"/>
    <w:rsid w:val="0075673A"/>
    <w:rsid w:val="0075704F"/>
    <w:rsid w:val="00763B2D"/>
    <w:rsid w:val="00764C84"/>
    <w:rsid w:val="007710AD"/>
    <w:rsid w:val="00772924"/>
    <w:rsid w:val="0077327B"/>
    <w:rsid w:val="0078112D"/>
    <w:rsid w:val="00786555"/>
    <w:rsid w:val="007872F2"/>
    <w:rsid w:val="007873F9"/>
    <w:rsid w:val="007908E0"/>
    <w:rsid w:val="00793EB3"/>
    <w:rsid w:val="00794205"/>
    <w:rsid w:val="0079422A"/>
    <w:rsid w:val="007A1F6A"/>
    <w:rsid w:val="007A628F"/>
    <w:rsid w:val="007B0DE3"/>
    <w:rsid w:val="007B1BFD"/>
    <w:rsid w:val="007B7191"/>
    <w:rsid w:val="007C12E4"/>
    <w:rsid w:val="007C1D94"/>
    <w:rsid w:val="007C556F"/>
    <w:rsid w:val="007C5ABE"/>
    <w:rsid w:val="007C6A87"/>
    <w:rsid w:val="007D0A07"/>
    <w:rsid w:val="007D0F11"/>
    <w:rsid w:val="007D133D"/>
    <w:rsid w:val="007D3EB4"/>
    <w:rsid w:val="007D3F16"/>
    <w:rsid w:val="007E285F"/>
    <w:rsid w:val="007F10BD"/>
    <w:rsid w:val="007F312E"/>
    <w:rsid w:val="007F37E1"/>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315D"/>
    <w:rsid w:val="008550A1"/>
    <w:rsid w:val="00861038"/>
    <w:rsid w:val="00862BC7"/>
    <w:rsid w:val="00865B58"/>
    <w:rsid w:val="00866B50"/>
    <w:rsid w:val="00867A63"/>
    <w:rsid w:val="008708F1"/>
    <w:rsid w:val="00871960"/>
    <w:rsid w:val="0087369F"/>
    <w:rsid w:val="008779ED"/>
    <w:rsid w:val="00880539"/>
    <w:rsid w:val="008859E8"/>
    <w:rsid w:val="0088737B"/>
    <w:rsid w:val="008878F5"/>
    <w:rsid w:val="00891078"/>
    <w:rsid w:val="00892716"/>
    <w:rsid w:val="00893067"/>
    <w:rsid w:val="008933DE"/>
    <w:rsid w:val="00895FCE"/>
    <w:rsid w:val="00896FAF"/>
    <w:rsid w:val="00897F3E"/>
    <w:rsid w:val="008A21B4"/>
    <w:rsid w:val="008B07DE"/>
    <w:rsid w:val="008B1309"/>
    <w:rsid w:val="008B28E7"/>
    <w:rsid w:val="008B67F6"/>
    <w:rsid w:val="008C14C7"/>
    <w:rsid w:val="008C2FFB"/>
    <w:rsid w:val="008C5787"/>
    <w:rsid w:val="008C633F"/>
    <w:rsid w:val="008C6B7A"/>
    <w:rsid w:val="008C6EEA"/>
    <w:rsid w:val="008C7770"/>
    <w:rsid w:val="008C79C7"/>
    <w:rsid w:val="008D03B0"/>
    <w:rsid w:val="008D1744"/>
    <w:rsid w:val="008D2150"/>
    <w:rsid w:val="008D291D"/>
    <w:rsid w:val="008D5813"/>
    <w:rsid w:val="008D5999"/>
    <w:rsid w:val="008D634E"/>
    <w:rsid w:val="008D778A"/>
    <w:rsid w:val="008D78C9"/>
    <w:rsid w:val="008E1832"/>
    <w:rsid w:val="008E206D"/>
    <w:rsid w:val="008E3195"/>
    <w:rsid w:val="008E5A35"/>
    <w:rsid w:val="008E5C45"/>
    <w:rsid w:val="008F127E"/>
    <w:rsid w:val="008F32D9"/>
    <w:rsid w:val="008F5863"/>
    <w:rsid w:val="00902A65"/>
    <w:rsid w:val="00903932"/>
    <w:rsid w:val="009051B1"/>
    <w:rsid w:val="00905F75"/>
    <w:rsid w:val="009079BD"/>
    <w:rsid w:val="00912BD9"/>
    <w:rsid w:val="0091616D"/>
    <w:rsid w:val="00916FB2"/>
    <w:rsid w:val="00920E5B"/>
    <w:rsid w:val="00926436"/>
    <w:rsid w:val="00926C53"/>
    <w:rsid w:val="00927432"/>
    <w:rsid w:val="0093018C"/>
    <w:rsid w:val="00941FA6"/>
    <w:rsid w:val="0094495F"/>
    <w:rsid w:val="009544C0"/>
    <w:rsid w:val="00954FA4"/>
    <w:rsid w:val="00956AE9"/>
    <w:rsid w:val="00962CBE"/>
    <w:rsid w:val="00964CC6"/>
    <w:rsid w:val="00967BFA"/>
    <w:rsid w:val="00970C84"/>
    <w:rsid w:val="0098262C"/>
    <w:rsid w:val="0098427C"/>
    <w:rsid w:val="00984305"/>
    <w:rsid w:val="00986B43"/>
    <w:rsid w:val="00986C0B"/>
    <w:rsid w:val="00986D46"/>
    <w:rsid w:val="00991FDA"/>
    <w:rsid w:val="00992ACA"/>
    <w:rsid w:val="00993D5F"/>
    <w:rsid w:val="009956EB"/>
    <w:rsid w:val="009A0516"/>
    <w:rsid w:val="009A16C5"/>
    <w:rsid w:val="009A5F3B"/>
    <w:rsid w:val="009A5F79"/>
    <w:rsid w:val="009A6F87"/>
    <w:rsid w:val="009B0B61"/>
    <w:rsid w:val="009B28C0"/>
    <w:rsid w:val="009B3178"/>
    <w:rsid w:val="009B3E46"/>
    <w:rsid w:val="009B7136"/>
    <w:rsid w:val="009C337F"/>
    <w:rsid w:val="009C53E7"/>
    <w:rsid w:val="009C6092"/>
    <w:rsid w:val="009C7342"/>
    <w:rsid w:val="009D37E3"/>
    <w:rsid w:val="009D4365"/>
    <w:rsid w:val="009D477B"/>
    <w:rsid w:val="009D4E3B"/>
    <w:rsid w:val="009D59C2"/>
    <w:rsid w:val="009D7BC9"/>
    <w:rsid w:val="009E122F"/>
    <w:rsid w:val="009E1982"/>
    <w:rsid w:val="009E4D2C"/>
    <w:rsid w:val="009E7017"/>
    <w:rsid w:val="009F0978"/>
    <w:rsid w:val="009F3AEC"/>
    <w:rsid w:val="009F53B5"/>
    <w:rsid w:val="009F67D8"/>
    <w:rsid w:val="009F6801"/>
    <w:rsid w:val="009F7A8F"/>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1C27"/>
    <w:rsid w:val="00A53558"/>
    <w:rsid w:val="00A54D67"/>
    <w:rsid w:val="00A55A3F"/>
    <w:rsid w:val="00A55BA1"/>
    <w:rsid w:val="00A5656A"/>
    <w:rsid w:val="00A60103"/>
    <w:rsid w:val="00A652F6"/>
    <w:rsid w:val="00A65861"/>
    <w:rsid w:val="00A732EA"/>
    <w:rsid w:val="00A7489E"/>
    <w:rsid w:val="00A8015F"/>
    <w:rsid w:val="00A85039"/>
    <w:rsid w:val="00A906AA"/>
    <w:rsid w:val="00A925F1"/>
    <w:rsid w:val="00A94C5E"/>
    <w:rsid w:val="00AA252C"/>
    <w:rsid w:val="00AA5E1D"/>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7400"/>
    <w:rsid w:val="00B0296A"/>
    <w:rsid w:val="00B03446"/>
    <w:rsid w:val="00B037B0"/>
    <w:rsid w:val="00B07E79"/>
    <w:rsid w:val="00B12295"/>
    <w:rsid w:val="00B137BE"/>
    <w:rsid w:val="00B15998"/>
    <w:rsid w:val="00B17FA0"/>
    <w:rsid w:val="00B20991"/>
    <w:rsid w:val="00B2292C"/>
    <w:rsid w:val="00B22C3C"/>
    <w:rsid w:val="00B24344"/>
    <w:rsid w:val="00B251B3"/>
    <w:rsid w:val="00B26769"/>
    <w:rsid w:val="00B2754B"/>
    <w:rsid w:val="00B31C91"/>
    <w:rsid w:val="00B365D9"/>
    <w:rsid w:val="00B3747F"/>
    <w:rsid w:val="00B42A7C"/>
    <w:rsid w:val="00B42E76"/>
    <w:rsid w:val="00B43194"/>
    <w:rsid w:val="00B436BF"/>
    <w:rsid w:val="00B47734"/>
    <w:rsid w:val="00B47FD6"/>
    <w:rsid w:val="00B50FBA"/>
    <w:rsid w:val="00B510EB"/>
    <w:rsid w:val="00B558EB"/>
    <w:rsid w:val="00B577D3"/>
    <w:rsid w:val="00B60466"/>
    <w:rsid w:val="00B6548F"/>
    <w:rsid w:val="00B71A32"/>
    <w:rsid w:val="00B7502A"/>
    <w:rsid w:val="00B77305"/>
    <w:rsid w:val="00B774BD"/>
    <w:rsid w:val="00B82CC2"/>
    <w:rsid w:val="00B84A89"/>
    <w:rsid w:val="00B8670F"/>
    <w:rsid w:val="00B9256C"/>
    <w:rsid w:val="00B92BEF"/>
    <w:rsid w:val="00B930AA"/>
    <w:rsid w:val="00B94443"/>
    <w:rsid w:val="00B9689A"/>
    <w:rsid w:val="00B97056"/>
    <w:rsid w:val="00BA156C"/>
    <w:rsid w:val="00BA4A37"/>
    <w:rsid w:val="00BA531E"/>
    <w:rsid w:val="00BA728B"/>
    <w:rsid w:val="00BB05D3"/>
    <w:rsid w:val="00BB06CB"/>
    <w:rsid w:val="00BB261F"/>
    <w:rsid w:val="00BB2887"/>
    <w:rsid w:val="00BB3B56"/>
    <w:rsid w:val="00BB5EAA"/>
    <w:rsid w:val="00BB5F11"/>
    <w:rsid w:val="00BB6638"/>
    <w:rsid w:val="00BB7FD2"/>
    <w:rsid w:val="00BC04FA"/>
    <w:rsid w:val="00BC0531"/>
    <w:rsid w:val="00BC1C22"/>
    <w:rsid w:val="00BC4566"/>
    <w:rsid w:val="00BC460B"/>
    <w:rsid w:val="00BC4ED3"/>
    <w:rsid w:val="00BC5725"/>
    <w:rsid w:val="00BD30B1"/>
    <w:rsid w:val="00BE0F7B"/>
    <w:rsid w:val="00BE10C2"/>
    <w:rsid w:val="00BF0D6C"/>
    <w:rsid w:val="00BF5CF6"/>
    <w:rsid w:val="00C01D14"/>
    <w:rsid w:val="00C01D97"/>
    <w:rsid w:val="00C025B4"/>
    <w:rsid w:val="00C029EC"/>
    <w:rsid w:val="00C05DE6"/>
    <w:rsid w:val="00C1432C"/>
    <w:rsid w:val="00C161FD"/>
    <w:rsid w:val="00C16DC5"/>
    <w:rsid w:val="00C17C9F"/>
    <w:rsid w:val="00C23F17"/>
    <w:rsid w:val="00C246F2"/>
    <w:rsid w:val="00C25CDD"/>
    <w:rsid w:val="00C26D0D"/>
    <w:rsid w:val="00C27A98"/>
    <w:rsid w:val="00C27C95"/>
    <w:rsid w:val="00C300D2"/>
    <w:rsid w:val="00C3270F"/>
    <w:rsid w:val="00C3278B"/>
    <w:rsid w:val="00C33375"/>
    <w:rsid w:val="00C34C23"/>
    <w:rsid w:val="00C368FA"/>
    <w:rsid w:val="00C37215"/>
    <w:rsid w:val="00C42005"/>
    <w:rsid w:val="00C465F8"/>
    <w:rsid w:val="00C4664D"/>
    <w:rsid w:val="00C472AA"/>
    <w:rsid w:val="00C507D5"/>
    <w:rsid w:val="00C50A05"/>
    <w:rsid w:val="00C54AED"/>
    <w:rsid w:val="00C555FC"/>
    <w:rsid w:val="00C55E9B"/>
    <w:rsid w:val="00C56D09"/>
    <w:rsid w:val="00C57D24"/>
    <w:rsid w:val="00C604D6"/>
    <w:rsid w:val="00C61588"/>
    <w:rsid w:val="00C63CAB"/>
    <w:rsid w:val="00C63D00"/>
    <w:rsid w:val="00C6441B"/>
    <w:rsid w:val="00C65921"/>
    <w:rsid w:val="00C7108B"/>
    <w:rsid w:val="00C71A00"/>
    <w:rsid w:val="00C75883"/>
    <w:rsid w:val="00C77FA5"/>
    <w:rsid w:val="00C8089F"/>
    <w:rsid w:val="00C8100A"/>
    <w:rsid w:val="00C81C03"/>
    <w:rsid w:val="00C835FE"/>
    <w:rsid w:val="00C836CC"/>
    <w:rsid w:val="00C852D6"/>
    <w:rsid w:val="00C87A74"/>
    <w:rsid w:val="00C92C71"/>
    <w:rsid w:val="00C93F8F"/>
    <w:rsid w:val="00CA0894"/>
    <w:rsid w:val="00CA3593"/>
    <w:rsid w:val="00CA5726"/>
    <w:rsid w:val="00CA7E6A"/>
    <w:rsid w:val="00CB258E"/>
    <w:rsid w:val="00CB3C8F"/>
    <w:rsid w:val="00CC028C"/>
    <w:rsid w:val="00CC02F1"/>
    <w:rsid w:val="00CC1122"/>
    <w:rsid w:val="00CC11A6"/>
    <w:rsid w:val="00CC135E"/>
    <w:rsid w:val="00CC7226"/>
    <w:rsid w:val="00CD0735"/>
    <w:rsid w:val="00CD45E3"/>
    <w:rsid w:val="00CD4771"/>
    <w:rsid w:val="00CD5089"/>
    <w:rsid w:val="00CD5D3F"/>
    <w:rsid w:val="00CD6E1E"/>
    <w:rsid w:val="00CD7522"/>
    <w:rsid w:val="00CD7E1F"/>
    <w:rsid w:val="00CE4BC4"/>
    <w:rsid w:val="00CE7DA2"/>
    <w:rsid w:val="00CF2F8A"/>
    <w:rsid w:val="00CF3DB3"/>
    <w:rsid w:val="00CF4166"/>
    <w:rsid w:val="00D010AE"/>
    <w:rsid w:val="00D0274B"/>
    <w:rsid w:val="00D0503D"/>
    <w:rsid w:val="00D052BC"/>
    <w:rsid w:val="00D07026"/>
    <w:rsid w:val="00D146AE"/>
    <w:rsid w:val="00D22C8F"/>
    <w:rsid w:val="00D3203C"/>
    <w:rsid w:val="00D33491"/>
    <w:rsid w:val="00D33575"/>
    <w:rsid w:val="00D3442D"/>
    <w:rsid w:val="00D36F00"/>
    <w:rsid w:val="00D4160B"/>
    <w:rsid w:val="00D42239"/>
    <w:rsid w:val="00D44B67"/>
    <w:rsid w:val="00D44F8E"/>
    <w:rsid w:val="00D51FD5"/>
    <w:rsid w:val="00D55DE0"/>
    <w:rsid w:val="00D560CE"/>
    <w:rsid w:val="00D607EF"/>
    <w:rsid w:val="00D60F88"/>
    <w:rsid w:val="00D646BD"/>
    <w:rsid w:val="00D65558"/>
    <w:rsid w:val="00D71201"/>
    <w:rsid w:val="00D720C7"/>
    <w:rsid w:val="00D77E1D"/>
    <w:rsid w:val="00D84841"/>
    <w:rsid w:val="00D876E6"/>
    <w:rsid w:val="00D90958"/>
    <w:rsid w:val="00DA1025"/>
    <w:rsid w:val="00DA22EC"/>
    <w:rsid w:val="00DA5682"/>
    <w:rsid w:val="00DA5860"/>
    <w:rsid w:val="00DA5C0C"/>
    <w:rsid w:val="00DB0E66"/>
    <w:rsid w:val="00DB2767"/>
    <w:rsid w:val="00DB60B0"/>
    <w:rsid w:val="00DC1B10"/>
    <w:rsid w:val="00DC2924"/>
    <w:rsid w:val="00DC4729"/>
    <w:rsid w:val="00DD31C5"/>
    <w:rsid w:val="00DD5020"/>
    <w:rsid w:val="00DD63BE"/>
    <w:rsid w:val="00DE4296"/>
    <w:rsid w:val="00DF2469"/>
    <w:rsid w:val="00DF7899"/>
    <w:rsid w:val="00E0524C"/>
    <w:rsid w:val="00E0790A"/>
    <w:rsid w:val="00E15751"/>
    <w:rsid w:val="00E16E7C"/>
    <w:rsid w:val="00E17160"/>
    <w:rsid w:val="00E17D41"/>
    <w:rsid w:val="00E231D1"/>
    <w:rsid w:val="00E25015"/>
    <w:rsid w:val="00E326C8"/>
    <w:rsid w:val="00E3288D"/>
    <w:rsid w:val="00E35112"/>
    <w:rsid w:val="00E35BEC"/>
    <w:rsid w:val="00E41A6A"/>
    <w:rsid w:val="00E50821"/>
    <w:rsid w:val="00E51F91"/>
    <w:rsid w:val="00E5498A"/>
    <w:rsid w:val="00E559CE"/>
    <w:rsid w:val="00E60F42"/>
    <w:rsid w:val="00E6746C"/>
    <w:rsid w:val="00E7086E"/>
    <w:rsid w:val="00E708E0"/>
    <w:rsid w:val="00E71248"/>
    <w:rsid w:val="00E73C41"/>
    <w:rsid w:val="00E75911"/>
    <w:rsid w:val="00E7598F"/>
    <w:rsid w:val="00E76B96"/>
    <w:rsid w:val="00E76F60"/>
    <w:rsid w:val="00E812B5"/>
    <w:rsid w:val="00E8199E"/>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56FF"/>
    <w:rsid w:val="00EB62E6"/>
    <w:rsid w:val="00EB695F"/>
    <w:rsid w:val="00EC3A85"/>
    <w:rsid w:val="00EC4B89"/>
    <w:rsid w:val="00EC59A5"/>
    <w:rsid w:val="00EC6E15"/>
    <w:rsid w:val="00ED1B30"/>
    <w:rsid w:val="00ED3283"/>
    <w:rsid w:val="00ED5D03"/>
    <w:rsid w:val="00EE01ED"/>
    <w:rsid w:val="00EE1AC1"/>
    <w:rsid w:val="00EE31C5"/>
    <w:rsid w:val="00EE39D6"/>
    <w:rsid w:val="00EE52AD"/>
    <w:rsid w:val="00EE5876"/>
    <w:rsid w:val="00EE5BC3"/>
    <w:rsid w:val="00EE6FAB"/>
    <w:rsid w:val="00EF328C"/>
    <w:rsid w:val="00EF68BB"/>
    <w:rsid w:val="00F01F92"/>
    <w:rsid w:val="00F030D4"/>
    <w:rsid w:val="00F04053"/>
    <w:rsid w:val="00F06573"/>
    <w:rsid w:val="00F06E2D"/>
    <w:rsid w:val="00F10A08"/>
    <w:rsid w:val="00F15354"/>
    <w:rsid w:val="00F16AED"/>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6618"/>
    <w:rsid w:val="00F709C0"/>
    <w:rsid w:val="00F75F02"/>
    <w:rsid w:val="00F81D2D"/>
    <w:rsid w:val="00F81FEC"/>
    <w:rsid w:val="00F85553"/>
    <w:rsid w:val="00F8778E"/>
    <w:rsid w:val="00F927A1"/>
    <w:rsid w:val="00F92E4D"/>
    <w:rsid w:val="00F95D08"/>
    <w:rsid w:val="00FA23BD"/>
    <w:rsid w:val="00FA3764"/>
    <w:rsid w:val="00FA41C7"/>
    <w:rsid w:val="00FA4A79"/>
    <w:rsid w:val="00FA56ED"/>
    <w:rsid w:val="00FB05DD"/>
    <w:rsid w:val="00FB0F7C"/>
    <w:rsid w:val="00FB24EA"/>
    <w:rsid w:val="00FB4030"/>
    <w:rsid w:val="00FB5FA6"/>
    <w:rsid w:val="00FC0334"/>
    <w:rsid w:val="00FC1310"/>
    <w:rsid w:val="00FC2FF3"/>
    <w:rsid w:val="00FC3263"/>
    <w:rsid w:val="00FC4834"/>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A535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17711</TotalTime>
  <Pages>9</Pages>
  <Words>4240</Words>
  <Characters>24172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Rhys Williams (Student)</cp:lastModifiedBy>
  <cp:revision>154</cp:revision>
  <cp:lastPrinted>2020-02-11T19:20:00Z</cp:lastPrinted>
  <dcterms:created xsi:type="dcterms:W3CDTF">2022-09-29T11:34:00Z</dcterms:created>
  <dcterms:modified xsi:type="dcterms:W3CDTF">2024-10-06T20:07:00Z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