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12DCF" w14:textId="77777777" w:rsidR="00605AE1" w:rsidRPr="001D2B7A" w:rsidRDefault="000D5457">
      <w:pPr>
        <w:rPr>
          <w:rFonts w:ascii="Arial" w:hAnsi="Arial" w:cs="Arial"/>
          <w:sz w:val="24"/>
          <w:szCs w:val="24"/>
        </w:rPr>
      </w:pPr>
      <w:r w:rsidRPr="001D2B7A">
        <w:rPr>
          <w:rFonts w:ascii="Arial" w:hAnsi="Arial" w:cs="Arial"/>
          <w:noProof/>
          <w:sz w:val="24"/>
          <w:szCs w:val="24"/>
          <w:lang w:eastAsia="en-GB"/>
        </w:rPr>
        <w:drawing>
          <wp:inline distT="0" distB="0" distL="0" distR="0" wp14:anchorId="2684273E" wp14:editId="763C630A">
            <wp:extent cx="1705005" cy="6916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b="9981"/>
                    <a:stretch/>
                  </pic:blipFill>
                  <pic:spPr bwMode="auto">
                    <a:xfrm>
                      <a:off x="0" y="0"/>
                      <a:ext cx="1738084" cy="705081"/>
                    </a:xfrm>
                    <a:prstGeom prst="rect">
                      <a:avLst/>
                    </a:prstGeom>
                    <a:ln>
                      <a:noFill/>
                    </a:ln>
                    <a:extLst>
                      <a:ext uri="{53640926-AAD7-44D8-BBD7-CCE9431645EC}">
                        <a14:shadowObscured xmlns:a14="http://schemas.microsoft.com/office/drawing/2010/main"/>
                      </a:ext>
                    </a:extLst>
                  </pic:spPr>
                </pic:pic>
              </a:graphicData>
            </a:graphic>
          </wp:inline>
        </w:drawing>
      </w:r>
    </w:p>
    <w:p w14:paraId="28A710ED" w14:textId="77777777" w:rsidR="001D2B7A" w:rsidRPr="001D2B7A" w:rsidRDefault="001D2B7A">
      <w:pPr>
        <w:rPr>
          <w:rFonts w:ascii="Arial" w:hAnsi="Arial" w:cs="Arial"/>
          <w:sz w:val="24"/>
          <w:szCs w:val="24"/>
        </w:rPr>
      </w:pPr>
    </w:p>
    <w:p w14:paraId="2C412CD0" w14:textId="77777777" w:rsidR="0010693C" w:rsidRPr="0010693C" w:rsidRDefault="0010693C" w:rsidP="00280EB5">
      <w:pPr>
        <w:jc w:val="center"/>
        <w:rPr>
          <w:rFonts w:ascii="Arial" w:hAnsi="Arial" w:cs="Arial"/>
          <w:sz w:val="24"/>
          <w:szCs w:val="24"/>
        </w:rPr>
      </w:pPr>
      <w:r w:rsidRPr="0010693C">
        <w:rPr>
          <w:rFonts w:ascii="Arial" w:hAnsi="Arial" w:cs="Arial"/>
          <w:b/>
          <w:bCs/>
          <w:sz w:val="24"/>
          <w:szCs w:val="24"/>
        </w:rPr>
        <w:t>ASSESSMENT COMPONENT 1</w:t>
      </w:r>
    </w:p>
    <w:p w14:paraId="5B6103CC" w14:textId="3C7C4267" w:rsidR="0010693C" w:rsidRPr="0010693C" w:rsidRDefault="00280EB5" w:rsidP="00280EB5">
      <w:pPr>
        <w:jc w:val="center"/>
        <w:rPr>
          <w:rFonts w:ascii="Arial" w:hAnsi="Arial" w:cs="Arial"/>
          <w:sz w:val="24"/>
          <w:szCs w:val="24"/>
        </w:rPr>
      </w:pPr>
      <w:r>
        <w:rPr>
          <w:rFonts w:ascii="Arial" w:hAnsi="Arial" w:cs="Arial"/>
          <w:b/>
          <w:bCs/>
          <w:sz w:val="24"/>
          <w:szCs w:val="24"/>
        </w:rPr>
        <w:t xml:space="preserve">   </w:t>
      </w:r>
      <w:r w:rsidR="0010693C" w:rsidRPr="0010693C">
        <w:rPr>
          <w:rFonts w:ascii="Arial" w:hAnsi="Arial" w:cs="Arial"/>
          <w:b/>
          <w:bCs/>
          <w:sz w:val="24"/>
          <w:szCs w:val="24"/>
        </w:rPr>
        <w:t>HUMAN CAPITAL MANAGEMENT</w:t>
      </w:r>
    </w:p>
    <w:p w14:paraId="33DB99F4" w14:textId="77777777" w:rsidR="002F01EB" w:rsidRDefault="002F01EB" w:rsidP="0010693C">
      <w:pPr>
        <w:rPr>
          <w:rFonts w:ascii="Arial" w:hAnsi="Arial" w:cs="Arial"/>
          <w:b/>
          <w:bCs/>
          <w:sz w:val="24"/>
          <w:szCs w:val="24"/>
        </w:rPr>
      </w:pPr>
    </w:p>
    <w:p w14:paraId="0AADEE40" w14:textId="77777777" w:rsidR="0010693C" w:rsidRDefault="0010693C" w:rsidP="0010693C">
      <w:pPr>
        <w:rPr>
          <w:rFonts w:ascii="Arial" w:hAnsi="Arial" w:cs="Arial"/>
          <w:sz w:val="24"/>
          <w:szCs w:val="24"/>
        </w:rPr>
      </w:pPr>
      <w:r w:rsidRPr="0010693C">
        <w:rPr>
          <w:rFonts w:ascii="Arial" w:hAnsi="Arial" w:cs="Arial"/>
          <w:b/>
          <w:bCs/>
          <w:sz w:val="24"/>
          <w:szCs w:val="24"/>
        </w:rPr>
        <w:t>Student Name:</w:t>
      </w:r>
      <w:r>
        <w:rPr>
          <w:rFonts w:ascii="Arial" w:hAnsi="Arial" w:cs="Arial"/>
          <w:sz w:val="24"/>
          <w:szCs w:val="24"/>
        </w:rPr>
        <w:t xml:space="preserve"> </w:t>
      </w:r>
      <w:r w:rsidR="003D4847" w:rsidRPr="003D4847">
        <w:rPr>
          <w:rFonts w:ascii="Arial" w:hAnsi="Arial" w:cs="Arial"/>
          <w:sz w:val="24"/>
          <w:szCs w:val="24"/>
        </w:rPr>
        <w:t xml:space="preserve">Nensi </w:t>
      </w:r>
      <w:proofErr w:type="spellStart"/>
      <w:r w:rsidR="003D4847" w:rsidRPr="003D4847">
        <w:rPr>
          <w:rFonts w:ascii="Arial" w:hAnsi="Arial" w:cs="Arial"/>
          <w:sz w:val="24"/>
          <w:szCs w:val="24"/>
        </w:rPr>
        <w:t>Vipulbhai</w:t>
      </w:r>
      <w:proofErr w:type="spellEnd"/>
      <w:r w:rsidR="003D4847" w:rsidRPr="003D4847">
        <w:rPr>
          <w:rFonts w:ascii="Arial" w:hAnsi="Arial" w:cs="Arial"/>
          <w:sz w:val="24"/>
          <w:szCs w:val="24"/>
        </w:rPr>
        <w:t xml:space="preserve"> </w:t>
      </w:r>
      <w:proofErr w:type="spellStart"/>
      <w:r w:rsidR="003D4847" w:rsidRPr="003D4847">
        <w:rPr>
          <w:rFonts w:ascii="Arial" w:hAnsi="Arial" w:cs="Arial"/>
          <w:sz w:val="24"/>
          <w:szCs w:val="24"/>
        </w:rPr>
        <w:t>Kachhadiya</w:t>
      </w:r>
      <w:proofErr w:type="spellEnd"/>
    </w:p>
    <w:p w14:paraId="4D99C11A" w14:textId="77777777" w:rsidR="0010693C" w:rsidRPr="0010693C" w:rsidRDefault="0010693C" w:rsidP="0010693C">
      <w:pPr>
        <w:rPr>
          <w:rFonts w:ascii="Arial" w:hAnsi="Arial" w:cs="Arial"/>
          <w:sz w:val="24"/>
          <w:szCs w:val="24"/>
        </w:rPr>
      </w:pPr>
      <w:r w:rsidRPr="0010693C">
        <w:rPr>
          <w:rFonts w:ascii="Arial" w:hAnsi="Arial" w:cs="Arial"/>
          <w:b/>
          <w:bCs/>
          <w:sz w:val="24"/>
          <w:szCs w:val="24"/>
        </w:rPr>
        <w:t>Student ID:</w:t>
      </w:r>
      <w:r>
        <w:rPr>
          <w:rFonts w:ascii="Arial" w:hAnsi="Arial" w:cs="Arial"/>
          <w:sz w:val="24"/>
          <w:szCs w:val="24"/>
        </w:rPr>
        <w:t xml:space="preserve"> </w:t>
      </w:r>
      <w:r w:rsidR="003D4847" w:rsidRPr="003D4847">
        <w:rPr>
          <w:rFonts w:ascii="Arial" w:hAnsi="Arial" w:cs="Arial"/>
          <w:sz w:val="24"/>
          <w:szCs w:val="24"/>
        </w:rPr>
        <w:t>2535707</w:t>
      </w:r>
    </w:p>
    <w:p w14:paraId="1E91D099" w14:textId="77777777" w:rsidR="0010693C" w:rsidRPr="0010693C" w:rsidRDefault="0010693C" w:rsidP="0010693C">
      <w:pPr>
        <w:rPr>
          <w:rFonts w:ascii="Arial" w:hAnsi="Arial" w:cs="Arial"/>
          <w:sz w:val="24"/>
          <w:szCs w:val="24"/>
        </w:rPr>
      </w:pPr>
      <w:r w:rsidRPr="0010693C">
        <w:rPr>
          <w:rFonts w:ascii="Arial" w:hAnsi="Arial" w:cs="Arial"/>
          <w:b/>
          <w:bCs/>
          <w:sz w:val="24"/>
          <w:szCs w:val="24"/>
        </w:rPr>
        <w:t>Lecturer:</w:t>
      </w:r>
      <w:r>
        <w:rPr>
          <w:rFonts w:ascii="Arial" w:hAnsi="Arial" w:cs="Arial"/>
          <w:sz w:val="24"/>
          <w:szCs w:val="24"/>
        </w:rPr>
        <w:t xml:space="preserve"> </w:t>
      </w:r>
      <w:r w:rsidRPr="0010693C">
        <w:rPr>
          <w:rFonts w:ascii="Arial" w:hAnsi="Arial" w:cs="Arial"/>
          <w:sz w:val="24"/>
          <w:szCs w:val="24"/>
        </w:rPr>
        <w:t>Eno Maycock (Birmingham)</w:t>
      </w:r>
    </w:p>
    <w:p w14:paraId="5AFC425D" w14:textId="77777777" w:rsidR="0010693C" w:rsidRPr="0010693C" w:rsidRDefault="0010693C" w:rsidP="0010693C">
      <w:pPr>
        <w:rPr>
          <w:rFonts w:ascii="Arial" w:hAnsi="Arial" w:cs="Arial"/>
          <w:sz w:val="24"/>
          <w:szCs w:val="24"/>
        </w:rPr>
      </w:pPr>
      <w:r w:rsidRPr="0010693C">
        <w:rPr>
          <w:rFonts w:ascii="Arial" w:hAnsi="Arial" w:cs="Arial"/>
          <w:b/>
          <w:bCs/>
          <w:sz w:val="24"/>
          <w:szCs w:val="24"/>
        </w:rPr>
        <w:t>Programme:</w:t>
      </w:r>
      <w:r w:rsidRPr="0010693C">
        <w:rPr>
          <w:rFonts w:ascii="Arial" w:hAnsi="Arial" w:cs="Arial"/>
          <w:sz w:val="24"/>
          <w:szCs w:val="24"/>
        </w:rPr>
        <w:t xml:space="preserve"> Master of Business Administration</w:t>
      </w:r>
    </w:p>
    <w:p w14:paraId="1A8AE040" w14:textId="77777777" w:rsidR="0010693C" w:rsidRPr="0010693C" w:rsidRDefault="0010693C" w:rsidP="0010693C">
      <w:pPr>
        <w:rPr>
          <w:rFonts w:ascii="Arial" w:hAnsi="Arial" w:cs="Arial"/>
          <w:sz w:val="24"/>
          <w:szCs w:val="24"/>
        </w:rPr>
      </w:pPr>
      <w:r w:rsidRPr="0010693C">
        <w:rPr>
          <w:rFonts w:ascii="Arial" w:hAnsi="Arial" w:cs="Arial"/>
          <w:b/>
          <w:bCs/>
          <w:sz w:val="24"/>
          <w:szCs w:val="24"/>
        </w:rPr>
        <w:t>Module:</w:t>
      </w:r>
      <w:r w:rsidRPr="0010693C">
        <w:rPr>
          <w:rFonts w:ascii="Arial" w:hAnsi="Arial" w:cs="Arial"/>
          <w:sz w:val="24"/>
          <w:szCs w:val="24"/>
        </w:rPr>
        <w:t xml:space="preserve"> Human Capital Management</w:t>
      </w:r>
    </w:p>
    <w:p w14:paraId="5CC9B165" w14:textId="77777777" w:rsidR="0010693C" w:rsidRPr="0010693C" w:rsidRDefault="0010693C" w:rsidP="0010693C">
      <w:pPr>
        <w:rPr>
          <w:rFonts w:ascii="Arial" w:hAnsi="Arial" w:cs="Arial"/>
          <w:sz w:val="24"/>
          <w:szCs w:val="24"/>
        </w:rPr>
      </w:pPr>
      <w:r w:rsidRPr="0010693C">
        <w:rPr>
          <w:rFonts w:ascii="Arial" w:hAnsi="Arial" w:cs="Arial"/>
          <w:b/>
          <w:bCs/>
          <w:sz w:val="24"/>
          <w:szCs w:val="24"/>
        </w:rPr>
        <w:t>Module Code:</w:t>
      </w:r>
      <w:r w:rsidRPr="0010693C">
        <w:rPr>
          <w:rFonts w:ascii="Arial" w:hAnsi="Arial" w:cs="Arial"/>
          <w:sz w:val="24"/>
          <w:szCs w:val="24"/>
        </w:rPr>
        <w:t xml:space="preserve"> LCMB7023</w:t>
      </w:r>
    </w:p>
    <w:p w14:paraId="40A747BC" w14:textId="77777777" w:rsidR="0010693C" w:rsidRPr="0010693C" w:rsidRDefault="0010693C" w:rsidP="0010693C">
      <w:pPr>
        <w:rPr>
          <w:rFonts w:ascii="Arial" w:hAnsi="Arial" w:cs="Arial"/>
          <w:sz w:val="24"/>
          <w:szCs w:val="24"/>
        </w:rPr>
      </w:pPr>
      <w:r w:rsidRPr="0010693C">
        <w:rPr>
          <w:rFonts w:ascii="Arial" w:hAnsi="Arial" w:cs="Arial"/>
          <w:b/>
          <w:bCs/>
          <w:sz w:val="24"/>
          <w:szCs w:val="24"/>
        </w:rPr>
        <w:t>Final Word Count:</w:t>
      </w:r>
      <w:r w:rsidRPr="0010693C">
        <w:rPr>
          <w:rFonts w:ascii="Arial" w:hAnsi="Arial" w:cs="Arial"/>
          <w:sz w:val="24"/>
          <w:szCs w:val="24"/>
        </w:rPr>
        <w:t xml:space="preserve"> </w:t>
      </w:r>
      <w:r w:rsidR="002B4728">
        <w:rPr>
          <w:rFonts w:ascii="Arial" w:hAnsi="Arial" w:cs="Arial"/>
          <w:sz w:val="24"/>
          <w:szCs w:val="24"/>
        </w:rPr>
        <w:t>4220 (total)</w:t>
      </w:r>
    </w:p>
    <w:p w14:paraId="6C77BB2E" w14:textId="08EDEC40" w:rsidR="0010693C" w:rsidRPr="0010693C" w:rsidRDefault="0010693C" w:rsidP="0010693C">
      <w:pPr>
        <w:rPr>
          <w:rFonts w:ascii="Arial" w:hAnsi="Arial" w:cs="Arial"/>
          <w:sz w:val="24"/>
          <w:szCs w:val="24"/>
        </w:rPr>
      </w:pPr>
      <w:r w:rsidRPr="0010693C">
        <w:rPr>
          <w:rFonts w:ascii="Arial" w:hAnsi="Arial" w:cs="Arial"/>
          <w:b/>
          <w:bCs/>
          <w:sz w:val="24"/>
          <w:szCs w:val="24"/>
        </w:rPr>
        <w:t>Submission Date:</w:t>
      </w:r>
      <w:r w:rsidRPr="0010693C">
        <w:rPr>
          <w:rFonts w:ascii="Arial" w:hAnsi="Arial" w:cs="Arial"/>
          <w:sz w:val="24"/>
          <w:szCs w:val="24"/>
        </w:rPr>
        <w:t xml:space="preserve"> </w:t>
      </w:r>
      <w:r w:rsidR="002B4728">
        <w:rPr>
          <w:rFonts w:ascii="Arial" w:hAnsi="Arial" w:cs="Arial"/>
          <w:sz w:val="24"/>
          <w:szCs w:val="24"/>
        </w:rPr>
        <w:t>1</w:t>
      </w:r>
      <w:r w:rsidR="00D71520">
        <w:rPr>
          <w:rFonts w:ascii="Arial" w:hAnsi="Arial" w:cs="Arial"/>
          <w:sz w:val="24"/>
          <w:szCs w:val="24"/>
        </w:rPr>
        <w:t>5</w:t>
      </w:r>
      <w:r w:rsidR="002B4728">
        <w:rPr>
          <w:rFonts w:ascii="Arial" w:hAnsi="Arial" w:cs="Arial"/>
          <w:sz w:val="24"/>
          <w:szCs w:val="24"/>
        </w:rPr>
        <w:t>/10/26</w:t>
      </w:r>
    </w:p>
    <w:p w14:paraId="4854C347" w14:textId="77777777" w:rsidR="000D5457" w:rsidRPr="001D2B7A" w:rsidRDefault="000D5457">
      <w:pPr>
        <w:rPr>
          <w:rFonts w:ascii="Arial" w:hAnsi="Arial" w:cs="Arial"/>
          <w:sz w:val="24"/>
          <w:szCs w:val="24"/>
        </w:rPr>
      </w:pPr>
    </w:p>
    <w:p w14:paraId="76D46676" w14:textId="77777777" w:rsidR="007456CF" w:rsidRDefault="007456CF">
      <w:pPr>
        <w:rPr>
          <w:rFonts w:ascii="Arial" w:hAnsi="Arial" w:cs="Arial"/>
          <w:sz w:val="24"/>
          <w:szCs w:val="24"/>
        </w:rPr>
      </w:pPr>
    </w:p>
    <w:p w14:paraId="4D6BBDBE" w14:textId="77777777" w:rsidR="002F01EB" w:rsidRPr="001D2B7A" w:rsidRDefault="002F01EB">
      <w:pPr>
        <w:rPr>
          <w:rFonts w:ascii="Arial" w:hAnsi="Arial" w:cs="Arial"/>
          <w:sz w:val="24"/>
          <w:szCs w:val="24"/>
        </w:rPr>
      </w:pPr>
    </w:p>
    <w:sdt>
      <w:sdtPr>
        <w:rPr>
          <w:rFonts w:asciiTheme="minorHAnsi" w:eastAsiaTheme="minorHAnsi" w:hAnsiTheme="minorHAnsi" w:cstheme="minorBidi"/>
          <w:color w:val="auto"/>
          <w:sz w:val="22"/>
          <w:szCs w:val="22"/>
          <w:lang w:val="en-GB"/>
        </w:rPr>
        <w:id w:val="812752771"/>
        <w:docPartObj>
          <w:docPartGallery w:val="Table of Contents"/>
          <w:docPartUnique/>
        </w:docPartObj>
      </w:sdtPr>
      <w:sdtEndPr>
        <w:rPr>
          <w:b/>
          <w:bCs/>
          <w:noProof/>
        </w:rPr>
      </w:sdtEndPr>
      <w:sdtContent>
        <w:p w14:paraId="395B0C0C" w14:textId="77777777" w:rsidR="001D2B7A" w:rsidRPr="00280EB5" w:rsidRDefault="001D2B7A">
          <w:pPr>
            <w:pStyle w:val="TOCHeading"/>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EB5">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0013F610" w14:textId="77777777" w:rsidR="00D71520" w:rsidRPr="00D71520" w:rsidRDefault="00D71520" w:rsidP="00D71520">
          <w:pPr>
            <w:rPr>
              <w:lang w:val="en-US"/>
            </w:rPr>
          </w:pPr>
        </w:p>
        <w:p w14:paraId="74EA0305" w14:textId="77777777" w:rsidR="0053246D" w:rsidRDefault="001D2B7A">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42792274" w:history="1">
            <w:r w:rsidR="0053246D" w:rsidRPr="00266251">
              <w:rPr>
                <w:rStyle w:val="Hyperlink"/>
                <w:rFonts w:ascii="Arial" w:hAnsi="Arial" w:cs="Arial"/>
                <w:b/>
                <w:noProof/>
              </w:rPr>
              <w:t>Task A: Designing Innovative Working Practices</w:t>
            </w:r>
            <w:r w:rsidR="0053246D">
              <w:rPr>
                <w:noProof/>
                <w:webHidden/>
              </w:rPr>
              <w:tab/>
            </w:r>
            <w:r w:rsidR="0053246D">
              <w:rPr>
                <w:noProof/>
                <w:webHidden/>
              </w:rPr>
              <w:fldChar w:fldCharType="begin"/>
            </w:r>
            <w:r w:rsidR="0053246D">
              <w:rPr>
                <w:noProof/>
                <w:webHidden/>
              </w:rPr>
              <w:instrText xml:space="preserve"> PAGEREF _Toc242792274 \h </w:instrText>
            </w:r>
            <w:r w:rsidR="0053246D">
              <w:rPr>
                <w:noProof/>
                <w:webHidden/>
              </w:rPr>
            </w:r>
            <w:r w:rsidR="0053246D">
              <w:rPr>
                <w:noProof/>
                <w:webHidden/>
              </w:rPr>
              <w:fldChar w:fldCharType="separate"/>
            </w:r>
            <w:r w:rsidR="0053246D">
              <w:rPr>
                <w:noProof/>
                <w:webHidden/>
              </w:rPr>
              <w:t>4</w:t>
            </w:r>
            <w:r w:rsidR="0053246D">
              <w:rPr>
                <w:noProof/>
                <w:webHidden/>
              </w:rPr>
              <w:fldChar w:fldCharType="end"/>
            </w:r>
          </w:hyperlink>
        </w:p>
        <w:p w14:paraId="5082CEC7" w14:textId="783077BC" w:rsidR="0053246D" w:rsidRDefault="00655C33">
          <w:pPr>
            <w:pStyle w:val="TOC1"/>
            <w:tabs>
              <w:tab w:val="right" w:leader="dot" w:pos="9350"/>
            </w:tabs>
            <w:rPr>
              <w:rFonts w:eastAsiaTheme="minorEastAsia"/>
              <w:noProof/>
              <w:lang w:eastAsia="en-GB"/>
            </w:rPr>
          </w:pPr>
          <w:r>
            <w:t xml:space="preserve">   </w:t>
          </w:r>
          <w:hyperlink w:anchor="_Toc242792275" w:history="1">
            <w:r w:rsidR="0053246D" w:rsidRPr="00266251">
              <w:rPr>
                <w:rStyle w:val="Hyperlink"/>
                <w:rFonts w:ascii="Arial" w:hAnsi="Arial" w:cs="Arial"/>
                <w:b/>
                <w:noProof/>
              </w:rPr>
              <w:t>1.1 Organisational context</w:t>
            </w:r>
            <w:r w:rsidR="0053246D">
              <w:rPr>
                <w:noProof/>
                <w:webHidden/>
              </w:rPr>
              <w:tab/>
            </w:r>
            <w:r w:rsidR="0053246D">
              <w:rPr>
                <w:noProof/>
                <w:webHidden/>
              </w:rPr>
              <w:fldChar w:fldCharType="begin"/>
            </w:r>
            <w:r w:rsidR="0053246D">
              <w:rPr>
                <w:noProof/>
                <w:webHidden/>
              </w:rPr>
              <w:instrText xml:space="preserve"> PAGEREF _Toc242792275 \h </w:instrText>
            </w:r>
            <w:r w:rsidR="0053246D">
              <w:rPr>
                <w:noProof/>
                <w:webHidden/>
              </w:rPr>
            </w:r>
            <w:r w:rsidR="0053246D">
              <w:rPr>
                <w:noProof/>
                <w:webHidden/>
              </w:rPr>
              <w:fldChar w:fldCharType="separate"/>
            </w:r>
            <w:r w:rsidR="0053246D">
              <w:rPr>
                <w:noProof/>
                <w:webHidden/>
              </w:rPr>
              <w:t>4</w:t>
            </w:r>
            <w:r w:rsidR="0053246D">
              <w:rPr>
                <w:noProof/>
                <w:webHidden/>
              </w:rPr>
              <w:fldChar w:fldCharType="end"/>
            </w:r>
          </w:hyperlink>
        </w:p>
        <w:p w14:paraId="45437ACA" w14:textId="7198945B" w:rsidR="0053246D" w:rsidRDefault="00655C33">
          <w:pPr>
            <w:pStyle w:val="TOC1"/>
            <w:tabs>
              <w:tab w:val="right" w:leader="dot" w:pos="9350"/>
            </w:tabs>
            <w:rPr>
              <w:rFonts w:eastAsiaTheme="minorEastAsia"/>
              <w:noProof/>
              <w:lang w:eastAsia="en-GB"/>
            </w:rPr>
          </w:pPr>
          <w:r>
            <w:t xml:space="preserve">   </w:t>
          </w:r>
          <w:hyperlink w:anchor="_Toc242792276" w:history="1">
            <w:r w:rsidR="0053246D" w:rsidRPr="00266251">
              <w:rPr>
                <w:rStyle w:val="Hyperlink"/>
                <w:rFonts w:ascii="Arial" w:hAnsi="Arial" w:cs="Arial"/>
                <w:b/>
                <w:noProof/>
              </w:rPr>
              <w:t>1.2 Critical evaluation of working practices</w:t>
            </w:r>
            <w:r w:rsidR="0053246D">
              <w:rPr>
                <w:noProof/>
                <w:webHidden/>
              </w:rPr>
              <w:tab/>
            </w:r>
            <w:r w:rsidR="0053246D">
              <w:rPr>
                <w:noProof/>
                <w:webHidden/>
              </w:rPr>
              <w:fldChar w:fldCharType="begin"/>
            </w:r>
            <w:r w:rsidR="0053246D">
              <w:rPr>
                <w:noProof/>
                <w:webHidden/>
              </w:rPr>
              <w:instrText xml:space="preserve"> PAGEREF _Toc242792276 \h </w:instrText>
            </w:r>
            <w:r w:rsidR="0053246D">
              <w:rPr>
                <w:noProof/>
                <w:webHidden/>
              </w:rPr>
            </w:r>
            <w:r w:rsidR="0053246D">
              <w:rPr>
                <w:noProof/>
                <w:webHidden/>
              </w:rPr>
              <w:fldChar w:fldCharType="separate"/>
            </w:r>
            <w:r w:rsidR="0053246D">
              <w:rPr>
                <w:noProof/>
                <w:webHidden/>
              </w:rPr>
              <w:t>4</w:t>
            </w:r>
            <w:r w:rsidR="0053246D">
              <w:rPr>
                <w:noProof/>
                <w:webHidden/>
              </w:rPr>
              <w:fldChar w:fldCharType="end"/>
            </w:r>
          </w:hyperlink>
        </w:p>
        <w:p w14:paraId="48CA70B2" w14:textId="179F61B2" w:rsidR="0053246D" w:rsidRDefault="00655C33">
          <w:pPr>
            <w:pStyle w:val="TOC1"/>
            <w:tabs>
              <w:tab w:val="right" w:leader="dot" w:pos="9350"/>
            </w:tabs>
            <w:rPr>
              <w:rFonts w:eastAsiaTheme="minorEastAsia"/>
              <w:noProof/>
              <w:lang w:eastAsia="en-GB"/>
            </w:rPr>
          </w:pPr>
          <w:r>
            <w:t xml:space="preserve">   </w:t>
          </w:r>
          <w:hyperlink w:anchor="_Toc242792277" w:history="1">
            <w:r w:rsidR="0053246D" w:rsidRPr="00266251">
              <w:rPr>
                <w:rStyle w:val="Hyperlink"/>
                <w:rFonts w:ascii="Arial" w:hAnsi="Arial" w:cs="Arial"/>
                <w:b/>
                <w:noProof/>
              </w:rPr>
              <w:t>1.3 Cross-functional collaboration and agile teams</w:t>
            </w:r>
            <w:r w:rsidR="0053246D">
              <w:rPr>
                <w:noProof/>
                <w:webHidden/>
              </w:rPr>
              <w:tab/>
            </w:r>
            <w:r w:rsidR="0053246D">
              <w:rPr>
                <w:noProof/>
                <w:webHidden/>
              </w:rPr>
              <w:fldChar w:fldCharType="begin"/>
            </w:r>
            <w:r w:rsidR="0053246D">
              <w:rPr>
                <w:noProof/>
                <w:webHidden/>
              </w:rPr>
              <w:instrText xml:space="preserve"> PAGEREF _Toc242792277 \h </w:instrText>
            </w:r>
            <w:r w:rsidR="0053246D">
              <w:rPr>
                <w:noProof/>
                <w:webHidden/>
              </w:rPr>
            </w:r>
            <w:r w:rsidR="0053246D">
              <w:rPr>
                <w:noProof/>
                <w:webHidden/>
              </w:rPr>
              <w:fldChar w:fldCharType="separate"/>
            </w:r>
            <w:r w:rsidR="0053246D">
              <w:rPr>
                <w:noProof/>
                <w:webHidden/>
              </w:rPr>
              <w:t>6</w:t>
            </w:r>
            <w:r w:rsidR="0053246D">
              <w:rPr>
                <w:noProof/>
                <w:webHidden/>
              </w:rPr>
              <w:fldChar w:fldCharType="end"/>
            </w:r>
          </w:hyperlink>
        </w:p>
        <w:p w14:paraId="19524A49" w14:textId="3144F75C" w:rsidR="0053246D" w:rsidRDefault="00655C33">
          <w:pPr>
            <w:pStyle w:val="TOC1"/>
            <w:tabs>
              <w:tab w:val="right" w:leader="dot" w:pos="9350"/>
            </w:tabs>
            <w:rPr>
              <w:rFonts w:eastAsiaTheme="minorEastAsia"/>
              <w:noProof/>
              <w:lang w:eastAsia="en-GB"/>
            </w:rPr>
          </w:pPr>
          <w:r>
            <w:t xml:space="preserve">   </w:t>
          </w:r>
          <w:hyperlink w:anchor="_Toc242792278" w:history="1">
            <w:r w:rsidR="0053246D" w:rsidRPr="00266251">
              <w:rPr>
                <w:rStyle w:val="Hyperlink"/>
                <w:rFonts w:ascii="Arial" w:hAnsi="Arial" w:cs="Arial"/>
                <w:b/>
                <w:noProof/>
              </w:rPr>
              <w:t>1.4 Purposeful hybrid and flexible working</w:t>
            </w:r>
            <w:r w:rsidR="0053246D">
              <w:rPr>
                <w:noProof/>
                <w:webHidden/>
              </w:rPr>
              <w:tab/>
            </w:r>
            <w:r w:rsidR="0053246D">
              <w:rPr>
                <w:noProof/>
                <w:webHidden/>
              </w:rPr>
              <w:fldChar w:fldCharType="begin"/>
            </w:r>
            <w:r w:rsidR="0053246D">
              <w:rPr>
                <w:noProof/>
                <w:webHidden/>
              </w:rPr>
              <w:instrText xml:space="preserve"> PAGEREF _Toc242792278 \h </w:instrText>
            </w:r>
            <w:r w:rsidR="0053246D">
              <w:rPr>
                <w:noProof/>
                <w:webHidden/>
              </w:rPr>
            </w:r>
            <w:r w:rsidR="0053246D">
              <w:rPr>
                <w:noProof/>
                <w:webHidden/>
              </w:rPr>
              <w:fldChar w:fldCharType="separate"/>
            </w:r>
            <w:r w:rsidR="0053246D">
              <w:rPr>
                <w:noProof/>
                <w:webHidden/>
              </w:rPr>
              <w:t>6</w:t>
            </w:r>
            <w:r w:rsidR="0053246D">
              <w:rPr>
                <w:noProof/>
                <w:webHidden/>
              </w:rPr>
              <w:fldChar w:fldCharType="end"/>
            </w:r>
          </w:hyperlink>
        </w:p>
        <w:p w14:paraId="04F8A266" w14:textId="6C52A9BA" w:rsidR="0053246D" w:rsidRDefault="00655C33">
          <w:pPr>
            <w:pStyle w:val="TOC1"/>
            <w:tabs>
              <w:tab w:val="right" w:leader="dot" w:pos="9350"/>
            </w:tabs>
            <w:rPr>
              <w:rFonts w:eastAsiaTheme="minorEastAsia"/>
              <w:noProof/>
              <w:lang w:eastAsia="en-GB"/>
            </w:rPr>
          </w:pPr>
          <w:r>
            <w:t xml:space="preserve">   </w:t>
          </w:r>
          <w:hyperlink w:anchor="_Toc242792279" w:history="1">
            <w:r w:rsidR="0053246D" w:rsidRPr="00266251">
              <w:rPr>
                <w:rStyle w:val="Hyperlink"/>
                <w:rFonts w:ascii="Arial" w:hAnsi="Arial" w:cs="Arial"/>
                <w:b/>
                <w:noProof/>
              </w:rPr>
              <w:t>1.5 Employee Autonomy and Involvement</w:t>
            </w:r>
            <w:r w:rsidR="0053246D">
              <w:rPr>
                <w:noProof/>
                <w:webHidden/>
              </w:rPr>
              <w:tab/>
            </w:r>
            <w:r w:rsidR="0053246D">
              <w:rPr>
                <w:noProof/>
                <w:webHidden/>
              </w:rPr>
              <w:fldChar w:fldCharType="begin"/>
            </w:r>
            <w:r w:rsidR="0053246D">
              <w:rPr>
                <w:noProof/>
                <w:webHidden/>
              </w:rPr>
              <w:instrText xml:space="preserve"> PAGEREF _Toc242792279 \h </w:instrText>
            </w:r>
            <w:r w:rsidR="0053246D">
              <w:rPr>
                <w:noProof/>
                <w:webHidden/>
              </w:rPr>
            </w:r>
            <w:r w:rsidR="0053246D">
              <w:rPr>
                <w:noProof/>
                <w:webHidden/>
              </w:rPr>
              <w:fldChar w:fldCharType="separate"/>
            </w:r>
            <w:r w:rsidR="0053246D">
              <w:rPr>
                <w:noProof/>
                <w:webHidden/>
              </w:rPr>
              <w:t>7</w:t>
            </w:r>
            <w:r w:rsidR="0053246D">
              <w:rPr>
                <w:noProof/>
                <w:webHidden/>
              </w:rPr>
              <w:fldChar w:fldCharType="end"/>
            </w:r>
          </w:hyperlink>
        </w:p>
        <w:p w14:paraId="517AC84B" w14:textId="1FF0EAFE" w:rsidR="0053246D" w:rsidRDefault="00655C33">
          <w:pPr>
            <w:pStyle w:val="TOC1"/>
            <w:tabs>
              <w:tab w:val="right" w:leader="dot" w:pos="9350"/>
            </w:tabs>
            <w:rPr>
              <w:rFonts w:eastAsiaTheme="minorEastAsia"/>
              <w:noProof/>
              <w:lang w:eastAsia="en-GB"/>
            </w:rPr>
          </w:pPr>
          <w:r>
            <w:t xml:space="preserve">   </w:t>
          </w:r>
          <w:hyperlink w:anchor="_Toc242792280" w:history="1">
            <w:r w:rsidR="0053246D" w:rsidRPr="00266251">
              <w:rPr>
                <w:rStyle w:val="Hyperlink"/>
                <w:rFonts w:ascii="Arial" w:hAnsi="Arial" w:cs="Arial"/>
                <w:b/>
                <w:noProof/>
              </w:rPr>
              <w:t>1.6 Digital collaboration and knowledge sharing</w:t>
            </w:r>
            <w:r w:rsidR="0053246D">
              <w:rPr>
                <w:noProof/>
                <w:webHidden/>
              </w:rPr>
              <w:tab/>
            </w:r>
            <w:r w:rsidR="0053246D">
              <w:rPr>
                <w:noProof/>
                <w:webHidden/>
              </w:rPr>
              <w:fldChar w:fldCharType="begin"/>
            </w:r>
            <w:r w:rsidR="0053246D">
              <w:rPr>
                <w:noProof/>
                <w:webHidden/>
              </w:rPr>
              <w:instrText xml:space="preserve"> PAGEREF _Toc242792280 \h </w:instrText>
            </w:r>
            <w:r w:rsidR="0053246D">
              <w:rPr>
                <w:noProof/>
                <w:webHidden/>
              </w:rPr>
            </w:r>
            <w:r w:rsidR="0053246D">
              <w:rPr>
                <w:noProof/>
                <w:webHidden/>
              </w:rPr>
              <w:fldChar w:fldCharType="separate"/>
            </w:r>
            <w:r w:rsidR="0053246D">
              <w:rPr>
                <w:noProof/>
                <w:webHidden/>
              </w:rPr>
              <w:t>8</w:t>
            </w:r>
            <w:r w:rsidR="0053246D">
              <w:rPr>
                <w:noProof/>
                <w:webHidden/>
              </w:rPr>
              <w:fldChar w:fldCharType="end"/>
            </w:r>
          </w:hyperlink>
        </w:p>
        <w:p w14:paraId="6E62C9A6" w14:textId="0FA5803D" w:rsidR="0053246D" w:rsidRDefault="00655C33">
          <w:pPr>
            <w:pStyle w:val="TOC1"/>
            <w:tabs>
              <w:tab w:val="right" w:leader="dot" w:pos="9350"/>
            </w:tabs>
            <w:rPr>
              <w:rFonts w:eastAsiaTheme="minorEastAsia"/>
              <w:noProof/>
              <w:lang w:eastAsia="en-GB"/>
            </w:rPr>
          </w:pPr>
          <w:r>
            <w:t xml:space="preserve">   </w:t>
          </w:r>
          <w:hyperlink w:anchor="_Toc242792281" w:history="1">
            <w:r w:rsidR="0053246D" w:rsidRPr="00266251">
              <w:rPr>
                <w:rStyle w:val="Hyperlink"/>
                <w:rFonts w:ascii="Arial" w:hAnsi="Arial" w:cs="Arial"/>
                <w:b/>
                <w:noProof/>
              </w:rPr>
              <w:t>1.7 Implementation and Performance Evaluation</w:t>
            </w:r>
            <w:r w:rsidR="0053246D">
              <w:rPr>
                <w:noProof/>
                <w:webHidden/>
              </w:rPr>
              <w:tab/>
            </w:r>
            <w:r w:rsidR="0053246D">
              <w:rPr>
                <w:noProof/>
                <w:webHidden/>
              </w:rPr>
              <w:fldChar w:fldCharType="begin"/>
            </w:r>
            <w:r w:rsidR="0053246D">
              <w:rPr>
                <w:noProof/>
                <w:webHidden/>
              </w:rPr>
              <w:instrText xml:space="preserve"> PAGEREF _Toc242792281 \h </w:instrText>
            </w:r>
            <w:r w:rsidR="0053246D">
              <w:rPr>
                <w:noProof/>
                <w:webHidden/>
              </w:rPr>
            </w:r>
            <w:r w:rsidR="0053246D">
              <w:rPr>
                <w:noProof/>
                <w:webHidden/>
              </w:rPr>
              <w:fldChar w:fldCharType="separate"/>
            </w:r>
            <w:r w:rsidR="0053246D">
              <w:rPr>
                <w:noProof/>
                <w:webHidden/>
              </w:rPr>
              <w:t>9</w:t>
            </w:r>
            <w:r w:rsidR="0053246D">
              <w:rPr>
                <w:noProof/>
                <w:webHidden/>
              </w:rPr>
              <w:fldChar w:fldCharType="end"/>
            </w:r>
          </w:hyperlink>
        </w:p>
        <w:p w14:paraId="5EDECE6D" w14:textId="77777777" w:rsidR="0053246D" w:rsidRDefault="0053246D">
          <w:pPr>
            <w:pStyle w:val="TOC1"/>
            <w:tabs>
              <w:tab w:val="right" w:leader="dot" w:pos="9350"/>
            </w:tabs>
            <w:rPr>
              <w:rFonts w:eastAsiaTheme="minorEastAsia"/>
              <w:noProof/>
              <w:lang w:eastAsia="en-GB"/>
            </w:rPr>
          </w:pPr>
          <w:hyperlink w:anchor="_Toc242792282" w:history="1">
            <w:r w:rsidRPr="00266251">
              <w:rPr>
                <w:rStyle w:val="Hyperlink"/>
                <w:rFonts w:ascii="Arial" w:hAnsi="Arial" w:cs="Arial"/>
                <w:b/>
                <w:noProof/>
              </w:rPr>
              <w:t>Task B: Breeding an Environment Where Talent May Grow</w:t>
            </w:r>
            <w:r>
              <w:rPr>
                <w:noProof/>
                <w:webHidden/>
              </w:rPr>
              <w:tab/>
            </w:r>
            <w:r>
              <w:rPr>
                <w:noProof/>
                <w:webHidden/>
              </w:rPr>
              <w:fldChar w:fldCharType="begin"/>
            </w:r>
            <w:r>
              <w:rPr>
                <w:noProof/>
                <w:webHidden/>
              </w:rPr>
              <w:instrText xml:space="preserve"> PAGEREF _Toc242792282 \h </w:instrText>
            </w:r>
            <w:r>
              <w:rPr>
                <w:noProof/>
                <w:webHidden/>
              </w:rPr>
            </w:r>
            <w:r>
              <w:rPr>
                <w:noProof/>
                <w:webHidden/>
              </w:rPr>
              <w:fldChar w:fldCharType="separate"/>
            </w:r>
            <w:r>
              <w:rPr>
                <w:noProof/>
                <w:webHidden/>
              </w:rPr>
              <w:t>9</w:t>
            </w:r>
            <w:r>
              <w:rPr>
                <w:noProof/>
                <w:webHidden/>
              </w:rPr>
              <w:fldChar w:fldCharType="end"/>
            </w:r>
          </w:hyperlink>
        </w:p>
        <w:p w14:paraId="24A225CF" w14:textId="607123C5" w:rsidR="0053246D" w:rsidRDefault="00655C33">
          <w:pPr>
            <w:pStyle w:val="TOC1"/>
            <w:tabs>
              <w:tab w:val="right" w:leader="dot" w:pos="9350"/>
            </w:tabs>
            <w:rPr>
              <w:rFonts w:eastAsiaTheme="minorEastAsia"/>
              <w:noProof/>
              <w:lang w:eastAsia="en-GB"/>
            </w:rPr>
          </w:pPr>
          <w:r>
            <w:t xml:space="preserve">   </w:t>
          </w:r>
          <w:hyperlink w:anchor="_Toc242792283" w:history="1">
            <w:r w:rsidR="0053246D" w:rsidRPr="00266251">
              <w:rPr>
                <w:rStyle w:val="Hyperlink"/>
                <w:rFonts w:ascii="Arial" w:hAnsi="Arial" w:cs="Arial"/>
                <w:b/>
                <w:noProof/>
              </w:rPr>
              <w:t>2.1 Strategic context</w:t>
            </w:r>
            <w:r w:rsidR="0053246D">
              <w:rPr>
                <w:noProof/>
                <w:webHidden/>
              </w:rPr>
              <w:tab/>
            </w:r>
            <w:r w:rsidR="0053246D">
              <w:rPr>
                <w:noProof/>
                <w:webHidden/>
              </w:rPr>
              <w:fldChar w:fldCharType="begin"/>
            </w:r>
            <w:r w:rsidR="0053246D">
              <w:rPr>
                <w:noProof/>
                <w:webHidden/>
              </w:rPr>
              <w:instrText xml:space="preserve"> PAGEREF _Toc242792283 \h </w:instrText>
            </w:r>
            <w:r w:rsidR="0053246D">
              <w:rPr>
                <w:noProof/>
                <w:webHidden/>
              </w:rPr>
            </w:r>
            <w:r w:rsidR="0053246D">
              <w:rPr>
                <w:noProof/>
                <w:webHidden/>
              </w:rPr>
              <w:fldChar w:fldCharType="separate"/>
            </w:r>
            <w:r w:rsidR="0053246D">
              <w:rPr>
                <w:noProof/>
                <w:webHidden/>
              </w:rPr>
              <w:t>9</w:t>
            </w:r>
            <w:r w:rsidR="0053246D">
              <w:rPr>
                <w:noProof/>
                <w:webHidden/>
              </w:rPr>
              <w:fldChar w:fldCharType="end"/>
            </w:r>
          </w:hyperlink>
        </w:p>
        <w:p w14:paraId="7B91337D" w14:textId="00C8943F" w:rsidR="0053246D" w:rsidRDefault="00655C33">
          <w:pPr>
            <w:pStyle w:val="TOC1"/>
            <w:tabs>
              <w:tab w:val="right" w:leader="dot" w:pos="9350"/>
            </w:tabs>
            <w:rPr>
              <w:rFonts w:eastAsiaTheme="minorEastAsia"/>
              <w:noProof/>
              <w:lang w:eastAsia="en-GB"/>
            </w:rPr>
          </w:pPr>
          <w:r>
            <w:t xml:space="preserve">   </w:t>
          </w:r>
          <w:hyperlink w:anchor="_Toc242792284" w:history="1">
            <w:r w:rsidR="0053246D" w:rsidRPr="00266251">
              <w:rPr>
                <w:rStyle w:val="Hyperlink"/>
                <w:rFonts w:ascii="Arial" w:hAnsi="Arial" w:cs="Arial"/>
                <w:b/>
                <w:noProof/>
              </w:rPr>
              <w:t>2.2 Critical evaluation of talent growth environments</w:t>
            </w:r>
            <w:r w:rsidR="0053246D">
              <w:rPr>
                <w:noProof/>
                <w:webHidden/>
              </w:rPr>
              <w:tab/>
            </w:r>
            <w:r w:rsidR="0053246D">
              <w:rPr>
                <w:noProof/>
                <w:webHidden/>
              </w:rPr>
              <w:fldChar w:fldCharType="begin"/>
            </w:r>
            <w:r w:rsidR="0053246D">
              <w:rPr>
                <w:noProof/>
                <w:webHidden/>
              </w:rPr>
              <w:instrText xml:space="preserve"> PAGEREF _Toc242792284 \h </w:instrText>
            </w:r>
            <w:r w:rsidR="0053246D">
              <w:rPr>
                <w:noProof/>
                <w:webHidden/>
              </w:rPr>
            </w:r>
            <w:r w:rsidR="0053246D">
              <w:rPr>
                <w:noProof/>
                <w:webHidden/>
              </w:rPr>
              <w:fldChar w:fldCharType="separate"/>
            </w:r>
            <w:r w:rsidR="0053246D">
              <w:rPr>
                <w:noProof/>
                <w:webHidden/>
              </w:rPr>
              <w:t>10</w:t>
            </w:r>
            <w:r w:rsidR="0053246D">
              <w:rPr>
                <w:noProof/>
                <w:webHidden/>
              </w:rPr>
              <w:fldChar w:fldCharType="end"/>
            </w:r>
          </w:hyperlink>
        </w:p>
        <w:p w14:paraId="0C713295" w14:textId="1104CAD2" w:rsidR="0053246D" w:rsidRDefault="00655C33">
          <w:pPr>
            <w:pStyle w:val="TOC1"/>
            <w:tabs>
              <w:tab w:val="right" w:leader="dot" w:pos="9350"/>
            </w:tabs>
            <w:rPr>
              <w:rFonts w:eastAsiaTheme="minorEastAsia"/>
              <w:noProof/>
              <w:lang w:eastAsia="en-GB"/>
            </w:rPr>
          </w:pPr>
          <w:r>
            <w:t xml:space="preserve">   </w:t>
          </w:r>
          <w:hyperlink w:anchor="_Toc242792285" w:history="1">
            <w:r w:rsidR="0053246D" w:rsidRPr="00266251">
              <w:rPr>
                <w:rStyle w:val="Hyperlink"/>
                <w:rFonts w:ascii="Arial" w:hAnsi="Arial" w:cs="Arial"/>
                <w:b/>
                <w:noProof/>
              </w:rPr>
              <w:t>2.3 Skills assessment and continuous learning</w:t>
            </w:r>
            <w:r w:rsidR="0053246D">
              <w:rPr>
                <w:noProof/>
                <w:webHidden/>
              </w:rPr>
              <w:tab/>
            </w:r>
            <w:r w:rsidR="0053246D">
              <w:rPr>
                <w:noProof/>
                <w:webHidden/>
              </w:rPr>
              <w:fldChar w:fldCharType="begin"/>
            </w:r>
            <w:r w:rsidR="0053246D">
              <w:rPr>
                <w:noProof/>
                <w:webHidden/>
              </w:rPr>
              <w:instrText xml:space="preserve"> PAGEREF _Toc242792285 \h </w:instrText>
            </w:r>
            <w:r w:rsidR="0053246D">
              <w:rPr>
                <w:noProof/>
                <w:webHidden/>
              </w:rPr>
            </w:r>
            <w:r w:rsidR="0053246D">
              <w:rPr>
                <w:noProof/>
                <w:webHidden/>
              </w:rPr>
              <w:fldChar w:fldCharType="separate"/>
            </w:r>
            <w:r w:rsidR="0053246D">
              <w:rPr>
                <w:noProof/>
                <w:webHidden/>
              </w:rPr>
              <w:t>12</w:t>
            </w:r>
            <w:r w:rsidR="0053246D">
              <w:rPr>
                <w:noProof/>
                <w:webHidden/>
              </w:rPr>
              <w:fldChar w:fldCharType="end"/>
            </w:r>
          </w:hyperlink>
        </w:p>
        <w:p w14:paraId="6DAE2E75" w14:textId="671A9595" w:rsidR="0053246D" w:rsidRDefault="00655C33">
          <w:pPr>
            <w:pStyle w:val="TOC1"/>
            <w:tabs>
              <w:tab w:val="right" w:leader="dot" w:pos="9350"/>
            </w:tabs>
            <w:rPr>
              <w:rFonts w:eastAsiaTheme="minorEastAsia"/>
              <w:noProof/>
              <w:lang w:eastAsia="en-GB"/>
            </w:rPr>
          </w:pPr>
          <w:r>
            <w:t xml:space="preserve">   </w:t>
          </w:r>
          <w:hyperlink w:anchor="_Toc242792286" w:history="1">
            <w:r w:rsidR="0053246D" w:rsidRPr="00266251">
              <w:rPr>
                <w:rStyle w:val="Hyperlink"/>
                <w:rFonts w:ascii="Arial" w:hAnsi="Arial" w:cs="Arial"/>
                <w:b/>
                <w:noProof/>
              </w:rPr>
              <w:t>2.4 Career pathways, mentoring and retention</w:t>
            </w:r>
            <w:r w:rsidR="0053246D">
              <w:rPr>
                <w:noProof/>
                <w:webHidden/>
              </w:rPr>
              <w:tab/>
            </w:r>
            <w:r w:rsidR="0053246D">
              <w:rPr>
                <w:noProof/>
                <w:webHidden/>
              </w:rPr>
              <w:fldChar w:fldCharType="begin"/>
            </w:r>
            <w:r w:rsidR="0053246D">
              <w:rPr>
                <w:noProof/>
                <w:webHidden/>
              </w:rPr>
              <w:instrText xml:space="preserve"> PAGEREF _Toc242792286 \h </w:instrText>
            </w:r>
            <w:r w:rsidR="0053246D">
              <w:rPr>
                <w:noProof/>
                <w:webHidden/>
              </w:rPr>
            </w:r>
            <w:r w:rsidR="0053246D">
              <w:rPr>
                <w:noProof/>
                <w:webHidden/>
              </w:rPr>
              <w:fldChar w:fldCharType="separate"/>
            </w:r>
            <w:r w:rsidR="0053246D">
              <w:rPr>
                <w:noProof/>
                <w:webHidden/>
              </w:rPr>
              <w:t>13</w:t>
            </w:r>
            <w:r w:rsidR="0053246D">
              <w:rPr>
                <w:noProof/>
                <w:webHidden/>
              </w:rPr>
              <w:fldChar w:fldCharType="end"/>
            </w:r>
          </w:hyperlink>
        </w:p>
        <w:p w14:paraId="4E391E69" w14:textId="69578D10" w:rsidR="0053246D" w:rsidRDefault="00655C33">
          <w:pPr>
            <w:pStyle w:val="TOC1"/>
            <w:tabs>
              <w:tab w:val="right" w:leader="dot" w:pos="9350"/>
            </w:tabs>
            <w:rPr>
              <w:rFonts w:eastAsiaTheme="minorEastAsia"/>
              <w:noProof/>
              <w:lang w:eastAsia="en-GB"/>
            </w:rPr>
          </w:pPr>
          <w:r>
            <w:t xml:space="preserve">   </w:t>
          </w:r>
          <w:hyperlink w:anchor="_Toc242792287" w:history="1">
            <w:r w:rsidR="0053246D" w:rsidRPr="00266251">
              <w:rPr>
                <w:rStyle w:val="Hyperlink"/>
                <w:rFonts w:ascii="Arial" w:hAnsi="Arial" w:cs="Arial"/>
                <w:b/>
                <w:noProof/>
              </w:rPr>
              <w:t>2.5 Supportive leadership and psychological safety</w:t>
            </w:r>
            <w:r w:rsidR="0053246D">
              <w:rPr>
                <w:noProof/>
                <w:webHidden/>
              </w:rPr>
              <w:tab/>
            </w:r>
            <w:r w:rsidR="0053246D">
              <w:rPr>
                <w:noProof/>
                <w:webHidden/>
              </w:rPr>
              <w:fldChar w:fldCharType="begin"/>
            </w:r>
            <w:r w:rsidR="0053246D">
              <w:rPr>
                <w:noProof/>
                <w:webHidden/>
              </w:rPr>
              <w:instrText xml:space="preserve"> PAGEREF _Toc242792287 \h </w:instrText>
            </w:r>
            <w:r w:rsidR="0053246D">
              <w:rPr>
                <w:noProof/>
                <w:webHidden/>
              </w:rPr>
            </w:r>
            <w:r w:rsidR="0053246D">
              <w:rPr>
                <w:noProof/>
                <w:webHidden/>
              </w:rPr>
              <w:fldChar w:fldCharType="separate"/>
            </w:r>
            <w:r w:rsidR="0053246D">
              <w:rPr>
                <w:noProof/>
                <w:webHidden/>
              </w:rPr>
              <w:t>13</w:t>
            </w:r>
            <w:r w:rsidR="0053246D">
              <w:rPr>
                <w:noProof/>
                <w:webHidden/>
              </w:rPr>
              <w:fldChar w:fldCharType="end"/>
            </w:r>
          </w:hyperlink>
        </w:p>
        <w:p w14:paraId="00508F2B" w14:textId="4D034187" w:rsidR="0053246D" w:rsidRDefault="00655C33">
          <w:pPr>
            <w:pStyle w:val="TOC1"/>
            <w:tabs>
              <w:tab w:val="right" w:leader="dot" w:pos="9350"/>
            </w:tabs>
            <w:rPr>
              <w:rFonts w:eastAsiaTheme="minorEastAsia"/>
              <w:noProof/>
              <w:lang w:eastAsia="en-GB"/>
            </w:rPr>
          </w:pPr>
          <w:r>
            <w:t xml:space="preserve">   </w:t>
          </w:r>
          <w:hyperlink w:anchor="_Toc242792288" w:history="1">
            <w:r w:rsidR="0053246D" w:rsidRPr="00266251">
              <w:rPr>
                <w:rStyle w:val="Hyperlink"/>
                <w:rFonts w:ascii="Arial" w:hAnsi="Arial" w:cs="Arial"/>
                <w:b/>
                <w:noProof/>
              </w:rPr>
              <w:t>2.6 Job crafting and meaningful development</w:t>
            </w:r>
            <w:r w:rsidR="0053246D">
              <w:rPr>
                <w:noProof/>
                <w:webHidden/>
              </w:rPr>
              <w:tab/>
            </w:r>
            <w:r w:rsidR="0053246D">
              <w:rPr>
                <w:noProof/>
                <w:webHidden/>
              </w:rPr>
              <w:fldChar w:fldCharType="begin"/>
            </w:r>
            <w:r w:rsidR="0053246D">
              <w:rPr>
                <w:noProof/>
                <w:webHidden/>
              </w:rPr>
              <w:instrText xml:space="preserve"> PAGEREF _Toc242792288 \h </w:instrText>
            </w:r>
            <w:r w:rsidR="0053246D">
              <w:rPr>
                <w:noProof/>
                <w:webHidden/>
              </w:rPr>
            </w:r>
            <w:r w:rsidR="0053246D">
              <w:rPr>
                <w:noProof/>
                <w:webHidden/>
              </w:rPr>
              <w:fldChar w:fldCharType="separate"/>
            </w:r>
            <w:r w:rsidR="0053246D">
              <w:rPr>
                <w:noProof/>
                <w:webHidden/>
              </w:rPr>
              <w:t>14</w:t>
            </w:r>
            <w:r w:rsidR="0053246D">
              <w:rPr>
                <w:noProof/>
                <w:webHidden/>
              </w:rPr>
              <w:fldChar w:fldCharType="end"/>
            </w:r>
          </w:hyperlink>
        </w:p>
        <w:p w14:paraId="2D91231D" w14:textId="18D05CEF" w:rsidR="0053246D" w:rsidRDefault="00655C33">
          <w:pPr>
            <w:pStyle w:val="TOC1"/>
            <w:tabs>
              <w:tab w:val="right" w:leader="dot" w:pos="9350"/>
            </w:tabs>
            <w:rPr>
              <w:rFonts w:eastAsiaTheme="minorEastAsia"/>
              <w:noProof/>
              <w:lang w:eastAsia="en-GB"/>
            </w:rPr>
          </w:pPr>
          <w:r>
            <w:t xml:space="preserve">   </w:t>
          </w:r>
          <w:hyperlink w:anchor="_Toc242792289" w:history="1">
            <w:r w:rsidR="0053246D" w:rsidRPr="00266251">
              <w:rPr>
                <w:rStyle w:val="Hyperlink"/>
                <w:rFonts w:ascii="Arial" w:hAnsi="Arial" w:cs="Arial"/>
                <w:b/>
                <w:noProof/>
              </w:rPr>
              <w:t>2.7 Employee experience and wellbeing</w:t>
            </w:r>
            <w:r w:rsidR="0053246D">
              <w:rPr>
                <w:noProof/>
                <w:webHidden/>
              </w:rPr>
              <w:tab/>
            </w:r>
            <w:r w:rsidR="0053246D">
              <w:rPr>
                <w:noProof/>
                <w:webHidden/>
              </w:rPr>
              <w:fldChar w:fldCharType="begin"/>
            </w:r>
            <w:r w:rsidR="0053246D">
              <w:rPr>
                <w:noProof/>
                <w:webHidden/>
              </w:rPr>
              <w:instrText xml:space="preserve"> PAGEREF _Toc242792289 \h </w:instrText>
            </w:r>
            <w:r w:rsidR="0053246D">
              <w:rPr>
                <w:noProof/>
                <w:webHidden/>
              </w:rPr>
            </w:r>
            <w:r w:rsidR="0053246D">
              <w:rPr>
                <w:noProof/>
                <w:webHidden/>
              </w:rPr>
              <w:fldChar w:fldCharType="separate"/>
            </w:r>
            <w:r w:rsidR="0053246D">
              <w:rPr>
                <w:noProof/>
                <w:webHidden/>
              </w:rPr>
              <w:t>14</w:t>
            </w:r>
            <w:r w:rsidR="0053246D">
              <w:rPr>
                <w:noProof/>
                <w:webHidden/>
              </w:rPr>
              <w:fldChar w:fldCharType="end"/>
            </w:r>
          </w:hyperlink>
        </w:p>
        <w:p w14:paraId="33FCD5BF" w14:textId="27026F58" w:rsidR="0053246D" w:rsidRDefault="00655C33">
          <w:pPr>
            <w:pStyle w:val="TOC1"/>
            <w:tabs>
              <w:tab w:val="right" w:leader="dot" w:pos="9350"/>
            </w:tabs>
            <w:rPr>
              <w:rFonts w:eastAsiaTheme="minorEastAsia"/>
              <w:noProof/>
              <w:lang w:eastAsia="en-GB"/>
            </w:rPr>
          </w:pPr>
          <w:r>
            <w:t xml:space="preserve">   </w:t>
          </w:r>
          <w:hyperlink w:anchor="_Toc242792290" w:history="1">
            <w:r w:rsidR="0053246D" w:rsidRPr="00266251">
              <w:rPr>
                <w:rStyle w:val="Hyperlink"/>
                <w:rFonts w:ascii="Arial" w:hAnsi="Arial" w:cs="Arial"/>
                <w:b/>
                <w:noProof/>
              </w:rPr>
              <w:t>2.8 Governance and evaluation</w:t>
            </w:r>
            <w:r w:rsidR="0053246D">
              <w:rPr>
                <w:noProof/>
                <w:webHidden/>
              </w:rPr>
              <w:tab/>
            </w:r>
            <w:r w:rsidR="0053246D">
              <w:rPr>
                <w:noProof/>
                <w:webHidden/>
              </w:rPr>
              <w:fldChar w:fldCharType="begin"/>
            </w:r>
            <w:r w:rsidR="0053246D">
              <w:rPr>
                <w:noProof/>
                <w:webHidden/>
              </w:rPr>
              <w:instrText xml:space="preserve"> PAGEREF _Toc242792290 \h </w:instrText>
            </w:r>
            <w:r w:rsidR="0053246D">
              <w:rPr>
                <w:noProof/>
                <w:webHidden/>
              </w:rPr>
            </w:r>
            <w:r w:rsidR="0053246D">
              <w:rPr>
                <w:noProof/>
                <w:webHidden/>
              </w:rPr>
              <w:fldChar w:fldCharType="separate"/>
            </w:r>
            <w:r w:rsidR="0053246D">
              <w:rPr>
                <w:noProof/>
                <w:webHidden/>
              </w:rPr>
              <w:t>15</w:t>
            </w:r>
            <w:r w:rsidR="0053246D">
              <w:rPr>
                <w:noProof/>
                <w:webHidden/>
              </w:rPr>
              <w:fldChar w:fldCharType="end"/>
            </w:r>
          </w:hyperlink>
        </w:p>
        <w:p w14:paraId="05A0C9D2" w14:textId="77777777" w:rsidR="0053246D" w:rsidRDefault="0053246D">
          <w:pPr>
            <w:pStyle w:val="TOC1"/>
            <w:tabs>
              <w:tab w:val="right" w:leader="dot" w:pos="9350"/>
            </w:tabs>
            <w:rPr>
              <w:rFonts w:eastAsiaTheme="minorEastAsia"/>
              <w:noProof/>
              <w:lang w:eastAsia="en-GB"/>
            </w:rPr>
          </w:pPr>
          <w:hyperlink w:anchor="_Toc242792291" w:history="1">
            <w:r w:rsidRPr="00266251">
              <w:rPr>
                <w:rStyle w:val="Hyperlink"/>
                <w:rFonts w:ascii="Arial" w:hAnsi="Arial" w:cs="Arial"/>
                <w:b/>
                <w:noProof/>
              </w:rPr>
              <w:t>Task C: Reflective Report</w:t>
            </w:r>
            <w:r>
              <w:rPr>
                <w:noProof/>
                <w:webHidden/>
              </w:rPr>
              <w:tab/>
            </w:r>
            <w:r>
              <w:rPr>
                <w:noProof/>
                <w:webHidden/>
              </w:rPr>
              <w:fldChar w:fldCharType="begin"/>
            </w:r>
            <w:r>
              <w:rPr>
                <w:noProof/>
                <w:webHidden/>
              </w:rPr>
              <w:instrText xml:space="preserve"> PAGEREF _Toc242792291 \h </w:instrText>
            </w:r>
            <w:r>
              <w:rPr>
                <w:noProof/>
                <w:webHidden/>
              </w:rPr>
            </w:r>
            <w:r>
              <w:rPr>
                <w:noProof/>
                <w:webHidden/>
              </w:rPr>
              <w:fldChar w:fldCharType="separate"/>
            </w:r>
            <w:r>
              <w:rPr>
                <w:noProof/>
                <w:webHidden/>
              </w:rPr>
              <w:t>17</w:t>
            </w:r>
            <w:r>
              <w:rPr>
                <w:noProof/>
                <w:webHidden/>
              </w:rPr>
              <w:fldChar w:fldCharType="end"/>
            </w:r>
          </w:hyperlink>
        </w:p>
        <w:p w14:paraId="046B3112" w14:textId="26B19A5A" w:rsidR="0053246D" w:rsidRDefault="00655C33">
          <w:pPr>
            <w:pStyle w:val="TOC1"/>
            <w:tabs>
              <w:tab w:val="right" w:leader="dot" w:pos="9350"/>
            </w:tabs>
            <w:rPr>
              <w:rFonts w:eastAsiaTheme="minorEastAsia"/>
              <w:noProof/>
              <w:lang w:eastAsia="en-GB"/>
            </w:rPr>
          </w:pPr>
          <w:r>
            <w:t xml:space="preserve">   </w:t>
          </w:r>
          <w:hyperlink w:anchor="_Toc242792292" w:history="1">
            <w:r w:rsidR="0053246D" w:rsidRPr="00266251">
              <w:rPr>
                <w:rStyle w:val="Hyperlink"/>
                <w:rFonts w:ascii="Arial" w:hAnsi="Arial" w:cs="Arial"/>
                <w:b/>
                <w:noProof/>
              </w:rPr>
              <w:t>3.1 AI as a strategic HR decision-support tool</w:t>
            </w:r>
            <w:r w:rsidR="0053246D">
              <w:rPr>
                <w:noProof/>
                <w:webHidden/>
              </w:rPr>
              <w:tab/>
            </w:r>
            <w:r w:rsidR="0053246D">
              <w:rPr>
                <w:noProof/>
                <w:webHidden/>
              </w:rPr>
              <w:fldChar w:fldCharType="begin"/>
            </w:r>
            <w:r w:rsidR="0053246D">
              <w:rPr>
                <w:noProof/>
                <w:webHidden/>
              </w:rPr>
              <w:instrText xml:space="preserve"> PAGEREF _Toc242792292 \h </w:instrText>
            </w:r>
            <w:r w:rsidR="0053246D">
              <w:rPr>
                <w:noProof/>
                <w:webHidden/>
              </w:rPr>
            </w:r>
            <w:r w:rsidR="0053246D">
              <w:rPr>
                <w:noProof/>
                <w:webHidden/>
              </w:rPr>
              <w:fldChar w:fldCharType="separate"/>
            </w:r>
            <w:r w:rsidR="0053246D">
              <w:rPr>
                <w:noProof/>
                <w:webHidden/>
              </w:rPr>
              <w:t>17</w:t>
            </w:r>
            <w:r w:rsidR="0053246D">
              <w:rPr>
                <w:noProof/>
                <w:webHidden/>
              </w:rPr>
              <w:fldChar w:fldCharType="end"/>
            </w:r>
          </w:hyperlink>
        </w:p>
        <w:p w14:paraId="1F46205C" w14:textId="05701C29" w:rsidR="0053246D" w:rsidRDefault="00655C33">
          <w:pPr>
            <w:pStyle w:val="TOC1"/>
            <w:tabs>
              <w:tab w:val="right" w:leader="dot" w:pos="9350"/>
            </w:tabs>
            <w:rPr>
              <w:rFonts w:eastAsiaTheme="minorEastAsia"/>
              <w:noProof/>
              <w:lang w:eastAsia="en-GB"/>
            </w:rPr>
          </w:pPr>
          <w:r>
            <w:lastRenderedPageBreak/>
            <w:t xml:space="preserve">   </w:t>
          </w:r>
          <w:hyperlink w:anchor="_Toc242792293" w:history="1">
            <w:r w:rsidR="0053246D" w:rsidRPr="00266251">
              <w:rPr>
                <w:rStyle w:val="Hyperlink"/>
                <w:rFonts w:ascii="Arial" w:hAnsi="Arial" w:cs="Arial"/>
                <w:b/>
                <w:noProof/>
              </w:rPr>
              <w:t>3.2 Reflect on three scenarios of the use of AI</w:t>
            </w:r>
            <w:r w:rsidR="0053246D">
              <w:rPr>
                <w:noProof/>
                <w:webHidden/>
              </w:rPr>
              <w:tab/>
            </w:r>
            <w:r w:rsidR="0053246D">
              <w:rPr>
                <w:noProof/>
                <w:webHidden/>
              </w:rPr>
              <w:fldChar w:fldCharType="begin"/>
            </w:r>
            <w:r w:rsidR="0053246D">
              <w:rPr>
                <w:noProof/>
                <w:webHidden/>
              </w:rPr>
              <w:instrText xml:space="preserve"> PAGEREF _Toc242792293 \h </w:instrText>
            </w:r>
            <w:r w:rsidR="0053246D">
              <w:rPr>
                <w:noProof/>
                <w:webHidden/>
              </w:rPr>
            </w:r>
            <w:r w:rsidR="0053246D">
              <w:rPr>
                <w:noProof/>
                <w:webHidden/>
              </w:rPr>
              <w:fldChar w:fldCharType="separate"/>
            </w:r>
            <w:r w:rsidR="0053246D">
              <w:rPr>
                <w:noProof/>
                <w:webHidden/>
              </w:rPr>
              <w:t>17</w:t>
            </w:r>
            <w:r w:rsidR="0053246D">
              <w:rPr>
                <w:noProof/>
                <w:webHidden/>
              </w:rPr>
              <w:fldChar w:fldCharType="end"/>
            </w:r>
          </w:hyperlink>
        </w:p>
        <w:p w14:paraId="60543253" w14:textId="45BB1B01" w:rsidR="0053246D" w:rsidRDefault="00655C33">
          <w:pPr>
            <w:pStyle w:val="TOC1"/>
            <w:tabs>
              <w:tab w:val="right" w:leader="dot" w:pos="9350"/>
            </w:tabs>
            <w:rPr>
              <w:rFonts w:eastAsiaTheme="minorEastAsia"/>
              <w:noProof/>
              <w:lang w:eastAsia="en-GB"/>
            </w:rPr>
          </w:pPr>
          <w:r>
            <w:t xml:space="preserve">   </w:t>
          </w:r>
          <w:hyperlink w:anchor="_Toc242792294" w:history="1">
            <w:r w:rsidR="0053246D" w:rsidRPr="00266251">
              <w:rPr>
                <w:rStyle w:val="Hyperlink"/>
                <w:rFonts w:ascii="Arial" w:hAnsi="Arial" w:cs="Arial"/>
                <w:b/>
                <w:noProof/>
              </w:rPr>
              <w:t>3.3 Personal capability development plan</w:t>
            </w:r>
            <w:r w:rsidR="0053246D">
              <w:rPr>
                <w:noProof/>
                <w:webHidden/>
              </w:rPr>
              <w:tab/>
            </w:r>
            <w:r w:rsidR="0053246D">
              <w:rPr>
                <w:noProof/>
                <w:webHidden/>
              </w:rPr>
              <w:fldChar w:fldCharType="begin"/>
            </w:r>
            <w:r w:rsidR="0053246D">
              <w:rPr>
                <w:noProof/>
                <w:webHidden/>
              </w:rPr>
              <w:instrText xml:space="preserve"> PAGEREF _Toc242792294 \h </w:instrText>
            </w:r>
            <w:r w:rsidR="0053246D">
              <w:rPr>
                <w:noProof/>
                <w:webHidden/>
              </w:rPr>
            </w:r>
            <w:r w:rsidR="0053246D">
              <w:rPr>
                <w:noProof/>
                <w:webHidden/>
              </w:rPr>
              <w:fldChar w:fldCharType="separate"/>
            </w:r>
            <w:r w:rsidR="0053246D">
              <w:rPr>
                <w:noProof/>
                <w:webHidden/>
              </w:rPr>
              <w:t>18</w:t>
            </w:r>
            <w:r w:rsidR="0053246D">
              <w:rPr>
                <w:noProof/>
                <w:webHidden/>
              </w:rPr>
              <w:fldChar w:fldCharType="end"/>
            </w:r>
          </w:hyperlink>
        </w:p>
        <w:p w14:paraId="191B903E" w14:textId="77777777" w:rsidR="0053246D" w:rsidRDefault="0053246D">
          <w:pPr>
            <w:pStyle w:val="TOC1"/>
            <w:tabs>
              <w:tab w:val="right" w:leader="dot" w:pos="9350"/>
            </w:tabs>
            <w:rPr>
              <w:rFonts w:eastAsiaTheme="minorEastAsia"/>
              <w:noProof/>
              <w:lang w:eastAsia="en-GB"/>
            </w:rPr>
          </w:pPr>
          <w:hyperlink w:anchor="_Toc242792295" w:history="1">
            <w:r w:rsidRPr="00266251">
              <w:rPr>
                <w:rStyle w:val="Hyperlink"/>
                <w:rFonts w:ascii="Arial" w:hAnsi="Arial" w:cs="Arial"/>
                <w:b/>
                <w:noProof/>
              </w:rPr>
              <w:t>4. References</w:t>
            </w:r>
            <w:r>
              <w:rPr>
                <w:noProof/>
                <w:webHidden/>
              </w:rPr>
              <w:tab/>
            </w:r>
            <w:r>
              <w:rPr>
                <w:noProof/>
                <w:webHidden/>
              </w:rPr>
              <w:fldChar w:fldCharType="begin"/>
            </w:r>
            <w:r>
              <w:rPr>
                <w:noProof/>
                <w:webHidden/>
              </w:rPr>
              <w:instrText xml:space="preserve"> PAGEREF _Toc242792295 \h </w:instrText>
            </w:r>
            <w:r>
              <w:rPr>
                <w:noProof/>
                <w:webHidden/>
              </w:rPr>
            </w:r>
            <w:r>
              <w:rPr>
                <w:noProof/>
                <w:webHidden/>
              </w:rPr>
              <w:fldChar w:fldCharType="separate"/>
            </w:r>
            <w:r>
              <w:rPr>
                <w:noProof/>
                <w:webHidden/>
              </w:rPr>
              <w:t>19</w:t>
            </w:r>
            <w:r>
              <w:rPr>
                <w:noProof/>
                <w:webHidden/>
              </w:rPr>
              <w:fldChar w:fldCharType="end"/>
            </w:r>
          </w:hyperlink>
        </w:p>
        <w:p w14:paraId="51795830" w14:textId="77777777" w:rsidR="001D2B7A" w:rsidRDefault="001D2B7A">
          <w:r>
            <w:rPr>
              <w:b/>
              <w:bCs/>
              <w:noProof/>
            </w:rPr>
            <w:fldChar w:fldCharType="end"/>
          </w:r>
        </w:p>
      </w:sdtContent>
    </w:sdt>
    <w:p w14:paraId="37391616" w14:textId="77777777" w:rsidR="007456CF" w:rsidRPr="001D2B7A" w:rsidRDefault="007456CF">
      <w:pPr>
        <w:rPr>
          <w:rFonts w:ascii="Arial" w:hAnsi="Arial" w:cs="Arial"/>
          <w:sz w:val="24"/>
          <w:szCs w:val="24"/>
        </w:rPr>
      </w:pPr>
    </w:p>
    <w:p w14:paraId="24110C02" w14:textId="77777777" w:rsidR="007456CF" w:rsidRPr="001D2B7A" w:rsidRDefault="007456CF">
      <w:pPr>
        <w:rPr>
          <w:rFonts w:ascii="Arial" w:hAnsi="Arial" w:cs="Arial"/>
          <w:sz w:val="24"/>
          <w:szCs w:val="24"/>
        </w:rPr>
      </w:pPr>
    </w:p>
    <w:p w14:paraId="3D065D2D" w14:textId="77777777" w:rsidR="007456CF" w:rsidRPr="001D2B7A" w:rsidRDefault="007456CF">
      <w:pPr>
        <w:rPr>
          <w:rFonts w:ascii="Arial" w:hAnsi="Arial" w:cs="Arial"/>
          <w:sz w:val="24"/>
          <w:szCs w:val="24"/>
        </w:rPr>
      </w:pPr>
    </w:p>
    <w:p w14:paraId="383166E2" w14:textId="77777777" w:rsidR="007456CF" w:rsidRPr="001D2B7A" w:rsidRDefault="007456CF">
      <w:pPr>
        <w:rPr>
          <w:rFonts w:ascii="Arial" w:hAnsi="Arial" w:cs="Arial"/>
          <w:sz w:val="24"/>
          <w:szCs w:val="24"/>
        </w:rPr>
      </w:pPr>
    </w:p>
    <w:p w14:paraId="5A44B647" w14:textId="77777777" w:rsidR="007456CF" w:rsidRPr="001D2B7A" w:rsidRDefault="007456CF">
      <w:pPr>
        <w:rPr>
          <w:rFonts w:ascii="Arial" w:hAnsi="Arial" w:cs="Arial"/>
          <w:sz w:val="24"/>
          <w:szCs w:val="24"/>
        </w:rPr>
      </w:pPr>
    </w:p>
    <w:p w14:paraId="1911BB41" w14:textId="77777777" w:rsidR="007456CF" w:rsidRPr="001D2B7A" w:rsidRDefault="007456CF">
      <w:pPr>
        <w:rPr>
          <w:rFonts w:ascii="Arial" w:hAnsi="Arial" w:cs="Arial"/>
          <w:sz w:val="24"/>
          <w:szCs w:val="24"/>
        </w:rPr>
      </w:pPr>
    </w:p>
    <w:p w14:paraId="584970F2" w14:textId="77777777" w:rsidR="007456CF" w:rsidRPr="001D2B7A" w:rsidRDefault="007456CF">
      <w:pPr>
        <w:rPr>
          <w:rFonts w:ascii="Arial" w:hAnsi="Arial" w:cs="Arial"/>
          <w:sz w:val="24"/>
          <w:szCs w:val="24"/>
        </w:rPr>
      </w:pPr>
    </w:p>
    <w:p w14:paraId="147EE6EF" w14:textId="77777777" w:rsidR="007456CF" w:rsidRPr="001D2B7A" w:rsidRDefault="007456CF">
      <w:pPr>
        <w:rPr>
          <w:rFonts w:ascii="Arial" w:hAnsi="Arial" w:cs="Arial"/>
          <w:sz w:val="24"/>
          <w:szCs w:val="24"/>
        </w:rPr>
      </w:pPr>
    </w:p>
    <w:p w14:paraId="636E0B54" w14:textId="77777777" w:rsidR="007456CF" w:rsidRPr="001D2B7A" w:rsidRDefault="007456CF">
      <w:pPr>
        <w:rPr>
          <w:rFonts w:ascii="Arial" w:hAnsi="Arial" w:cs="Arial"/>
          <w:sz w:val="24"/>
          <w:szCs w:val="24"/>
        </w:rPr>
      </w:pPr>
    </w:p>
    <w:p w14:paraId="0FB591AD" w14:textId="77777777" w:rsidR="007456CF" w:rsidRPr="001D2B7A" w:rsidRDefault="007456CF">
      <w:pPr>
        <w:rPr>
          <w:rFonts w:ascii="Arial" w:hAnsi="Arial" w:cs="Arial"/>
          <w:sz w:val="24"/>
          <w:szCs w:val="24"/>
        </w:rPr>
      </w:pPr>
    </w:p>
    <w:p w14:paraId="43A24C80" w14:textId="77777777" w:rsidR="007456CF" w:rsidRPr="001D2B7A" w:rsidRDefault="007456CF">
      <w:pPr>
        <w:rPr>
          <w:rFonts w:ascii="Arial" w:hAnsi="Arial" w:cs="Arial"/>
          <w:sz w:val="24"/>
          <w:szCs w:val="24"/>
        </w:rPr>
      </w:pPr>
    </w:p>
    <w:p w14:paraId="445D9C3F" w14:textId="77777777" w:rsidR="007456CF" w:rsidRPr="001D2B7A" w:rsidRDefault="007456CF">
      <w:pPr>
        <w:rPr>
          <w:rFonts w:ascii="Arial" w:hAnsi="Arial" w:cs="Arial"/>
          <w:sz w:val="24"/>
          <w:szCs w:val="24"/>
        </w:rPr>
      </w:pPr>
    </w:p>
    <w:p w14:paraId="563FFD3E" w14:textId="77777777" w:rsidR="007456CF" w:rsidRPr="001D2B7A" w:rsidRDefault="007456CF">
      <w:pPr>
        <w:rPr>
          <w:rFonts w:ascii="Arial" w:hAnsi="Arial" w:cs="Arial"/>
          <w:sz w:val="24"/>
          <w:szCs w:val="24"/>
        </w:rPr>
      </w:pPr>
    </w:p>
    <w:p w14:paraId="6FE323FD" w14:textId="77777777" w:rsidR="007456CF" w:rsidRPr="001D2B7A" w:rsidRDefault="007456CF">
      <w:pPr>
        <w:rPr>
          <w:rFonts w:ascii="Arial" w:hAnsi="Arial" w:cs="Arial"/>
          <w:sz w:val="24"/>
          <w:szCs w:val="24"/>
        </w:rPr>
      </w:pPr>
    </w:p>
    <w:p w14:paraId="77E89366" w14:textId="77777777" w:rsidR="00D671FE" w:rsidRPr="00F85689" w:rsidRDefault="00D671FE" w:rsidP="00F85689">
      <w:pPr>
        <w:pStyle w:val="Heading1"/>
        <w:rPr>
          <w:b/>
          <w:bCs/>
        </w:rPr>
      </w:pPr>
      <w:bookmarkStart w:id="0" w:name="_Toc242792274"/>
      <w:r w:rsidRPr="00F85689">
        <w:rPr>
          <w:b/>
          <w:bCs/>
        </w:rPr>
        <w:lastRenderedPageBreak/>
        <w:t>Task A: Designing Innovative Working Practices</w:t>
      </w:r>
      <w:bookmarkEnd w:id="0"/>
    </w:p>
    <w:p w14:paraId="306B9EE0" w14:textId="77777777" w:rsidR="00D671FE" w:rsidRPr="00F85689" w:rsidRDefault="00D671FE"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42792275"/>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 Organisational context</w:t>
      </w:r>
      <w:bookmarkEnd w:id="1"/>
    </w:p>
    <w:p w14:paraId="2BBAC3BA" w14:textId="77777777" w:rsidR="00FE383A" w:rsidRPr="00FE383A" w:rsidRDefault="00FE383A" w:rsidP="00FE383A">
      <w:pPr>
        <w:rPr>
          <w:rFonts w:ascii="Arial" w:hAnsi="Arial" w:cs="Arial"/>
          <w:sz w:val="24"/>
          <w:szCs w:val="24"/>
        </w:rPr>
      </w:pPr>
      <w:bookmarkStart w:id="2" w:name="_Toc242792276"/>
      <w:proofErr w:type="spellStart"/>
      <w:r w:rsidRPr="00FE383A">
        <w:rPr>
          <w:rFonts w:ascii="Arial" w:hAnsi="Arial" w:cs="Arial"/>
          <w:sz w:val="24"/>
          <w:szCs w:val="24"/>
        </w:rPr>
        <w:t>NexSpace</w:t>
      </w:r>
      <w:proofErr w:type="spellEnd"/>
      <w:r w:rsidRPr="00FE383A">
        <w:rPr>
          <w:rFonts w:ascii="Arial" w:hAnsi="Arial" w:cs="Arial"/>
          <w:sz w:val="24"/>
          <w:szCs w:val="24"/>
        </w:rPr>
        <w:t xml:space="preserve"> Health Systems (NHSX) needs to have </w:t>
      </w:r>
      <w:proofErr w:type="gramStart"/>
      <w:r w:rsidRPr="00FE383A">
        <w:rPr>
          <w:rFonts w:ascii="Arial" w:hAnsi="Arial" w:cs="Arial"/>
          <w:sz w:val="24"/>
          <w:szCs w:val="24"/>
        </w:rPr>
        <w:t>working</w:t>
      </w:r>
      <w:proofErr w:type="gramEnd"/>
      <w:r w:rsidRPr="00FE383A">
        <w:rPr>
          <w:rFonts w:ascii="Arial" w:hAnsi="Arial" w:cs="Arial"/>
          <w:sz w:val="24"/>
          <w:szCs w:val="24"/>
        </w:rPr>
        <w:t xml:space="preserve"> practices aligned with its global growth as well as development of AI driven healthcare technologies. Its hierarchical decision making, limited experimentation and disjointed hybrid working culture is creating a drag on innovation as it operates in the United Kingdom, India and the United Arab Emirates with some 600 employees. The scenarios highlight the need to redesign the organisations that need technological investment, with the problems displayed in each scenario indicating this. The model proposed brings together and aligns employee involvement, cross-functional agile teams, meaningful hybrid schedules and shared digital assets. It aims to enhance adaptability and safeguard the well-being of workers and ensure responsibility for healthcare technologies' quality.</w:t>
      </w:r>
    </w:p>
    <w:p w14:paraId="36F393EF" w14:textId="77777777" w:rsidR="0079002A" w:rsidRPr="00F85689" w:rsidRDefault="0079002A"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 Critical evaluation of working practices</w:t>
      </w:r>
      <w:bookmarkEnd w:id="2"/>
    </w:p>
    <w:p w14:paraId="397EF7BD" w14:textId="77777777" w:rsidR="00685B9F" w:rsidRPr="00685B9F" w:rsidRDefault="00685B9F" w:rsidP="00685B9F">
      <w:pPr>
        <w:rPr>
          <w:rFonts w:ascii="Arial" w:hAnsi="Arial" w:cs="Arial"/>
          <w:sz w:val="24"/>
          <w:szCs w:val="24"/>
        </w:rPr>
      </w:pPr>
      <w:r w:rsidRPr="00685B9F">
        <w:rPr>
          <w:rFonts w:ascii="Arial" w:hAnsi="Arial" w:cs="Arial"/>
          <w:sz w:val="24"/>
          <w:szCs w:val="24"/>
        </w:rPr>
        <w:t>Traditional work design is derived from specialized work roles, formal reporting relationships and central control. These are recognized arrangements with clear responsibilities and procedures and can be beneficial to develop technology with a potential clinical impact. Also, too many approval levels can cause delays, limit initiative and can even separate the technical expertise from the customer knowledge. In contemporary working, decisions about discretion and discretion are dispersed and workers are encouraged to help to define how work is organised. Formulated by Parker and Grote (2022), digital technologies can either have a positive or negative impact on autonomy, skill use and wellbeing de</w:t>
      </w:r>
      <w:r w:rsidR="003D3CA3">
        <w:rPr>
          <w:rFonts w:ascii="Arial" w:hAnsi="Arial" w:cs="Arial"/>
          <w:sz w:val="24"/>
          <w:szCs w:val="24"/>
        </w:rPr>
        <w:t>pending on the design. So</w:t>
      </w:r>
      <w:r w:rsidRPr="00685B9F">
        <w:rPr>
          <w:rFonts w:ascii="Arial" w:hAnsi="Arial" w:cs="Arial"/>
          <w:sz w:val="24"/>
          <w:szCs w:val="24"/>
        </w:rPr>
        <w:t xml:space="preserve">, innovation does not </w:t>
      </w:r>
      <w:r w:rsidRPr="00685B9F">
        <w:rPr>
          <w:rFonts w:ascii="Arial" w:hAnsi="Arial" w:cs="Arial"/>
          <w:sz w:val="24"/>
          <w:szCs w:val="24"/>
        </w:rPr>
        <w:lastRenderedPageBreak/>
        <w:t>have to take the form of purchasing collaborative software, but rather of intentional changes in work organisation.</w:t>
      </w:r>
    </w:p>
    <w:p w14:paraId="56F2E52D" w14:textId="77777777" w:rsidR="0048154F" w:rsidRPr="0048154F" w:rsidRDefault="00685B9F" w:rsidP="0048154F">
      <w:pPr>
        <w:rPr>
          <w:rFonts w:ascii="Arial" w:hAnsi="Arial" w:cs="Arial"/>
          <w:sz w:val="24"/>
          <w:szCs w:val="24"/>
        </w:rPr>
      </w:pPr>
      <w:r w:rsidRPr="00685B9F">
        <w:rPr>
          <w:rFonts w:ascii="Arial" w:hAnsi="Arial" w:cs="Arial"/>
          <w:sz w:val="24"/>
          <w:szCs w:val="24"/>
        </w:rPr>
        <w:t xml:space="preserve">High-Performance Work Systems (HPWS) are a combination of work characteristics, such as training, participation, autonomy and performance-based compensation. Arshad et al. (2024) connect HPWS with the innovative behaviour of the employees through the medium of social capital and knowledge sharing. Their findings in the professional services, however, should provide a guide to, but not a basis for, NHSX decisions due to the different conditions in organisations. High Involvement Work Systems (HIWS) emphasize meaningful involvement of the employees in the work process. Boxall and Macky (2009) report it </w:t>
      </w:r>
      <w:proofErr w:type="gramStart"/>
      <w:r w:rsidRPr="00685B9F">
        <w:rPr>
          <w:rFonts w:ascii="Arial" w:hAnsi="Arial" w:cs="Arial"/>
          <w:sz w:val="24"/>
          <w:szCs w:val="24"/>
        </w:rPr>
        <w:t>is</w:t>
      </w:r>
      <w:proofErr w:type="gramEnd"/>
      <w:r w:rsidRPr="00685B9F">
        <w:rPr>
          <w:rFonts w:ascii="Arial" w:hAnsi="Arial" w:cs="Arial"/>
          <w:sz w:val="24"/>
          <w:szCs w:val="24"/>
        </w:rPr>
        <w:t xml:space="preserve"> preferable to be aware of these processes rather than adopting a cross-curricular 'best' p</w:t>
      </w:r>
      <w:r w:rsidR="003D3CA3">
        <w:rPr>
          <w:rFonts w:ascii="Arial" w:hAnsi="Arial" w:cs="Arial"/>
          <w:sz w:val="24"/>
          <w:szCs w:val="24"/>
        </w:rPr>
        <w:t>ractice. NHSX so</w:t>
      </w:r>
      <w:r w:rsidRPr="00685B9F">
        <w:rPr>
          <w:rFonts w:ascii="Arial" w:hAnsi="Arial" w:cs="Arial"/>
          <w:sz w:val="24"/>
          <w:szCs w:val="24"/>
        </w:rPr>
        <w:t xml:space="preserve"> needs to provide employees with influence when i</w:t>
      </w:r>
      <w:r w:rsidR="003D3CA3">
        <w:rPr>
          <w:rFonts w:ascii="Arial" w:hAnsi="Arial" w:cs="Arial"/>
          <w:sz w:val="24"/>
          <w:szCs w:val="24"/>
        </w:rPr>
        <w:t>mproving the way work is done as well as</w:t>
      </w:r>
      <w:r w:rsidRPr="00685B9F">
        <w:rPr>
          <w:rFonts w:ascii="Arial" w:hAnsi="Arial" w:cs="Arial"/>
          <w:sz w:val="24"/>
          <w:szCs w:val="24"/>
        </w:rPr>
        <w:t xml:space="preserve"> actively respond to suggestions made by the members by making it visible.</w:t>
      </w:r>
      <w:r w:rsidR="003D3CA3">
        <w:rPr>
          <w:rFonts w:ascii="Arial" w:hAnsi="Arial" w:cs="Arial"/>
          <w:sz w:val="24"/>
          <w:szCs w:val="24"/>
        </w:rPr>
        <w:t xml:space="preserve"> </w:t>
      </w:r>
      <w:r w:rsidR="0079002A" w:rsidRPr="001D2B7A">
        <w:rPr>
          <w:rFonts w:ascii="Arial" w:hAnsi="Arial" w:cs="Arial"/>
          <w:sz w:val="24"/>
          <w:szCs w:val="24"/>
        </w:rPr>
        <w:t xml:space="preserve">Employee outcomes need to be considered along with performance benefits. </w:t>
      </w:r>
      <w:r w:rsidR="0048154F" w:rsidRPr="0048154F">
        <w:rPr>
          <w:rFonts w:ascii="Arial" w:hAnsi="Arial" w:cs="Arial"/>
          <w:sz w:val="24"/>
          <w:szCs w:val="24"/>
        </w:rPr>
        <w:t>Zhang et al. (2023) found positive relationships between HPWS and different aspects of wellbeing, and also found varying relationships between different dimensions of wellbeing and HPWS by industry and culture. While they don't agree with the idea that more and more difficult performance measures will have a negative effect on employees, they are not always good in the workplace. NHSX should incorporate perceived fairness and wellbeing with delivery outcomes, alongside workload.</w:t>
      </w:r>
    </w:p>
    <w:p w14:paraId="3F4ECF2E" w14:textId="77777777" w:rsidR="0048154F" w:rsidRDefault="0048154F" w:rsidP="0048154F">
      <w:pPr>
        <w:rPr>
          <w:rFonts w:ascii="Arial" w:hAnsi="Arial" w:cs="Arial"/>
          <w:sz w:val="24"/>
          <w:szCs w:val="24"/>
        </w:rPr>
      </w:pPr>
      <w:r w:rsidRPr="0048154F">
        <w:rPr>
          <w:rFonts w:ascii="Arial" w:hAnsi="Arial" w:cs="Arial"/>
          <w:sz w:val="24"/>
          <w:szCs w:val="24"/>
        </w:rPr>
        <w:t xml:space="preserve">The integrating principle of the framework is Social Arrangements and Technical Systems must be designed together as outlined in Sociotechnical Systems Theory (Clegg, 2000). The structures of teams, decision rights, information access and </w:t>
      </w:r>
      <w:r w:rsidRPr="0048154F">
        <w:rPr>
          <w:rFonts w:ascii="Arial" w:hAnsi="Arial" w:cs="Arial"/>
          <w:sz w:val="24"/>
          <w:szCs w:val="24"/>
        </w:rPr>
        <w:lastRenderedPageBreak/>
        <w:t>collaboration tools need to reinforce each other, in order to support one another for NHSX. This doesn't mean that this is a belief that technology will solve an organization's entrenched problems.</w:t>
      </w:r>
    </w:p>
    <w:p w14:paraId="4D6EFDC3" w14:textId="77777777" w:rsidR="0079002A" w:rsidRPr="00F85689" w:rsidRDefault="0079002A"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42792277"/>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 Cross-functional collaboration and agile teams</w:t>
      </w:r>
      <w:bookmarkEnd w:id="3"/>
    </w:p>
    <w:p w14:paraId="360A0AD1" w14:textId="77777777" w:rsidR="00685B9F" w:rsidRPr="00685B9F" w:rsidRDefault="00685B9F" w:rsidP="00685B9F">
      <w:pPr>
        <w:rPr>
          <w:rFonts w:ascii="Arial" w:hAnsi="Arial" w:cs="Arial"/>
          <w:sz w:val="24"/>
          <w:szCs w:val="24"/>
        </w:rPr>
      </w:pPr>
      <w:r w:rsidRPr="00685B9F">
        <w:rPr>
          <w:rFonts w:ascii="Arial" w:hAnsi="Arial" w:cs="Arial"/>
          <w:sz w:val="24"/>
          <w:szCs w:val="24"/>
        </w:rPr>
        <w:t>NHSX should work with the following people on product teams: software engineering, clinical, data science, design and quality assurance. The teams should have an individual product objective: for example, improving a remote-monitoring capability. This would link up the experts earlier in the process, which would help to minimise misunderstandings and rework.</w:t>
      </w:r>
    </w:p>
    <w:p w14:paraId="3A4DB9C2" w14:textId="77777777" w:rsidR="0079002A" w:rsidRPr="001D2B7A" w:rsidRDefault="00685B9F" w:rsidP="00685B9F">
      <w:pPr>
        <w:rPr>
          <w:rFonts w:ascii="Arial" w:hAnsi="Arial" w:cs="Arial"/>
          <w:sz w:val="24"/>
          <w:szCs w:val="24"/>
        </w:rPr>
      </w:pPr>
      <w:r w:rsidRPr="00685B9F">
        <w:rPr>
          <w:rFonts w:ascii="Arial" w:hAnsi="Arial" w:cs="Arial"/>
          <w:sz w:val="24"/>
          <w:szCs w:val="24"/>
        </w:rPr>
        <w:t xml:space="preserve">Teams should employ prioritised backlogs, short cycles, stakeholder review and retrospective. The core principles of Scrum are cross-functional, self-managing teams, inspection and adaptation (Schwaber and Sutherland, 2020). It is essential to know, however, that an iteration does not automatically mean the right to release a clinical product, there would still be a need to perform validation and quality checks. Shared technical standards and coordination meetings would be held where dependency issues would be discussed between teams. Moe et al. (2021) show that autonomy in large scale agile development is a combination of team autonomy and organisational autonomy. Managers should remove barriers and teams must determine their suitable delivery methods, </w:t>
      </w:r>
      <w:proofErr w:type="gramStart"/>
      <w:r w:rsidRPr="00685B9F">
        <w:rPr>
          <w:rFonts w:ascii="Arial" w:hAnsi="Arial" w:cs="Arial"/>
          <w:sz w:val="24"/>
          <w:szCs w:val="24"/>
        </w:rPr>
        <w:t>eliminating</w:t>
      </w:r>
      <w:proofErr w:type="gramEnd"/>
      <w:r w:rsidRPr="00685B9F">
        <w:rPr>
          <w:rFonts w:ascii="Arial" w:hAnsi="Arial" w:cs="Arial"/>
          <w:sz w:val="24"/>
          <w:szCs w:val="24"/>
        </w:rPr>
        <w:t xml:space="preserve"> barriers and coordinating resources.</w:t>
      </w:r>
    </w:p>
    <w:p w14:paraId="52DC2C67" w14:textId="77777777" w:rsidR="0079002A" w:rsidRPr="00F85689" w:rsidRDefault="0079002A"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42792278"/>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 Purposeful hybrid and flexible working</w:t>
      </w:r>
      <w:bookmarkEnd w:id="4"/>
    </w:p>
    <w:p w14:paraId="63A05EF5" w14:textId="77777777" w:rsidR="005D77AE" w:rsidRPr="005D77AE" w:rsidRDefault="0079002A" w:rsidP="005D77AE">
      <w:pPr>
        <w:rPr>
          <w:rFonts w:ascii="Arial" w:hAnsi="Arial" w:cs="Arial"/>
          <w:sz w:val="24"/>
          <w:szCs w:val="24"/>
        </w:rPr>
      </w:pPr>
      <w:r w:rsidRPr="0053246D">
        <w:t xml:space="preserve">NHSX should create team agreements of collaborative activities, remote working and reasonable availability expectations. In a Chinese tech firm, Bloom, Han and Liang (2024) discovered a 33% cut in </w:t>
      </w:r>
      <w:r w:rsidRPr="0053246D">
        <w:lastRenderedPageBreak/>
        <w:t>employee turnover when the model of hybrid working was implemented, without affecting results of measured performance</w:t>
      </w:r>
      <w:r w:rsidRPr="005D77AE">
        <w:rPr>
          <w:rFonts w:ascii="Arial" w:hAnsi="Arial" w:cs="Arial"/>
          <w:sz w:val="24"/>
          <w:szCs w:val="24"/>
        </w:rPr>
        <w:t xml:space="preserve">. </w:t>
      </w:r>
      <w:bookmarkStart w:id="5" w:name="_Toc242792279"/>
      <w:r w:rsidR="005D77AE" w:rsidRPr="005D77AE">
        <w:rPr>
          <w:rFonts w:ascii="Arial" w:hAnsi="Arial" w:cs="Arial"/>
          <w:sz w:val="24"/>
          <w:szCs w:val="24"/>
        </w:rPr>
        <w:t>This is not NHSX, but does give some flexibility in the pilot if they are not in the same place.</w:t>
      </w:r>
    </w:p>
    <w:p w14:paraId="1A67BA4B" w14:textId="77777777" w:rsidR="005D77AE" w:rsidRPr="005D77AE" w:rsidRDefault="005D77AE" w:rsidP="005D77AE">
      <w:pPr>
        <w:rPr>
          <w:rFonts w:ascii="Arial" w:hAnsi="Arial" w:cs="Arial"/>
          <w:sz w:val="24"/>
          <w:szCs w:val="24"/>
        </w:rPr>
      </w:pPr>
      <w:r w:rsidRPr="005D77AE">
        <w:rPr>
          <w:rFonts w:ascii="Arial" w:hAnsi="Arial" w:cs="Arial"/>
          <w:sz w:val="24"/>
          <w:szCs w:val="24"/>
        </w:rPr>
        <w:t xml:space="preserve">However, remote options must be purposeful coordinated. Microsoft has seen collaboration networks becoming more isolated due to the remote working practice in the companies, however, Yang et al. (2022) found. But, with just one company in place, the hybrid model cannot be directly transferable to the pandemic context, as it </w:t>
      </w:r>
      <w:proofErr w:type="spellStart"/>
      <w:proofErr w:type="gramStart"/>
      <w:r w:rsidRPr="005D77AE">
        <w:rPr>
          <w:rFonts w:ascii="Arial" w:hAnsi="Arial" w:cs="Arial"/>
          <w:sz w:val="24"/>
          <w:szCs w:val="24"/>
        </w:rPr>
        <w:t>is.However</w:t>
      </w:r>
      <w:proofErr w:type="spellEnd"/>
      <w:proofErr w:type="gramEnd"/>
      <w:r w:rsidRPr="005D77AE">
        <w:rPr>
          <w:rFonts w:ascii="Arial" w:hAnsi="Arial" w:cs="Arial"/>
          <w:sz w:val="24"/>
          <w:szCs w:val="24"/>
        </w:rPr>
        <w:t>, the single-company context means that the hybrid arrangements in place by NHSX cannot be directly generalised to the pandemic era. Furthermore, Brucks and Levav (2022) found a negative effect on their participants' creative idea generation when using videoconferencing. NHSX should therefore, try to hold face-to-face workshops occasionally, whenever needed, for complex brainstorming and keep records of the brainstorming for its international partners. Rotation of meetings and protected focus times, flexible start times would allow for even distribution of the coordination demands and wellbeing across locations.</w:t>
      </w:r>
    </w:p>
    <w:p w14:paraId="18628832" w14:textId="77777777" w:rsidR="0079002A" w:rsidRPr="00F85689" w:rsidRDefault="0079002A"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 Employee Autonomy and Involvement</w:t>
      </w:r>
      <w:bookmarkEnd w:id="5"/>
    </w:p>
    <w:p w14:paraId="170F9B71" w14:textId="77777777" w:rsidR="0079002A" w:rsidRPr="001D2B7A" w:rsidRDefault="0079002A" w:rsidP="0079002A">
      <w:pPr>
        <w:rPr>
          <w:rFonts w:ascii="Arial" w:hAnsi="Arial" w:cs="Arial"/>
          <w:sz w:val="24"/>
          <w:szCs w:val="24"/>
        </w:rPr>
      </w:pPr>
      <w:r w:rsidRPr="001D2B7A">
        <w:rPr>
          <w:rFonts w:ascii="Arial" w:hAnsi="Arial" w:cs="Arial"/>
          <w:sz w:val="24"/>
          <w:szCs w:val="24"/>
        </w:rPr>
        <w:t>Staff members must have clear authority with respect to the sequencing of tasks, problem solving methods and small experiments. Explicit escalation procedures should be followed for decisions regarding clinical validation, major expenditure or sensitive information. This would eliminate unnecessary approvals without taking away accountability. As Moe et al. (2021) show, autonomy needs to be embedded in arrangements to facilitate coordination and common goals within the organisation.</w:t>
      </w:r>
    </w:p>
    <w:p w14:paraId="4CCAF725" w14:textId="77777777" w:rsidR="0079002A" w:rsidRPr="001D2B7A" w:rsidRDefault="0079002A" w:rsidP="0079002A">
      <w:pPr>
        <w:rPr>
          <w:rFonts w:ascii="Arial" w:hAnsi="Arial" w:cs="Arial"/>
          <w:sz w:val="24"/>
          <w:szCs w:val="24"/>
        </w:rPr>
      </w:pPr>
      <w:r w:rsidRPr="001D2B7A">
        <w:rPr>
          <w:rFonts w:ascii="Arial" w:hAnsi="Arial" w:cs="Arial"/>
          <w:sz w:val="24"/>
          <w:szCs w:val="24"/>
        </w:rPr>
        <w:lastRenderedPageBreak/>
        <w:t>It is also recommended that NHSX provide staff with dedicated time to experiment and that they be encouraged to suggest improvements to the processes. The reasons why particular proposals are accepted, deferred or rejected should be explained to managers. Those who are already confident in talking to senior leaders should be encouraged to continue their participation, but recognition should be given for useful learning and/or cooperative problem solving.</w:t>
      </w:r>
    </w:p>
    <w:p w14:paraId="21783004" w14:textId="77777777" w:rsidR="005F3BAC" w:rsidRPr="00F85689" w:rsidRDefault="005F3BAC"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42792280"/>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 Digital collaboration and knowledge sharing</w:t>
      </w:r>
      <w:bookmarkEnd w:id="6"/>
    </w:p>
    <w:p w14:paraId="1AD6E0AC" w14:textId="77777777" w:rsidR="0079002A" w:rsidRPr="001D2B7A" w:rsidRDefault="0079002A" w:rsidP="0079002A">
      <w:pPr>
        <w:rPr>
          <w:rFonts w:ascii="Arial" w:hAnsi="Arial" w:cs="Arial"/>
          <w:sz w:val="24"/>
          <w:szCs w:val="24"/>
        </w:rPr>
      </w:pPr>
      <w:r w:rsidRPr="001D2B7A">
        <w:rPr>
          <w:rFonts w:ascii="Arial" w:hAnsi="Arial" w:cs="Arial"/>
          <w:sz w:val="24"/>
          <w:szCs w:val="24"/>
        </w:rPr>
        <w:t>A shared digital workspace should include project tracking, a searchable document, authorized communication paths and recorded summaries of decisions. Common templates and named document owners would facilitate the ability of employees to find information that is reliable. Technical lessons and persistent issues should be shared across location communities of practice, extending the scope of sharing beyond the project team. The following recommendations are based on the information sharing barriers identified by Yang et al. (2022).</w:t>
      </w:r>
    </w:p>
    <w:p w14:paraId="4075EA72" w14:textId="77777777" w:rsidR="0079002A" w:rsidRPr="001D2B7A" w:rsidRDefault="0079002A" w:rsidP="0079002A">
      <w:pPr>
        <w:rPr>
          <w:rFonts w:ascii="Arial" w:hAnsi="Arial" w:cs="Arial"/>
          <w:sz w:val="24"/>
          <w:szCs w:val="24"/>
        </w:rPr>
      </w:pPr>
      <w:r w:rsidRPr="001D2B7A">
        <w:rPr>
          <w:rFonts w:ascii="Arial" w:hAnsi="Arial" w:cs="Arial"/>
          <w:sz w:val="24"/>
          <w:szCs w:val="24"/>
        </w:rPr>
        <w:t xml:space="preserve">Employees should be involved in technology selection and </w:t>
      </w:r>
      <w:proofErr w:type="gramStart"/>
      <w:r w:rsidRPr="001D2B7A">
        <w:rPr>
          <w:rFonts w:ascii="Arial" w:hAnsi="Arial" w:cs="Arial"/>
          <w:sz w:val="24"/>
          <w:szCs w:val="24"/>
        </w:rPr>
        <w:t>accessibility,</w:t>
      </w:r>
      <w:proofErr w:type="gramEnd"/>
      <w:r w:rsidRPr="001D2B7A">
        <w:rPr>
          <w:rFonts w:ascii="Arial" w:hAnsi="Arial" w:cs="Arial"/>
          <w:sz w:val="24"/>
          <w:szCs w:val="24"/>
        </w:rPr>
        <w:t xml:space="preserve"> permissions and information security should be taken into account. Managers should ensure that the expectations of the response are agreed and that the number of channels being used are not duplicated, making it more of an interruption instead of a collaboration system. Digital visibility should be used to coordinate, not to monitor what is happening with individuals.</w:t>
      </w:r>
    </w:p>
    <w:p w14:paraId="06AFE797" w14:textId="77777777" w:rsidR="005F3BAC" w:rsidRPr="00F85689" w:rsidRDefault="002B379E"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42792281"/>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1.7 Implementation and Performance E</w:t>
      </w:r>
      <w:r w:rsidR="005F3BAC"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valuation</w:t>
      </w:r>
      <w:bookmarkEnd w:id="7"/>
    </w:p>
    <w:p w14:paraId="25544CF8" w14:textId="77777777" w:rsidR="00D84441" w:rsidRPr="007E4D06" w:rsidRDefault="00D84441" w:rsidP="007E4D06">
      <w:pPr>
        <w:rPr>
          <w:rFonts w:ascii="Arial" w:hAnsi="Arial" w:cs="Arial"/>
          <w:sz w:val="24"/>
          <w:szCs w:val="24"/>
        </w:rPr>
      </w:pPr>
      <w:r w:rsidRPr="007E4D06">
        <w:rPr>
          <w:rFonts w:ascii="Arial" w:hAnsi="Arial" w:cs="Arial"/>
          <w:sz w:val="24"/>
          <w:szCs w:val="24"/>
        </w:rPr>
        <w:t>The Board should develop a pilot that lasts for six months and include product teams identified, and review progress with HR and operational leaders and employees. These include aspects of decision turnaround, development lead times, defects, sharing of knowledge between teams, employee autonomy and wellbeing and measures taken at baseline and follow-up. Training, coordination time and appropriate digital infrastructure should be included in the costs. Comparisons with other teams similar to the pilot project would be useful for evaluation and causal conclusions would be limited by the differences between the teams. Expansion should be based on evidence of enhanced delivery quality, and employee experience, and practices should be tailored based on consultation, across all three countries.</w:t>
      </w:r>
    </w:p>
    <w:p w14:paraId="2E199A04" w14:textId="77777777" w:rsidR="004F18B1" w:rsidRPr="00F85689" w:rsidRDefault="004F18B1" w:rsidP="00F85689">
      <w:pPr>
        <w:pStyle w:val="Heading1"/>
        <w:rPr>
          <w:b/>
          <w:bCs/>
        </w:rPr>
      </w:pPr>
      <w:bookmarkStart w:id="8" w:name="_Toc242792282"/>
      <w:r w:rsidRPr="00F85689">
        <w:rPr>
          <w:b/>
          <w:bCs/>
        </w:rPr>
        <w:t>Task B: Breeding an Environment Where Talent May Grow</w:t>
      </w:r>
      <w:bookmarkEnd w:id="8"/>
    </w:p>
    <w:p w14:paraId="27364FB7" w14:textId="77777777" w:rsidR="004F18B1" w:rsidRPr="00F85689" w:rsidRDefault="004F18B1"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42792283"/>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Strategic context</w:t>
      </w:r>
      <w:bookmarkEnd w:id="9"/>
    </w:p>
    <w:p w14:paraId="699CE529" w14:textId="77777777" w:rsidR="00EC2A73" w:rsidRDefault="00EC2A73" w:rsidP="00EC2A73">
      <w:pPr>
        <w:rPr>
          <w:rFonts w:ascii="Arial" w:hAnsi="Arial" w:cs="Arial"/>
          <w:sz w:val="24"/>
          <w:szCs w:val="24"/>
        </w:rPr>
      </w:pPr>
      <w:proofErr w:type="spellStart"/>
      <w:r w:rsidRPr="001D2B7A">
        <w:rPr>
          <w:rFonts w:ascii="Arial" w:hAnsi="Arial" w:cs="Arial"/>
          <w:sz w:val="24"/>
          <w:szCs w:val="24"/>
        </w:rPr>
        <w:t>NexSpace</w:t>
      </w:r>
      <w:proofErr w:type="spellEnd"/>
      <w:r w:rsidRPr="001D2B7A">
        <w:rPr>
          <w:rFonts w:ascii="Arial" w:hAnsi="Arial" w:cs="Arial"/>
          <w:sz w:val="24"/>
          <w:szCs w:val="24"/>
        </w:rPr>
        <w:t xml:space="preserve"> Health Systems (NHSX) requires a talent ecosystem, where continual learning, career advancement, leadership support and continuous performance are interwoven. Employees have left and are worried about development suggesting that recruitment is not enough to ensure future capabilities. The strategy would enable staff in NHSX to build up their expertise in the United Kingdom, India and United Arab Emirates. It should support innovative working methods by ensuring that growth opportunities are meaningful and available, and are linked to the priorities of healthcare technology.</w:t>
      </w:r>
    </w:p>
    <w:p w14:paraId="43105340" w14:textId="77777777" w:rsidR="0025556C" w:rsidRDefault="0025556C" w:rsidP="00EC2A73">
      <w:pPr>
        <w:rPr>
          <w:rFonts w:ascii="Arial" w:hAnsi="Arial" w:cs="Arial"/>
          <w:sz w:val="24"/>
          <w:szCs w:val="24"/>
        </w:rPr>
      </w:pPr>
      <w:r>
        <w:rPr>
          <w:noProof/>
          <w:lang w:eastAsia="en-GB"/>
        </w:rPr>
        <w:lastRenderedPageBreak/>
        <w:drawing>
          <wp:inline distT="0" distB="0" distL="0" distR="0" wp14:anchorId="6C8CFFCA" wp14:editId="783DD999">
            <wp:extent cx="3973500" cy="3788410"/>
            <wp:effectExtent l="0" t="0" r="825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a:stretch/>
                  </pic:blipFill>
                  <pic:spPr bwMode="auto">
                    <a:xfrm>
                      <a:off x="0" y="0"/>
                      <a:ext cx="3986293" cy="3800607"/>
                    </a:xfrm>
                    <a:prstGeom prst="rect">
                      <a:avLst/>
                    </a:prstGeom>
                    <a:ln>
                      <a:noFill/>
                    </a:ln>
                    <a:extLst>
                      <a:ext uri="{53640926-AAD7-44D8-BBD7-CCE9431645EC}">
                        <a14:shadowObscured xmlns:a14="http://schemas.microsoft.com/office/drawing/2010/main"/>
                      </a:ext>
                    </a:extLst>
                  </pic:spPr>
                </pic:pic>
              </a:graphicData>
            </a:graphic>
          </wp:inline>
        </w:drawing>
      </w:r>
    </w:p>
    <w:p w14:paraId="645693AB" w14:textId="77777777" w:rsidR="00F8066E" w:rsidRPr="001D2B7A" w:rsidRDefault="00F8066E" w:rsidP="00EC2A73">
      <w:pPr>
        <w:rPr>
          <w:rFonts w:ascii="Arial" w:hAnsi="Arial" w:cs="Arial"/>
          <w:sz w:val="24"/>
          <w:szCs w:val="24"/>
        </w:rPr>
      </w:pPr>
      <w:r w:rsidRPr="00F8066E">
        <w:rPr>
          <w:rFonts w:ascii="Arial" w:hAnsi="Arial" w:cs="Arial"/>
          <w:b/>
          <w:bCs/>
          <w:sz w:val="24"/>
          <w:szCs w:val="24"/>
        </w:rPr>
        <w:t xml:space="preserve">Figure 1: Proposed human capital framework for </w:t>
      </w:r>
      <w:proofErr w:type="spellStart"/>
      <w:r w:rsidRPr="00F8066E">
        <w:rPr>
          <w:rFonts w:ascii="Arial" w:hAnsi="Arial" w:cs="Arial"/>
          <w:b/>
          <w:bCs/>
          <w:sz w:val="24"/>
          <w:szCs w:val="24"/>
        </w:rPr>
        <w:t>NexSpace</w:t>
      </w:r>
      <w:proofErr w:type="spellEnd"/>
      <w:r w:rsidRPr="00F8066E">
        <w:rPr>
          <w:rFonts w:ascii="Arial" w:hAnsi="Arial" w:cs="Arial"/>
          <w:b/>
          <w:bCs/>
          <w:sz w:val="24"/>
          <w:szCs w:val="24"/>
        </w:rPr>
        <w:t xml:space="preserve"> Health Systems</w:t>
      </w:r>
    </w:p>
    <w:p w14:paraId="686BE3A8" w14:textId="77777777" w:rsidR="00EC3531" w:rsidRPr="00F85689" w:rsidRDefault="00EC3531"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42792284"/>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Critical evaluation of talent growth environments</w:t>
      </w:r>
      <w:bookmarkEnd w:id="10"/>
    </w:p>
    <w:p w14:paraId="0E098A63" w14:textId="77777777" w:rsidR="00BC699B" w:rsidRPr="00BC699B" w:rsidRDefault="00BC699B" w:rsidP="00BC699B">
      <w:pPr>
        <w:rPr>
          <w:rFonts w:ascii="Arial" w:hAnsi="Arial" w:cs="Arial"/>
          <w:sz w:val="24"/>
          <w:szCs w:val="24"/>
        </w:rPr>
      </w:pPr>
      <w:r w:rsidRPr="00BC699B">
        <w:rPr>
          <w:rFonts w:ascii="Arial" w:hAnsi="Arial" w:cs="Arial"/>
          <w:sz w:val="24"/>
          <w:szCs w:val="24"/>
        </w:rPr>
        <w:t xml:space="preserve">Senge (2006) brings together the concepts of personal mastery, mental models, shared vision, team learning and systems thinking to the concept of learning organisation. Applying this to NHSX involves looking at how management actions, resources and the transfer of knowledge and information are used to assist development. However, a </w:t>
      </w:r>
      <w:proofErr w:type="gramStart"/>
      <w:r w:rsidRPr="00BC699B">
        <w:rPr>
          <w:rFonts w:ascii="Arial" w:hAnsi="Arial" w:cs="Arial"/>
          <w:sz w:val="24"/>
          <w:szCs w:val="24"/>
        </w:rPr>
        <w:t>learning oriented</w:t>
      </w:r>
      <w:proofErr w:type="gramEnd"/>
      <w:r w:rsidRPr="00BC699B">
        <w:rPr>
          <w:rFonts w:ascii="Arial" w:hAnsi="Arial" w:cs="Arial"/>
          <w:sz w:val="24"/>
          <w:szCs w:val="24"/>
        </w:rPr>
        <w:t xml:space="preserve"> culture is not sufficient if employees do not have the time to learn, due to operational deadlines. The framework needs to then be translated to activities that are funded, protected learning time (PLT), and opportunities to apply the knowledge.</w:t>
      </w:r>
    </w:p>
    <w:p w14:paraId="1F0EB017" w14:textId="77777777" w:rsidR="00BC699B" w:rsidRDefault="00BC699B" w:rsidP="00BC699B">
      <w:pPr>
        <w:rPr>
          <w:rFonts w:ascii="Arial" w:hAnsi="Arial" w:cs="Arial"/>
          <w:sz w:val="24"/>
          <w:szCs w:val="24"/>
        </w:rPr>
      </w:pPr>
      <w:r w:rsidRPr="00BC699B">
        <w:rPr>
          <w:rFonts w:ascii="Arial" w:hAnsi="Arial" w:cs="Arial"/>
          <w:sz w:val="24"/>
          <w:szCs w:val="24"/>
        </w:rPr>
        <w:t xml:space="preserve">Dweck's (2006) growth mind-set suggests that skills are acquired and developed by learning and effective strategies. Capacity should not be seen as set in stone, but </w:t>
      </w:r>
      <w:r w:rsidRPr="00BC699B">
        <w:rPr>
          <w:rFonts w:ascii="Arial" w:hAnsi="Arial" w:cs="Arial"/>
          <w:sz w:val="24"/>
          <w:szCs w:val="24"/>
        </w:rPr>
        <w:lastRenderedPageBreak/>
        <w:t>managers should acknowledge progress and offer constructive feedback. However, mind-set messages aren't going to overcome lack of access to training or vague promotion rules. Rogers et al. (2023) found that participants who received interventions for work growth mind-set were provided with encouragement to help, particularly when opportunities were provided to help with the development of participants. This indicates that NHSX should link individual learning to peer mentoring and joint problem solving.</w:t>
      </w:r>
    </w:p>
    <w:p w14:paraId="118617B5" w14:textId="77777777" w:rsidR="00EC2A73" w:rsidRPr="001D2B7A" w:rsidRDefault="00EC2A73" w:rsidP="00BC699B">
      <w:pPr>
        <w:rPr>
          <w:rFonts w:ascii="Arial" w:hAnsi="Arial" w:cs="Arial"/>
          <w:sz w:val="24"/>
          <w:szCs w:val="24"/>
        </w:rPr>
      </w:pPr>
      <w:r w:rsidRPr="001D2B7A">
        <w:rPr>
          <w:rFonts w:ascii="Arial" w:hAnsi="Arial" w:cs="Arial"/>
          <w:sz w:val="24"/>
          <w:szCs w:val="24"/>
        </w:rPr>
        <w:t>Psychological safety allows people to express their questions, uncertainty and concerns without fear of personal repercussions. Edmondson and Bransby (2023) state that it is important for learning, leadership, and performing in changing circumstances. It is especially significant for NHSX when staff question their understating of the role of AI in healthcare products. Psychological safety should, however, go hand in hand with clear professional expectations; asking questions is not a substitute for responsibility for technical correctness or appropriate validation.</w:t>
      </w:r>
    </w:p>
    <w:p w14:paraId="60483AD1" w14:textId="77777777" w:rsidR="00EC2A73" w:rsidRPr="001D2B7A" w:rsidRDefault="00EC2A73" w:rsidP="00EC2A73">
      <w:pPr>
        <w:rPr>
          <w:rFonts w:ascii="Arial" w:hAnsi="Arial" w:cs="Arial"/>
          <w:sz w:val="24"/>
          <w:szCs w:val="24"/>
        </w:rPr>
      </w:pPr>
      <w:r w:rsidRPr="001D2B7A">
        <w:rPr>
          <w:rFonts w:ascii="Arial" w:hAnsi="Arial" w:cs="Arial"/>
          <w:sz w:val="24"/>
          <w:szCs w:val="24"/>
        </w:rPr>
        <w:t>Self-Determination Theory describes how the motivation to work is related to the three basic needs: autonomy, competence and relatedness (</w:t>
      </w:r>
      <w:proofErr w:type="spellStart"/>
      <w:r w:rsidRPr="001D2B7A">
        <w:rPr>
          <w:rFonts w:ascii="Arial" w:hAnsi="Arial" w:cs="Arial"/>
          <w:sz w:val="24"/>
          <w:szCs w:val="24"/>
        </w:rPr>
        <w:t>Gagné</w:t>
      </w:r>
      <w:proofErr w:type="spellEnd"/>
      <w:r w:rsidRPr="001D2B7A">
        <w:rPr>
          <w:rFonts w:ascii="Arial" w:hAnsi="Arial" w:cs="Arial"/>
          <w:sz w:val="24"/>
          <w:szCs w:val="24"/>
        </w:rPr>
        <w:t xml:space="preserve"> et al., 2022). NHSX should, therefore, provide development opportunities, meaningful challenges to learning and supportive relationships. But if there is no restriction, there may be skill deficits in key areas. Plans for employee development should take into consideration the needs of the organization and the employees' goals.</w:t>
      </w:r>
    </w:p>
    <w:p w14:paraId="4E054961" w14:textId="77777777" w:rsidR="00EC2A73" w:rsidRPr="001D2B7A" w:rsidRDefault="00EC2A73" w:rsidP="00EC2A73">
      <w:pPr>
        <w:rPr>
          <w:rFonts w:ascii="Arial" w:hAnsi="Arial" w:cs="Arial"/>
          <w:sz w:val="24"/>
          <w:szCs w:val="24"/>
        </w:rPr>
      </w:pPr>
      <w:r w:rsidRPr="001D2B7A">
        <w:rPr>
          <w:rFonts w:ascii="Arial" w:hAnsi="Arial" w:cs="Arial"/>
          <w:sz w:val="24"/>
          <w:szCs w:val="24"/>
        </w:rPr>
        <w:t xml:space="preserve">In addition to decisions on inclusion and selective investment, talent management also encompasses decisions on selection and promotion. However, Sinisterra, Peñalver and </w:t>
      </w:r>
      <w:proofErr w:type="spellStart"/>
      <w:r w:rsidRPr="001D2B7A">
        <w:rPr>
          <w:rFonts w:ascii="Arial" w:hAnsi="Arial" w:cs="Arial"/>
          <w:sz w:val="24"/>
          <w:szCs w:val="24"/>
        </w:rPr>
        <w:t>Salanova</w:t>
      </w:r>
      <w:proofErr w:type="spellEnd"/>
      <w:r w:rsidRPr="001D2B7A">
        <w:rPr>
          <w:rFonts w:ascii="Arial" w:hAnsi="Arial" w:cs="Arial"/>
          <w:sz w:val="24"/>
          <w:szCs w:val="24"/>
        </w:rPr>
        <w:t xml:space="preserve"> (2024) differentiate the definition and link between talent practices, engagement and intentions to leave. They mainly review cross sectional studies and </w:t>
      </w:r>
      <w:r w:rsidRPr="001D2B7A">
        <w:rPr>
          <w:rFonts w:ascii="Arial" w:hAnsi="Arial" w:cs="Arial"/>
          <w:sz w:val="24"/>
          <w:szCs w:val="24"/>
        </w:rPr>
        <w:lastRenderedPageBreak/>
        <w:t>draw mainly non-causal conclusions. The development entitlement should be available to all staff in NHSX, and preparation for those roles of high significance should be available for those who wish to use it, but should be based on clear criteria. This equates developing capabilities with fairness and not taking it for granted that development will always ensure retention.</w:t>
      </w:r>
    </w:p>
    <w:p w14:paraId="3BDCE5D4" w14:textId="77777777" w:rsidR="00EC2A73" w:rsidRPr="00F85689" w:rsidRDefault="00EC2A73"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42792285"/>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Skills assessment and continuous learning</w:t>
      </w:r>
      <w:bookmarkEnd w:id="11"/>
    </w:p>
    <w:p w14:paraId="2469DCD2" w14:textId="77777777" w:rsidR="005D77AE" w:rsidRDefault="005D77AE" w:rsidP="00EC2A73">
      <w:pPr>
        <w:rPr>
          <w:rFonts w:ascii="Arial" w:hAnsi="Arial" w:cs="Arial"/>
          <w:sz w:val="24"/>
          <w:szCs w:val="24"/>
        </w:rPr>
      </w:pPr>
      <w:r w:rsidRPr="005D77AE">
        <w:rPr>
          <w:rFonts w:ascii="Arial" w:hAnsi="Arial" w:cs="Arial"/>
          <w:sz w:val="24"/>
          <w:szCs w:val="24"/>
        </w:rPr>
        <w:t>HR needs to arrange an evaluation of the skills: AI engineering, clinical knowledge, cybersecurity, and product management/collaborative leadership. Self-evaluation and discussion and demonstration by the manager – NOT just employee ratings – should be used to identify development needs. A personal development plan should be discussed with each employee and outline the employee's goals and opportunities, and how they relate to the capability of the business. A digital learning platform should offer courses, and practical projects, peer workshops and professional qualifications will be supportive of application. Protected learning time must be taken into consideration when planning workload and managers will be accountable for enabling participation.</w:t>
      </w:r>
    </w:p>
    <w:p w14:paraId="0C491FDC" w14:textId="77777777" w:rsidR="00EC2A73" w:rsidRPr="001D2B7A" w:rsidRDefault="00EC2A73" w:rsidP="00EC2A73">
      <w:pPr>
        <w:rPr>
          <w:rFonts w:ascii="Arial" w:hAnsi="Arial" w:cs="Arial"/>
          <w:sz w:val="24"/>
          <w:szCs w:val="24"/>
        </w:rPr>
      </w:pPr>
      <w:r w:rsidRPr="001D2B7A">
        <w:rPr>
          <w:rFonts w:ascii="Arial" w:hAnsi="Arial" w:cs="Arial"/>
          <w:sz w:val="24"/>
          <w:szCs w:val="24"/>
        </w:rPr>
        <w:t>Teams should review project lessons and update shared assumptions based on lessons from projects as suggested in Senge (2006). Assessment of development should be based on evidence of competence and on improvement of work practices, not on "course completion".</w:t>
      </w:r>
    </w:p>
    <w:p w14:paraId="6C57FDE8" w14:textId="77777777" w:rsidR="00EC2A73" w:rsidRPr="00F85689" w:rsidRDefault="001016F2"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42792286"/>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2.4 </w:t>
      </w:r>
      <w:r w:rsidR="00EC2A73"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Career pathways, mentoring and retention</w:t>
      </w:r>
      <w:bookmarkEnd w:id="12"/>
      <w:r w:rsidR="00EC2A73"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6B495F6" w14:textId="77777777" w:rsidR="00EC2A73" w:rsidRPr="001D2B7A" w:rsidRDefault="00EC2A73" w:rsidP="00EC2A73">
      <w:pPr>
        <w:rPr>
          <w:rFonts w:ascii="Arial" w:hAnsi="Arial" w:cs="Arial"/>
          <w:sz w:val="24"/>
          <w:szCs w:val="24"/>
        </w:rPr>
      </w:pPr>
      <w:r w:rsidRPr="001D2B7A">
        <w:rPr>
          <w:rFonts w:ascii="Arial" w:hAnsi="Arial" w:cs="Arial"/>
          <w:sz w:val="24"/>
          <w:szCs w:val="24"/>
        </w:rPr>
        <w:t xml:space="preserve">NHSX should create a set of career pathways including both management and technical specialist paths. Staff need to be aware of the skills, responsibilities and evidence that </w:t>
      </w:r>
      <w:r w:rsidRPr="001D2B7A">
        <w:rPr>
          <w:rFonts w:ascii="Arial" w:hAnsi="Arial" w:cs="Arial"/>
          <w:sz w:val="24"/>
          <w:szCs w:val="24"/>
        </w:rPr>
        <w:lastRenderedPageBreak/>
        <w:t>are needed for progression. Internal hiring should be promoted through the locations and project openings to enable employees to work towards growth within the company.</w:t>
      </w:r>
    </w:p>
    <w:p w14:paraId="58E9A867" w14:textId="77777777" w:rsidR="00EC2A73" w:rsidRPr="001D2B7A" w:rsidRDefault="00EC2A73" w:rsidP="00EC2A73">
      <w:pPr>
        <w:rPr>
          <w:rFonts w:ascii="Arial" w:hAnsi="Arial" w:cs="Arial"/>
          <w:sz w:val="24"/>
          <w:szCs w:val="24"/>
        </w:rPr>
      </w:pPr>
      <w:r w:rsidRPr="001D2B7A">
        <w:rPr>
          <w:rFonts w:ascii="Arial" w:hAnsi="Arial" w:cs="Arial"/>
          <w:sz w:val="24"/>
          <w:szCs w:val="24"/>
        </w:rPr>
        <w:t>Mentoring should link experienced staff with those who are interested in moving up in their organisation, whereas cross country mentoring could expand the organisational networks. Another way that the senior staff could benefit from reciprocal mentoring is to gain new technical skills from younger workers, as described by Rogers et al. (2023) as a form of mutual development.</w:t>
      </w:r>
    </w:p>
    <w:p w14:paraId="16EE4D70" w14:textId="77777777" w:rsidR="00EC2A73" w:rsidRPr="001D2B7A" w:rsidRDefault="00EC2A73" w:rsidP="00EC2A73">
      <w:pPr>
        <w:rPr>
          <w:rFonts w:ascii="Arial" w:hAnsi="Arial" w:cs="Arial"/>
          <w:sz w:val="24"/>
          <w:szCs w:val="24"/>
        </w:rPr>
      </w:pPr>
      <w:r w:rsidRPr="001D2B7A">
        <w:rPr>
          <w:rFonts w:ascii="Arial" w:hAnsi="Arial" w:cs="Arial"/>
          <w:sz w:val="24"/>
          <w:szCs w:val="24"/>
        </w:rPr>
        <w:t>Managers should hold career conversations and stay interviews to uncover issues before people leave. Succession planning should have multiple people in place to fill key roles to lessen dependence on individuals. Selection criteria and procedures should be explained and checked for fairness.</w:t>
      </w:r>
    </w:p>
    <w:p w14:paraId="4F1D893E" w14:textId="77777777" w:rsidR="00004E7C" w:rsidRPr="00F85689" w:rsidRDefault="00004E7C"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242792287"/>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 Supportive leadership and psychological safety</w:t>
      </w:r>
      <w:bookmarkEnd w:id="13"/>
    </w:p>
    <w:p w14:paraId="3B26FB45" w14:textId="77777777" w:rsidR="00EC2A73" w:rsidRPr="001D2B7A" w:rsidRDefault="008D1BC6" w:rsidP="00EC2A73">
      <w:pPr>
        <w:rPr>
          <w:rFonts w:ascii="Arial" w:hAnsi="Arial" w:cs="Arial"/>
          <w:sz w:val="24"/>
          <w:szCs w:val="24"/>
        </w:rPr>
      </w:pPr>
      <w:r w:rsidRPr="008D1BC6">
        <w:rPr>
          <w:rFonts w:ascii="Arial" w:hAnsi="Arial" w:cs="Arial"/>
          <w:sz w:val="24"/>
          <w:szCs w:val="24"/>
        </w:rPr>
        <w:t>The manager must be able to be a coach, be inclusive in communication and provide developmental feedback. In discussions, progress should be assessed, difficulties and needs explained and there should be an opportunity to discuss difficulties at an earlier stage than formal appraisal.</w:t>
      </w:r>
    </w:p>
    <w:p w14:paraId="6182678C" w14:textId="77777777" w:rsidR="00EC2A73" w:rsidRPr="001D2B7A" w:rsidRDefault="00EC2A73" w:rsidP="00EC2A73">
      <w:pPr>
        <w:rPr>
          <w:rFonts w:ascii="Arial" w:hAnsi="Arial" w:cs="Arial"/>
          <w:sz w:val="24"/>
          <w:szCs w:val="24"/>
        </w:rPr>
      </w:pPr>
      <w:r w:rsidRPr="001D2B7A">
        <w:rPr>
          <w:rFonts w:ascii="Arial" w:hAnsi="Arial" w:cs="Arial"/>
          <w:sz w:val="24"/>
          <w:szCs w:val="24"/>
        </w:rPr>
        <w:t>The team leader should encourage input from less vocal members and accept and deal with employee uncertainty and problems in a positive manner. Learning reviews should differentiate between being wrong and deliberate wrong. The practices put forward are based on the findings of Edmondson and Bransby (2023) and relate to the responsibilities of leaders in NHSX.</w:t>
      </w:r>
    </w:p>
    <w:p w14:paraId="62CB4BC3" w14:textId="77777777" w:rsidR="00EC2A73" w:rsidRPr="001D2B7A" w:rsidRDefault="00EC2A73" w:rsidP="00EC2A73">
      <w:pPr>
        <w:rPr>
          <w:rFonts w:ascii="Arial" w:hAnsi="Arial" w:cs="Arial"/>
          <w:sz w:val="24"/>
          <w:szCs w:val="24"/>
        </w:rPr>
      </w:pPr>
      <w:r w:rsidRPr="001D2B7A">
        <w:rPr>
          <w:rFonts w:ascii="Arial" w:hAnsi="Arial" w:cs="Arial"/>
          <w:sz w:val="24"/>
          <w:szCs w:val="24"/>
        </w:rPr>
        <w:lastRenderedPageBreak/>
        <w:t>There should be constructive ways to respond to the feedback received through anonymous channels and visible results to show that employee concerns are acted upon. Managers' evaluations should take into account their role in employee learning and development and team learning.</w:t>
      </w:r>
    </w:p>
    <w:p w14:paraId="2C2652E1" w14:textId="77777777" w:rsidR="00EC2A73" w:rsidRPr="00F85689" w:rsidRDefault="00EC2A73"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242792288"/>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 Job craf</w:t>
      </w:r>
      <w:r w:rsidR="00004E7C"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ting and meaningful development</w:t>
      </w:r>
      <w:bookmarkEnd w:id="14"/>
    </w:p>
    <w:p w14:paraId="55464FD0" w14:textId="77777777" w:rsidR="00EC2A73" w:rsidRPr="001D2B7A" w:rsidRDefault="00EC2A73" w:rsidP="00EC2A73">
      <w:pPr>
        <w:rPr>
          <w:rFonts w:ascii="Arial" w:hAnsi="Arial" w:cs="Arial"/>
          <w:sz w:val="24"/>
          <w:szCs w:val="24"/>
        </w:rPr>
      </w:pPr>
      <w:r w:rsidRPr="001D2B7A">
        <w:rPr>
          <w:rFonts w:ascii="Arial" w:hAnsi="Arial" w:cs="Arial"/>
          <w:sz w:val="24"/>
          <w:szCs w:val="24"/>
        </w:rPr>
        <w:t>Staff should be supported to design specific tasks and working relationships based on their strengths and their development needs. For instance, a software engineer might work on a supervised clinical workflow project, or a product manager could follow along with data scientists.</w:t>
      </w:r>
    </w:p>
    <w:p w14:paraId="0570C2BF" w14:textId="77777777" w:rsidR="00EC2A73" w:rsidRPr="001D2B7A" w:rsidRDefault="00EC2A73" w:rsidP="00EC2A73">
      <w:pPr>
        <w:rPr>
          <w:rFonts w:ascii="Arial" w:hAnsi="Arial" w:cs="Arial"/>
          <w:sz w:val="24"/>
          <w:szCs w:val="24"/>
        </w:rPr>
      </w:pPr>
      <w:r w:rsidRPr="001D2B7A">
        <w:rPr>
          <w:rFonts w:ascii="Arial" w:hAnsi="Arial" w:cs="Arial"/>
          <w:sz w:val="24"/>
          <w:szCs w:val="24"/>
        </w:rPr>
        <w:t xml:space="preserve">A resource perspective of job crafting was shown to have positive relationships with job resources, while a demand perspective was shown to have positive relationship with job strain in the study conducted by Holman et al. (2024). NHSX should therefore agree manageable development assignments and examine the impact of their assignments on colleagues. Choices, feedback and mentoring would be supportive to increase autonomy, competence and relatedness as described by </w:t>
      </w:r>
      <w:proofErr w:type="spellStart"/>
      <w:r w:rsidRPr="001D2B7A">
        <w:rPr>
          <w:rFonts w:ascii="Arial" w:hAnsi="Arial" w:cs="Arial"/>
          <w:sz w:val="24"/>
          <w:szCs w:val="24"/>
        </w:rPr>
        <w:t>Gagné</w:t>
      </w:r>
      <w:proofErr w:type="spellEnd"/>
      <w:r w:rsidRPr="001D2B7A">
        <w:rPr>
          <w:rFonts w:ascii="Arial" w:hAnsi="Arial" w:cs="Arial"/>
          <w:sz w:val="24"/>
          <w:szCs w:val="24"/>
        </w:rPr>
        <w:t xml:space="preserve"> et al. (2022).</w:t>
      </w:r>
    </w:p>
    <w:p w14:paraId="51EBC73E" w14:textId="77777777" w:rsidR="00004E7C" w:rsidRPr="00F85689" w:rsidRDefault="00004E7C"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242792289"/>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 Employee experience and wellbeing</w:t>
      </w:r>
      <w:bookmarkEnd w:id="15"/>
    </w:p>
    <w:p w14:paraId="5D4775A8" w14:textId="77777777" w:rsidR="00091F8B" w:rsidRPr="00091F8B" w:rsidRDefault="00091F8B" w:rsidP="00091F8B">
      <w:pPr>
        <w:rPr>
          <w:rFonts w:ascii="Arial" w:hAnsi="Arial" w:cs="Arial"/>
          <w:sz w:val="24"/>
          <w:szCs w:val="24"/>
        </w:rPr>
      </w:pPr>
      <w:r w:rsidRPr="00091F8B">
        <w:rPr>
          <w:rFonts w:ascii="Arial" w:hAnsi="Arial" w:cs="Arial"/>
          <w:sz w:val="24"/>
          <w:szCs w:val="24"/>
        </w:rPr>
        <w:t>Development should be built into the employee experience, from the start through training, rewards, and next steps. Access should not be the same for everyone. It should match job role and work location. Clear rules need to be set</w:t>
      </w:r>
      <w:r>
        <w:rPr>
          <w:rFonts w:ascii="Arial" w:hAnsi="Arial" w:cs="Arial"/>
          <w:sz w:val="24"/>
          <w:szCs w:val="24"/>
        </w:rPr>
        <w:t xml:space="preserve"> so people know what to expect.</w:t>
      </w:r>
    </w:p>
    <w:p w14:paraId="19798999" w14:textId="77777777" w:rsidR="00EC2A73" w:rsidRPr="001D2B7A" w:rsidRDefault="00091F8B" w:rsidP="00091F8B">
      <w:pPr>
        <w:rPr>
          <w:rFonts w:ascii="Arial" w:hAnsi="Arial" w:cs="Arial"/>
          <w:sz w:val="24"/>
          <w:szCs w:val="24"/>
        </w:rPr>
      </w:pPr>
      <w:r w:rsidRPr="00091F8B">
        <w:rPr>
          <w:rFonts w:ascii="Arial" w:hAnsi="Arial" w:cs="Arial"/>
          <w:sz w:val="24"/>
          <w:szCs w:val="24"/>
        </w:rPr>
        <w:t xml:space="preserve">The Job Demands–Resources view looks at how work pressure and support connect, and what that leads to for staff (Bakker, Demerouti and Sanz-Vergel, 2023). NHSX </w:t>
      </w:r>
      <w:r w:rsidRPr="00091F8B">
        <w:rPr>
          <w:rFonts w:ascii="Arial" w:hAnsi="Arial" w:cs="Arial"/>
          <w:sz w:val="24"/>
          <w:szCs w:val="24"/>
        </w:rPr>
        <w:lastRenderedPageBreak/>
        <w:t xml:space="preserve">should check workloads, make sure staffing is enough, and protect time for rest and recovery. Training should fit in real time and be planned with workable schedules. Rewards should follow quality, </w:t>
      </w:r>
      <w:proofErr w:type="gramStart"/>
      <w:r w:rsidRPr="00091F8B">
        <w:rPr>
          <w:rFonts w:ascii="Arial" w:hAnsi="Arial" w:cs="Arial"/>
          <w:sz w:val="24"/>
          <w:szCs w:val="24"/>
        </w:rPr>
        <w:t>sharing</w:t>
      </w:r>
      <w:proofErr w:type="gramEnd"/>
      <w:r w:rsidRPr="00091F8B">
        <w:rPr>
          <w:rFonts w:ascii="Arial" w:hAnsi="Arial" w:cs="Arial"/>
          <w:sz w:val="24"/>
          <w:szCs w:val="24"/>
        </w:rPr>
        <w:t xml:space="preserve"> knowledge, and making better improvements. This should also link to delivery, so development does not add extra strain.</w:t>
      </w:r>
    </w:p>
    <w:p w14:paraId="66A064B5" w14:textId="77777777" w:rsidR="00EC2A73" w:rsidRPr="00F85689" w:rsidRDefault="00EC2A73"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242792290"/>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 Governance and evaluation</w:t>
      </w:r>
      <w:bookmarkEnd w:id="16"/>
    </w:p>
    <w:p w14:paraId="32446173" w14:textId="77777777" w:rsidR="005F3BAC" w:rsidRDefault="00EC2A73" w:rsidP="00EC2A73">
      <w:pPr>
        <w:rPr>
          <w:rFonts w:ascii="Arial" w:hAnsi="Arial" w:cs="Arial"/>
          <w:sz w:val="24"/>
          <w:szCs w:val="24"/>
        </w:rPr>
      </w:pPr>
      <w:r w:rsidRPr="001D2B7A">
        <w:rPr>
          <w:rFonts w:ascii="Arial" w:hAnsi="Arial" w:cs="Arial"/>
          <w:sz w:val="24"/>
          <w:szCs w:val="24"/>
        </w:rPr>
        <w:t xml:space="preserve">Implementation should be coordinated with HR and departmental leaders and employee representatives. Skill Demonstration, internal appointments, development access, retention, wellbeing and psychological safety should be reviewed quarterly. To detect </w:t>
      </w:r>
      <w:r w:rsidR="00E422E8" w:rsidRPr="001D2B7A">
        <w:rPr>
          <w:rFonts w:ascii="Arial" w:hAnsi="Arial" w:cs="Arial"/>
          <w:sz w:val="24"/>
          <w:szCs w:val="24"/>
        </w:rPr>
        <w:t>unequal</w:t>
      </w:r>
      <w:r w:rsidRPr="001D2B7A">
        <w:rPr>
          <w:rFonts w:ascii="Arial" w:hAnsi="Arial" w:cs="Arial"/>
          <w:sz w:val="24"/>
          <w:szCs w:val="24"/>
        </w:rPr>
        <w:t xml:space="preserve"> opportunities results should be analysed between roles and between place. Adjustments should be made in response to employee feedback and managers should be held responsible for implementing the strategy into development.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28"/>
        <w:gridCol w:w="3093"/>
        <w:gridCol w:w="1893"/>
        <w:gridCol w:w="2736"/>
      </w:tblGrid>
      <w:tr w:rsidR="00FC4989" w:rsidRPr="00FC4989" w14:paraId="56BEACEE" w14:textId="77777777" w:rsidTr="00FC4989">
        <w:trPr>
          <w:tblHeader/>
          <w:tblCellSpacing w:w="15" w:type="dxa"/>
        </w:trPr>
        <w:tc>
          <w:tcPr>
            <w:tcW w:w="0" w:type="auto"/>
            <w:vAlign w:val="center"/>
            <w:hideMark/>
          </w:tcPr>
          <w:p w14:paraId="045B4FA0" w14:textId="77777777" w:rsidR="00FC4989" w:rsidRPr="00FC4989" w:rsidRDefault="00FC4989" w:rsidP="00FC4989">
            <w:pPr>
              <w:rPr>
                <w:rFonts w:ascii="Arial" w:hAnsi="Arial" w:cs="Arial"/>
                <w:b/>
                <w:bCs/>
                <w:sz w:val="24"/>
                <w:szCs w:val="24"/>
              </w:rPr>
            </w:pPr>
            <w:r w:rsidRPr="00FC4989">
              <w:rPr>
                <w:rFonts w:ascii="Arial" w:hAnsi="Arial" w:cs="Arial"/>
                <w:b/>
                <w:bCs/>
                <w:sz w:val="24"/>
                <w:szCs w:val="24"/>
              </w:rPr>
              <w:t>Priority</w:t>
            </w:r>
          </w:p>
        </w:tc>
        <w:tc>
          <w:tcPr>
            <w:tcW w:w="0" w:type="auto"/>
            <w:vAlign w:val="center"/>
            <w:hideMark/>
          </w:tcPr>
          <w:p w14:paraId="3E0A4E3E" w14:textId="77777777" w:rsidR="00FC4989" w:rsidRPr="00FC4989" w:rsidRDefault="00FC4989" w:rsidP="00FC4989">
            <w:pPr>
              <w:rPr>
                <w:rFonts w:ascii="Arial" w:hAnsi="Arial" w:cs="Arial"/>
                <w:b/>
                <w:bCs/>
                <w:sz w:val="24"/>
                <w:szCs w:val="24"/>
              </w:rPr>
            </w:pPr>
            <w:r w:rsidRPr="00FC4989">
              <w:rPr>
                <w:rFonts w:ascii="Arial" w:hAnsi="Arial" w:cs="Arial"/>
                <w:b/>
                <w:bCs/>
                <w:sz w:val="24"/>
                <w:szCs w:val="24"/>
              </w:rPr>
              <w:t>Proposed action</w:t>
            </w:r>
          </w:p>
        </w:tc>
        <w:tc>
          <w:tcPr>
            <w:tcW w:w="0" w:type="auto"/>
            <w:vAlign w:val="center"/>
            <w:hideMark/>
          </w:tcPr>
          <w:p w14:paraId="2C68854E" w14:textId="77777777" w:rsidR="00FC4989" w:rsidRPr="00FC4989" w:rsidRDefault="00FC4989" w:rsidP="00FC4989">
            <w:pPr>
              <w:rPr>
                <w:rFonts w:ascii="Arial" w:hAnsi="Arial" w:cs="Arial"/>
                <w:b/>
                <w:bCs/>
                <w:sz w:val="24"/>
                <w:szCs w:val="24"/>
              </w:rPr>
            </w:pPr>
            <w:r w:rsidRPr="00FC4989">
              <w:rPr>
                <w:rFonts w:ascii="Arial" w:hAnsi="Arial" w:cs="Arial"/>
                <w:b/>
                <w:bCs/>
                <w:sz w:val="24"/>
                <w:szCs w:val="24"/>
              </w:rPr>
              <w:t>Responsible lead</w:t>
            </w:r>
          </w:p>
        </w:tc>
        <w:tc>
          <w:tcPr>
            <w:tcW w:w="0" w:type="auto"/>
            <w:vAlign w:val="center"/>
            <w:hideMark/>
          </w:tcPr>
          <w:p w14:paraId="40CEC093" w14:textId="77777777" w:rsidR="00FC4989" w:rsidRPr="00FC4989" w:rsidRDefault="00FC4989" w:rsidP="00FC4989">
            <w:pPr>
              <w:rPr>
                <w:rFonts w:ascii="Arial" w:hAnsi="Arial" w:cs="Arial"/>
                <w:b/>
                <w:bCs/>
                <w:sz w:val="24"/>
                <w:szCs w:val="24"/>
              </w:rPr>
            </w:pPr>
            <w:r w:rsidRPr="00FC4989">
              <w:rPr>
                <w:rFonts w:ascii="Arial" w:hAnsi="Arial" w:cs="Arial"/>
                <w:b/>
                <w:bCs/>
                <w:sz w:val="24"/>
                <w:szCs w:val="24"/>
              </w:rPr>
              <w:t>Evaluation measures</w:t>
            </w:r>
          </w:p>
        </w:tc>
      </w:tr>
      <w:tr w:rsidR="00FC4989" w:rsidRPr="00FC4989" w14:paraId="0CFBF2B4" w14:textId="77777777" w:rsidTr="00FC4989">
        <w:trPr>
          <w:tblCellSpacing w:w="15" w:type="dxa"/>
        </w:trPr>
        <w:tc>
          <w:tcPr>
            <w:tcW w:w="0" w:type="auto"/>
            <w:vAlign w:val="center"/>
            <w:hideMark/>
          </w:tcPr>
          <w:p w14:paraId="6BFD0505" w14:textId="77777777" w:rsidR="00FC4989" w:rsidRPr="00FC4989" w:rsidRDefault="00FC4989" w:rsidP="00FC4989">
            <w:pPr>
              <w:rPr>
                <w:rFonts w:ascii="Arial" w:hAnsi="Arial" w:cs="Arial"/>
                <w:sz w:val="24"/>
                <w:szCs w:val="24"/>
              </w:rPr>
            </w:pPr>
            <w:r w:rsidRPr="00FC4989">
              <w:rPr>
                <w:rFonts w:ascii="Arial" w:hAnsi="Arial" w:cs="Arial"/>
                <w:sz w:val="24"/>
                <w:szCs w:val="24"/>
              </w:rPr>
              <w:t>Agile collaboration</w:t>
            </w:r>
          </w:p>
        </w:tc>
        <w:tc>
          <w:tcPr>
            <w:tcW w:w="0" w:type="auto"/>
            <w:vAlign w:val="center"/>
            <w:hideMark/>
          </w:tcPr>
          <w:p w14:paraId="64B6737F" w14:textId="77777777" w:rsidR="00FC4989" w:rsidRPr="00FC4989" w:rsidRDefault="00FC4989" w:rsidP="00FC4989">
            <w:pPr>
              <w:rPr>
                <w:rFonts w:ascii="Arial" w:hAnsi="Arial" w:cs="Arial"/>
                <w:sz w:val="24"/>
                <w:szCs w:val="24"/>
              </w:rPr>
            </w:pPr>
            <w:r w:rsidRPr="00FC4989">
              <w:rPr>
                <w:rFonts w:ascii="Arial" w:hAnsi="Arial" w:cs="Arial"/>
                <w:sz w:val="24"/>
                <w:szCs w:val="24"/>
              </w:rPr>
              <w:t>Pilot cross-functional teams with clear decision rights and clinical quality controls.</w:t>
            </w:r>
          </w:p>
        </w:tc>
        <w:tc>
          <w:tcPr>
            <w:tcW w:w="0" w:type="auto"/>
            <w:vAlign w:val="center"/>
            <w:hideMark/>
          </w:tcPr>
          <w:p w14:paraId="4679B184" w14:textId="77777777" w:rsidR="00FC4989" w:rsidRPr="00FC4989" w:rsidRDefault="00FC4989" w:rsidP="00FC4989">
            <w:pPr>
              <w:rPr>
                <w:rFonts w:ascii="Arial" w:hAnsi="Arial" w:cs="Arial"/>
                <w:sz w:val="24"/>
                <w:szCs w:val="24"/>
              </w:rPr>
            </w:pPr>
            <w:r w:rsidRPr="00FC4989">
              <w:rPr>
                <w:rFonts w:ascii="Arial" w:hAnsi="Arial" w:cs="Arial"/>
                <w:sz w:val="24"/>
                <w:szCs w:val="24"/>
              </w:rPr>
              <w:t>Product and technical leaders</w:t>
            </w:r>
          </w:p>
        </w:tc>
        <w:tc>
          <w:tcPr>
            <w:tcW w:w="0" w:type="auto"/>
            <w:vAlign w:val="center"/>
            <w:hideMark/>
          </w:tcPr>
          <w:p w14:paraId="459C01C0" w14:textId="77777777" w:rsidR="00FC4989" w:rsidRPr="00FC4989" w:rsidRDefault="00FC4989" w:rsidP="00FC4989">
            <w:pPr>
              <w:rPr>
                <w:rFonts w:ascii="Arial" w:hAnsi="Arial" w:cs="Arial"/>
                <w:sz w:val="24"/>
                <w:szCs w:val="24"/>
              </w:rPr>
            </w:pPr>
            <w:r w:rsidRPr="00FC4989">
              <w:rPr>
                <w:rFonts w:ascii="Arial" w:hAnsi="Arial" w:cs="Arial"/>
                <w:sz w:val="24"/>
                <w:szCs w:val="24"/>
              </w:rPr>
              <w:t>Decision turnaround, development lead times and defect rates</w:t>
            </w:r>
          </w:p>
        </w:tc>
      </w:tr>
      <w:tr w:rsidR="00FC4989" w:rsidRPr="00FC4989" w14:paraId="210B3126" w14:textId="77777777" w:rsidTr="00FC4989">
        <w:trPr>
          <w:tblCellSpacing w:w="15" w:type="dxa"/>
        </w:trPr>
        <w:tc>
          <w:tcPr>
            <w:tcW w:w="0" w:type="auto"/>
            <w:vAlign w:val="center"/>
            <w:hideMark/>
          </w:tcPr>
          <w:p w14:paraId="389A8F99" w14:textId="77777777" w:rsidR="00FC4989" w:rsidRPr="00FC4989" w:rsidRDefault="00FC4989" w:rsidP="00FC4989">
            <w:pPr>
              <w:rPr>
                <w:rFonts w:ascii="Arial" w:hAnsi="Arial" w:cs="Arial"/>
                <w:sz w:val="24"/>
                <w:szCs w:val="24"/>
              </w:rPr>
            </w:pPr>
            <w:r w:rsidRPr="00FC4989">
              <w:rPr>
                <w:rFonts w:ascii="Arial" w:hAnsi="Arial" w:cs="Arial"/>
                <w:sz w:val="24"/>
                <w:szCs w:val="24"/>
              </w:rPr>
              <w:t>Continuous learning</w:t>
            </w:r>
          </w:p>
        </w:tc>
        <w:tc>
          <w:tcPr>
            <w:tcW w:w="0" w:type="auto"/>
            <w:vAlign w:val="center"/>
            <w:hideMark/>
          </w:tcPr>
          <w:p w14:paraId="1C83C0DE" w14:textId="77777777" w:rsidR="00FC4989" w:rsidRPr="00FC4989" w:rsidRDefault="00FC4989" w:rsidP="00FC4989">
            <w:pPr>
              <w:rPr>
                <w:rFonts w:ascii="Arial" w:hAnsi="Arial" w:cs="Arial"/>
                <w:sz w:val="24"/>
                <w:szCs w:val="24"/>
              </w:rPr>
            </w:pPr>
            <w:r w:rsidRPr="00FC4989">
              <w:rPr>
                <w:rFonts w:ascii="Arial" w:hAnsi="Arial" w:cs="Arial"/>
                <w:sz w:val="24"/>
                <w:szCs w:val="24"/>
              </w:rPr>
              <w:t>Protect learning time and connect development plans with practical projects.</w:t>
            </w:r>
          </w:p>
        </w:tc>
        <w:tc>
          <w:tcPr>
            <w:tcW w:w="0" w:type="auto"/>
            <w:vAlign w:val="center"/>
            <w:hideMark/>
          </w:tcPr>
          <w:p w14:paraId="058AC7CA" w14:textId="77777777" w:rsidR="00FC4989" w:rsidRPr="00FC4989" w:rsidRDefault="00FC4989" w:rsidP="00FC4989">
            <w:pPr>
              <w:rPr>
                <w:rFonts w:ascii="Arial" w:hAnsi="Arial" w:cs="Arial"/>
                <w:sz w:val="24"/>
                <w:szCs w:val="24"/>
              </w:rPr>
            </w:pPr>
            <w:r w:rsidRPr="00FC4989">
              <w:rPr>
                <w:rFonts w:ascii="Arial" w:hAnsi="Arial" w:cs="Arial"/>
                <w:sz w:val="24"/>
                <w:szCs w:val="24"/>
              </w:rPr>
              <w:t>HR and line managers</w:t>
            </w:r>
          </w:p>
        </w:tc>
        <w:tc>
          <w:tcPr>
            <w:tcW w:w="0" w:type="auto"/>
            <w:vAlign w:val="center"/>
            <w:hideMark/>
          </w:tcPr>
          <w:p w14:paraId="381F3A45" w14:textId="77777777" w:rsidR="00FC4989" w:rsidRPr="00FC4989" w:rsidRDefault="00FC4989" w:rsidP="00FC4989">
            <w:pPr>
              <w:rPr>
                <w:rFonts w:ascii="Arial" w:hAnsi="Arial" w:cs="Arial"/>
                <w:sz w:val="24"/>
                <w:szCs w:val="24"/>
              </w:rPr>
            </w:pPr>
            <w:r w:rsidRPr="00FC4989">
              <w:rPr>
                <w:rFonts w:ascii="Arial" w:hAnsi="Arial" w:cs="Arial"/>
                <w:sz w:val="24"/>
                <w:szCs w:val="24"/>
              </w:rPr>
              <w:t>Demonstrated skills and development access across locations</w:t>
            </w:r>
          </w:p>
        </w:tc>
      </w:tr>
      <w:tr w:rsidR="00FC4989" w:rsidRPr="00FC4989" w14:paraId="14F234D5" w14:textId="77777777" w:rsidTr="00FC4989">
        <w:trPr>
          <w:tblCellSpacing w:w="15" w:type="dxa"/>
        </w:trPr>
        <w:tc>
          <w:tcPr>
            <w:tcW w:w="0" w:type="auto"/>
            <w:vAlign w:val="center"/>
            <w:hideMark/>
          </w:tcPr>
          <w:p w14:paraId="45694E9A" w14:textId="77777777" w:rsidR="00FC4989" w:rsidRPr="00FC4989" w:rsidRDefault="00FC4989" w:rsidP="00FC4989">
            <w:pPr>
              <w:rPr>
                <w:rFonts w:ascii="Arial" w:hAnsi="Arial" w:cs="Arial"/>
                <w:sz w:val="24"/>
                <w:szCs w:val="24"/>
              </w:rPr>
            </w:pPr>
            <w:r w:rsidRPr="00FC4989">
              <w:rPr>
                <w:rFonts w:ascii="Arial" w:hAnsi="Arial" w:cs="Arial"/>
                <w:sz w:val="24"/>
                <w:szCs w:val="24"/>
              </w:rPr>
              <w:lastRenderedPageBreak/>
              <w:t>Employee wellbeing</w:t>
            </w:r>
          </w:p>
        </w:tc>
        <w:tc>
          <w:tcPr>
            <w:tcW w:w="0" w:type="auto"/>
            <w:vAlign w:val="center"/>
            <w:hideMark/>
          </w:tcPr>
          <w:p w14:paraId="73F954F1" w14:textId="77777777" w:rsidR="00FC4989" w:rsidRPr="00FC4989" w:rsidRDefault="00FC4989" w:rsidP="00FC4989">
            <w:pPr>
              <w:rPr>
                <w:rFonts w:ascii="Arial" w:hAnsi="Arial" w:cs="Arial"/>
                <w:sz w:val="24"/>
                <w:szCs w:val="24"/>
              </w:rPr>
            </w:pPr>
            <w:r w:rsidRPr="00FC4989">
              <w:rPr>
                <w:rFonts w:ascii="Arial" w:hAnsi="Arial" w:cs="Arial"/>
                <w:sz w:val="24"/>
                <w:szCs w:val="24"/>
              </w:rPr>
              <w:t>Review workloads, staffing and recovery time alongside delivery expectations.</w:t>
            </w:r>
          </w:p>
        </w:tc>
        <w:tc>
          <w:tcPr>
            <w:tcW w:w="0" w:type="auto"/>
            <w:vAlign w:val="center"/>
            <w:hideMark/>
          </w:tcPr>
          <w:p w14:paraId="3F3C8A13" w14:textId="77777777" w:rsidR="00FC4989" w:rsidRPr="00FC4989" w:rsidRDefault="00FC4989" w:rsidP="00FC4989">
            <w:pPr>
              <w:rPr>
                <w:rFonts w:ascii="Arial" w:hAnsi="Arial" w:cs="Arial"/>
                <w:sz w:val="24"/>
                <w:szCs w:val="24"/>
              </w:rPr>
            </w:pPr>
            <w:r w:rsidRPr="00FC4989">
              <w:rPr>
                <w:rFonts w:ascii="Arial" w:hAnsi="Arial" w:cs="Arial"/>
                <w:sz w:val="24"/>
                <w:szCs w:val="24"/>
              </w:rPr>
              <w:t>HR and operational leaders</w:t>
            </w:r>
          </w:p>
        </w:tc>
        <w:tc>
          <w:tcPr>
            <w:tcW w:w="0" w:type="auto"/>
            <w:vAlign w:val="center"/>
            <w:hideMark/>
          </w:tcPr>
          <w:p w14:paraId="1089E3BB" w14:textId="77777777" w:rsidR="00FC4989" w:rsidRPr="00FC4989" w:rsidRDefault="00FC4989" w:rsidP="00FC4989">
            <w:pPr>
              <w:rPr>
                <w:rFonts w:ascii="Arial" w:hAnsi="Arial" w:cs="Arial"/>
                <w:sz w:val="24"/>
                <w:szCs w:val="24"/>
              </w:rPr>
            </w:pPr>
            <w:r w:rsidRPr="00FC4989">
              <w:rPr>
                <w:rFonts w:ascii="Arial" w:hAnsi="Arial" w:cs="Arial"/>
                <w:sz w:val="24"/>
                <w:szCs w:val="24"/>
              </w:rPr>
              <w:t>Overtime, workload feedback and wellbeing scores</w:t>
            </w:r>
          </w:p>
        </w:tc>
      </w:tr>
    </w:tbl>
    <w:p w14:paraId="2AE19630" w14:textId="3A9D2CA6" w:rsidR="00FC4989" w:rsidRPr="001D2B7A" w:rsidRDefault="00FC4989" w:rsidP="00EC2A73">
      <w:pPr>
        <w:rPr>
          <w:rFonts w:ascii="Arial" w:hAnsi="Arial" w:cs="Arial"/>
          <w:sz w:val="24"/>
          <w:szCs w:val="24"/>
        </w:rPr>
      </w:pPr>
      <w:r w:rsidRPr="00FC4989">
        <w:rPr>
          <w:rFonts w:ascii="Arial" w:hAnsi="Arial" w:cs="Arial"/>
          <w:b/>
          <w:bCs/>
          <w:sz w:val="24"/>
          <w:szCs w:val="24"/>
        </w:rPr>
        <w:t xml:space="preserve">Table 1: Proposed implementation and evaluation plan for </w:t>
      </w:r>
      <w:proofErr w:type="spellStart"/>
      <w:r w:rsidRPr="00FC4989">
        <w:rPr>
          <w:rFonts w:ascii="Arial" w:hAnsi="Arial" w:cs="Arial"/>
          <w:b/>
          <w:bCs/>
          <w:sz w:val="24"/>
          <w:szCs w:val="24"/>
        </w:rPr>
        <w:t>NexSpace</w:t>
      </w:r>
      <w:proofErr w:type="spellEnd"/>
      <w:r w:rsidRPr="00FC4989">
        <w:rPr>
          <w:rFonts w:ascii="Arial" w:hAnsi="Arial" w:cs="Arial"/>
          <w:b/>
          <w:bCs/>
          <w:sz w:val="24"/>
          <w:szCs w:val="24"/>
        </w:rPr>
        <w:t xml:space="preserve"> Health Systems</w:t>
      </w:r>
    </w:p>
    <w:p w14:paraId="2B4B7BDE" w14:textId="77777777" w:rsidR="00E422E8" w:rsidRPr="002E215F" w:rsidRDefault="00E422E8" w:rsidP="00F85689">
      <w:pPr>
        <w:pStyle w:val="Heading1"/>
        <w:rPr>
          <w:b/>
          <w:bCs/>
        </w:rPr>
      </w:pPr>
      <w:bookmarkStart w:id="17" w:name="_Toc242792291"/>
      <w:r w:rsidRPr="002E215F">
        <w:rPr>
          <w:b/>
          <w:bCs/>
        </w:rPr>
        <w:t>Task C: Reflective Report</w:t>
      </w:r>
      <w:bookmarkEnd w:id="17"/>
    </w:p>
    <w:p w14:paraId="09DBB19E" w14:textId="77777777" w:rsidR="00E422E8" w:rsidRPr="00F85689" w:rsidRDefault="00E422E8"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242792292"/>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AI as a strategic HR decision-support tool</w:t>
      </w:r>
      <w:bookmarkEnd w:id="18"/>
    </w:p>
    <w:p w14:paraId="4C39B631" w14:textId="77777777" w:rsidR="00E422E8" w:rsidRPr="001D2B7A" w:rsidRDefault="00E422E8" w:rsidP="00E422E8">
      <w:pPr>
        <w:rPr>
          <w:rFonts w:ascii="Arial" w:hAnsi="Arial" w:cs="Arial"/>
          <w:sz w:val="24"/>
          <w:szCs w:val="24"/>
        </w:rPr>
      </w:pPr>
      <w:r w:rsidRPr="001D2B7A">
        <w:rPr>
          <w:rFonts w:ascii="Arial" w:hAnsi="Arial" w:cs="Arial"/>
          <w:sz w:val="24"/>
          <w:szCs w:val="24"/>
        </w:rPr>
        <w:t xml:space="preserve">As an aspiring Human Resource professional, I believe that AI can be a tool to bolster analysis without taking the human element out of the equation. AI can assist with workforce planning, skills assessment and suggestions for learning, and assist employers in determining what issues need further investigation. </w:t>
      </w:r>
      <w:proofErr w:type="spellStart"/>
      <w:r w:rsidRPr="001D2B7A">
        <w:rPr>
          <w:rFonts w:ascii="Arial" w:hAnsi="Arial" w:cs="Arial"/>
          <w:sz w:val="24"/>
          <w:szCs w:val="24"/>
        </w:rPr>
        <w:t>Budhwar</w:t>
      </w:r>
      <w:proofErr w:type="spellEnd"/>
      <w:r w:rsidRPr="001D2B7A">
        <w:rPr>
          <w:rFonts w:ascii="Arial" w:hAnsi="Arial" w:cs="Arial"/>
          <w:sz w:val="24"/>
          <w:szCs w:val="24"/>
        </w:rPr>
        <w:t xml:space="preserve"> et al. (2023) point to the opportunities, as well as the uncertainties, of generative AI in HRM.</w:t>
      </w:r>
    </w:p>
    <w:p w14:paraId="5D0F4DB1" w14:textId="77777777" w:rsidR="00E422E8" w:rsidRPr="001D2B7A" w:rsidRDefault="00E422E8" w:rsidP="00E422E8">
      <w:pPr>
        <w:rPr>
          <w:rFonts w:ascii="Arial" w:hAnsi="Arial" w:cs="Arial"/>
          <w:sz w:val="24"/>
          <w:szCs w:val="24"/>
        </w:rPr>
      </w:pPr>
      <w:r w:rsidRPr="001D2B7A">
        <w:rPr>
          <w:rFonts w:ascii="Arial" w:hAnsi="Arial" w:cs="Arial"/>
          <w:sz w:val="24"/>
          <w:szCs w:val="24"/>
        </w:rPr>
        <w:t xml:space="preserve">But efficiency isn't a measure of fairness or accuracy. Tambe, Cappelli and Yakubovich (2019) list problems with HR data, accountability and employee reaction to algorithmic decisions. </w:t>
      </w:r>
      <w:proofErr w:type="gramStart"/>
      <w:r w:rsidRPr="001D2B7A">
        <w:rPr>
          <w:rFonts w:ascii="Arial" w:hAnsi="Arial" w:cs="Arial"/>
          <w:sz w:val="24"/>
          <w:szCs w:val="24"/>
        </w:rPr>
        <w:t>So</w:t>
      </w:r>
      <w:proofErr w:type="gramEnd"/>
      <w:r w:rsidRPr="001D2B7A">
        <w:rPr>
          <w:rFonts w:ascii="Arial" w:hAnsi="Arial" w:cs="Arial"/>
          <w:sz w:val="24"/>
          <w:szCs w:val="24"/>
        </w:rPr>
        <w:t xml:space="preserve"> I would challenge the data quality, review outputs to sound evidence and think about the impact of recommendations on various workers.</w:t>
      </w:r>
    </w:p>
    <w:p w14:paraId="2F245B9D" w14:textId="77777777" w:rsidR="00091F8B" w:rsidRPr="00091F8B" w:rsidRDefault="00091F8B" w:rsidP="00091F8B">
      <w:pPr>
        <w:rPr>
          <w:rFonts w:ascii="Arial" w:hAnsi="Arial" w:cs="Arial"/>
          <w:sz w:val="24"/>
          <w:szCs w:val="24"/>
        </w:rPr>
      </w:pPr>
      <w:r w:rsidRPr="00091F8B">
        <w:rPr>
          <w:rFonts w:ascii="Arial" w:hAnsi="Arial" w:cs="Arial"/>
          <w:sz w:val="24"/>
          <w:szCs w:val="24"/>
        </w:rPr>
        <w:t>Empathy at work means I listen to the person myself. I do not hide behind labels or quick categories. I meet with them first, instead of ma</w:t>
      </w:r>
      <w:r>
        <w:rPr>
          <w:rFonts w:ascii="Arial" w:hAnsi="Arial" w:cs="Arial"/>
          <w:sz w:val="24"/>
          <w:szCs w:val="24"/>
        </w:rPr>
        <w:t xml:space="preserve">king assumptions from a file.  </w:t>
      </w:r>
      <w:r w:rsidRPr="00091F8B">
        <w:rPr>
          <w:rFonts w:ascii="Arial" w:hAnsi="Arial" w:cs="Arial"/>
          <w:sz w:val="24"/>
          <w:szCs w:val="24"/>
        </w:rPr>
        <w:t xml:space="preserve">I </w:t>
      </w:r>
      <w:r w:rsidRPr="00091F8B">
        <w:rPr>
          <w:rFonts w:ascii="Arial" w:hAnsi="Arial" w:cs="Arial"/>
          <w:sz w:val="24"/>
          <w:szCs w:val="24"/>
        </w:rPr>
        <w:lastRenderedPageBreak/>
        <w:t xml:space="preserve">would protect private information. I would use AI to support decisions, but I would keep my own judgment in the loop. That matches the NIST guidance from 2023.  </w:t>
      </w:r>
    </w:p>
    <w:p w14:paraId="20DB677C" w14:textId="77777777" w:rsidR="00E422E8" w:rsidRPr="001D2B7A" w:rsidRDefault="00091F8B" w:rsidP="00091F8B">
      <w:pPr>
        <w:rPr>
          <w:rFonts w:ascii="Arial" w:hAnsi="Arial" w:cs="Arial"/>
          <w:sz w:val="24"/>
          <w:szCs w:val="24"/>
        </w:rPr>
      </w:pPr>
      <w:r w:rsidRPr="00091F8B">
        <w:rPr>
          <w:rFonts w:ascii="Arial" w:hAnsi="Arial" w:cs="Arial"/>
          <w:sz w:val="24"/>
          <w:szCs w:val="24"/>
        </w:rPr>
        <w:t>My job would still be to speak up, ask questions, and point out anything that feels wrong or not appropriate.</w:t>
      </w:r>
    </w:p>
    <w:p w14:paraId="1C1DC489" w14:textId="77777777" w:rsidR="00E422E8" w:rsidRPr="00F85689" w:rsidRDefault="00E422E8"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242792293"/>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Reflect on three scenarios of the use of AI</w:t>
      </w:r>
      <w:bookmarkEnd w:id="19"/>
    </w:p>
    <w:p w14:paraId="3D096FFF" w14:textId="77777777" w:rsidR="00E422E8" w:rsidRPr="001D2B7A" w:rsidRDefault="00E422E8" w:rsidP="00E422E8">
      <w:pPr>
        <w:rPr>
          <w:rFonts w:ascii="Arial" w:hAnsi="Arial" w:cs="Arial"/>
          <w:sz w:val="24"/>
          <w:szCs w:val="24"/>
        </w:rPr>
      </w:pPr>
      <w:r w:rsidRPr="001D2B7A">
        <w:rPr>
          <w:rFonts w:ascii="Arial" w:hAnsi="Arial" w:cs="Arial"/>
          <w:sz w:val="24"/>
          <w:szCs w:val="24"/>
        </w:rPr>
        <w:t>The first step was to gain understanding of the assessment needs and differentiate the three tasks with the help of AI. This assisted me to discover the link between working practices, talent development and personal capability. But seeing it for what it is without questioning might be detrimental to independent reading. I discovered the original assessment brief is also authoritative, with its limitations as to use of AI.</w:t>
      </w:r>
    </w:p>
    <w:p w14:paraId="2E1A5444" w14:textId="77777777" w:rsidR="00E422E8" w:rsidRPr="001D2B7A" w:rsidRDefault="00E422E8" w:rsidP="00E422E8">
      <w:pPr>
        <w:rPr>
          <w:rFonts w:ascii="Arial" w:hAnsi="Arial" w:cs="Arial"/>
          <w:sz w:val="24"/>
          <w:szCs w:val="24"/>
        </w:rPr>
      </w:pPr>
      <w:r w:rsidRPr="001D2B7A">
        <w:rPr>
          <w:rFonts w:ascii="Arial" w:hAnsi="Arial" w:cs="Arial"/>
          <w:sz w:val="24"/>
          <w:szCs w:val="24"/>
        </w:rPr>
        <w:t>As part of my exploration into the field of artificial intelligence, I examined new working models for NHSX.</w:t>
      </w:r>
      <w:r w:rsidR="002B379E">
        <w:rPr>
          <w:rFonts w:ascii="Arial" w:hAnsi="Arial" w:cs="Arial"/>
          <w:sz w:val="24"/>
          <w:szCs w:val="24"/>
        </w:rPr>
        <w:t xml:space="preserve"> </w:t>
      </w:r>
      <w:r w:rsidRPr="001D2B7A">
        <w:rPr>
          <w:rFonts w:ascii="Arial" w:hAnsi="Arial" w:cs="Arial"/>
          <w:sz w:val="24"/>
          <w:szCs w:val="24"/>
        </w:rPr>
        <w:t>Secondly, I studied data together with AI to explore new working models for NHSX. Its explanation linked hybrid working with employee involvement and agile teams and organisational challenges. This was helpful for me to understand strategic HR reasoning. However, recommendations that are polished may include assumptions about feasibility. Need to evaluate costs, managerial readiness and healthcare quality requirements before taking up suggestions.</w:t>
      </w:r>
    </w:p>
    <w:p w14:paraId="431F8B3F" w14:textId="77777777" w:rsidR="00E422E8" w:rsidRPr="001D2B7A" w:rsidRDefault="00E422E8" w:rsidP="00E422E8">
      <w:pPr>
        <w:rPr>
          <w:rFonts w:ascii="Arial" w:hAnsi="Arial" w:cs="Arial"/>
          <w:sz w:val="24"/>
          <w:szCs w:val="24"/>
        </w:rPr>
      </w:pPr>
      <w:r w:rsidRPr="001D2B7A">
        <w:rPr>
          <w:rFonts w:ascii="Arial" w:hAnsi="Arial" w:cs="Arial"/>
          <w:sz w:val="24"/>
          <w:szCs w:val="24"/>
        </w:rPr>
        <w:t xml:space="preserve">Thirdly, when looking into talent growth strategies, I asked for author–date citations. This helped to clarify the relationship between the arguments and the supporting literature. But a properly formatted citation does not prove the existence of the source, or provide support for the statement it makes. I need to read the original studies and evaluate the methodology and the limitations of the studies. This experience brought to </w:t>
      </w:r>
      <w:r w:rsidRPr="001D2B7A">
        <w:rPr>
          <w:rFonts w:ascii="Arial" w:hAnsi="Arial" w:cs="Arial"/>
          <w:sz w:val="24"/>
          <w:szCs w:val="24"/>
        </w:rPr>
        <w:lastRenderedPageBreak/>
        <w:t>light the importance of verifying evidence—even when it comes from Artificial Intelligence—for a professional skill, not automating its verification. In all of these examples, AI has been used to brainstorm ideas, but it's crucial to evaluate the work on one's own to cultivate evaluation skills and reduce reliance.</w:t>
      </w:r>
    </w:p>
    <w:p w14:paraId="2C2DC1DC" w14:textId="77777777" w:rsidR="00E422E8" w:rsidRPr="00F85689" w:rsidRDefault="00E422E8" w:rsidP="00F8568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242792294"/>
      <w:r w:rsidRPr="00F856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Personal capability development plan</w:t>
      </w:r>
      <w:bookmarkEnd w:id="20"/>
    </w:p>
    <w:p w14:paraId="7272E3D2" w14:textId="77777777" w:rsidR="003B7652" w:rsidRPr="003B7652" w:rsidRDefault="003B7652" w:rsidP="003B7652">
      <w:pPr>
        <w:rPr>
          <w:rFonts w:ascii="Arial" w:hAnsi="Arial" w:cs="Arial"/>
          <w:sz w:val="24"/>
          <w:szCs w:val="24"/>
        </w:rPr>
      </w:pPr>
      <w:r w:rsidRPr="003B7652">
        <w:rPr>
          <w:rFonts w:ascii="Arial" w:hAnsi="Arial" w:cs="Arial"/>
          <w:sz w:val="24"/>
          <w:szCs w:val="24"/>
        </w:rPr>
        <w:t>Over the next month, I plan to read six academic papers that fit the topic. I will keep a research log and write down what each paper argues, how the authors conducted the work, and what the study does not cover well. I expect this to help me judge claims more carefully and fo</w:t>
      </w:r>
      <w:r>
        <w:rPr>
          <w:rFonts w:ascii="Arial" w:hAnsi="Arial" w:cs="Arial"/>
          <w:sz w:val="24"/>
          <w:szCs w:val="24"/>
        </w:rPr>
        <w:t>llow the evidence more closely.</w:t>
      </w:r>
    </w:p>
    <w:p w14:paraId="3C9AD365" w14:textId="77777777" w:rsidR="00E422E8" w:rsidRPr="001D2B7A" w:rsidRDefault="003B7652" w:rsidP="003B7652">
      <w:pPr>
        <w:rPr>
          <w:rFonts w:ascii="Arial" w:hAnsi="Arial" w:cs="Arial"/>
          <w:sz w:val="24"/>
          <w:szCs w:val="24"/>
        </w:rPr>
      </w:pPr>
      <w:r w:rsidRPr="003B7652">
        <w:rPr>
          <w:rFonts w:ascii="Arial" w:hAnsi="Arial" w:cs="Arial"/>
          <w:sz w:val="24"/>
          <w:szCs w:val="24"/>
        </w:rPr>
        <w:t xml:space="preserve">Within three months, I want to use spreadsheet tools more confidently. After that, I plan to build a synthetic workforce dashboard in about three months. Then I will share what the dashboard shows, point out the limits, and explain the results in a clear </w:t>
      </w:r>
      <w:proofErr w:type="spellStart"/>
      <w:proofErr w:type="gramStart"/>
      <w:r w:rsidRPr="003B7652">
        <w:rPr>
          <w:rFonts w:ascii="Arial" w:hAnsi="Arial" w:cs="Arial"/>
          <w:sz w:val="24"/>
          <w:szCs w:val="24"/>
        </w:rPr>
        <w:t>way.</w:t>
      </w:r>
      <w:r w:rsidR="00E422E8" w:rsidRPr="001D2B7A">
        <w:rPr>
          <w:rFonts w:ascii="Arial" w:hAnsi="Arial" w:cs="Arial"/>
          <w:sz w:val="24"/>
          <w:szCs w:val="24"/>
        </w:rPr>
        <w:t>In</w:t>
      </w:r>
      <w:proofErr w:type="spellEnd"/>
      <w:proofErr w:type="gramEnd"/>
      <w:r w:rsidR="00E422E8" w:rsidRPr="001D2B7A">
        <w:rPr>
          <w:rFonts w:ascii="Arial" w:hAnsi="Arial" w:cs="Arial"/>
          <w:sz w:val="24"/>
          <w:szCs w:val="24"/>
        </w:rPr>
        <w:t xml:space="preserve"> the next six months I will have 3 simulated HR conversations that include giving feedback, hearing employee concerns and discussing their career development. Listen to feedback from tutor or peer to improve listening and empathising skills, and to give and receive constructive questioning.</w:t>
      </w:r>
    </w:p>
    <w:p w14:paraId="1AAC96F2" w14:textId="77777777" w:rsidR="00004E7C" w:rsidRPr="001D2B7A" w:rsidRDefault="00E422E8" w:rsidP="00E422E8">
      <w:pPr>
        <w:rPr>
          <w:rFonts w:ascii="Arial" w:hAnsi="Arial" w:cs="Arial"/>
          <w:sz w:val="24"/>
          <w:szCs w:val="24"/>
        </w:rPr>
      </w:pPr>
      <w:r w:rsidRPr="001D2B7A">
        <w:rPr>
          <w:rFonts w:ascii="Arial" w:hAnsi="Arial" w:cs="Arial"/>
          <w:sz w:val="24"/>
          <w:szCs w:val="24"/>
        </w:rPr>
        <w:t>I will have finished learning activities on responsible AI within 12 months and will be involved in an HR project or realistic case exercise in which I will contribute. Progress will be monitored monthly and a portfolio of verified research, analysis and reflection will show evidence of progress and enhance my employability.</w:t>
      </w:r>
    </w:p>
    <w:p w14:paraId="6A277FCD" w14:textId="77777777" w:rsidR="007F30A9" w:rsidRPr="00F85689" w:rsidRDefault="007F30A9" w:rsidP="00F85689">
      <w:pPr>
        <w:pStyle w:val="Heading1"/>
        <w:rPr>
          <w:b/>
          <w:bCs/>
        </w:rPr>
      </w:pPr>
      <w:bookmarkStart w:id="21" w:name="_Toc242792295"/>
      <w:r w:rsidRPr="00F85689">
        <w:rPr>
          <w:b/>
          <w:bCs/>
        </w:rPr>
        <w:lastRenderedPageBreak/>
        <w:t>4. References</w:t>
      </w:r>
      <w:bookmarkEnd w:id="21"/>
    </w:p>
    <w:p w14:paraId="085EDD07"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Arshad, B., Hassan, H. and Azam, A. (2024) ‘The impact of employees’ experience of high-performance work systems on innovative </w:t>
      </w:r>
      <w:proofErr w:type="spellStart"/>
      <w:r w:rsidRPr="001D2B7A">
        <w:rPr>
          <w:rFonts w:ascii="Arial" w:hAnsi="Arial" w:cs="Arial"/>
          <w:sz w:val="24"/>
          <w:szCs w:val="24"/>
        </w:rPr>
        <w:t>behavior</w:t>
      </w:r>
      <w:proofErr w:type="spellEnd"/>
      <w:r w:rsidRPr="001D2B7A">
        <w:rPr>
          <w:rFonts w:ascii="Arial" w:hAnsi="Arial" w:cs="Arial"/>
          <w:sz w:val="24"/>
          <w:szCs w:val="24"/>
        </w:rPr>
        <w:t xml:space="preserve"> in professional service firms’, </w:t>
      </w:r>
      <w:r w:rsidRPr="001D2B7A">
        <w:rPr>
          <w:rFonts w:ascii="Arial" w:hAnsi="Arial" w:cs="Arial"/>
          <w:i/>
          <w:iCs/>
          <w:sz w:val="24"/>
          <w:szCs w:val="24"/>
        </w:rPr>
        <w:t>Frontiers in Psychology</w:t>
      </w:r>
      <w:r w:rsidRPr="001D2B7A">
        <w:rPr>
          <w:rFonts w:ascii="Arial" w:hAnsi="Arial" w:cs="Arial"/>
          <w:sz w:val="24"/>
          <w:szCs w:val="24"/>
        </w:rPr>
        <w:t xml:space="preserve">, 14, article 1324474. Available at: </w:t>
      </w:r>
      <w:hyperlink r:id="rId9" w:history="1">
        <w:r w:rsidRPr="001D2B7A">
          <w:rPr>
            <w:rStyle w:val="Hyperlink"/>
            <w:rFonts w:ascii="Arial" w:hAnsi="Arial" w:cs="Arial"/>
            <w:sz w:val="24"/>
            <w:szCs w:val="24"/>
          </w:rPr>
          <w:t>https://doi.org/10.3389/fpsyg.2023.1324474</w:t>
        </w:r>
      </w:hyperlink>
      <w:r w:rsidRPr="001D2B7A">
        <w:rPr>
          <w:rFonts w:ascii="Arial" w:hAnsi="Arial" w:cs="Arial"/>
          <w:sz w:val="24"/>
          <w:szCs w:val="24"/>
        </w:rPr>
        <w:t>.</w:t>
      </w:r>
    </w:p>
    <w:p w14:paraId="3A520B31"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Bakker, A.B., Demerouti, E. and Sanz-Vergel, A. (2023) ‘Job demands–resources theory: Ten years later’, </w:t>
      </w:r>
      <w:r w:rsidRPr="001D2B7A">
        <w:rPr>
          <w:rFonts w:ascii="Arial" w:hAnsi="Arial" w:cs="Arial"/>
          <w:i/>
          <w:iCs/>
          <w:sz w:val="24"/>
          <w:szCs w:val="24"/>
        </w:rPr>
        <w:t xml:space="preserve">Annual Review of Organizational Psychology and Organizational </w:t>
      </w:r>
      <w:proofErr w:type="spellStart"/>
      <w:r w:rsidRPr="001D2B7A">
        <w:rPr>
          <w:rFonts w:ascii="Arial" w:hAnsi="Arial" w:cs="Arial"/>
          <w:i/>
          <w:iCs/>
          <w:sz w:val="24"/>
          <w:szCs w:val="24"/>
        </w:rPr>
        <w:t>Behavior</w:t>
      </w:r>
      <w:proofErr w:type="spellEnd"/>
      <w:r w:rsidRPr="001D2B7A">
        <w:rPr>
          <w:rFonts w:ascii="Arial" w:hAnsi="Arial" w:cs="Arial"/>
          <w:sz w:val="24"/>
          <w:szCs w:val="24"/>
        </w:rPr>
        <w:t xml:space="preserve">, 10, pp. 25–53. Available at: </w:t>
      </w:r>
      <w:hyperlink r:id="rId10" w:history="1">
        <w:r w:rsidRPr="001D2B7A">
          <w:rPr>
            <w:rStyle w:val="Hyperlink"/>
            <w:rFonts w:ascii="Arial" w:hAnsi="Arial" w:cs="Arial"/>
            <w:sz w:val="24"/>
            <w:szCs w:val="24"/>
          </w:rPr>
          <w:t>https://doi.org/10.1146/annurev-orgpsych-120920-053933</w:t>
        </w:r>
      </w:hyperlink>
      <w:r w:rsidRPr="001D2B7A">
        <w:rPr>
          <w:rFonts w:ascii="Arial" w:hAnsi="Arial" w:cs="Arial"/>
          <w:sz w:val="24"/>
          <w:szCs w:val="24"/>
        </w:rPr>
        <w:t>.</w:t>
      </w:r>
    </w:p>
    <w:p w14:paraId="788432BC"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Bloom, N., Han, R. and Liang, J. (2024) ‘Hybrid working from home improves retention without damaging performance’, </w:t>
      </w:r>
      <w:r w:rsidRPr="001D2B7A">
        <w:rPr>
          <w:rFonts w:ascii="Arial" w:hAnsi="Arial" w:cs="Arial"/>
          <w:i/>
          <w:iCs/>
          <w:sz w:val="24"/>
          <w:szCs w:val="24"/>
        </w:rPr>
        <w:t>Nature</w:t>
      </w:r>
      <w:r w:rsidRPr="001D2B7A">
        <w:rPr>
          <w:rFonts w:ascii="Arial" w:hAnsi="Arial" w:cs="Arial"/>
          <w:sz w:val="24"/>
          <w:szCs w:val="24"/>
        </w:rPr>
        <w:t xml:space="preserve">, 630(8018), pp. 920–925. Available at: </w:t>
      </w:r>
      <w:hyperlink r:id="rId11" w:history="1">
        <w:r w:rsidRPr="001D2B7A">
          <w:rPr>
            <w:rStyle w:val="Hyperlink"/>
            <w:rFonts w:ascii="Arial" w:hAnsi="Arial" w:cs="Arial"/>
            <w:sz w:val="24"/>
            <w:szCs w:val="24"/>
          </w:rPr>
          <w:t>https://doi.org/10.1038/s41586-024-07500-2</w:t>
        </w:r>
      </w:hyperlink>
      <w:r w:rsidRPr="001D2B7A">
        <w:rPr>
          <w:rFonts w:ascii="Arial" w:hAnsi="Arial" w:cs="Arial"/>
          <w:sz w:val="24"/>
          <w:szCs w:val="24"/>
        </w:rPr>
        <w:t>.</w:t>
      </w:r>
    </w:p>
    <w:p w14:paraId="029B51A2"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Boxall, P. and Macky, K. (2009) ‘Research and theory on high-performance work systems: Progressing the high-involvement stream’, </w:t>
      </w:r>
      <w:r w:rsidRPr="001D2B7A">
        <w:rPr>
          <w:rFonts w:ascii="Arial" w:hAnsi="Arial" w:cs="Arial"/>
          <w:i/>
          <w:iCs/>
          <w:sz w:val="24"/>
          <w:szCs w:val="24"/>
        </w:rPr>
        <w:t>Human Resource Management Journal</w:t>
      </w:r>
      <w:r w:rsidRPr="001D2B7A">
        <w:rPr>
          <w:rFonts w:ascii="Arial" w:hAnsi="Arial" w:cs="Arial"/>
          <w:sz w:val="24"/>
          <w:szCs w:val="24"/>
        </w:rPr>
        <w:t xml:space="preserve">, 19(1), pp. 3–23. Available at: </w:t>
      </w:r>
      <w:hyperlink r:id="rId12" w:history="1">
        <w:r w:rsidRPr="001D2B7A">
          <w:rPr>
            <w:rStyle w:val="Hyperlink"/>
            <w:rFonts w:ascii="Arial" w:hAnsi="Arial" w:cs="Arial"/>
            <w:sz w:val="24"/>
            <w:szCs w:val="24"/>
          </w:rPr>
          <w:t>https://doi.org/10.1111/j.1748-8583.2008.00082.x</w:t>
        </w:r>
      </w:hyperlink>
      <w:r w:rsidRPr="001D2B7A">
        <w:rPr>
          <w:rFonts w:ascii="Arial" w:hAnsi="Arial" w:cs="Arial"/>
          <w:sz w:val="24"/>
          <w:szCs w:val="24"/>
        </w:rPr>
        <w:t>.</w:t>
      </w:r>
    </w:p>
    <w:p w14:paraId="1B9766BB"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Brucks, M.S. and Levav, J. (2022) ‘Virtual communication curbs creative idea generation’, </w:t>
      </w:r>
      <w:r w:rsidRPr="001D2B7A">
        <w:rPr>
          <w:rFonts w:ascii="Arial" w:hAnsi="Arial" w:cs="Arial"/>
          <w:i/>
          <w:iCs/>
          <w:sz w:val="24"/>
          <w:szCs w:val="24"/>
        </w:rPr>
        <w:t>Nature</w:t>
      </w:r>
      <w:r w:rsidRPr="001D2B7A">
        <w:rPr>
          <w:rFonts w:ascii="Arial" w:hAnsi="Arial" w:cs="Arial"/>
          <w:sz w:val="24"/>
          <w:szCs w:val="24"/>
        </w:rPr>
        <w:t xml:space="preserve">, 605(7908), pp. 108–112. Available at: </w:t>
      </w:r>
      <w:hyperlink r:id="rId13" w:history="1">
        <w:r w:rsidRPr="001D2B7A">
          <w:rPr>
            <w:rStyle w:val="Hyperlink"/>
            <w:rFonts w:ascii="Arial" w:hAnsi="Arial" w:cs="Arial"/>
            <w:sz w:val="24"/>
            <w:szCs w:val="24"/>
          </w:rPr>
          <w:t>https://doi.org/10.1038/s41586-022-04643-y</w:t>
        </w:r>
      </w:hyperlink>
      <w:r w:rsidRPr="001D2B7A">
        <w:rPr>
          <w:rFonts w:ascii="Arial" w:hAnsi="Arial" w:cs="Arial"/>
          <w:sz w:val="24"/>
          <w:szCs w:val="24"/>
        </w:rPr>
        <w:t>.</w:t>
      </w:r>
    </w:p>
    <w:p w14:paraId="1A4CD43A" w14:textId="77777777" w:rsidR="001D2B7A" w:rsidRPr="001D2B7A" w:rsidRDefault="001D2B7A" w:rsidP="001D2B7A">
      <w:pPr>
        <w:spacing w:line="259" w:lineRule="auto"/>
        <w:rPr>
          <w:rFonts w:ascii="Arial" w:hAnsi="Arial" w:cs="Arial"/>
          <w:sz w:val="24"/>
          <w:szCs w:val="24"/>
        </w:rPr>
      </w:pPr>
      <w:proofErr w:type="spellStart"/>
      <w:r w:rsidRPr="001D2B7A">
        <w:rPr>
          <w:rFonts w:ascii="Arial" w:hAnsi="Arial" w:cs="Arial"/>
          <w:sz w:val="24"/>
          <w:szCs w:val="24"/>
        </w:rPr>
        <w:t>Budhwar</w:t>
      </w:r>
      <w:proofErr w:type="spellEnd"/>
      <w:r w:rsidRPr="001D2B7A">
        <w:rPr>
          <w:rFonts w:ascii="Arial" w:hAnsi="Arial" w:cs="Arial"/>
          <w:sz w:val="24"/>
          <w:szCs w:val="24"/>
        </w:rPr>
        <w:t xml:space="preserve">, P., Chowdhury, S., Wood, G., Aguinis, H., Bamber, G.J., Beltran, J.R., Boselie, P., Lee Cooke, F., Decker, S., DeNisi, A., Dey, P.K., Guest, D., Knoblich, A.J., Malik, A., Paauwe, J., </w:t>
      </w:r>
      <w:proofErr w:type="spellStart"/>
      <w:r w:rsidRPr="001D2B7A">
        <w:rPr>
          <w:rFonts w:ascii="Arial" w:hAnsi="Arial" w:cs="Arial"/>
          <w:sz w:val="24"/>
          <w:szCs w:val="24"/>
        </w:rPr>
        <w:t>Papagiannidis</w:t>
      </w:r>
      <w:proofErr w:type="spellEnd"/>
      <w:r w:rsidRPr="001D2B7A">
        <w:rPr>
          <w:rFonts w:ascii="Arial" w:hAnsi="Arial" w:cs="Arial"/>
          <w:sz w:val="24"/>
          <w:szCs w:val="24"/>
        </w:rPr>
        <w:t xml:space="preserve">, S., Patel, C., Pereira, V., Ren, S., </w:t>
      </w:r>
      <w:proofErr w:type="spellStart"/>
      <w:r w:rsidRPr="001D2B7A">
        <w:rPr>
          <w:rFonts w:ascii="Arial" w:hAnsi="Arial" w:cs="Arial"/>
          <w:sz w:val="24"/>
          <w:szCs w:val="24"/>
        </w:rPr>
        <w:t>Rogelberg</w:t>
      </w:r>
      <w:proofErr w:type="spellEnd"/>
      <w:r w:rsidRPr="001D2B7A">
        <w:rPr>
          <w:rFonts w:ascii="Arial" w:hAnsi="Arial" w:cs="Arial"/>
          <w:sz w:val="24"/>
          <w:szCs w:val="24"/>
        </w:rPr>
        <w:t xml:space="preserve">, S., Saunders, M.N.K., Tung, R.L. and Varma, A. (2023) ‘Human resource management in the age of generative artificial intelligence: Perspectives and research directions on ChatGPT’, </w:t>
      </w:r>
      <w:r w:rsidRPr="001D2B7A">
        <w:rPr>
          <w:rFonts w:ascii="Arial" w:hAnsi="Arial" w:cs="Arial"/>
          <w:i/>
          <w:iCs/>
          <w:sz w:val="24"/>
          <w:szCs w:val="24"/>
        </w:rPr>
        <w:t>Human Resource Management Journal</w:t>
      </w:r>
      <w:r w:rsidRPr="001D2B7A">
        <w:rPr>
          <w:rFonts w:ascii="Arial" w:hAnsi="Arial" w:cs="Arial"/>
          <w:sz w:val="24"/>
          <w:szCs w:val="24"/>
        </w:rPr>
        <w:t xml:space="preserve">, 33(3), pp. 606–659. Available at: </w:t>
      </w:r>
      <w:hyperlink r:id="rId14" w:history="1">
        <w:r w:rsidRPr="001D2B7A">
          <w:rPr>
            <w:rStyle w:val="Hyperlink"/>
            <w:rFonts w:ascii="Arial" w:hAnsi="Arial" w:cs="Arial"/>
            <w:sz w:val="24"/>
            <w:szCs w:val="24"/>
          </w:rPr>
          <w:t>https://doi.org/10.1111/1748-8583.12524</w:t>
        </w:r>
      </w:hyperlink>
      <w:r w:rsidRPr="001D2B7A">
        <w:rPr>
          <w:rFonts w:ascii="Arial" w:hAnsi="Arial" w:cs="Arial"/>
          <w:sz w:val="24"/>
          <w:szCs w:val="24"/>
        </w:rPr>
        <w:t>.</w:t>
      </w:r>
    </w:p>
    <w:p w14:paraId="107679B5"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Clegg, C.W. (2000) ‘Sociotechnical principles for system design’, </w:t>
      </w:r>
      <w:r w:rsidRPr="001D2B7A">
        <w:rPr>
          <w:rFonts w:ascii="Arial" w:hAnsi="Arial" w:cs="Arial"/>
          <w:i/>
          <w:iCs/>
          <w:sz w:val="24"/>
          <w:szCs w:val="24"/>
        </w:rPr>
        <w:t>Applied Ergonomics</w:t>
      </w:r>
      <w:r w:rsidRPr="001D2B7A">
        <w:rPr>
          <w:rFonts w:ascii="Arial" w:hAnsi="Arial" w:cs="Arial"/>
          <w:sz w:val="24"/>
          <w:szCs w:val="24"/>
        </w:rPr>
        <w:t xml:space="preserve">, 31(5), pp. 463–477. Available at: </w:t>
      </w:r>
      <w:hyperlink r:id="rId15" w:history="1">
        <w:r w:rsidRPr="001D2B7A">
          <w:rPr>
            <w:rStyle w:val="Hyperlink"/>
            <w:rFonts w:ascii="Arial" w:hAnsi="Arial" w:cs="Arial"/>
            <w:sz w:val="24"/>
            <w:szCs w:val="24"/>
          </w:rPr>
          <w:t>https://doi.org/10.1016/S0003-6870(00)00009-0</w:t>
        </w:r>
      </w:hyperlink>
      <w:r w:rsidRPr="001D2B7A">
        <w:rPr>
          <w:rFonts w:ascii="Arial" w:hAnsi="Arial" w:cs="Arial"/>
          <w:sz w:val="24"/>
          <w:szCs w:val="24"/>
        </w:rPr>
        <w:t>.</w:t>
      </w:r>
    </w:p>
    <w:p w14:paraId="2C27D6EB"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Dweck, C.S. (2006) </w:t>
      </w:r>
      <w:r w:rsidRPr="001D2B7A">
        <w:rPr>
          <w:rFonts w:ascii="Arial" w:hAnsi="Arial" w:cs="Arial"/>
          <w:i/>
          <w:iCs/>
          <w:sz w:val="24"/>
          <w:szCs w:val="24"/>
        </w:rPr>
        <w:t>Mindset: The new psychology of success</w:t>
      </w:r>
      <w:r w:rsidRPr="001D2B7A">
        <w:rPr>
          <w:rFonts w:ascii="Arial" w:hAnsi="Arial" w:cs="Arial"/>
          <w:sz w:val="24"/>
          <w:szCs w:val="24"/>
        </w:rPr>
        <w:t>. Random House.</w:t>
      </w:r>
    </w:p>
    <w:p w14:paraId="0F6CB7C3"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Edmondson, A.C. and Bransby, D.P. (2023) ‘Psychological safety comes of age: Observed themes in an established literature’, </w:t>
      </w:r>
      <w:r w:rsidRPr="001D2B7A">
        <w:rPr>
          <w:rFonts w:ascii="Arial" w:hAnsi="Arial" w:cs="Arial"/>
          <w:i/>
          <w:iCs/>
          <w:sz w:val="24"/>
          <w:szCs w:val="24"/>
        </w:rPr>
        <w:t xml:space="preserve">Annual Review of Organizational Psychology and Organizational </w:t>
      </w:r>
      <w:proofErr w:type="spellStart"/>
      <w:r w:rsidRPr="001D2B7A">
        <w:rPr>
          <w:rFonts w:ascii="Arial" w:hAnsi="Arial" w:cs="Arial"/>
          <w:i/>
          <w:iCs/>
          <w:sz w:val="24"/>
          <w:szCs w:val="24"/>
        </w:rPr>
        <w:t>Behavior</w:t>
      </w:r>
      <w:proofErr w:type="spellEnd"/>
      <w:r w:rsidRPr="001D2B7A">
        <w:rPr>
          <w:rFonts w:ascii="Arial" w:hAnsi="Arial" w:cs="Arial"/>
          <w:sz w:val="24"/>
          <w:szCs w:val="24"/>
        </w:rPr>
        <w:t xml:space="preserve">, 10, pp. 55–78. Available at: </w:t>
      </w:r>
      <w:hyperlink r:id="rId16" w:history="1">
        <w:r w:rsidRPr="001D2B7A">
          <w:rPr>
            <w:rStyle w:val="Hyperlink"/>
            <w:rFonts w:ascii="Arial" w:hAnsi="Arial" w:cs="Arial"/>
            <w:sz w:val="24"/>
            <w:szCs w:val="24"/>
          </w:rPr>
          <w:t>https://doi.org/10.1146/annurev-orgpsych-120920-055217</w:t>
        </w:r>
      </w:hyperlink>
      <w:r w:rsidRPr="001D2B7A">
        <w:rPr>
          <w:rFonts w:ascii="Arial" w:hAnsi="Arial" w:cs="Arial"/>
          <w:sz w:val="24"/>
          <w:szCs w:val="24"/>
        </w:rPr>
        <w:t>.</w:t>
      </w:r>
    </w:p>
    <w:p w14:paraId="58D264C4"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Gagné, M., Parker, S.K., Griffin, M.A., Dunlop, P.D., Knight, C., </w:t>
      </w:r>
      <w:proofErr w:type="spellStart"/>
      <w:r w:rsidRPr="001D2B7A">
        <w:rPr>
          <w:rFonts w:ascii="Arial" w:hAnsi="Arial" w:cs="Arial"/>
          <w:sz w:val="24"/>
          <w:szCs w:val="24"/>
        </w:rPr>
        <w:t>Klonek</w:t>
      </w:r>
      <w:proofErr w:type="spellEnd"/>
      <w:r w:rsidRPr="001D2B7A">
        <w:rPr>
          <w:rFonts w:ascii="Arial" w:hAnsi="Arial" w:cs="Arial"/>
          <w:sz w:val="24"/>
          <w:szCs w:val="24"/>
        </w:rPr>
        <w:t xml:space="preserve">, F.E. and Parent-Rocheleau, X. (2022) ‘Understanding and shaping the future of work with self-determination theory’, </w:t>
      </w:r>
      <w:r w:rsidRPr="001D2B7A">
        <w:rPr>
          <w:rFonts w:ascii="Arial" w:hAnsi="Arial" w:cs="Arial"/>
          <w:i/>
          <w:iCs/>
          <w:sz w:val="24"/>
          <w:szCs w:val="24"/>
        </w:rPr>
        <w:t>Nature Reviews Psychology</w:t>
      </w:r>
      <w:r w:rsidRPr="001D2B7A">
        <w:rPr>
          <w:rFonts w:ascii="Arial" w:hAnsi="Arial" w:cs="Arial"/>
          <w:sz w:val="24"/>
          <w:szCs w:val="24"/>
        </w:rPr>
        <w:t xml:space="preserve">, 1(7), pp. 378–392. Available at: </w:t>
      </w:r>
      <w:hyperlink r:id="rId17" w:history="1">
        <w:r w:rsidRPr="001D2B7A">
          <w:rPr>
            <w:rStyle w:val="Hyperlink"/>
            <w:rFonts w:ascii="Arial" w:hAnsi="Arial" w:cs="Arial"/>
            <w:sz w:val="24"/>
            <w:szCs w:val="24"/>
          </w:rPr>
          <w:t>https://doi.org/10.1038/s44159-022-00056-w</w:t>
        </w:r>
      </w:hyperlink>
      <w:r w:rsidRPr="001D2B7A">
        <w:rPr>
          <w:rFonts w:ascii="Arial" w:hAnsi="Arial" w:cs="Arial"/>
          <w:sz w:val="24"/>
          <w:szCs w:val="24"/>
        </w:rPr>
        <w:t>.</w:t>
      </w:r>
    </w:p>
    <w:p w14:paraId="1A70A47F"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lastRenderedPageBreak/>
        <w:t xml:space="preserve">Holman, D., Escaffi-Schwarz, M., Vasquez, C.A., Irmer, J.P. and Zapf, D. (2024) ‘Does job crafting affect employee outcomes via job characteristics? A meta-analytic test of a key job crafting mechanism’, </w:t>
      </w:r>
      <w:r w:rsidRPr="001D2B7A">
        <w:rPr>
          <w:rFonts w:ascii="Arial" w:hAnsi="Arial" w:cs="Arial"/>
          <w:i/>
          <w:iCs/>
          <w:sz w:val="24"/>
          <w:szCs w:val="24"/>
        </w:rPr>
        <w:t>Journal of Occupational and Organizational Psychology</w:t>
      </w:r>
      <w:r w:rsidRPr="001D2B7A">
        <w:rPr>
          <w:rFonts w:ascii="Arial" w:hAnsi="Arial" w:cs="Arial"/>
          <w:sz w:val="24"/>
          <w:szCs w:val="24"/>
        </w:rPr>
        <w:t xml:space="preserve">, 97(1), pp. 47–73. Available at: </w:t>
      </w:r>
      <w:hyperlink r:id="rId18" w:history="1">
        <w:r w:rsidRPr="001D2B7A">
          <w:rPr>
            <w:rStyle w:val="Hyperlink"/>
            <w:rFonts w:ascii="Arial" w:hAnsi="Arial" w:cs="Arial"/>
            <w:sz w:val="24"/>
            <w:szCs w:val="24"/>
          </w:rPr>
          <w:t>https://doi.org/10.1111/joop.12450</w:t>
        </w:r>
      </w:hyperlink>
      <w:r w:rsidRPr="001D2B7A">
        <w:rPr>
          <w:rFonts w:ascii="Arial" w:hAnsi="Arial" w:cs="Arial"/>
          <w:sz w:val="24"/>
          <w:szCs w:val="24"/>
        </w:rPr>
        <w:t>.</w:t>
      </w:r>
    </w:p>
    <w:p w14:paraId="6E636830"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Moe, N.B., </w:t>
      </w:r>
      <w:proofErr w:type="spellStart"/>
      <w:r w:rsidRPr="001D2B7A">
        <w:rPr>
          <w:rFonts w:ascii="Arial" w:hAnsi="Arial" w:cs="Arial"/>
          <w:sz w:val="24"/>
          <w:szCs w:val="24"/>
        </w:rPr>
        <w:t>Šmite</w:t>
      </w:r>
      <w:proofErr w:type="spellEnd"/>
      <w:r w:rsidRPr="001D2B7A">
        <w:rPr>
          <w:rFonts w:ascii="Arial" w:hAnsi="Arial" w:cs="Arial"/>
          <w:sz w:val="24"/>
          <w:szCs w:val="24"/>
        </w:rPr>
        <w:t xml:space="preserve">, D., Paasivaara, M. and Lassenius, C. (2021) ‘Finding the sweet spot for organizational control and team autonomy in large-scale agile software development’, </w:t>
      </w:r>
      <w:r w:rsidRPr="001D2B7A">
        <w:rPr>
          <w:rFonts w:ascii="Arial" w:hAnsi="Arial" w:cs="Arial"/>
          <w:i/>
          <w:iCs/>
          <w:sz w:val="24"/>
          <w:szCs w:val="24"/>
        </w:rPr>
        <w:t>Empirical Software Engineering</w:t>
      </w:r>
      <w:r w:rsidRPr="001D2B7A">
        <w:rPr>
          <w:rFonts w:ascii="Arial" w:hAnsi="Arial" w:cs="Arial"/>
          <w:sz w:val="24"/>
          <w:szCs w:val="24"/>
        </w:rPr>
        <w:t xml:space="preserve">, 26, article 101. Available at: </w:t>
      </w:r>
      <w:hyperlink r:id="rId19" w:history="1">
        <w:r w:rsidRPr="001D2B7A">
          <w:rPr>
            <w:rStyle w:val="Hyperlink"/>
            <w:rFonts w:ascii="Arial" w:hAnsi="Arial" w:cs="Arial"/>
            <w:sz w:val="24"/>
            <w:szCs w:val="24"/>
          </w:rPr>
          <w:t>https://doi.org/10.1007/s10664-021-09967-3</w:t>
        </w:r>
      </w:hyperlink>
      <w:r w:rsidRPr="001D2B7A">
        <w:rPr>
          <w:rFonts w:ascii="Arial" w:hAnsi="Arial" w:cs="Arial"/>
          <w:sz w:val="24"/>
          <w:szCs w:val="24"/>
        </w:rPr>
        <w:t>.</w:t>
      </w:r>
    </w:p>
    <w:p w14:paraId="76A0E149"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National Institute of Standards and Technology (NIST) (2023) </w:t>
      </w:r>
      <w:r w:rsidRPr="001D2B7A">
        <w:rPr>
          <w:rFonts w:ascii="Arial" w:hAnsi="Arial" w:cs="Arial"/>
          <w:i/>
          <w:iCs/>
          <w:sz w:val="24"/>
          <w:szCs w:val="24"/>
        </w:rPr>
        <w:t>Artificial intelligence risk management framework (AI RMF 1.0)</w:t>
      </w:r>
      <w:r w:rsidRPr="001D2B7A">
        <w:rPr>
          <w:rFonts w:ascii="Arial" w:hAnsi="Arial" w:cs="Arial"/>
          <w:sz w:val="24"/>
          <w:szCs w:val="24"/>
        </w:rPr>
        <w:t xml:space="preserve">. NIST AI 100-1. National Institute of Standards and Technology. Available at: </w:t>
      </w:r>
      <w:hyperlink r:id="rId20" w:history="1">
        <w:r w:rsidRPr="001D2B7A">
          <w:rPr>
            <w:rStyle w:val="Hyperlink"/>
            <w:rFonts w:ascii="Arial" w:hAnsi="Arial" w:cs="Arial"/>
            <w:sz w:val="24"/>
            <w:szCs w:val="24"/>
          </w:rPr>
          <w:t>https://doi.org/10.6028/NIST.AI.100-1</w:t>
        </w:r>
      </w:hyperlink>
      <w:r w:rsidRPr="001D2B7A">
        <w:rPr>
          <w:rFonts w:ascii="Arial" w:hAnsi="Arial" w:cs="Arial"/>
          <w:sz w:val="24"/>
          <w:szCs w:val="24"/>
        </w:rPr>
        <w:t xml:space="preserve"> (Accessed: 11 October 2026).</w:t>
      </w:r>
    </w:p>
    <w:p w14:paraId="14EFA46F"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Parker, S.K. and Grote, G. (2022) ‘Automation, algorithms, and beyond: Why work design matters more than ever in a digital world’, </w:t>
      </w:r>
      <w:r w:rsidRPr="001D2B7A">
        <w:rPr>
          <w:rFonts w:ascii="Arial" w:hAnsi="Arial" w:cs="Arial"/>
          <w:i/>
          <w:iCs/>
          <w:sz w:val="24"/>
          <w:szCs w:val="24"/>
        </w:rPr>
        <w:t>Applied Psychology</w:t>
      </w:r>
      <w:r w:rsidRPr="001D2B7A">
        <w:rPr>
          <w:rFonts w:ascii="Arial" w:hAnsi="Arial" w:cs="Arial"/>
          <w:sz w:val="24"/>
          <w:szCs w:val="24"/>
        </w:rPr>
        <w:t xml:space="preserve">, 71(4), pp. 1171–1204. Available at: </w:t>
      </w:r>
      <w:hyperlink r:id="rId21" w:history="1">
        <w:r w:rsidRPr="001D2B7A">
          <w:rPr>
            <w:rStyle w:val="Hyperlink"/>
            <w:rFonts w:ascii="Arial" w:hAnsi="Arial" w:cs="Arial"/>
            <w:sz w:val="24"/>
            <w:szCs w:val="24"/>
          </w:rPr>
          <w:t>https://doi.org/10.1111/apps.12241</w:t>
        </w:r>
      </w:hyperlink>
      <w:r w:rsidRPr="001D2B7A">
        <w:rPr>
          <w:rFonts w:ascii="Arial" w:hAnsi="Arial" w:cs="Arial"/>
          <w:sz w:val="24"/>
          <w:szCs w:val="24"/>
        </w:rPr>
        <w:t>.</w:t>
      </w:r>
    </w:p>
    <w:p w14:paraId="4883F3FD"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Rogers, B.A., Christian, J.S., Jennings, R.E. and Lanaj, K. (2023) ‘The growth mindset at work: Will employees help others to develop themselves?’, </w:t>
      </w:r>
      <w:r w:rsidRPr="001D2B7A">
        <w:rPr>
          <w:rFonts w:ascii="Arial" w:hAnsi="Arial" w:cs="Arial"/>
          <w:i/>
          <w:iCs/>
          <w:sz w:val="24"/>
          <w:szCs w:val="24"/>
        </w:rPr>
        <w:t>Academy of Management Discoveries</w:t>
      </w:r>
      <w:r w:rsidRPr="001D2B7A">
        <w:rPr>
          <w:rFonts w:ascii="Arial" w:hAnsi="Arial" w:cs="Arial"/>
          <w:sz w:val="24"/>
          <w:szCs w:val="24"/>
        </w:rPr>
        <w:t xml:space="preserve">, 9(1), pp. 67–92. Available at: </w:t>
      </w:r>
      <w:hyperlink r:id="rId22" w:history="1">
        <w:r w:rsidRPr="001D2B7A">
          <w:rPr>
            <w:rStyle w:val="Hyperlink"/>
            <w:rFonts w:ascii="Arial" w:hAnsi="Arial" w:cs="Arial"/>
            <w:sz w:val="24"/>
            <w:szCs w:val="24"/>
          </w:rPr>
          <w:t>https://doi.org/10.5465/amd.2021.0144</w:t>
        </w:r>
      </w:hyperlink>
      <w:r w:rsidRPr="001D2B7A">
        <w:rPr>
          <w:rFonts w:ascii="Arial" w:hAnsi="Arial" w:cs="Arial"/>
          <w:sz w:val="24"/>
          <w:szCs w:val="24"/>
        </w:rPr>
        <w:t>.</w:t>
      </w:r>
    </w:p>
    <w:p w14:paraId="09341D8F" w14:textId="77777777" w:rsidR="000A178D" w:rsidRDefault="001D2B7A" w:rsidP="001D2B7A">
      <w:pPr>
        <w:spacing w:line="259" w:lineRule="auto"/>
        <w:rPr>
          <w:rFonts w:ascii="Arial" w:hAnsi="Arial" w:cs="Arial"/>
          <w:sz w:val="24"/>
          <w:szCs w:val="24"/>
        </w:rPr>
      </w:pPr>
      <w:r w:rsidRPr="001D2B7A">
        <w:rPr>
          <w:rFonts w:ascii="Arial" w:hAnsi="Arial" w:cs="Arial"/>
          <w:sz w:val="24"/>
          <w:szCs w:val="24"/>
        </w:rPr>
        <w:t xml:space="preserve">Schwaber, K. and Sutherland, J. (2020) </w:t>
      </w:r>
      <w:r w:rsidRPr="001D2B7A">
        <w:rPr>
          <w:rFonts w:ascii="Arial" w:hAnsi="Arial" w:cs="Arial"/>
          <w:i/>
          <w:iCs/>
          <w:sz w:val="24"/>
          <w:szCs w:val="24"/>
        </w:rPr>
        <w:t>The Scrum guide: The definitive guide to Scrum: The rules of the game</w:t>
      </w:r>
      <w:r w:rsidRPr="001D2B7A">
        <w:rPr>
          <w:rFonts w:ascii="Arial" w:hAnsi="Arial" w:cs="Arial"/>
          <w:sz w:val="24"/>
          <w:szCs w:val="24"/>
        </w:rPr>
        <w:t xml:space="preserve">. Available at: </w:t>
      </w:r>
      <w:hyperlink r:id="rId23" w:history="1">
        <w:r w:rsidRPr="001D2B7A">
          <w:rPr>
            <w:rStyle w:val="Hyperlink"/>
            <w:rFonts w:ascii="Arial" w:hAnsi="Arial" w:cs="Arial"/>
            <w:sz w:val="24"/>
            <w:szCs w:val="24"/>
          </w:rPr>
          <w:t>https://scrumguides.org/scrum-guide.html</w:t>
        </w:r>
      </w:hyperlink>
      <w:r w:rsidRPr="001D2B7A">
        <w:rPr>
          <w:rFonts w:ascii="Arial" w:hAnsi="Arial" w:cs="Arial"/>
          <w:sz w:val="24"/>
          <w:szCs w:val="24"/>
        </w:rPr>
        <w:t xml:space="preserve"> </w:t>
      </w:r>
    </w:p>
    <w:p w14:paraId="2F5EB8F6"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Senge, P.M. (2006) </w:t>
      </w:r>
      <w:r w:rsidRPr="001D2B7A">
        <w:rPr>
          <w:rFonts w:ascii="Arial" w:hAnsi="Arial" w:cs="Arial"/>
          <w:i/>
          <w:iCs/>
          <w:sz w:val="24"/>
          <w:szCs w:val="24"/>
        </w:rPr>
        <w:t>The fifth discipline: The art and practice of the learning organization</w:t>
      </w:r>
      <w:r w:rsidRPr="001D2B7A">
        <w:rPr>
          <w:rFonts w:ascii="Arial" w:hAnsi="Arial" w:cs="Arial"/>
          <w:sz w:val="24"/>
          <w:szCs w:val="24"/>
        </w:rPr>
        <w:t xml:space="preserve">. Revised and updated </w:t>
      </w:r>
      <w:proofErr w:type="spellStart"/>
      <w:r w:rsidRPr="001D2B7A">
        <w:rPr>
          <w:rFonts w:ascii="Arial" w:hAnsi="Arial" w:cs="Arial"/>
          <w:sz w:val="24"/>
          <w:szCs w:val="24"/>
        </w:rPr>
        <w:t>edn</w:t>
      </w:r>
      <w:proofErr w:type="spellEnd"/>
      <w:r w:rsidRPr="001D2B7A">
        <w:rPr>
          <w:rFonts w:ascii="Arial" w:hAnsi="Arial" w:cs="Arial"/>
          <w:sz w:val="24"/>
          <w:szCs w:val="24"/>
        </w:rPr>
        <w:t>. Doubleday/Currency.</w:t>
      </w:r>
    </w:p>
    <w:p w14:paraId="5FEA902E"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Sinisterra, L., Peñalver, J. and </w:t>
      </w:r>
      <w:proofErr w:type="spellStart"/>
      <w:r w:rsidRPr="001D2B7A">
        <w:rPr>
          <w:rFonts w:ascii="Arial" w:hAnsi="Arial" w:cs="Arial"/>
          <w:sz w:val="24"/>
          <w:szCs w:val="24"/>
        </w:rPr>
        <w:t>Salanova</w:t>
      </w:r>
      <w:proofErr w:type="spellEnd"/>
      <w:r w:rsidRPr="001D2B7A">
        <w:rPr>
          <w:rFonts w:ascii="Arial" w:hAnsi="Arial" w:cs="Arial"/>
          <w:sz w:val="24"/>
          <w:szCs w:val="24"/>
        </w:rPr>
        <w:t xml:space="preserve">, M. (2024) ‘Connecting the organizational incomes and outcomes: A systematic review of the relationship between talent management, employee engagement, and turnover intention’, </w:t>
      </w:r>
      <w:r w:rsidRPr="001D2B7A">
        <w:rPr>
          <w:rFonts w:ascii="Arial" w:hAnsi="Arial" w:cs="Arial"/>
          <w:i/>
          <w:iCs/>
          <w:sz w:val="24"/>
          <w:szCs w:val="24"/>
        </w:rPr>
        <w:t>Frontiers in Psychology</w:t>
      </w:r>
      <w:r w:rsidRPr="001D2B7A">
        <w:rPr>
          <w:rFonts w:ascii="Arial" w:hAnsi="Arial" w:cs="Arial"/>
          <w:sz w:val="24"/>
          <w:szCs w:val="24"/>
        </w:rPr>
        <w:t xml:space="preserve">, 15, article 1439127. Available at: </w:t>
      </w:r>
      <w:hyperlink r:id="rId24" w:history="1">
        <w:r w:rsidRPr="001D2B7A">
          <w:rPr>
            <w:rStyle w:val="Hyperlink"/>
            <w:rFonts w:ascii="Arial" w:hAnsi="Arial" w:cs="Arial"/>
            <w:sz w:val="24"/>
            <w:szCs w:val="24"/>
          </w:rPr>
          <w:t>https://doi.org/10.3389/fpsyg.2024.1439127</w:t>
        </w:r>
      </w:hyperlink>
      <w:r w:rsidRPr="001D2B7A">
        <w:rPr>
          <w:rFonts w:ascii="Arial" w:hAnsi="Arial" w:cs="Arial"/>
          <w:sz w:val="24"/>
          <w:szCs w:val="24"/>
        </w:rPr>
        <w:t>.</w:t>
      </w:r>
    </w:p>
    <w:p w14:paraId="44AA143F"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Tambe, P., Cappelli, P. and Yakubovich, V. (2019) ‘Artificial intelligence in human resources management: Challenges and a path forward’, </w:t>
      </w:r>
      <w:r w:rsidRPr="001D2B7A">
        <w:rPr>
          <w:rFonts w:ascii="Arial" w:hAnsi="Arial" w:cs="Arial"/>
          <w:i/>
          <w:iCs/>
          <w:sz w:val="24"/>
          <w:szCs w:val="24"/>
        </w:rPr>
        <w:t>California Management Review</w:t>
      </w:r>
      <w:r w:rsidRPr="001D2B7A">
        <w:rPr>
          <w:rFonts w:ascii="Arial" w:hAnsi="Arial" w:cs="Arial"/>
          <w:sz w:val="24"/>
          <w:szCs w:val="24"/>
        </w:rPr>
        <w:t xml:space="preserve">, 61(4), pp. 15–42. Available at: </w:t>
      </w:r>
      <w:hyperlink r:id="rId25" w:history="1">
        <w:r w:rsidRPr="001D2B7A">
          <w:rPr>
            <w:rStyle w:val="Hyperlink"/>
            <w:rFonts w:ascii="Arial" w:hAnsi="Arial" w:cs="Arial"/>
            <w:sz w:val="24"/>
            <w:szCs w:val="24"/>
          </w:rPr>
          <w:t>https://doi.org/10.1177/0008125619867910</w:t>
        </w:r>
      </w:hyperlink>
      <w:r w:rsidRPr="001D2B7A">
        <w:rPr>
          <w:rFonts w:ascii="Arial" w:hAnsi="Arial" w:cs="Arial"/>
          <w:sz w:val="24"/>
          <w:szCs w:val="24"/>
        </w:rPr>
        <w:t>.</w:t>
      </w:r>
    </w:p>
    <w:p w14:paraId="4BD77F11" w14:textId="77777777" w:rsidR="001D2B7A" w:rsidRPr="001D2B7A" w:rsidRDefault="001D2B7A" w:rsidP="001D2B7A">
      <w:pPr>
        <w:spacing w:line="259" w:lineRule="auto"/>
        <w:rPr>
          <w:rFonts w:ascii="Arial" w:hAnsi="Arial" w:cs="Arial"/>
          <w:sz w:val="24"/>
          <w:szCs w:val="24"/>
        </w:rPr>
      </w:pPr>
      <w:r w:rsidRPr="001D2B7A">
        <w:rPr>
          <w:rFonts w:ascii="Arial" w:hAnsi="Arial" w:cs="Arial"/>
          <w:sz w:val="24"/>
          <w:szCs w:val="24"/>
        </w:rPr>
        <w:t xml:space="preserve">Yang, L., Holtz, D., Jaffe, S., Suri, S., Sinha, S., Weston, J., Joyce, C., Shah, N., Sherman, K., Hecht, B. and Teevan, J. (2022) ‘The effects of remote work on collaboration among information workers’, </w:t>
      </w:r>
      <w:r w:rsidRPr="001D2B7A">
        <w:rPr>
          <w:rFonts w:ascii="Arial" w:hAnsi="Arial" w:cs="Arial"/>
          <w:i/>
          <w:iCs/>
          <w:sz w:val="24"/>
          <w:szCs w:val="24"/>
        </w:rPr>
        <w:t>Nature Human Behaviour</w:t>
      </w:r>
      <w:r w:rsidRPr="001D2B7A">
        <w:rPr>
          <w:rFonts w:ascii="Arial" w:hAnsi="Arial" w:cs="Arial"/>
          <w:sz w:val="24"/>
          <w:szCs w:val="24"/>
        </w:rPr>
        <w:t xml:space="preserve">, 6(1), pp. 43–54. Available at: </w:t>
      </w:r>
      <w:hyperlink r:id="rId26" w:history="1">
        <w:r w:rsidRPr="001D2B7A">
          <w:rPr>
            <w:rStyle w:val="Hyperlink"/>
            <w:rFonts w:ascii="Arial" w:hAnsi="Arial" w:cs="Arial"/>
            <w:sz w:val="24"/>
            <w:szCs w:val="24"/>
          </w:rPr>
          <w:t>https://doi.org/10.1038/s41562-021-01196-4</w:t>
        </w:r>
      </w:hyperlink>
      <w:r w:rsidRPr="001D2B7A">
        <w:rPr>
          <w:rFonts w:ascii="Arial" w:hAnsi="Arial" w:cs="Arial"/>
          <w:sz w:val="24"/>
          <w:szCs w:val="24"/>
        </w:rPr>
        <w:t>.</w:t>
      </w:r>
    </w:p>
    <w:p w14:paraId="25328246" w14:textId="77777777" w:rsidR="007F30A9" w:rsidRPr="001D2B7A" w:rsidRDefault="001D2B7A" w:rsidP="002B379E">
      <w:pPr>
        <w:spacing w:line="259" w:lineRule="auto"/>
        <w:rPr>
          <w:rFonts w:ascii="Arial" w:hAnsi="Arial" w:cs="Arial"/>
          <w:sz w:val="24"/>
          <w:szCs w:val="24"/>
        </w:rPr>
      </w:pPr>
      <w:r w:rsidRPr="001D2B7A">
        <w:rPr>
          <w:rFonts w:ascii="Arial" w:hAnsi="Arial" w:cs="Arial"/>
          <w:sz w:val="24"/>
          <w:szCs w:val="24"/>
        </w:rPr>
        <w:t xml:space="preserve">Zhang, X., Hu, X. and Su, T. (2023) ‘Do </w:t>
      </w:r>
      <w:proofErr w:type="gramStart"/>
      <w:r w:rsidRPr="001D2B7A">
        <w:rPr>
          <w:rFonts w:ascii="Arial" w:hAnsi="Arial" w:cs="Arial"/>
          <w:sz w:val="24"/>
          <w:szCs w:val="24"/>
        </w:rPr>
        <w:t>high performance</w:t>
      </w:r>
      <w:proofErr w:type="gramEnd"/>
      <w:r w:rsidRPr="001D2B7A">
        <w:rPr>
          <w:rFonts w:ascii="Arial" w:hAnsi="Arial" w:cs="Arial"/>
          <w:sz w:val="24"/>
          <w:szCs w:val="24"/>
        </w:rPr>
        <w:t xml:space="preserve"> work systems impair employee well-being? Evidence from a meta-analysis’, </w:t>
      </w:r>
      <w:r w:rsidRPr="001D2B7A">
        <w:rPr>
          <w:rFonts w:ascii="Arial" w:hAnsi="Arial" w:cs="Arial"/>
          <w:i/>
          <w:iCs/>
          <w:sz w:val="24"/>
          <w:szCs w:val="24"/>
        </w:rPr>
        <w:t>Advances in Psychological Science</w:t>
      </w:r>
      <w:r w:rsidRPr="001D2B7A">
        <w:rPr>
          <w:rFonts w:ascii="Arial" w:hAnsi="Arial" w:cs="Arial"/>
          <w:sz w:val="24"/>
          <w:szCs w:val="24"/>
        </w:rPr>
        <w:t xml:space="preserve">, 31(11), pp. 2005–2024. Available at: </w:t>
      </w:r>
      <w:hyperlink r:id="rId27" w:history="1">
        <w:r w:rsidRPr="001D2B7A">
          <w:rPr>
            <w:rStyle w:val="Hyperlink"/>
            <w:rFonts w:ascii="Arial" w:hAnsi="Arial" w:cs="Arial"/>
            <w:sz w:val="24"/>
            <w:szCs w:val="24"/>
          </w:rPr>
          <w:t>https://doi.org/10.3724/SP.J.1042.2023.02005</w:t>
        </w:r>
      </w:hyperlink>
      <w:r w:rsidRPr="001D2B7A">
        <w:rPr>
          <w:rFonts w:ascii="Arial" w:hAnsi="Arial" w:cs="Arial"/>
          <w:sz w:val="24"/>
          <w:szCs w:val="24"/>
        </w:rPr>
        <w:t>.</w:t>
      </w:r>
    </w:p>
    <w:sectPr w:rsidR="007F30A9" w:rsidRPr="001D2B7A" w:rsidSect="001D2B7A">
      <w:headerReference w:type="default" r:id="rId28"/>
      <w:pgSz w:w="12240" w:h="15840" w:code="1"/>
      <w:pgMar w:top="1440" w:right="1440" w:bottom="1440" w:left="1440" w:header="737" w:footer="72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2F3636" w14:textId="77777777" w:rsidR="003F697E" w:rsidRDefault="003F697E" w:rsidP="001D2B7A">
      <w:pPr>
        <w:spacing w:after="0" w:line="240" w:lineRule="auto"/>
      </w:pPr>
      <w:r>
        <w:separator/>
      </w:r>
    </w:p>
  </w:endnote>
  <w:endnote w:type="continuationSeparator" w:id="0">
    <w:p w14:paraId="7261705A" w14:textId="77777777" w:rsidR="003F697E" w:rsidRDefault="003F697E" w:rsidP="001D2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3311E" w14:textId="77777777" w:rsidR="003F697E" w:rsidRDefault="003F697E" w:rsidP="001D2B7A">
      <w:pPr>
        <w:spacing w:after="0" w:line="240" w:lineRule="auto"/>
      </w:pPr>
      <w:r>
        <w:separator/>
      </w:r>
    </w:p>
  </w:footnote>
  <w:footnote w:type="continuationSeparator" w:id="0">
    <w:p w14:paraId="25CE1D26" w14:textId="77777777" w:rsidR="003F697E" w:rsidRDefault="003F697E" w:rsidP="001D2B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5207795"/>
      <w:docPartObj>
        <w:docPartGallery w:val="Page Numbers (Top of Page)"/>
        <w:docPartUnique/>
      </w:docPartObj>
    </w:sdtPr>
    <w:sdtEndPr>
      <w:rPr>
        <w:noProof/>
      </w:rPr>
    </w:sdtEndPr>
    <w:sdtContent>
      <w:p w14:paraId="2F1592A7" w14:textId="77777777" w:rsidR="001D2B7A" w:rsidRDefault="001D2B7A">
        <w:pPr>
          <w:pStyle w:val="Header"/>
          <w:jc w:val="center"/>
        </w:pPr>
        <w:r>
          <w:fldChar w:fldCharType="begin"/>
        </w:r>
        <w:r>
          <w:instrText xml:space="preserve"> PAGE   \* MERGEFORMAT </w:instrText>
        </w:r>
        <w:r>
          <w:fldChar w:fldCharType="separate"/>
        </w:r>
        <w:r w:rsidR="000A178D">
          <w:rPr>
            <w:noProof/>
          </w:rPr>
          <w:t>19</w:t>
        </w:r>
        <w:r>
          <w:rPr>
            <w:noProof/>
          </w:rPr>
          <w:fldChar w:fldCharType="end"/>
        </w:r>
      </w:p>
    </w:sdtContent>
  </w:sdt>
  <w:p w14:paraId="69A7E689" w14:textId="77777777" w:rsidR="001D2B7A" w:rsidRDefault="001D2B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5457"/>
    <w:rsid w:val="00004346"/>
    <w:rsid w:val="00004E7C"/>
    <w:rsid w:val="000173C7"/>
    <w:rsid w:val="00091F8B"/>
    <w:rsid w:val="000A178D"/>
    <w:rsid w:val="000D5457"/>
    <w:rsid w:val="001016F2"/>
    <w:rsid w:val="0010693C"/>
    <w:rsid w:val="001B0D6D"/>
    <w:rsid w:val="001D1FB2"/>
    <w:rsid w:val="001D2B7A"/>
    <w:rsid w:val="001E7D27"/>
    <w:rsid w:val="0025556C"/>
    <w:rsid w:val="00280EB5"/>
    <w:rsid w:val="002B379E"/>
    <w:rsid w:val="002B4728"/>
    <w:rsid w:val="002E215F"/>
    <w:rsid w:val="002F01EB"/>
    <w:rsid w:val="0035720E"/>
    <w:rsid w:val="003B7652"/>
    <w:rsid w:val="003D3CA3"/>
    <w:rsid w:val="003D4847"/>
    <w:rsid w:val="003F697E"/>
    <w:rsid w:val="004267D3"/>
    <w:rsid w:val="0048154F"/>
    <w:rsid w:val="004A2A10"/>
    <w:rsid w:val="004D1763"/>
    <w:rsid w:val="004F18B1"/>
    <w:rsid w:val="0053246D"/>
    <w:rsid w:val="005D77AE"/>
    <w:rsid w:val="005F3BAC"/>
    <w:rsid w:val="00605AE1"/>
    <w:rsid w:val="00655C33"/>
    <w:rsid w:val="00685B9F"/>
    <w:rsid w:val="0068652F"/>
    <w:rsid w:val="007456CF"/>
    <w:rsid w:val="0079002A"/>
    <w:rsid w:val="007E4D06"/>
    <w:rsid w:val="007F30A9"/>
    <w:rsid w:val="008320F4"/>
    <w:rsid w:val="00840A1A"/>
    <w:rsid w:val="008D1BC6"/>
    <w:rsid w:val="009D2786"/>
    <w:rsid w:val="00A259B5"/>
    <w:rsid w:val="00A7192C"/>
    <w:rsid w:val="00A879C0"/>
    <w:rsid w:val="00BC699B"/>
    <w:rsid w:val="00D671FE"/>
    <w:rsid w:val="00D71520"/>
    <w:rsid w:val="00D84441"/>
    <w:rsid w:val="00DA06FE"/>
    <w:rsid w:val="00E422E8"/>
    <w:rsid w:val="00E62DA9"/>
    <w:rsid w:val="00EC2A73"/>
    <w:rsid w:val="00EC3531"/>
    <w:rsid w:val="00F57865"/>
    <w:rsid w:val="00F8066E"/>
    <w:rsid w:val="00F85689"/>
    <w:rsid w:val="00FA35F2"/>
    <w:rsid w:val="00FC4989"/>
    <w:rsid w:val="00FE3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730A5"/>
  <w15:chartTrackingRefBased/>
  <w15:docId w15:val="{D0D74456-A2EA-4E09-A817-E21DE11F9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30A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8568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0A9"/>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1D2B7A"/>
    <w:rPr>
      <w:color w:val="0563C1" w:themeColor="hyperlink"/>
      <w:u w:val="single"/>
    </w:rPr>
  </w:style>
  <w:style w:type="paragraph" w:styleId="Header">
    <w:name w:val="header"/>
    <w:basedOn w:val="Normal"/>
    <w:link w:val="HeaderChar"/>
    <w:uiPriority w:val="99"/>
    <w:unhideWhenUsed/>
    <w:rsid w:val="001D2B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B7A"/>
  </w:style>
  <w:style w:type="paragraph" w:styleId="Footer">
    <w:name w:val="footer"/>
    <w:basedOn w:val="Normal"/>
    <w:link w:val="FooterChar"/>
    <w:uiPriority w:val="99"/>
    <w:unhideWhenUsed/>
    <w:rsid w:val="001D2B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B7A"/>
  </w:style>
  <w:style w:type="paragraph" w:styleId="TOCHeading">
    <w:name w:val="TOC Heading"/>
    <w:basedOn w:val="Heading1"/>
    <w:next w:val="Normal"/>
    <w:uiPriority w:val="39"/>
    <w:unhideWhenUsed/>
    <w:qFormat/>
    <w:rsid w:val="001D2B7A"/>
    <w:pPr>
      <w:spacing w:line="259" w:lineRule="auto"/>
      <w:outlineLvl w:val="9"/>
    </w:pPr>
    <w:rPr>
      <w:lang w:val="en-US"/>
    </w:rPr>
  </w:style>
  <w:style w:type="paragraph" w:styleId="TOC1">
    <w:name w:val="toc 1"/>
    <w:basedOn w:val="Normal"/>
    <w:next w:val="Normal"/>
    <w:autoRedefine/>
    <w:uiPriority w:val="39"/>
    <w:unhideWhenUsed/>
    <w:rsid w:val="001D2B7A"/>
    <w:pPr>
      <w:spacing w:after="100"/>
    </w:pPr>
  </w:style>
  <w:style w:type="character" w:customStyle="1" w:styleId="Heading2Char">
    <w:name w:val="Heading 2 Char"/>
    <w:basedOn w:val="DefaultParagraphFont"/>
    <w:link w:val="Heading2"/>
    <w:uiPriority w:val="9"/>
    <w:rsid w:val="00F85689"/>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185976">
      <w:bodyDiv w:val="1"/>
      <w:marLeft w:val="0"/>
      <w:marRight w:val="0"/>
      <w:marTop w:val="0"/>
      <w:marBottom w:val="0"/>
      <w:divBdr>
        <w:top w:val="none" w:sz="0" w:space="0" w:color="auto"/>
        <w:left w:val="none" w:sz="0" w:space="0" w:color="auto"/>
        <w:bottom w:val="none" w:sz="0" w:space="0" w:color="auto"/>
        <w:right w:val="none" w:sz="0" w:space="0" w:color="auto"/>
      </w:divBdr>
    </w:div>
    <w:div w:id="105005216">
      <w:bodyDiv w:val="1"/>
      <w:marLeft w:val="0"/>
      <w:marRight w:val="0"/>
      <w:marTop w:val="0"/>
      <w:marBottom w:val="0"/>
      <w:divBdr>
        <w:top w:val="none" w:sz="0" w:space="0" w:color="auto"/>
        <w:left w:val="none" w:sz="0" w:space="0" w:color="auto"/>
        <w:bottom w:val="none" w:sz="0" w:space="0" w:color="auto"/>
        <w:right w:val="none" w:sz="0" w:space="0" w:color="auto"/>
      </w:divBdr>
    </w:div>
    <w:div w:id="215094891">
      <w:bodyDiv w:val="1"/>
      <w:marLeft w:val="0"/>
      <w:marRight w:val="0"/>
      <w:marTop w:val="0"/>
      <w:marBottom w:val="0"/>
      <w:divBdr>
        <w:top w:val="none" w:sz="0" w:space="0" w:color="auto"/>
        <w:left w:val="none" w:sz="0" w:space="0" w:color="auto"/>
        <w:bottom w:val="none" w:sz="0" w:space="0" w:color="auto"/>
        <w:right w:val="none" w:sz="0" w:space="0" w:color="auto"/>
      </w:divBdr>
    </w:div>
    <w:div w:id="235554991">
      <w:bodyDiv w:val="1"/>
      <w:marLeft w:val="0"/>
      <w:marRight w:val="0"/>
      <w:marTop w:val="0"/>
      <w:marBottom w:val="0"/>
      <w:divBdr>
        <w:top w:val="none" w:sz="0" w:space="0" w:color="auto"/>
        <w:left w:val="none" w:sz="0" w:space="0" w:color="auto"/>
        <w:bottom w:val="none" w:sz="0" w:space="0" w:color="auto"/>
        <w:right w:val="none" w:sz="0" w:space="0" w:color="auto"/>
      </w:divBdr>
    </w:div>
    <w:div w:id="614024006">
      <w:bodyDiv w:val="1"/>
      <w:marLeft w:val="0"/>
      <w:marRight w:val="0"/>
      <w:marTop w:val="0"/>
      <w:marBottom w:val="0"/>
      <w:divBdr>
        <w:top w:val="none" w:sz="0" w:space="0" w:color="auto"/>
        <w:left w:val="none" w:sz="0" w:space="0" w:color="auto"/>
        <w:bottom w:val="none" w:sz="0" w:space="0" w:color="auto"/>
        <w:right w:val="none" w:sz="0" w:space="0" w:color="auto"/>
      </w:divBdr>
    </w:div>
    <w:div w:id="646589132">
      <w:bodyDiv w:val="1"/>
      <w:marLeft w:val="0"/>
      <w:marRight w:val="0"/>
      <w:marTop w:val="0"/>
      <w:marBottom w:val="0"/>
      <w:divBdr>
        <w:top w:val="none" w:sz="0" w:space="0" w:color="auto"/>
        <w:left w:val="none" w:sz="0" w:space="0" w:color="auto"/>
        <w:bottom w:val="none" w:sz="0" w:space="0" w:color="auto"/>
        <w:right w:val="none" w:sz="0" w:space="0" w:color="auto"/>
      </w:divBdr>
    </w:div>
    <w:div w:id="970592173">
      <w:bodyDiv w:val="1"/>
      <w:marLeft w:val="0"/>
      <w:marRight w:val="0"/>
      <w:marTop w:val="0"/>
      <w:marBottom w:val="0"/>
      <w:divBdr>
        <w:top w:val="none" w:sz="0" w:space="0" w:color="auto"/>
        <w:left w:val="none" w:sz="0" w:space="0" w:color="auto"/>
        <w:bottom w:val="none" w:sz="0" w:space="0" w:color="auto"/>
        <w:right w:val="none" w:sz="0" w:space="0" w:color="auto"/>
      </w:divBdr>
    </w:div>
    <w:div w:id="1008368734">
      <w:bodyDiv w:val="1"/>
      <w:marLeft w:val="0"/>
      <w:marRight w:val="0"/>
      <w:marTop w:val="0"/>
      <w:marBottom w:val="0"/>
      <w:divBdr>
        <w:top w:val="none" w:sz="0" w:space="0" w:color="auto"/>
        <w:left w:val="none" w:sz="0" w:space="0" w:color="auto"/>
        <w:bottom w:val="none" w:sz="0" w:space="0" w:color="auto"/>
        <w:right w:val="none" w:sz="0" w:space="0" w:color="auto"/>
      </w:divBdr>
    </w:div>
    <w:div w:id="1008750827">
      <w:bodyDiv w:val="1"/>
      <w:marLeft w:val="0"/>
      <w:marRight w:val="0"/>
      <w:marTop w:val="0"/>
      <w:marBottom w:val="0"/>
      <w:divBdr>
        <w:top w:val="none" w:sz="0" w:space="0" w:color="auto"/>
        <w:left w:val="none" w:sz="0" w:space="0" w:color="auto"/>
        <w:bottom w:val="none" w:sz="0" w:space="0" w:color="auto"/>
        <w:right w:val="none" w:sz="0" w:space="0" w:color="auto"/>
      </w:divBdr>
    </w:div>
    <w:div w:id="1121339463">
      <w:bodyDiv w:val="1"/>
      <w:marLeft w:val="0"/>
      <w:marRight w:val="0"/>
      <w:marTop w:val="0"/>
      <w:marBottom w:val="0"/>
      <w:divBdr>
        <w:top w:val="none" w:sz="0" w:space="0" w:color="auto"/>
        <w:left w:val="none" w:sz="0" w:space="0" w:color="auto"/>
        <w:bottom w:val="none" w:sz="0" w:space="0" w:color="auto"/>
        <w:right w:val="none" w:sz="0" w:space="0" w:color="auto"/>
      </w:divBdr>
    </w:div>
    <w:div w:id="1137796907">
      <w:bodyDiv w:val="1"/>
      <w:marLeft w:val="0"/>
      <w:marRight w:val="0"/>
      <w:marTop w:val="0"/>
      <w:marBottom w:val="0"/>
      <w:divBdr>
        <w:top w:val="none" w:sz="0" w:space="0" w:color="auto"/>
        <w:left w:val="none" w:sz="0" w:space="0" w:color="auto"/>
        <w:bottom w:val="none" w:sz="0" w:space="0" w:color="auto"/>
        <w:right w:val="none" w:sz="0" w:space="0" w:color="auto"/>
      </w:divBdr>
    </w:div>
    <w:div w:id="1310093954">
      <w:bodyDiv w:val="1"/>
      <w:marLeft w:val="0"/>
      <w:marRight w:val="0"/>
      <w:marTop w:val="0"/>
      <w:marBottom w:val="0"/>
      <w:divBdr>
        <w:top w:val="none" w:sz="0" w:space="0" w:color="auto"/>
        <w:left w:val="none" w:sz="0" w:space="0" w:color="auto"/>
        <w:bottom w:val="none" w:sz="0" w:space="0" w:color="auto"/>
        <w:right w:val="none" w:sz="0" w:space="0" w:color="auto"/>
      </w:divBdr>
    </w:div>
    <w:div w:id="1453747223">
      <w:bodyDiv w:val="1"/>
      <w:marLeft w:val="0"/>
      <w:marRight w:val="0"/>
      <w:marTop w:val="0"/>
      <w:marBottom w:val="0"/>
      <w:divBdr>
        <w:top w:val="none" w:sz="0" w:space="0" w:color="auto"/>
        <w:left w:val="none" w:sz="0" w:space="0" w:color="auto"/>
        <w:bottom w:val="none" w:sz="0" w:space="0" w:color="auto"/>
        <w:right w:val="none" w:sz="0" w:space="0" w:color="auto"/>
      </w:divBdr>
    </w:div>
    <w:div w:id="1579289409">
      <w:bodyDiv w:val="1"/>
      <w:marLeft w:val="0"/>
      <w:marRight w:val="0"/>
      <w:marTop w:val="0"/>
      <w:marBottom w:val="0"/>
      <w:divBdr>
        <w:top w:val="none" w:sz="0" w:space="0" w:color="auto"/>
        <w:left w:val="none" w:sz="0" w:space="0" w:color="auto"/>
        <w:bottom w:val="none" w:sz="0" w:space="0" w:color="auto"/>
        <w:right w:val="none" w:sz="0" w:space="0" w:color="auto"/>
      </w:divBdr>
    </w:div>
    <w:div w:id="1759016890">
      <w:bodyDiv w:val="1"/>
      <w:marLeft w:val="0"/>
      <w:marRight w:val="0"/>
      <w:marTop w:val="0"/>
      <w:marBottom w:val="0"/>
      <w:divBdr>
        <w:top w:val="none" w:sz="0" w:space="0" w:color="auto"/>
        <w:left w:val="none" w:sz="0" w:space="0" w:color="auto"/>
        <w:bottom w:val="none" w:sz="0" w:space="0" w:color="auto"/>
        <w:right w:val="none" w:sz="0" w:space="0" w:color="auto"/>
      </w:divBdr>
    </w:div>
    <w:div w:id="1879245204">
      <w:bodyDiv w:val="1"/>
      <w:marLeft w:val="0"/>
      <w:marRight w:val="0"/>
      <w:marTop w:val="0"/>
      <w:marBottom w:val="0"/>
      <w:divBdr>
        <w:top w:val="none" w:sz="0" w:space="0" w:color="auto"/>
        <w:left w:val="none" w:sz="0" w:space="0" w:color="auto"/>
        <w:bottom w:val="none" w:sz="0" w:space="0" w:color="auto"/>
        <w:right w:val="none" w:sz="0" w:space="0" w:color="auto"/>
      </w:divBdr>
    </w:div>
    <w:div w:id="2050839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38/s41586-022-04643-y" TargetMode="External"/><Relationship Id="rId18" Type="http://schemas.openxmlformats.org/officeDocument/2006/relationships/hyperlink" Target="https://doi.org/10.1111/joop.12450" TargetMode="External"/><Relationship Id="rId26" Type="http://schemas.openxmlformats.org/officeDocument/2006/relationships/hyperlink" Target="https://doi.org/10.1038/s41562-021-01196-4?utm_source=chatgpt.com" TargetMode="External"/><Relationship Id="rId3" Type="http://schemas.openxmlformats.org/officeDocument/2006/relationships/settings" Target="settings.xml"/><Relationship Id="rId21" Type="http://schemas.openxmlformats.org/officeDocument/2006/relationships/hyperlink" Target="https://doi.org/10.1111/apps.12241" TargetMode="External"/><Relationship Id="rId7" Type="http://schemas.openxmlformats.org/officeDocument/2006/relationships/image" Target="media/image1.png"/><Relationship Id="rId12" Type="http://schemas.openxmlformats.org/officeDocument/2006/relationships/hyperlink" Target="https://doi.org/10.1111/j.1748-8583.2008.00082.x" TargetMode="External"/><Relationship Id="rId17" Type="http://schemas.openxmlformats.org/officeDocument/2006/relationships/hyperlink" Target="https://doi.org/10.1038/s44159-022-00056-w" TargetMode="External"/><Relationship Id="rId25" Type="http://schemas.openxmlformats.org/officeDocument/2006/relationships/hyperlink" Target="https://doi.org/10.1177/0008125619867910" TargetMode="External"/><Relationship Id="rId2" Type="http://schemas.openxmlformats.org/officeDocument/2006/relationships/styles" Target="styles.xml"/><Relationship Id="rId16" Type="http://schemas.openxmlformats.org/officeDocument/2006/relationships/hyperlink" Target="https://doi.org/10.1146/annurev-orgpsych-120920-055217" TargetMode="External"/><Relationship Id="rId20" Type="http://schemas.openxmlformats.org/officeDocument/2006/relationships/hyperlink" Target="https://doi.org/10.6028/NIST.AI.100-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38/s41586-024-07500-2?utm_source=chatgpt.com" TargetMode="External"/><Relationship Id="rId24" Type="http://schemas.openxmlformats.org/officeDocument/2006/relationships/hyperlink" Target="https://doi.org/10.3389/fpsyg.2024.1439127" TargetMode="External"/><Relationship Id="rId5" Type="http://schemas.openxmlformats.org/officeDocument/2006/relationships/footnotes" Target="footnotes.xml"/><Relationship Id="rId15" Type="http://schemas.openxmlformats.org/officeDocument/2006/relationships/hyperlink" Target="https://doi.org/10.1016/S0003-6870(00)00009-0" TargetMode="External"/><Relationship Id="rId23" Type="http://schemas.openxmlformats.org/officeDocument/2006/relationships/hyperlink" Target="https://scrumguides.org/scrum-guide.html?utm_source=chatgpt.com" TargetMode="External"/><Relationship Id="rId28" Type="http://schemas.openxmlformats.org/officeDocument/2006/relationships/header" Target="header1.xml"/><Relationship Id="rId10" Type="http://schemas.openxmlformats.org/officeDocument/2006/relationships/hyperlink" Target="https://doi.org/10.1146/annurev-orgpsych-120920-053933?utm_source=chatgpt.com" TargetMode="External"/><Relationship Id="rId19" Type="http://schemas.openxmlformats.org/officeDocument/2006/relationships/hyperlink" Target="https://doi.org/10.1007/s10664-021-09967-3" TargetMode="External"/><Relationship Id="rId4" Type="http://schemas.openxmlformats.org/officeDocument/2006/relationships/webSettings" Target="webSettings.xml"/><Relationship Id="rId9" Type="http://schemas.openxmlformats.org/officeDocument/2006/relationships/hyperlink" Target="https://doi.org/10.3389/fpsyg.2023.1324474" TargetMode="External"/><Relationship Id="rId14" Type="http://schemas.openxmlformats.org/officeDocument/2006/relationships/hyperlink" Target="https://doi.org/10.1111/1748-8583.12524?utm_source=chatgpt.com" TargetMode="External"/><Relationship Id="rId22" Type="http://schemas.openxmlformats.org/officeDocument/2006/relationships/hyperlink" Target="https://doi.org/10.5465/amd.2021.0144" TargetMode="External"/><Relationship Id="rId27" Type="http://schemas.openxmlformats.org/officeDocument/2006/relationships/hyperlink" Target="https://doi.org/10.3724/SP.J.1042.2023.02005"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FEFB39-DF53-4DEB-BD07-35499A86E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TotalTime>
  <Pages>20</Pages>
  <Words>4847</Words>
  <Characters>27631</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nensi kachhadiya</dc:creator>
  <cp:keywords/>
  <dc:description/>
  <cp:lastModifiedBy>rushangmalani123@gmail.com</cp:lastModifiedBy>
  <cp:revision>46</cp:revision>
  <dcterms:created xsi:type="dcterms:W3CDTF">2026-10-11T12:03:00Z</dcterms:created>
  <dcterms:modified xsi:type="dcterms:W3CDTF">2026-10-14T19:14:00Z</dcterms:modified>
</cp:coreProperties>
</file>