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C7E5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C3ECD8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138A9">
        <w:rPr>
          <w:rFonts w:ascii="Arial" w:hAnsi="Arial" w:cs="Arial"/>
          <w:sz w:val="28"/>
          <w:szCs w:val="28"/>
          <w:lang w:val="nl-NL"/>
        </w:rPr>
        <w:t xml:space="preserve">Introduction to Independent Research </w:t>
      </w:r>
      <w:r w:rsidR="00261C7D">
        <w:rPr>
          <w:rFonts w:ascii="Arial" w:hAnsi="Arial" w:cs="Arial"/>
          <w:sz w:val="28"/>
          <w:szCs w:val="28"/>
          <w:lang w:val="nl-NL"/>
        </w:rPr>
        <w:t xml:space="preserve">Skills </w:t>
      </w:r>
    </w:p>
    <w:p w14:paraId="537571AF" w14:textId="1559EFF2"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204EE">
        <w:rPr>
          <w:rFonts w:ascii="Arial" w:hAnsi="Arial" w:cs="Arial"/>
          <w:sz w:val="28"/>
          <w:szCs w:val="28"/>
        </w:rPr>
        <w:t xml:space="preserve"> </w:t>
      </w:r>
      <w:r w:rsidR="0064677B">
        <w:rPr>
          <w:rFonts w:ascii="Arial" w:hAnsi="Arial" w:cs="Arial"/>
          <w:sz w:val="28"/>
          <w:szCs w:val="28"/>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050F03D1"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64677B">
        <w:rPr>
          <w:rFonts w:ascii="Arial" w:hAnsi="Arial" w:cs="Arial"/>
          <w:sz w:val="28"/>
          <w:szCs w:val="28"/>
          <w:lang w:val="nl-NL"/>
        </w:rPr>
        <w:t xml:space="preserve"> </w:t>
      </w:r>
      <w:r w:rsidR="0064677B" w:rsidRPr="0064677B">
        <w:rPr>
          <w:rFonts w:ascii="Arial" w:hAnsi="Arial" w:cs="Arial"/>
          <w:sz w:val="28"/>
          <w:szCs w:val="28"/>
          <w:lang w:val="nl-NL"/>
        </w:rPr>
        <w:t>Seletta Loreen Munroe</w:t>
      </w:r>
    </w:p>
    <w:p w14:paraId="39AA4413" w14:textId="4A16FD9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61C7D">
        <w:rPr>
          <w:rFonts w:ascii="Arial" w:hAnsi="Arial" w:cs="Arial"/>
          <w:sz w:val="28"/>
          <w:szCs w:val="28"/>
          <w:lang w:val="nl-NL"/>
        </w:rPr>
        <w:t xml:space="preserve"> 2332437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04B0C5F4"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261C7D">
        <w:rPr>
          <w:rFonts w:ascii="Arial" w:hAnsi="Arial" w:cs="Arial"/>
          <w:sz w:val="28"/>
          <w:szCs w:val="28"/>
        </w:rPr>
        <w:t xml:space="preserve"> </w:t>
      </w:r>
      <w:r w:rsidR="00455B1C">
        <w:rPr>
          <w:rFonts w:ascii="Arial" w:hAnsi="Arial" w:cs="Arial"/>
          <w:sz w:val="28"/>
          <w:szCs w:val="28"/>
        </w:rPr>
        <w:t>3,</w:t>
      </w:r>
      <w:r w:rsidR="00EB10D9">
        <w:rPr>
          <w:rFonts w:ascii="Arial" w:hAnsi="Arial" w:cs="Arial"/>
          <w:sz w:val="28"/>
          <w:szCs w:val="28"/>
        </w:rPr>
        <w:t>883</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21E627D" w14:textId="77777777" w:rsidR="001A00F5" w:rsidRDefault="001A00F5" w:rsidP="00C12D79">
      <w:pPr>
        <w:pStyle w:val="Heading1"/>
      </w:pPr>
      <w:r>
        <w:lastRenderedPageBreak/>
        <w:t xml:space="preserve">                                       </w:t>
      </w:r>
    </w:p>
    <w:p w14:paraId="1A390F11" w14:textId="77777777" w:rsidR="001A00F5" w:rsidRDefault="001A00F5" w:rsidP="00C12D79">
      <w:pPr>
        <w:pStyle w:val="Heading1"/>
      </w:pPr>
    </w:p>
    <w:p w14:paraId="4C1C9A8D" w14:textId="16FD4C21" w:rsidR="001A00F5" w:rsidRDefault="001A00F5" w:rsidP="00C12D79">
      <w:pPr>
        <w:pStyle w:val="Heading1"/>
      </w:pPr>
      <w:r>
        <w:t xml:space="preserve">                                        </w:t>
      </w:r>
      <w:bookmarkStart w:id="0" w:name="_Toc227850516"/>
      <w:r w:rsidR="00283EBF" w:rsidRPr="009C47EE">
        <w:t>Project title</w:t>
      </w:r>
      <w:r w:rsidR="00283EBF">
        <w:t>:</w:t>
      </w:r>
      <w:bookmarkEnd w:id="0"/>
    </w:p>
    <w:p w14:paraId="45A58972" w14:textId="77777777" w:rsidR="001A00F5" w:rsidRDefault="001A00F5" w:rsidP="00C12D79">
      <w:pPr>
        <w:pStyle w:val="Heading1"/>
      </w:pPr>
    </w:p>
    <w:p w14:paraId="00F2F42B" w14:textId="77777777" w:rsidR="001A00F5" w:rsidRDefault="001A00F5" w:rsidP="00C12D79">
      <w:pPr>
        <w:pStyle w:val="Heading1"/>
      </w:pPr>
    </w:p>
    <w:p w14:paraId="091D5670" w14:textId="77777777" w:rsidR="001A00F5" w:rsidRDefault="001A00F5" w:rsidP="00C12D79">
      <w:pPr>
        <w:pStyle w:val="Heading1"/>
      </w:pPr>
    </w:p>
    <w:p w14:paraId="516F7B24" w14:textId="77777777" w:rsidR="001A00F5" w:rsidRDefault="001A00F5" w:rsidP="00C12D79">
      <w:pPr>
        <w:pStyle w:val="Heading1"/>
      </w:pPr>
    </w:p>
    <w:p w14:paraId="5CD3823A" w14:textId="09535040" w:rsidR="00283EBF" w:rsidRDefault="001A00F5" w:rsidP="00C12D79">
      <w:pPr>
        <w:pStyle w:val="Heading1"/>
      </w:pPr>
      <w:r>
        <w:t xml:space="preserve">        </w:t>
      </w:r>
      <w:bookmarkStart w:id="1" w:name="_Toc227850517"/>
      <w:r w:rsidR="00283EBF">
        <w:t xml:space="preserve">Exploring the facilitators and </w:t>
      </w:r>
      <w:r w:rsidR="00CC20B4">
        <w:t>b</w:t>
      </w:r>
      <w:r w:rsidR="00283EBF">
        <w:t>arriers</w:t>
      </w:r>
      <w:r w:rsidR="00CC20B4">
        <w:t>,</w:t>
      </w:r>
      <w:r w:rsidR="00283EBF">
        <w:t xml:space="preserve"> to the effect of </w:t>
      </w:r>
      <w:r w:rsidR="00A24E43">
        <w:t>T</w:t>
      </w:r>
      <w:r w:rsidR="00283EBF">
        <w:t>elehealth in the UK.</w:t>
      </w:r>
      <w:bookmarkEnd w:id="1"/>
    </w:p>
    <w:p w14:paraId="2D10DEBB" w14:textId="77777777" w:rsidR="00283EBF" w:rsidRDefault="00283EBF" w:rsidP="00C12D79">
      <w:pPr>
        <w:pStyle w:val="Heading1"/>
      </w:pPr>
    </w:p>
    <w:p w14:paraId="7EAFB7B9" w14:textId="77777777" w:rsidR="00283EBF" w:rsidRDefault="00283EBF" w:rsidP="00C12D79">
      <w:pPr>
        <w:pStyle w:val="Heading1"/>
      </w:pPr>
    </w:p>
    <w:p w14:paraId="4049E810" w14:textId="77777777" w:rsidR="00283EBF" w:rsidRDefault="00283EBF" w:rsidP="00C12D79">
      <w:pPr>
        <w:pStyle w:val="Heading1"/>
      </w:pPr>
    </w:p>
    <w:p w14:paraId="556182F3" w14:textId="77777777" w:rsidR="00283EBF" w:rsidRDefault="00283EBF" w:rsidP="00C12D79">
      <w:pPr>
        <w:pStyle w:val="Heading1"/>
      </w:pPr>
    </w:p>
    <w:p w14:paraId="546F2A57" w14:textId="77777777" w:rsidR="00283EBF" w:rsidRDefault="00283EBF" w:rsidP="00C12D79">
      <w:pPr>
        <w:pStyle w:val="Heading1"/>
      </w:pPr>
    </w:p>
    <w:p w14:paraId="7FF14787" w14:textId="77777777" w:rsidR="00283EBF" w:rsidRDefault="00283EBF" w:rsidP="00C12D79">
      <w:pPr>
        <w:pStyle w:val="Heading1"/>
      </w:pPr>
    </w:p>
    <w:p w14:paraId="752520DA" w14:textId="77777777" w:rsidR="00283EBF" w:rsidRDefault="00283EBF" w:rsidP="00C12D79">
      <w:pPr>
        <w:pStyle w:val="Heading1"/>
      </w:pPr>
    </w:p>
    <w:p w14:paraId="053A3576" w14:textId="77777777" w:rsidR="00283EBF" w:rsidRDefault="00283EBF" w:rsidP="00C12D79">
      <w:pPr>
        <w:pStyle w:val="Heading1"/>
      </w:pPr>
    </w:p>
    <w:p w14:paraId="573BCC62" w14:textId="77777777" w:rsidR="001A00F5" w:rsidRDefault="001A00F5" w:rsidP="00C12D79">
      <w:pPr>
        <w:pStyle w:val="Heading1"/>
      </w:pPr>
    </w:p>
    <w:sdt>
      <w:sdtPr>
        <w:rPr>
          <w:rFonts w:ascii="Times New Roman" w:eastAsiaTheme="minorHAnsi" w:hAnsi="Times New Roman" w:cstheme="minorBidi"/>
          <w:color w:val="auto"/>
          <w:sz w:val="24"/>
          <w:szCs w:val="22"/>
          <w:lang w:eastAsia="en-US"/>
        </w:rPr>
        <w:id w:val="-1339772830"/>
        <w:docPartObj>
          <w:docPartGallery w:val="Table of Contents"/>
          <w:docPartUnique/>
        </w:docPartObj>
      </w:sdtPr>
      <w:sdtEndPr>
        <w:rPr>
          <w:b/>
          <w:bCs/>
        </w:rPr>
      </w:sdtEndPr>
      <w:sdtContent>
        <w:p w14:paraId="3D33AF73" w14:textId="1E16499B" w:rsidR="00170376" w:rsidRDefault="00170376" w:rsidP="00C12D79">
          <w:pPr>
            <w:pStyle w:val="TOCHeading"/>
          </w:pPr>
          <w:r>
            <w:t>Table of Contents</w:t>
          </w:r>
        </w:p>
        <w:p w14:paraId="7D67D8A3" w14:textId="07AF2EFD" w:rsidR="00170376" w:rsidRDefault="00170376">
          <w:pPr>
            <w:pStyle w:val="TOC1"/>
            <w:tabs>
              <w:tab w:val="right" w:leader="dot" w:pos="9016"/>
            </w:tabs>
            <w:rPr>
              <w:noProof/>
            </w:rPr>
          </w:pPr>
          <w:r>
            <w:fldChar w:fldCharType="begin"/>
          </w:r>
          <w:r>
            <w:instrText xml:space="preserve"> TOC \o "1-3" \h \z \u </w:instrText>
          </w:r>
          <w:r>
            <w:fldChar w:fldCharType="separate"/>
          </w:r>
          <w:hyperlink w:anchor="_Toc227850516" w:history="1">
            <w:r w:rsidRPr="001B1F86">
              <w:rPr>
                <w:rStyle w:val="Hyperlink"/>
                <w:noProof/>
              </w:rPr>
              <w:t>Project title:</w:t>
            </w:r>
            <w:r>
              <w:rPr>
                <w:noProof/>
                <w:webHidden/>
              </w:rPr>
              <w:tab/>
            </w:r>
            <w:r>
              <w:rPr>
                <w:noProof/>
                <w:webHidden/>
              </w:rPr>
              <w:fldChar w:fldCharType="begin"/>
            </w:r>
            <w:r>
              <w:rPr>
                <w:noProof/>
                <w:webHidden/>
              </w:rPr>
              <w:instrText xml:space="preserve"> PAGEREF _Toc227850516 \h </w:instrText>
            </w:r>
            <w:r>
              <w:rPr>
                <w:noProof/>
                <w:webHidden/>
              </w:rPr>
            </w:r>
            <w:r>
              <w:rPr>
                <w:noProof/>
                <w:webHidden/>
              </w:rPr>
              <w:fldChar w:fldCharType="separate"/>
            </w:r>
            <w:r w:rsidR="003F4B4E">
              <w:rPr>
                <w:noProof/>
                <w:webHidden/>
              </w:rPr>
              <w:t>2</w:t>
            </w:r>
            <w:r>
              <w:rPr>
                <w:noProof/>
                <w:webHidden/>
              </w:rPr>
              <w:fldChar w:fldCharType="end"/>
            </w:r>
          </w:hyperlink>
        </w:p>
        <w:p w14:paraId="13EEE63F" w14:textId="15F1BA29" w:rsidR="00170376" w:rsidRDefault="00170376">
          <w:pPr>
            <w:pStyle w:val="TOC1"/>
            <w:tabs>
              <w:tab w:val="right" w:leader="dot" w:pos="9016"/>
            </w:tabs>
            <w:rPr>
              <w:noProof/>
            </w:rPr>
          </w:pPr>
          <w:hyperlink w:anchor="_Toc227850517" w:history="1">
            <w:r w:rsidRPr="001B1F86">
              <w:rPr>
                <w:rStyle w:val="Hyperlink"/>
                <w:noProof/>
              </w:rPr>
              <w:t xml:space="preserve">Exploring the facilitators and </w:t>
            </w:r>
            <w:r w:rsidR="001B63A8">
              <w:rPr>
                <w:rStyle w:val="Hyperlink"/>
                <w:noProof/>
              </w:rPr>
              <w:t>b</w:t>
            </w:r>
            <w:r w:rsidRPr="001B1F86">
              <w:rPr>
                <w:rStyle w:val="Hyperlink"/>
                <w:noProof/>
              </w:rPr>
              <w:t xml:space="preserve">arriers to the effect of </w:t>
            </w:r>
            <w:r w:rsidR="00A24E43">
              <w:rPr>
                <w:rStyle w:val="Hyperlink"/>
                <w:noProof/>
              </w:rPr>
              <w:t>T</w:t>
            </w:r>
            <w:r w:rsidRPr="001B1F86">
              <w:rPr>
                <w:rStyle w:val="Hyperlink"/>
                <w:noProof/>
              </w:rPr>
              <w:t>elehealth in the UK.</w:t>
            </w:r>
            <w:r>
              <w:rPr>
                <w:noProof/>
                <w:webHidden/>
              </w:rPr>
              <w:tab/>
            </w:r>
            <w:r>
              <w:rPr>
                <w:noProof/>
                <w:webHidden/>
              </w:rPr>
              <w:fldChar w:fldCharType="begin"/>
            </w:r>
            <w:r>
              <w:rPr>
                <w:noProof/>
                <w:webHidden/>
              </w:rPr>
              <w:instrText xml:space="preserve"> PAGEREF _Toc227850517 \h </w:instrText>
            </w:r>
            <w:r>
              <w:rPr>
                <w:noProof/>
                <w:webHidden/>
              </w:rPr>
            </w:r>
            <w:r>
              <w:rPr>
                <w:noProof/>
                <w:webHidden/>
              </w:rPr>
              <w:fldChar w:fldCharType="separate"/>
            </w:r>
            <w:r w:rsidR="003F4B4E">
              <w:rPr>
                <w:noProof/>
                <w:webHidden/>
              </w:rPr>
              <w:t>2</w:t>
            </w:r>
            <w:r>
              <w:rPr>
                <w:noProof/>
                <w:webHidden/>
              </w:rPr>
              <w:fldChar w:fldCharType="end"/>
            </w:r>
          </w:hyperlink>
        </w:p>
        <w:p w14:paraId="4F03AA45" w14:textId="1A5B4479" w:rsidR="00170376" w:rsidRDefault="00170376">
          <w:pPr>
            <w:pStyle w:val="TOC1"/>
            <w:tabs>
              <w:tab w:val="right" w:leader="dot" w:pos="9016"/>
            </w:tabs>
            <w:rPr>
              <w:rStyle w:val="Hyperlink"/>
              <w:noProof/>
            </w:rPr>
          </w:pPr>
          <w:hyperlink w:anchor="_Toc227850518" w:history="1">
            <w:r w:rsidRPr="001B1F86">
              <w:rPr>
                <w:rStyle w:val="Hyperlink"/>
                <w:noProof/>
              </w:rPr>
              <w:t>Abstract</w:t>
            </w:r>
            <w:r>
              <w:rPr>
                <w:noProof/>
                <w:webHidden/>
              </w:rPr>
              <w:tab/>
            </w:r>
            <w:r>
              <w:rPr>
                <w:noProof/>
                <w:webHidden/>
              </w:rPr>
              <w:fldChar w:fldCharType="begin"/>
            </w:r>
            <w:r>
              <w:rPr>
                <w:noProof/>
                <w:webHidden/>
              </w:rPr>
              <w:instrText xml:space="preserve"> PAGEREF _Toc227850518 \h </w:instrText>
            </w:r>
            <w:r>
              <w:rPr>
                <w:noProof/>
                <w:webHidden/>
              </w:rPr>
            </w:r>
            <w:r>
              <w:rPr>
                <w:noProof/>
                <w:webHidden/>
              </w:rPr>
              <w:fldChar w:fldCharType="separate"/>
            </w:r>
            <w:r w:rsidR="003F4B4E">
              <w:rPr>
                <w:noProof/>
                <w:webHidden/>
              </w:rPr>
              <w:t>4</w:t>
            </w:r>
            <w:r>
              <w:rPr>
                <w:noProof/>
                <w:webHidden/>
              </w:rPr>
              <w:fldChar w:fldCharType="end"/>
            </w:r>
          </w:hyperlink>
        </w:p>
        <w:p w14:paraId="28D05025" w14:textId="5C2B244D" w:rsidR="00FF7218" w:rsidRDefault="00FF7218" w:rsidP="00FF7218">
          <w:pPr>
            <w:spacing w:line="360" w:lineRule="auto"/>
            <w:rPr>
              <w:rFonts w:ascii="Arial" w:hAnsi="Arial" w:cs="Arial"/>
              <w:b/>
              <w:bCs/>
              <w:noProof/>
              <w:sz w:val="22"/>
            </w:rPr>
          </w:pPr>
          <w:r w:rsidRPr="00E23008">
            <w:rPr>
              <w:rFonts w:ascii="Arial" w:hAnsi="Arial" w:cs="Arial"/>
              <w:noProof/>
              <w:sz w:val="22"/>
            </w:rPr>
            <w:t>Purpose</w:t>
          </w:r>
          <w:r w:rsidR="00337FF8">
            <w:rPr>
              <w:rFonts w:ascii="Arial" w:hAnsi="Arial" w:cs="Arial"/>
              <w:b/>
              <w:bCs/>
              <w:noProof/>
              <w:sz w:val="22"/>
            </w:rPr>
            <w:t>……………………………………………………………………………………………….</w:t>
          </w:r>
          <w:r w:rsidR="00D54246">
            <w:rPr>
              <w:rFonts w:ascii="Arial" w:hAnsi="Arial" w:cs="Arial"/>
              <w:b/>
              <w:bCs/>
              <w:noProof/>
              <w:sz w:val="22"/>
            </w:rPr>
            <w:t>4</w:t>
          </w:r>
        </w:p>
        <w:p w14:paraId="70C61DF5" w14:textId="525E9D62" w:rsidR="00F04D0B" w:rsidRDefault="00473414" w:rsidP="00F04D0B">
          <w:pPr>
            <w:spacing w:line="360" w:lineRule="auto"/>
            <w:rPr>
              <w:rFonts w:ascii="Arial" w:hAnsi="Arial" w:cs="Arial"/>
              <w:b/>
              <w:bCs/>
              <w:noProof/>
              <w:sz w:val="22"/>
            </w:rPr>
          </w:pPr>
          <w:r w:rsidRPr="00E23008">
            <w:rPr>
              <w:rFonts w:ascii="Arial" w:hAnsi="Arial" w:cs="Arial"/>
              <w:noProof/>
              <w:sz w:val="22"/>
            </w:rPr>
            <w:t>Secondary research</w:t>
          </w:r>
          <w:r>
            <w:rPr>
              <w:rFonts w:ascii="Arial" w:hAnsi="Arial" w:cs="Arial"/>
              <w:b/>
              <w:bCs/>
              <w:noProof/>
              <w:sz w:val="22"/>
            </w:rPr>
            <w:t>……………………………………………………………………………</w:t>
          </w:r>
          <w:r w:rsidR="00E23008">
            <w:rPr>
              <w:rFonts w:ascii="Arial" w:hAnsi="Arial" w:cs="Arial"/>
              <w:b/>
              <w:bCs/>
              <w:noProof/>
              <w:sz w:val="22"/>
            </w:rPr>
            <w:t>….</w:t>
          </w:r>
          <w:r w:rsidR="002A58D0">
            <w:rPr>
              <w:rFonts w:ascii="Arial" w:hAnsi="Arial" w:cs="Arial"/>
              <w:b/>
              <w:bCs/>
              <w:noProof/>
              <w:sz w:val="22"/>
            </w:rPr>
            <w:t>4</w:t>
          </w:r>
        </w:p>
        <w:p w14:paraId="0B1D0F30" w14:textId="6D5076A5" w:rsidR="002A58D0" w:rsidRDefault="002A58D0" w:rsidP="00F04D0B">
          <w:pPr>
            <w:spacing w:line="360" w:lineRule="auto"/>
            <w:rPr>
              <w:rFonts w:ascii="Arial" w:hAnsi="Arial" w:cs="Arial"/>
              <w:b/>
              <w:bCs/>
              <w:noProof/>
              <w:sz w:val="22"/>
            </w:rPr>
          </w:pPr>
          <w:r w:rsidRPr="00E23008">
            <w:rPr>
              <w:rFonts w:ascii="Arial" w:hAnsi="Arial" w:cs="Arial"/>
              <w:noProof/>
              <w:sz w:val="22"/>
            </w:rPr>
            <w:t>Results</w:t>
          </w:r>
          <w:r>
            <w:rPr>
              <w:rFonts w:ascii="Arial" w:hAnsi="Arial" w:cs="Arial"/>
              <w:b/>
              <w:bCs/>
              <w:noProof/>
              <w:sz w:val="22"/>
            </w:rPr>
            <w:t>……………………………………………………………………………………………….4</w:t>
          </w:r>
        </w:p>
        <w:p w14:paraId="60AD6C54" w14:textId="36CCCA24" w:rsidR="002A58D0" w:rsidRPr="008B7586" w:rsidRDefault="002A58D0" w:rsidP="00F04D0B">
          <w:pPr>
            <w:spacing w:line="360" w:lineRule="auto"/>
            <w:rPr>
              <w:rFonts w:ascii="Arial" w:hAnsi="Arial" w:cs="Arial"/>
              <w:b/>
              <w:bCs/>
              <w:noProof/>
              <w:sz w:val="22"/>
            </w:rPr>
          </w:pPr>
          <w:r w:rsidRPr="00E23008">
            <w:rPr>
              <w:rFonts w:ascii="Arial" w:hAnsi="Arial" w:cs="Arial"/>
              <w:noProof/>
              <w:sz w:val="22"/>
            </w:rPr>
            <w:t>Conclusion</w:t>
          </w:r>
          <w:r>
            <w:rPr>
              <w:rFonts w:ascii="Arial" w:hAnsi="Arial" w:cs="Arial"/>
              <w:b/>
              <w:bCs/>
              <w:noProof/>
              <w:sz w:val="22"/>
            </w:rPr>
            <w:t>………………………………………………………………………………………….4</w:t>
          </w:r>
        </w:p>
        <w:p w14:paraId="5AA7F96C" w14:textId="396BA942" w:rsidR="00170376" w:rsidRDefault="00170376">
          <w:pPr>
            <w:pStyle w:val="TOC1"/>
            <w:tabs>
              <w:tab w:val="right" w:leader="dot" w:pos="9016"/>
            </w:tabs>
            <w:rPr>
              <w:noProof/>
            </w:rPr>
          </w:pPr>
          <w:hyperlink w:anchor="_Toc227850519" w:history="1">
            <w:r w:rsidRPr="001B1F86">
              <w:rPr>
                <w:rStyle w:val="Hyperlink"/>
                <w:noProof/>
              </w:rPr>
              <w:t>Introduction</w:t>
            </w:r>
            <w:r>
              <w:rPr>
                <w:noProof/>
                <w:webHidden/>
              </w:rPr>
              <w:tab/>
            </w:r>
            <w:r>
              <w:rPr>
                <w:noProof/>
                <w:webHidden/>
              </w:rPr>
              <w:fldChar w:fldCharType="begin"/>
            </w:r>
            <w:r>
              <w:rPr>
                <w:noProof/>
                <w:webHidden/>
              </w:rPr>
              <w:instrText xml:space="preserve"> PAGEREF _Toc227850519 \h </w:instrText>
            </w:r>
            <w:r>
              <w:rPr>
                <w:noProof/>
                <w:webHidden/>
              </w:rPr>
            </w:r>
            <w:r>
              <w:rPr>
                <w:noProof/>
                <w:webHidden/>
              </w:rPr>
              <w:fldChar w:fldCharType="separate"/>
            </w:r>
            <w:r w:rsidR="003F4B4E">
              <w:rPr>
                <w:noProof/>
                <w:webHidden/>
              </w:rPr>
              <w:t>5</w:t>
            </w:r>
            <w:r>
              <w:rPr>
                <w:noProof/>
                <w:webHidden/>
              </w:rPr>
              <w:fldChar w:fldCharType="end"/>
            </w:r>
          </w:hyperlink>
        </w:p>
        <w:p w14:paraId="791894B3" w14:textId="309611DE" w:rsidR="00170376" w:rsidRDefault="00170376">
          <w:pPr>
            <w:pStyle w:val="TOC2"/>
            <w:tabs>
              <w:tab w:val="right" w:leader="dot" w:pos="9016"/>
            </w:tabs>
            <w:rPr>
              <w:noProof/>
            </w:rPr>
          </w:pPr>
          <w:hyperlink w:anchor="_Toc227850520" w:history="1">
            <w:r w:rsidRPr="001B1F86">
              <w:rPr>
                <w:rStyle w:val="Hyperlink"/>
                <w:noProof/>
              </w:rPr>
              <w:t>Definition of main concept</w:t>
            </w:r>
            <w:r>
              <w:rPr>
                <w:noProof/>
                <w:webHidden/>
              </w:rPr>
              <w:tab/>
            </w:r>
            <w:r>
              <w:rPr>
                <w:noProof/>
                <w:webHidden/>
              </w:rPr>
              <w:fldChar w:fldCharType="begin"/>
            </w:r>
            <w:r>
              <w:rPr>
                <w:noProof/>
                <w:webHidden/>
              </w:rPr>
              <w:instrText xml:space="preserve"> PAGEREF _Toc227850520 \h </w:instrText>
            </w:r>
            <w:r>
              <w:rPr>
                <w:noProof/>
                <w:webHidden/>
              </w:rPr>
            </w:r>
            <w:r>
              <w:rPr>
                <w:noProof/>
                <w:webHidden/>
              </w:rPr>
              <w:fldChar w:fldCharType="separate"/>
            </w:r>
            <w:r w:rsidR="003F4B4E">
              <w:rPr>
                <w:noProof/>
                <w:webHidden/>
              </w:rPr>
              <w:t>5</w:t>
            </w:r>
            <w:r>
              <w:rPr>
                <w:noProof/>
                <w:webHidden/>
              </w:rPr>
              <w:fldChar w:fldCharType="end"/>
            </w:r>
          </w:hyperlink>
        </w:p>
        <w:p w14:paraId="3F0D8985" w14:textId="0A5AD502" w:rsidR="00170376" w:rsidRDefault="00170376">
          <w:pPr>
            <w:pStyle w:val="TOC2"/>
            <w:tabs>
              <w:tab w:val="right" w:leader="dot" w:pos="9016"/>
            </w:tabs>
            <w:rPr>
              <w:noProof/>
            </w:rPr>
          </w:pPr>
          <w:hyperlink w:anchor="_Toc227850521" w:history="1">
            <w:r w:rsidRPr="001B1F86">
              <w:rPr>
                <w:rStyle w:val="Hyperlink"/>
                <w:noProof/>
              </w:rPr>
              <w:t>Rational</w:t>
            </w:r>
            <w:r>
              <w:rPr>
                <w:noProof/>
                <w:webHidden/>
              </w:rPr>
              <w:tab/>
            </w:r>
            <w:r>
              <w:rPr>
                <w:noProof/>
                <w:webHidden/>
              </w:rPr>
              <w:fldChar w:fldCharType="begin"/>
            </w:r>
            <w:r>
              <w:rPr>
                <w:noProof/>
                <w:webHidden/>
              </w:rPr>
              <w:instrText xml:space="preserve"> PAGEREF _Toc227850521 \h </w:instrText>
            </w:r>
            <w:r>
              <w:rPr>
                <w:noProof/>
                <w:webHidden/>
              </w:rPr>
            </w:r>
            <w:r>
              <w:rPr>
                <w:noProof/>
                <w:webHidden/>
              </w:rPr>
              <w:fldChar w:fldCharType="separate"/>
            </w:r>
            <w:r w:rsidR="003F4B4E">
              <w:rPr>
                <w:noProof/>
                <w:webHidden/>
              </w:rPr>
              <w:t>7</w:t>
            </w:r>
            <w:r>
              <w:rPr>
                <w:noProof/>
                <w:webHidden/>
              </w:rPr>
              <w:fldChar w:fldCharType="end"/>
            </w:r>
          </w:hyperlink>
        </w:p>
        <w:p w14:paraId="05617BC7" w14:textId="7587C440" w:rsidR="00170376" w:rsidRDefault="00170376">
          <w:pPr>
            <w:pStyle w:val="TOC2"/>
            <w:tabs>
              <w:tab w:val="right" w:leader="dot" w:pos="9016"/>
            </w:tabs>
            <w:rPr>
              <w:noProof/>
            </w:rPr>
          </w:pPr>
          <w:hyperlink w:anchor="_Toc227850522" w:history="1">
            <w:r w:rsidRPr="001B1F86">
              <w:rPr>
                <w:rStyle w:val="Hyperlink"/>
                <w:noProof/>
              </w:rPr>
              <w:t>Review question</w:t>
            </w:r>
            <w:r>
              <w:rPr>
                <w:noProof/>
                <w:webHidden/>
              </w:rPr>
              <w:tab/>
            </w:r>
            <w:r>
              <w:rPr>
                <w:noProof/>
                <w:webHidden/>
              </w:rPr>
              <w:fldChar w:fldCharType="begin"/>
            </w:r>
            <w:r>
              <w:rPr>
                <w:noProof/>
                <w:webHidden/>
              </w:rPr>
              <w:instrText xml:space="preserve"> PAGEREF _Toc227850522 \h </w:instrText>
            </w:r>
            <w:r>
              <w:rPr>
                <w:noProof/>
                <w:webHidden/>
              </w:rPr>
            </w:r>
            <w:r>
              <w:rPr>
                <w:noProof/>
                <w:webHidden/>
              </w:rPr>
              <w:fldChar w:fldCharType="separate"/>
            </w:r>
            <w:r w:rsidR="003F4B4E">
              <w:rPr>
                <w:noProof/>
                <w:webHidden/>
              </w:rPr>
              <w:t>7</w:t>
            </w:r>
            <w:r>
              <w:rPr>
                <w:noProof/>
                <w:webHidden/>
              </w:rPr>
              <w:fldChar w:fldCharType="end"/>
            </w:r>
          </w:hyperlink>
        </w:p>
        <w:p w14:paraId="07D62736" w14:textId="22F9C6EB" w:rsidR="00170376" w:rsidRDefault="00170376">
          <w:pPr>
            <w:pStyle w:val="TOC1"/>
            <w:tabs>
              <w:tab w:val="right" w:leader="dot" w:pos="9016"/>
            </w:tabs>
            <w:rPr>
              <w:noProof/>
            </w:rPr>
          </w:pPr>
          <w:hyperlink w:anchor="_Toc227850523" w:history="1">
            <w:r w:rsidRPr="001B1F86">
              <w:rPr>
                <w:rStyle w:val="Hyperlink"/>
                <w:rFonts w:cstheme="majorBidi"/>
                <w:i/>
                <w:noProof/>
              </w:rPr>
              <w:t>Objectives</w:t>
            </w:r>
            <w:r w:rsidRPr="001B1F86">
              <w:rPr>
                <w:rStyle w:val="Hyperlink"/>
                <w:noProof/>
              </w:rPr>
              <w:t>:</w:t>
            </w:r>
            <w:r>
              <w:rPr>
                <w:noProof/>
                <w:webHidden/>
              </w:rPr>
              <w:tab/>
            </w:r>
            <w:r>
              <w:rPr>
                <w:noProof/>
                <w:webHidden/>
              </w:rPr>
              <w:fldChar w:fldCharType="begin"/>
            </w:r>
            <w:r>
              <w:rPr>
                <w:noProof/>
                <w:webHidden/>
              </w:rPr>
              <w:instrText xml:space="preserve"> PAGEREF _Toc227850523 \h </w:instrText>
            </w:r>
            <w:r>
              <w:rPr>
                <w:noProof/>
                <w:webHidden/>
              </w:rPr>
            </w:r>
            <w:r>
              <w:rPr>
                <w:noProof/>
                <w:webHidden/>
              </w:rPr>
              <w:fldChar w:fldCharType="separate"/>
            </w:r>
            <w:r w:rsidR="003F4B4E">
              <w:rPr>
                <w:noProof/>
                <w:webHidden/>
              </w:rPr>
              <w:t>8</w:t>
            </w:r>
            <w:r>
              <w:rPr>
                <w:noProof/>
                <w:webHidden/>
              </w:rPr>
              <w:fldChar w:fldCharType="end"/>
            </w:r>
          </w:hyperlink>
        </w:p>
        <w:p w14:paraId="3DAAF2A6" w14:textId="053262AE" w:rsidR="00170376" w:rsidRDefault="00170376">
          <w:pPr>
            <w:pStyle w:val="TOC1"/>
            <w:tabs>
              <w:tab w:val="right" w:leader="dot" w:pos="9016"/>
            </w:tabs>
            <w:rPr>
              <w:noProof/>
            </w:rPr>
          </w:pPr>
          <w:hyperlink w:anchor="_Toc227850524" w:history="1">
            <w:r w:rsidRPr="001B1F86">
              <w:rPr>
                <w:rStyle w:val="Hyperlink"/>
                <w:noProof/>
              </w:rPr>
              <w:t>Background</w:t>
            </w:r>
            <w:r>
              <w:rPr>
                <w:noProof/>
                <w:webHidden/>
              </w:rPr>
              <w:tab/>
            </w:r>
            <w:r>
              <w:rPr>
                <w:noProof/>
                <w:webHidden/>
              </w:rPr>
              <w:fldChar w:fldCharType="begin"/>
            </w:r>
            <w:r>
              <w:rPr>
                <w:noProof/>
                <w:webHidden/>
              </w:rPr>
              <w:instrText xml:space="preserve"> PAGEREF _Toc227850524 \h </w:instrText>
            </w:r>
            <w:r>
              <w:rPr>
                <w:noProof/>
                <w:webHidden/>
              </w:rPr>
            </w:r>
            <w:r>
              <w:rPr>
                <w:noProof/>
                <w:webHidden/>
              </w:rPr>
              <w:fldChar w:fldCharType="separate"/>
            </w:r>
            <w:r w:rsidR="003F4B4E">
              <w:rPr>
                <w:noProof/>
                <w:webHidden/>
              </w:rPr>
              <w:t>8</w:t>
            </w:r>
            <w:r>
              <w:rPr>
                <w:noProof/>
                <w:webHidden/>
              </w:rPr>
              <w:fldChar w:fldCharType="end"/>
            </w:r>
          </w:hyperlink>
        </w:p>
        <w:p w14:paraId="622B8E56" w14:textId="3AD86321" w:rsidR="00170376" w:rsidRDefault="00170376">
          <w:pPr>
            <w:pStyle w:val="TOC2"/>
            <w:tabs>
              <w:tab w:val="right" w:leader="dot" w:pos="9016"/>
            </w:tabs>
            <w:rPr>
              <w:noProof/>
            </w:rPr>
          </w:pPr>
          <w:hyperlink w:anchor="_Toc227850525" w:history="1">
            <w:r w:rsidRPr="001B1F86">
              <w:rPr>
                <w:rStyle w:val="Hyperlink"/>
                <w:noProof/>
              </w:rPr>
              <w:t>Evolution of Telehealth in the UK</w:t>
            </w:r>
            <w:r>
              <w:rPr>
                <w:noProof/>
                <w:webHidden/>
              </w:rPr>
              <w:tab/>
            </w:r>
            <w:r>
              <w:rPr>
                <w:noProof/>
                <w:webHidden/>
              </w:rPr>
              <w:fldChar w:fldCharType="begin"/>
            </w:r>
            <w:r>
              <w:rPr>
                <w:noProof/>
                <w:webHidden/>
              </w:rPr>
              <w:instrText xml:space="preserve"> PAGEREF _Toc227850525 \h </w:instrText>
            </w:r>
            <w:r>
              <w:rPr>
                <w:noProof/>
                <w:webHidden/>
              </w:rPr>
            </w:r>
            <w:r>
              <w:rPr>
                <w:noProof/>
                <w:webHidden/>
              </w:rPr>
              <w:fldChar w:fldCharType="separate"/>
            </w:r>
            <w:r w:rsidR="003F4B4E">
              <w:rPr>
                <w:noProof/>
                <w:webHidden/>
              </w:rPr>
              <w:t>9</w:t>
            </w:r>
            <w:r>
              <w:rPr>
                <w:noProof/>
                <w:webHidden/>
              </w:rPr>
              <w:fldChar w:fldCharType="end"/>
            </w:r>
          </w:hyperlink>
        </w:p>
        <w:p w14:paraId="3C0076BF" w14:textId="1DB4A828" w:rsidR="00170376" w:rsidRDefault="00170376">
          <w:pPr>
            <w:pStyle w:val="TOC2"/>
            <w:tabs>
              <w:tab w:val="right" w:leader="dot" w:pos="9016"/>
            </w:tabs>
            <w:rPr>
              <w:noProof/>
            </w:rPr>
          </w:pPr>
          <w:hyperlink w:anchor="_Toc227850526" w:history="1">
            <w:r w:rsidRPr="001B1F86">
              <w:rPr>
                <w:rStyle w:val="Hyperlink"/>
                <w:noProof/>
              </w:rPr>
              <w:t>Current state of Telehealth in Rural UK</w:t>
            </w:r>
            <w:r>
              <w:rPr>
                <w:noProof/>
                <w:webHidden/>
              </w:rPr>
              <w:tab/>
            </w:r>
            <w:r>
              <w:rPr>
                <w:noProof/>
                <w:webHidden/>
              </w:rPr>
              <w:fldChar w:fldCharType="begin"/>
            </w:r>
            <w:r>
              <w:rPr>
                <w:noProof/>
                <w:webHidden/>
              </w:rPr>
              <w:instrText xml:space="preserve"> PAGEREF _Toc227850526 \h </w:instrText>
            </w:r>
            <w:r>
              <w:rPr>
                <w:noProof/>
                <w:webHidden/>
              </w:rPr>
            </w:r>
            <w:r>
              <w:rPr>
                <w:noProof/>
                <w:webHidden/>
              </w:rPr>
              <w:fldChar w:fldCharType="separate"/>
            </w:r>
            <w:r w:rsidR="003F4B4E">
              <w:rPr>
                <w:noProof/>
                <w:webHidden/>
              </w:rPr>
              <w:t>9</w:t>
            </w:r>
            <w:r>
              <w:rPr>
                <w:noProof/>
                <w:webHidden/>
              </w:rPr>
              <w:fldChar w:fldCharType="end"/>
            </w:r>
          </w:hyperlink>
        </w:p>
        <w:p w14:paraId="78D860BD" w14:textId="6A19E742" w:rsidR="00170376" w:rsidRDefault="00170376">
          <w:pPr>
            <w:pStyle w:val="TOC2"/>
            <w:tabs>
              <w:tab w:val="right" w:leader="dot" w:pos="9016"/>
            </w:tabs>
            <w:rPr>
              <w:noProof/>
            </w:rPr>
          </w:pPr>
          <w:hyperlink w:anchor="_Toc227850527" w:history="1">
            <w:r w:rsidRPr="001B1F86">
              <w:rPr>
                <w:rStyle w:val="Hyperlink"/>
                <w:noProof/>
              </w:rPr>
              <w:t>Impact of Access</w:t>
            </w:r>
            <w:r>
              <w:rPr>
                <w:noProof/>
                <w:webHidden/>
              </w:rPr>
              <w:tab/>
            </w:r>
            <w:r>
              <w:rPr>
                <w:noProof/>
                <w:webHidden/>
              </w:rPr>
              <w:fldChar w:fldCharType="begin"/>
            </w:r>
            <w:r>
              <w:rPr>
                <w:noProof/>
                <w:webHidden/>
              </w:rPr>
              <w:instrText xml:space="preserve"> PAGEREF _Toc227850527 \h </w:instrText>
            </w:r>
            <w:r>
              <w:rPr>
                <w:noProof/>
                <w:webHidden/>
              </w:rPr>
            </w:r>
            <w:r>
              <w:rPr>
                <w:noProof/>
                <w:webHidden/>
              </w:rPr>
              <w:fldChar w:fldCharType="separate"/>
            </w:r>
            <w:r w:rsidR="003F4B4E">
              <w:rPr>
                <w:noProof/>
                <w:webHidden/>
              </w:rPr>
              <w:t>10</w:t>
            </w:r>
            <w:r>
              <w:rPr>
                <w:noProof/>
                <w:webHidden/>
              </w:rPr>
              <w:fldChar w:fldCharType="end"/>
            </w:r>
          </w:hyperlink>
        </w:p>
        <w:p w14:paraId="20042D52" w14:textId="47D59D95" w:rsidR="00170376" w:rsidRDefault="00170376">
          <w:pPr>
            <w:pStyle w:val="TOC3"/>
            <w:tabs>
              <w:tab w:val="right" w:leader="dot" w:pos="9016"/>
            </w:tabs>
            <w:rPr>
              <w:noProof/>
            </w:rPr>
          </w:pPr>
          <w:hyperlink w:anchor="_Toc227850528" w:history="1">
            <w:r w:rsidRPr="001B1F86">
              <w:rPr>
                <w:rStyle w:val="Hyperlink"/>
                <w:noProof/>
              </w:rPr>
              <w:t>Key Challenges/Barriers</w:t>
            </w:r>
            <w:r>
              <w:rPr>
                <w:noProof/>
                <w:webHidden/>
              </w:rPr>
              <w:tab/>
            </w:r>
            <w:r>
              <w:rPr>
                <w:noProof/>
                <w:webHidden/>
              </w:rPr>
              <w:fldChar w:fldCharType="begin"/>
            </w:r>
            <w:r>
              <w:rPr>
                <w:noProof/>
                <w:webHidden/>
              </w:rPr>
              <w:instrText xml:space="preserve"> PAGEREF _Toc227850528 \h </w:instrText>
            </w:r>
            <w:r>
              <w:rPr>
                <w:noProof/>
                <w:webHidden/>
              </w:rPr>
            </w:r>
            <w:r>
              <w:rPr>
                <w:noProof/>
                <w:webHidden/>
              </w:rPr>
              <w:fldChar w:fldCharType="separate"/>
            </w:r>
            <w:r w:rsidR="003F4B4E">
              <w:rPr>
                <w:noProof/>
                <w:webHidden/>
              </w:rPr>
              <w:t>11</w:t>
            </w:r>
            <w:r>
              <w:rPr>
                <w:noProof/>
                <w:webHidden/>
              </w:rPr>
              <w:fldChar w:fldCharType="end"/>
            </w:r>
          </w:hyperlink>
        </w:p>
        <w:p w14:paraId="5B4B639A" w14:textId="4843A1F2" w:rsidR="00170376" w:rsidRDefault="00170376">
          <w:pPr>
            <w:pStyle w:val="TOC3"/>
            <w:tabs>
              <w:tab w:val="right" w:leader="dot" w:pos="9016"/>
            </w:tabs>
            <w:rPr>
              <w:noProof/>
            </w:rPr>
          </w:pPr>
          <w:hyperlink w:anchor="_Toc227850529" w:history="1">
            <w:r w:rsidRPr="001B1F86">
              <w:rPr>
                <w:rStyle w:val="Hyperlink"/>
                <w:noProof/>
              </w:rPr>
              <w:t>Cost considerations</w:t>
            </w:r>
            <w:r>
              <w:rPr>
                <w:noProof/>
                <w:webHidden/>
              </w:rPr>
              <w:tab/>
            </w:r>
            <w:r>
              <w:rPr>
                <w:noProof/>
                <w:webHidden/>
              </w:rPr>
              <w:fldChar w:fldCharType="begin"/>
            </w:r>
            <w:r>
              <w:rPr>
                <w:noProof/>
                <w:webHidden/>
              </w:rPr>
              <w:instrText xml:space="preserve"> PAGEREF _Toc227850529 \h </w:instrText>
            </w:r>
            <w:r>
              <w:rPr>
                <w:noProof/>
                <w:webHidden/>
              </w:rPr>
            </w:r>
            <w:r>
              <w:rPr>
                <w:noProof/>
                <w:webHidden/>
              </w:rPr>
              <w:fldChar w:fldCharType="separate"/>
            </w:r>
            <w:r w:rsidR="003F4B4E">
              <w:rPr>
                <w:noProof/>
                <w:webHidden/>
              </w:rPr>
              <w:t>11</w:t>
            </w:r>
            <w:r>
              <w:rPr>
                <w:noProof/>
                <w:webHidden/>
              </w:rPr>
              <w:fldChar w:fldCharType="end"/>
            </w:r>
          </w:hyperlink>
        </w:p>
        <w:p w14:paraId="7638E95A" w14:textId="7AA72DE2" w:rsidR="00170376" w:rsidRDefault="00170376">
          <w:pPr>
            <w:pStyle w:val="TOC1"/>
            <w:tabs>
              <w:tab w:val="right" w:leader="dot" w:pos="9016"/>
            </w:tabs>
            <w:rPr>
              <w:noProof/>
            </w:rPr>
          </w:pPr>
          <w:hyperlink w:anchor="_Toc227850530" w:history="1">
            <w:r w:rsidRPr="001B1F86">
              <w:rPr>
                <w:rStyle w:val="Hyperlink"/>
                <w:noProof/>
              </w:rPr>
              <w:t>Methods</w:t>
            </w:r>
            <w:r>
              <w:rPr>
                <w:noProof/>
                <w:webHidden/>
              </w:rPr>
              <w:tab/>
            </w:r>
            <w:r>
              <w:rPr>
                <w:noProof/>
                <w:webHidden/>
              </w:rPr>
              <w:fldChar w:fldCharType="begin"/>
            </w:r>
            <w:r>
              <w:rPr>
                <w:noProof/>
                <w:webHidden/>
              </w:rPr>
              <w:instrText xml:space="preserve"> PAGEREF _Toc227850530 \h </w:instrText>
            </w:r>
            <w:r>
              <w:rPr>
                <w:noProof/>
                <w:webHidden/>
              </w:rPr>
            </w:r>
            <w:r>
              <w:rPr>
                <w:noProof/>
                <w:webHidden/>
              </w:rPr>
              <w:fldChar w:fldCharType="separate"/>
            </w:r>
            <w:r w:rsidR="003F4B4E">
              <w:rPr>
                <w:noProof/>
                <w:webHidden/>
              </w:rPr>
              <w:t>12</w:t>
            </w:r>
            <w:r>
              <w:rPr>
                <w:noProof/>
                <w:webHidden/>
              </w:rPr>
              <w:fldChar w:fldCharType="end"/>
            </w:r>
          </w:hyperlink>
        </w:p>
        <w:p w14:paraId="005D1CCF" w14:textId="6477FB49" w:rsidR="00170376" w:rsidRDefault="00170376">
          <w:pPr>
            <w:pStyle w:val="TOC2"/>
            <w:tabs>
              <w:tab w:val="right" w:leader="dot" w:pos="9016"/>
            </w:tabs>
            <w:rPr>
              <w:noProof/>
            </w:rPr>
          </w:pPr>
          <w:hyperlink w:anchor="_Toc227850531" w:history="1">
            <w:r w:rsidRPr="001B1F86">
              <w:rPr>
                <w:rStyle w:val="Hyperlink"/>
                <w:noProof/>
              </w:rPr>
              <w:t>Databases</w:t>
            </w:r>
            <w:r>
              <w:rPr>
                <w:noProof/>
                <w:webHidden/>
              </w:rPr>
              <w:tab/>
            </w:r>
            <w:r>
              <w:rPr>
                <w:noProof/>
                <w:webHidden/>
              </w:rPr>
              <w:fldChar w:fldCharType="begin"/>
            </w:r>
            <w:r>
              <w:rPr>
                <w:noProof/>
                <w:webHidden/>
              </w:rPr>
              <w:instrText xml:space="preserve"> PAGEREF _Toc227850531 \h </w:instrText>
            </w:r>
            <w:r>
              <w:rPr>
                <w:noProof/>
                <w:webHidden/>
              </w:rPr>
            </w:r>
            <w:r>
              <w:rPr>
                <w:noProof/>
                <w:webHidden/>
              </w:rPr>
              <w:fldChar w:fldCharType="separate"/>
            </w:r>
            <w:r w:rsidR="003F4B4E">
              <w:rPr>
                <w:noProof/>
                <w:webHidden/>
              </w:rPr>
              <w:t>12</w:t>
            </w:r>
            <w:r>
              <w:rPr>
                <w:noProof/>
                <w:webHidden/>
              </w:rPr>
              <w:fldChar w:fldCharType="end"/>
            </w:r>
          </w:hyperlink>
        </w:p>
        <w:p w14:paraId="0F26CF19" w14:textId="2D902967" w:rsidR="00170376" w:rsidRDefault="00170376">
          <w:pPr>
            <w:pStyle w:val="TOC3"/>
            <w:tabs>
              <w:tab w:val="right" w:leader="dot" w:pos="9016"/>
            </w:tabs>
            <w:rPr>
              <w:noProof/>
            </w:rPr>
          </w:pPr>
          <w:hyperlink w:anchor="_Toc227850532" w:history="1">
            <w:r w:rsidRPr="001B1F86">
              <w:rPr>
                <w:rStyle w:val="Hyperlink"/>
                <w:noProof/>
              </w:rPr>
              <w:t>Inclusion and exclusion criteria</w:t>
            </w:r>
            <w:r>
              <w:rPr>
                <w:noProof/>
                <w:webHidden/>
              </w:rPr>
              <w:tab/>
            </w:r>
            <w:r>
              <w:rPr>
                <w:noProof/>
                <w:webHidden/>
              </w:rPr>
              <w:fldChar w:fldCharType="begin"/>
            </w:r>
            <w:r>
              <w:rPr>
                <w:noProof/>
                <w:webHidden/>
              </w:rPr>
              <w:instrText xml:space="preserve"> PAGEREF _Toc227850532 \h </w:instrText>
            </w:r>
            <w:r>
              <w:rPr>
                <w:noProof/>
                <w:webHidden/>
              </w:rPr>
            </w:r>
            <w:r>
              <w:rPr>
                <w:noProof/>
                <w:webHidden/>
              </w:rPr>
              <w:fldChar w:fldCharType="separate"/>
            </w:r>
            <w:r w:rsidR="003F4B4E">
              <w:rPr>
                <w:noProof/>
                <w:webHidden/>
              </w:rPr>
              <w:t>12</w:t>
            </w:r>
            <w:r>
              <w:rPr>
                <w:noProof/>
                <w:webHidden/>
              </w:rPr>
              <w:fldChar w:fldCharType="end"/>
            </w:r>
          </w:hyperlink>
        </w:p>
        <w:p w14:paraId="5EE3B7C4" w14:textId="351B0257" w:rsidR="00170376" w:rsidRDefault="00170376">
          <w:pPr>
            <w:pStyle w:val="TOC3"/>
            <w:tabs>
              <w:tab w:val="right" w:leader="dot" w:pos="9016"/>
            </w:tabs>
            <w:rPr>
              <w:noProof/>
            </w:rPr>
          </w:pPr>
          <w:hyperlink w:anchor="_Toc227850533" w:history="1">
            <w:r w:rsidRPr="001B1F86">
              <w:rPr>
                <w:rStyle w:val="Hyperlink"/>
                <w:noProof/>
              </w:rPr>
              <w:t>Inclusion criteria</w:t>
            </w:r>
            <w:r>
              <w:rPr>
                <w:noProof/>
                <w:webHidden/>
              </w:rPr>
              <w:tab/>
            </w:r>
            <w:r>
              <w:rPr>
                <w:noProof/>
                <w:webHidden/>
              </w:rPr>
              <w:fldChar w:fldCharType="begin"/>
            </w:r>
            <w:r>
              <w:rPr>
                <w:noProof/>
                <w:webHidden/>
              </w:rPr>
              <w:instrText xml:space="preserve"> PAGEREF _Toc227850533 \h </w:instrText>
            </w:r>
            <w:r>
              <w:rPr>
                <w:noProof/>
                <w:webHidden/>
              </w:rPr>
            </w:r>
            <w:r>
              <w:rPr>
                <w:noProof/>
                <w:webHidden/>
              </w:rPr>
              <w:fldChar w:fldCharType="separate"/>
            </w:r>
            <w:r w:rsidR="003F4B4E">
              <w:rPr>
                <w:noProof/>
                <w:webHidden/>
              </w:rPr>
              <w:t>12</w:t>
            </w:r>
            <w:r>
              <w:rPr>
                <w:noProof/>
                <w:webHidden/>
              </w:rPr>
              <w:fldChar w:fldCharType="end"/>
            </w:r>
          </w:hyperlink>
        </w:p>
        <w:p w14:paraId="610DBF90" w14:textId="0B071AB3" w:rsidR="00170376" w:rsidRDefault="00170376">
          <w:pPr>
            <w:pStyle w:val="TOC3"/>
            <w:tabs>
              <w:tab w:val="right" w:leader="dot" w:pos="9016"/>
            </w:tabs>
            <w:rPr>
              <w:noProof/>
            </w:rPr>
          </w:pPr>
          <w:hyperlink w:anchor="_Toc227850534" w:history="1">
            <w:r w:rsidRPr="001B1F86">
              <w:rPr>
                <w:rStyle w:val="Hyperlink"/>
                <w:noProof/>
              </w:rPr>
              <w:t>Exclusion criteria</w:t>
            </w:r>
            <w:r>
              <w:rPr>
                <w:noProof/>
                <w:webHidden/>
              </w:rPr>
              <w:tab/>
            </w:r>
            <w:r>
              <w:rPr>
                <w:noProof/>
                <w:webHidden/>
              </w:rPr>
              <w:fldChar w:fldCharType="begin"/>
            </w:r>
            <w:r>
              <w:rPr>
                <w:noProof/>
                <w:webHidden/>
              </w:rPr>
              <w:instrText xml:space="preserve"> PAGEREF _Toc227850534 \h </w:instrText>
            </w:r>
            <w:r>
              <w:rPr>
                <w:noProof/>
                <w:webHidden/>
              </w:rPr>
            </w:r>
            <w:r>
              <w:rPr>
                <w:noProof/>
                <w:webHidden/>
              </w:rPr>
              <w:fldChar w:fldCharType="separate"/>
            </w:r>
            <w:r w:rsidR="003F4B4E">
              <w:rPr>
                <w:noProof/>
                <w:webHidden/>
              </w:rPr>
              <w:t>13</w:t>
            </w:r>
            <w:r>
              <w:rPr>
                <w:noProof/>
                <w:webHidden/>
              </w:rPr>
              <w:fldChar w:fldCharType="end"/>
            </w:r>
          </w:hyperlink>
        </w:p>
        <w:p w14:paraId="677ACFCD" w14:textId="68594F98" w:rsidR="00170376" w:rsidRDefault="00170376">
          <w:pPr>
            <w:pStyle w:val="TOC3"/>
            <w:tabs>
              <w:tab w:val="right" w:leader="dot" w:pos="9016"/>
            </w:tabs>
            <w:rPr>
              <w:noProof/>
            </w:rPr>
          </w:pPr>
          <w:hyperlink w:anchor="_Toc227850535" w:history="1">
            <w:r w:rsidRPr="001B1F86">
              <w:rPr>
                <w:rStyle w:val="Hyperlink"/>
                <w:noProof/>
              </w:rPr>
              <w:t>Keywords</w:t>
            </w:r>
            <w:r>
              <w:rPr>
                <w:noProof/>
                <w:webHidden/>
              </w:rPr>
              <w:tab/>
            </w:r>
            <w:r>
              <w:rPr>
                <w:noProof/>
                <w:webHidden/>
              </w:rPr>
              <w:fldChar w:fldCharType="begin"/>
            </w:r>
            <w:r>
              <w:rPr>
                <w:noProof/>
                <w:webHidden/>
              </w:rPr>
              <w:instrText xml:space="preserve"> PAGEREF _Toc227850535 \h </w:instrText>
            </w:r>
            <w:r>
              <w:rPr>
                <w:noProof/>
                <w:webHidden/>
              </w:rPr>
            </w:r>
            <w:r>
              <w:rPr>
                <w:noProof/>
                <w:webHidden/>
              </w:rPr>
              <w:fldChar w:fldCharType="separate"/>
            </w:r>
            <w:r w:rsidR="003F4B4E">
              <w:rPr>
                <w:noProof/>
                <w:webHidden/>
              </w:rPr>
              <w:t>13</w:t>
            </w:r>
            <w:r>
              <w:rPr>
                <w:noProof/>
                <w:webHidden/>
              </w:rPr>
              <w:fldChar w:fldCharType="end"/>
            </w:r>
          </w:hyperlink>
        </w:p>
        <w:p w14:paraId="6D82D92A" w14:textId="70F92CA8" w:rsidR="00170376" w:rsidRDefault="00170376">
          <w:pPr>
            <w:pStyle w:val="TOC1"/>
            <w:tabs>
              <w:tab w:val="right" w:leader="dot" w:pos="9016"/>
            </w:tabs>
            <w:rPr>
              <w:noProof/>
            </w:rPr>
          </w:pPr>
          <w:hyperlink w:anchor="_Toc227850536" w:history="1">
            <w:r w:rsidRPr="001B1F86">
              <w:rPr>
                <w:rStyle w:val="Hyperlink"/>
                <w:noProof/>
              </w:rPr>
              <w:t>Results</w:t>
            </w:r>
            <w:r>
              <w:rPr>
                <w:noProof/>
                <w:webHidden/>
              </w:rPr>
              <w:tab/>
            </w:r>
            <w:r>
              <w:rPr>
                <w:noProof/>
                <w:webHidden/>
              </w:rPr>
              <w:fldChar w:fldCharType="begin"/>
            </w:r>
            <w:r>
              <w:rPr>
                <w:noProof/>
                <w:webHidden/>
              </w:rPr>
              <w:instrText xml:space="preserve"> PAGEREF _Toc227850536 \h </w:instrText>
            </w:r>
            <w:r>
              <w:rPr>
                <w:noProof/>
                <w:webHidden/>
              </w:rPr>
            </w:r>
            <w:r>
              <w:rPr>
                <w:noProof/>
                <w:webHidden/>
              </w:rPr>
              <w:fldChar w:fldCharType="separate"/>
            </w:r>
            <w:r w:rsidR="003F4B4E">
              <w:rPr>
                <w:noProof/>
                <w:webHidden/>
              </w:rPr>
              <w:t>14</w:t>
            </w:r>
            <w:r>
              <w:rPr>
                <w:noProof/>
                <w:webHidden/>
              </w:rPr>
              <w:fldChar w:fldCharType="end"/>
            </w:r>
          </w:hyperlink>
        </w:p>
        <w:p w14:paraId="4FD21D76" w14:textId="18AB059C" w:rsidR="00170376" w:rsidRDefault="00170376">
          <w:pPr>
            <w:pStyle w:val="TOC1"/>
            <w:tabs>
              <w:tab w:val="right" w:leader="dot" w:pos="9016"/>
            </w:tabs>
            <w:rPr>
              <w:noProof/>
            </w:rPr>
          </w:pPr>
          <w:hyperlink w:anchor="_Toc227850537" w:history="1">
            <w:r w:rsidRPr="001B1F86">
              <w:rPr>
                <w:rStyle w:val="Hyperlink"/>
                <w:noProof/>
              </w:rPr>
              <w:t>Discussion</w:t>
            </w:r>
            <w:r>
              <w:rPr>
                <w:noProof/>
                <w:webHidden/>
              </w:rPr>
              <w:tab/>
            </w:r>
            <w:r>
              <w:rPr>
                <w:noProof/>
                <w:webHidden/>
              </w:rPr>
              <w:fldChar w:fldCharType="begin"/>
            </w:r>
            <w:r>
              <w:rPr>
                <w:noProof/>
                <w:webHidden/>
              </w:rPr>
              <w:instrText xml:space="preserve"> PAGEREF _Toc227850537 \h </w:instrText>
            </w:r>
            <w:r>
              <w:rPr>
                <w:noProof/>
                <w:webHidden/>
              </w:rPr>
            </w:r>
            <w:r>
              <w:rPr>
                <w:noProof/>
                <w:webHidden/>
              </w:rPr>
              <w:fldChar w:fldCharType="separate"/>
            </w:r>
            <w:r w:rsidR="003F4B4E">
              <w:rPr>
                <w:noProof/>
                <w:webHidden/>
              </w:rPr>
              <w:t>15</w:t>
            </w:r>
            <w:r>
              <w:rPr>
                <w:noProof/>
                <w:webHidden/>
              </w:rPr>
              <w:fldChar w:fldCharType="end"/>
            </w:r>
          </w:hyperlink>
        </w:p>
        <w:p w14:paraId="4AC125C9" w14:textId="5EF861A8" w:rsidR="00170376" w:rsidRDefault="00170376">
          <w:pPr>
            <w:pStyle w:val="TOC1"/>
            <w:tabs>
              <w:tab w:val="right" w:leader="dot" w:pos="9016"/>
            </w:tabs>
            <w:rPr>
              <w:noProof/>
            </w:rPr>
          </w:pPr>
          <w:hyperlink w:anchor="_Toc227850538" w:history="1">
            <w:r w:rsidRPr="001B1F86">
              <w:rPr>
                <w:rStyle w:val="Hyperlink"/>
                <w:noProof/>
              </w:rPr>
              <w:t>Conclusion and Recommendations</w:t>
            </w:r>
            <w:r>
              <w:rPr>
                <w:noProof/>
                <w:webHidden/>
              </w:rPr>
              <w:tab/>
            </w:r>
            <w:r>
              <w:rPr>
                <w:noProof/>
                <w:webHidden/>
              </w:rPr>
              <w:fldChar w:fldCharType="begin"/>
            </w:r>
            <w:r>
              <w:rPr>
                <w:noProof/>
                <w:webHidden/>
              </w:rPr>
              <w:instrText xml:space="preserve"> PAGEREF _Toc227850538 \h </w:instrText>
            </w:r>
            <w:r>
              <w:rPr>
                <w:noProof/>
                <w:webHidden/>
              </w:rPr>
            </w:r>
            <w:r>
              <w:rPr>
                <w:noProof/>
                <w:webHidden/>
              </w:rPr>
              <w:fldChar w:fldCharType="separate"/>
            </w:r>
            <w:r w:rsidR="003F4B4E">
              <w:rPr>
                <w:noProof/>
                <w:webHidden/>
              </w:rPr>
              <w:t>17</w:t>
            </w:r>
            <w:r>
              <w:rPr>
                <w:noProof/>
                <w:webHidden/>
              </w:rPr>
              <w:fldChar w:fldCharType="end"/>
            </w:r>
          </w:hyperlink>
        </w:p>
        <w:p w14:paraId="6ED37BC4" w14:textId="3E5F9E84" w:rsidR="00170376" w:rsidRDefault="00170376">
          <w:pPr>
            <w:pStyle w:val="TOC1"/>
            <w:tabs>
              <w:tab w:val="right" w:leader="dot" w:pos="9016"/>
            </w:tabs>
            <w:rPr>
              <w:noProof/>
            </w:rPr>
          </w:pPr>
          <w:hyperlink w:anchor="_Toc227850539" w:history="1">
            <w:r w:rsidRPr="001B1F86">
              <w:rPr>
                <w:rStyle w:val="Hyperlink"/>
                <w:noProof/>
              </w:rPr>
              <w:t>References</w:t>
            </w:r>
            <w:r>
              <w:rPr>
                <w:noProof/>
                <w:webHidden/>
              </w:rPr>
              <w:tab/>
            </w:r>
            <w:r>
              <w:rPr>
                <w:noProof/>
                <w:webHidden/>
              </w:rPr>
              <w:fldChar w:fldCharType="begin"/>
            </w:r>
            <w:r>
              <w:rPr>
                <w:noProof/>
                <w:webHidden/>
              </w:rPr>
              <w:instrText xml:space="preserve"> PAGEREF _Toc227850539 \h </w:instrText>
            </w:r>
            <w:r>
              <w:rPr>
                <w:noProof/>
                <w:webHidden/>
              </w:rPr>
            </w:r>
            <w:r>
              <w:rPr>
                <w:noProof/>
                <w:webHidden/>
              </w:rPr>
              <w:fldChar w:fldCharType="separate"/>
            </w:r>
            <w:r w:rsidR="003F4B4E">
              <w:rPr>
                <w:noProof/>
                <w:webHidden/>
              </w:rPr>
              <w:t>18</w:t>
            </w:r>
            <w:r>
              <w:rPr>
                <w:noProof/>
                <w:webHidden/>
              </w:rPr>
              <w:fldChar w:fldCharType="end"/>
            </w:r>
          </w:hyperlink>
        </w:p>
        <w:p w14:paraId="02DEA865" w14:textId="253C8710" w:rsidR="00170376" w:rsidRDefault="00170376">
          <w:r>
            <w:rPr>
              <w:b/>
              <w:bCs/>
            </w:rPr>
            <w:fldChar w:fldCharType="end"/>
          </w:r>
        </w:p>
      </w:sdtContent>
    </w:sdt>
    <w:p w14:paraId="05AB2C84" w14:textId="65686411" w:rsidR="00B87E75" w:rsidRPr="00CD33A8" w:rsidRDefault="00B87E75" w:rsidP="00C12D79">
      <w:pPr>
        <w:pStyle w:val="Heading1"/>
      </w:pPr>
    </w:p>
    <w:p w14:paraId="4F7320CB" w14:textId="63DD2167" w:rsidR="00B87E75" w:rsidRPr="00CD33A8" w:rsidRDefault="00B87E75" w:rsidP="00F35A0D">
      <w:pPr>
        <w:spacing w:line="360" w:lineRule="auto"/>
        <w:rPr>
          <w:rFonts w:asciiTheme="minorBidi" w:hAnsiTheme="minorBidi"/>
          <w:sz w:val="22"/>
        </w:rPr>
      </w:pPr>
      <w:r w:rsidRPr="00CD33A8">
        <w:rPr>
          <w:rFonts w:asciiTheme="minorBidi" w:hAnsiTheme="minorBidi"/>
          <w:sz w:val="22"/>
        </w:rPr>
        <w:br w:type="page"/>
      </w:r>
    </w:p>
    <w:p w14:paraId="3914D9AE" w14:textId="5BF5A3EA" w:rsidR="00CD33A8" w:rsidRDefault="00CD33A8" w:rsidP="00C12D79">
      <w:pPr>
        <w:pStyle w:val="Heading1"/>
      </w:pPr>
      <w:bookmarkStart w:id="2" w:name="_Toc227850518"/>
      <w:r>
        <w:lastRenderedPageBreak/>
        <w:t>Abstract</w:t>
      </w:r>
      <w:bookmarkEnd w:id="2"/>
    </w:p>
    <w:p w14:paraId="572A3387" w14:textId="77777777" w:rsidR="00A329BF" w:rsidRPr="008B7586" w:rsidRDefault="00A329BF" w:rsidP="008B7586">
      <w:pPr>
        <w:spacing w:line="360" w:lineRule="auto"/>
        <w:rPr>
          <w:rFonts w:ascii="Arial" w:hAnsi="Arial" w:cs="Arial"/>
          <w:b/>
          <w:bCs/>
          <w:sz w:val="22"/>
        </w:rPr>
      </w:pPr>
    </w:p>
    <w:p w14:paraId="78975971" w14:textId="77777777" w:rsidR="008B7586" w:rsidRPr="008B7586" w:rsidRDefault="008B7586" w:rsidP="008B7586">
      <w:pPr>
        <w:spacing w:line="360" w:lineRule="auto"/>
        <w:rPr>
          <w:rFonts w:ascii="Arial" w:hAnsi="Arial" w:cs="Arial"/>
          <w:b/>
          <w:bCs/>
          <w:sz w:val="22"/>
        </w:rPr>
      </w:pPr>
      <w:r w:rsidRPr="008B7586">
        <w:rPr>
          <w:rFonts w:ascii="Arial" w:hAnsi="Arial" w:cs="Arial"/>
          <w:b/>
          <w:bCs/>
          <w:sz w:val="22"/>
        </w:rPr>
        <w:t>Purpose</w:t>
      </w:r>
    </w:p>
    <w:p w14:paraId="4B29238A" w14:textId="77777777" w:rsidR="009F20B1" w:rsidRPr="009F20B1" w:rsidRDefault="00FD0440" w:rsidP="00D54246">
      <w:pPr>
        <w:spacing w:line="360" w:lineRule="auto"/>
        <w:rPr>
          <w:rFonts w:ascii="Arial" w:hAnsi="Arial" w:cs="Arial"/>
          <w:sz w:val="22"/>
        </w:rPr>
      </w:pPr>
      <w:r w:rsidRPr="009F20B1">
        <w:rPr>
          <w:rFonts w:ascii="Arial" w:hAnsi="Arial" w:cs="Arial"/>
          <w:sz w:val="22"/>
        </w:rPr>
        <w:t xml:space="preserve">This review's goal is to investigate the major enablers and impediments affecting telehealth's adoption and efficacy in the UK. Telehealth has grown quickly, especially during and after the COVID-19 epidemic, but its long-term viability depends on comprehending the organisational, technological, and patient-level elements that influence its utilisation. Additionally, this research looks at how telehealth impacts healthcare access, particularly in rural places, and discusses policy and practice implications. </w:t>
      </w:r>
    </w:p>
    <w:p w14:paraId="470C7F8F" w14:textId="64EF4B50" w:rsidR="00D54246" w:rsidRPr="008B7586" w:rsidRDefault="00473414" w:rsidP="00D54246">
      <w:pPr>
        <w:spacing w:line="360" w:lineRule="auto"/>
        <w:rPr>
          <w:rFonts w:ascii="Arial" w:hAnsi="Arial" w:cs="Arial"/>
          <w:b/>
          <w:bCs/>
          <w:sz w:val="22"/>
        </w:rPr>
      </w:pPr>
      <w:r w:rsidRPr="00473414">
        <w:rPr>
          <w:rFonts w:ascii="Arial" w:hAnsi="Arial" w:cs="Arial"/>
          <w:b/>
          <w:bCs/>
          <w:sz w:val="22"/>
        </w:rPr>
        <w:t>Secondary research</w:t>
      </w:r>
    </w:p>
    <w:p w14:paraId="6D64D78D" w14:textId="78E289B7" w:rsidR="008651CA" w:rsidRPr="008651CA" w:rsidRDefault="008651CA" w:rsidP="008B7586">
      <w:pPr>
        <w:spacing w:line="360" w:lineRule="auto"/>
        <w:rPr>
          <w:rFonts w:ascii="Arial" w:hAnsi="Arial" w:cs="Arial"/>
          <w:sz w:val="22"/>
        </w:rPr>
      </w:pPr>
      <w:r w:rsidRPr="008651CA">
        <w:rPr>
          <w:rFonts w:ascii="Arial" w:hAnsi="Arial" w:cs="Arial"/>
          <w:sz w:val="22"/>
        </w:rPr>
        <w:t xml:space="preserve">Using a secondary research approach, peer-reviewed studies published starting in 2016 were consulted. Using databases like Google Scholar and the UWTSD library, a scoping review methodology was used. Adult populations in the UK and research on telehealth </w:t>
      </w:r>
      <w:r w:rsidR="00402E78">
        <w:rPr>
          <w:rFonts w:ascii="Arial" w:hAnsi="Arial" w:cs="Arial"/>
          <w:sz w:val="22"/>
        </w:rPr>
        <w:t>barriers</w:t>
      </w:r>
      <w:r w:rsidRPr="008651CA">
        <w:rPr>
          <w:rFonts w:ascii="Arial" w:hAnsi="Arial" w:cs="Arial"/>
          <w:sz w:val="22"/>
        </w:rPr>
        <w:t>, facilitators, cost, broadband access, device availability, and digital literacy were the main emphasis of the inclusion criteria. A results table was created by extracting and summarising three important studies.</w:t>
      </w:r>
      <w:r w:rsidR="00402E78">
        <w:rPr>
          <w:rFonts w:ascii="Arial" w:hAnsi="Arial" w:cs="Arial"/>
          <w:sz w:val="22"/>
        </w:rPr>
        <w:t xml:space="preserve"> </w:t>
      </w:r>
    </w:p>
    <w:p w14:paraId="7DC021A5" w14:textId="145DCBEC" w:rsidR="008B7586" w:rsidRPr="008B7586" w:rsidRDefault="008B7586" w:rsidP="008B7586">
      <w:pPr>
        <w:spacing w:line="360" w:lineRule="auto"/>
        <w:rPr>
          <w:rFonts w:ascii="Arial" w:hAnsi="Arial" w:cs="Arial"/>
          <w:b/>
          <w:bCs/>
          <w:sz w:val="22"/>
        </w:rPr>
      </w:pPr>
      <w:r w:rsidRPr="008B7586">
        <w:rPr>
          <w:rFonts w:ascii="Arial" w:hAnsi="Arial" w:cs="Arial"/>
          <w:b/>
          <w:bCs/>
          <w:sz w:val="22"/>
        </w:rPr>
        <w:t>Results</w:t>
      </w:r>
    </w:p>
    <w:p w14:paraId="438304CF" w14:textId="488FDD51" w:rsidR="008B7586" w:rsidRPr="008B7586" w:rsidRDefault="00EC79D9" w:rsidP="008B7586">
      <w:pPr>
        <w:spacing w:line="360" w:lineRule="auto"/>
        <w:rPr>
          <w:rFonts w:ascii="Arial" w:hAnsi="Arial" w:cs="Arial"/>
          <w:sz w:val="22"/>
        </w:rPr>
      </w:pPr>
      <w:r w:rsidRPr="00EC79D9">
        <w:rPr>
          <w:rFonts w:ascii="Arial" w:hAnsi="Arial" w:cs="Arial"/>
          <w:sz w:val="22"/>
        </w:rPr>
        <w:t>According to research, telehealth adoption is influenced by healthcare professionals' varying levels of awareness and expertise (Kayyali et al. 2017), staff preference for remote delivery in rural psychiatric services (Nelson et al. 2023), and access disparities based on demographics (Colburn 2024). Integrated digital systems, employee training, and organisational leadership are examples of facilitators. Digital exclusion, inadequate connectivity, restricted device access, and a lack of established rules are some of the obstacles. Although telehealth increases accessibility and lessens the burden of travel, it is still inappropriate for sophisticated evaluations.</w:t>
      </w:r>
    </w:p>
    <w:p w14:paraId="145C4A46" w14:textId="77777777" w:rsidR="008B7586" w:rsidRPr="008B7586" w:rsidRDefault="008B7586" w:rsidP="008B7586">
      <w:pPr>
        <w:spacing w:line="360" w:lineRule="auto"/>
        <w:rPr>
          <w:rFonts w:ascii="Arial" w:hAnsi="Arial" w:cs="Arial"/>
          <w:b/>
          <w:bCs/>
          <w:sz w:val="22"/>
        </w:rPr>
      </w:pPr>
      <w:r w:rsidRPr="008B7586">
        <w:rPr>
          <w:rFonts w:ascii="Arial" w:hAnsi="Arial" w:cs="Arial"/>
          <w:b/>
          <w:bCs/>
          <w:sz w:val="22"/>
        </w:rPr>
        <w:t>Conclusion</w:t>
      </w:r>
    </w:p>
    <w:p w14:paraId="06F37C3F" w14:textId="339A2770" w:rsidR="00A329BF" w:rsidRPr="008B7586" w:rsidRDefault="008B7586" w:rsidP="008B7586">
      <w:pPr>
        <w:spacing w:line="360" w:lineRule="auto"/>
        <w:rPr>
          <w:rFonts w:ascii="Arial" w:hAnsi="Arial" w:cs="Arial"/>
          <w:sz w:val="22"/>
        </w:rPr>
      </w:pPr>
      <w:r w:rsidRPr="008B7586">
        <w:rPr>
          <w:rFonts w:ascii="Arial" w:hAnsi="Arial" w:cs="Arial"/>
          <w:sz w:val="22"/>
        </w:rPr>
        <w:t>Telehealth offers significant benefits for accessibility, efficiency, and chronic disease management in the UK. However, its effectiveness depends on addressing structural, technological, and human</w:t>
      </w:r>
      <w:r w:rsidRPr="008B7586">
        <w:rPr>
          <w:rFonts w:ascii="Cambria Math" w:hAnsi="Cambria Math" w:cs="Cambria Math"/>
          <w:sz w:val="22"/>
        </w:rPr>
        <w:t>‑</w:t>
      </w:r>
      <w:r w:rsidRPr="008B7586">
        <w:rPr>
          <w:rFonts w:ascii="Arial" w:hAnsi="Arial" w:cs="Arial"/>
          <w:sz w:val="22"/>
        </w:rPr>
        <w:t>centred barriers. Improving digital literacy, broadband infrastructure, and professional training is essential for equitable and sustainable telehealth implementation.</w:t>
      </w:r>
    </w:p>
    <w:p w14:paraId="120AB24F" w14:textId="77777777" w:rsidR="00170376" w:rsidRDefault="00170376" w:rsidP="00C12D79">
      <w:pPr>
        <w:pStyle w:val="Heading1"/>
      </w:pPr>
      <w:bookmarkStart w:id="3" w:name="_Toc227850519"/>
    </w:p>
    <w:p w14:paraId="12D76753" w14:textId="1526F17B" w:rsidR="00B87E75" w:rsidRDefault="00B87E75" w:rsidP="00C12D79">
      <w:pPr>
        <w:pStyle w:val="Heading1"/>
      </w:pPr>
      <w:r w:rsidRPr="00CD33A8">
        <w:t>Introduction</w:t>
      </w:r>
      <w:bookmarkEnd w:id="3"/>
    </w:p>
    <w:p w14:paraId="6CDCC2EC" w14:textId="77777777" w:rsidR="008B7586" w:rsidRPr="008B7586" w:rsidRDefault="008B7586" w:rsidP="008B7586">
      <w:pPr>
        <w:spacing w:line="360" w:lineRule="auto"/>
        <w:rPr>
          <w:rFonts w:ascii="Arial" w:hAnsi="Arial" w:cs="Arial"/>
          <w:sz w:val="22"/>
        </w:rPr>
      </w:pPr>
    </w:p>
    <w:p w14:paraId="6C2EB77E" w14:textId="6FF012D9" w:rsidR="008B7586" w:rsidRPr="008B7586" w:rsidRDefault="008B7586" w:rsidP="008B7586">
      <w:pPr>
        <w:spacing w:line="360" w:lineRule="auto"/>
        <w:rPr>
          <w:rFonts w:ascii="Arial" w:hAnsi="Arial" w:cs="Arial"/>
          <w:sz w:val="22"/>
        </w:rPr>
      </w:pPr>
      <w:r w:rsidRPr="008B7586">
        <w:rPr>
          <w:rFonts w:ascii="Arial" w:hAnsi="Arial" w:cs="Arial"/>
          <w:sz w:val="22"/>
        </w:rPr>
        <w:t>In the UK, telehealth has emerged as a key element of healthcare delivery</w:t>
      </w:r>
      <w:r w:rsidR="00AB3110">
        <w:rPr>
          <w:rFonts w:ascii="Arial" w:hAnsi="Arial" w:cs="Arial"/>
          <w:sz w:val="22"/>
        </w:rPr>
        <w:t xml:space="preserve"> </w:t>
      </w:r>
      <w:r w:rsidRPr="008B7586">
        <w:rPr>
          <w:rFonts w:ascii="Arial" w:hAnsi="Arial" w:cs="Arial"/>
          <w:sz w:val="22"/>
        </w:rPr>
        <w:t>especially considering the COVID-19 pandemic rapid digital expansion. Understanding telehealth's efficacy, equity, and long-term viability within the NHS requires research into its enablers and barriers. Research demonstrates that telehealth can improve access to care, lessen the strain of travel, and facilitate effective long-term condition management. Strong organisational leadership, sufficient training for medical personnel, and digital platforms that successfully interface with current NHS systems are important enablers. Adoption rises, and patient outcomes improve when physicians believe telehealth is beneficial and feel comfortable utilising digital tools. Patient-level facilitators, including digital literacy, dependable internet connectivity, and favourable attitudes toward remote care</w:t>
      </w:r>
      <w:r w:rsidR="00E15698">
        <w:rPr>
          <w:rFonts w:ascii="Arial" w:hAnsi="Arial" w:cs="Arial"/>
          <w:sz w:val="22"/>
        </w:rPr>
        <w:t>.</w:t>
      </w:r>
      <w:r w:rsidRPr="008B7586">
        <w:rPr>
          <w:rFonts w:ascii="Arial" w:hAnsi="Arial" w:cs="Arial"/>
          <w:sz w:val="22"/>
        </w:rPr>
        <w:t xml:space="preserve"> </w:t>
      </w:r>
    </w:p>
    <w:p w14:paraId="2304ED79" w14:textId="1A2FE7B2" w:rsidR="008B7586" w:rsidRPr="008B7586" w:rsidRDefault="008B7586" w:rsidP="008B7586">
      <w:pPr>
        <w:spacing w:line="360" w:lineRule="auto"/>
        <w:rPr>
          <w:rFonts w:ascii="Arial" w:hAnsi="Arial" w:cs="Arial"/>
          <w:sz w:val="22"/>
        </w:rPr>
      </w:pPr>
      <w:r w:rsidRPr="008B7586">
        <w:rPr>
          <w:rFonts w:ascii="Arial" w:hAnsi="Arial" w:cs="Arial"/>
          <w:sz w:val="22"/>
        </w:rPr>
        <w:t xml:space="preserve">Research, however, identifies several obstacles that restrict the effectiveness of telehealth. People with inadequate technology abilities, low-income groups, and older folks are disproportionately affected by digital exclusion, which is still a major problem. Poor connectivity, incompatible technologies, and worries about data security are examples of technical problems that might erode patient and doctor trust. Effective utilisation is further hampered by organisational obstacles like increasing workload, inadequate training, and a lack of standard operating procedures. Furthermore, telemedicine is inappropriate in some healthcare situations, especially those involving complex diagnostic decision-making, safeguarding assessments, or physical examinations. (Greenhalgh, T., Wherton, J., Shaw, S. and Morrison, C. 2020). </w:t>
      </w:r>
    </w:p>
    <w:p w14:paraId="27F3ED8E" w14:textId="77777777" w:rsidR="008B7586" w:rsidRDefault="008B7586" w:rsidP="008B7586"/>
    <w:p w14:paraId="4C40D7CA" w14:textId="77777777" w:rsidR="008B7586" w:rsidRPr="008B7586" w:rsidRDefault="008B7586" w:rsidP="008B7586"/>
    <w:p w14:paraId="4FF2157F" w14:textId="34B03626" w:rsidR="00283EBF" w:rsidRDefault="00283EBF" w:rsidP="00283EBF">
      <w:pPr>
        <w:rPr>
          <w:b/>
          <w:bCs/>
        </w:rPr>
      </w:pPr>
      <w:r w:rsidRPr="00BE0484">
        <w:rPr>
          <w:b/>
          <w:bCs/>
        </w:rPr>
        <w:t xml:space="preserve"> </w:t>
      </w:r>
    </w:p>
    <w:p w14:paraId="0AC42190" w14:textId="77777777" w:rsidR="00F51BA8" w:rsidRDefault="00F51BA8" w:rsidP="00C06FB8">
      <w:pPr>
        <w:pStyle w:val="Heading2"/>
      </w:pPr>
      <w:bookmarkStart w:id="4" w:name="_Toc227850520"/>
    </w:p>
    <w:p w14:paraId="3BB23A3C" w14:textId="77777777" w:rsidR="003E1143" w:rsidRDefault="003E1143" w:rsidP="00C06FB8">
      <w:pPr>
        <w:pStyle w:val="Heading2"/>
      </w:pPr>
    </w:p>
    <w:p w14:paraId="6BB9CD1F" w14:textId="77777777" w:rsidR="003E1143" w:rsidRDefault="003E1143" w:rsidP="00C06FB8">
      <w:pPr>
        <w:pStyle w:val="Heading2"/>
      </w:pPr>
    </w:p>
    <w:p w14:paraId="29F40A56" w14:textId="42B8B483" w:rsidR="003E1143" w:rsidRDefault="00A701E8" w:rsidP="00C06FB8">
      <w:pPr>
        <w:pStyle w:val="Heading2"/>
      </w:pPr>
      <w:r>
        <w:t xml:space="preserve"> </w:t>
      </w:r>
    </w:p>
    <w:p w14:paraId="54E17E74" w14:textId="77777777" w:rsidR="00A701E8" w:rsidRPr="00A701E8" w:rsidRDefault="00A701E8" w:rsidP="00A701E8"/>
    <w:p w14:paraId="53762857" w14:textId="77777777" w:rsidR="003E1143" w:rsidRDefault="003E1143" w:rsidP="00C06FB8">
      <w:pPr>
        <w:pStyle w:val="Heading2"/>
      </w:pPr>
    </w:p>
    <w:p w14:paraId="393BB0CF" w14:textId="123D4469" w:rsidR="00F169C1" w:rsidRDefault="00E1638E" w:rsidP="00C06FB8">
      <w:pPr>
        <w:pStyle w:val="Heading2"/>
      </w:pPr>
      <w:r w:rsidRPr="00E1638E">
        <w:t>Definition</w:t>
      </w:r>
      <w:r w:rsidR="000D6936" w:rsidRPr="00E1638E">
        <w:t xml:space="preserve"> of </w:t>
      </w:r>
      <w:r w:rsidRPr="00E1638E">
        <w:t>main concept</w:t>
      </w:r>
      <w:bookmarkEnd w:id="4"/>
    </w:p>
    <w:p w14:paraId="41A2F99F" w14:textId="77777777" w:rsidR="00F51BA8" w:rsidRPr="00F51BA8" w:rsidRDefault="00F51BA8" w:rsidP="00F51BA8"/>
    <w:p w14:paraId="2B91E03C" w14:textId="74A3D016" w:rsidR="00E1638E" w:rsidRPr="007C00E4" w:rsidRDefault="00500FDA" w:rsidP="00CE7F9C">
      <w:pPr>
        <w:spacing w:line="360" w:lineRule="auto"/>
        <w:rPr>
          <w:rFonts w:ascii="Arial" w:hAnsi="Arial" w:cs="Arial"/>
          <w:sz w:val="22"/>
        </w:rPr>
      </w:pPr>
      <w:r w:rsidRPr="007C00E4">
        <w:rPr>
          <w:rFonts w:ascii="Arial" w:hAnsi="Arial" w:cs="Arial"/>
          <w:sz w:val="22"/>
        </w:rPr>
        <w:t>Nonclinical services using telecommunication technology are sometimes referred to as telehealth. More precisely, telemedicine refers to clinical services that are provided remotely, such as diagnosis, monitoring, and treatment</w:t>
      </w:r>
      <w:r w:rsidR="00790533" w:rsidRPr="007C00E4">
        <w:rPr>
          <w:rFonts w:ascii="Arial" w:hAnsi="Arial" w:cs="Arial"/>
          <w:sz w:val="22"/>
        </w:rPr>
        <w:t xml:space="preserve"> </w:t>
      </w:r>
      <w:r w:rsidR="00DA01B9" w:rsidRPr="007C00E4">
        <w:rPr>
          <w:rFonts w:ascii="Arial" w:hAnsi="Arial" w:cs="Arial"/>
          <w:sz w:val="22"/>
        </w:rPr>
        <w:t>(</w:t>
      </w:r>
      <w:r w:rsidR="00C93892" w:rsidRPr="007C00E4">
        <w:rPr>
          <w:rFonts w:ascii="Arial" w:hAnsi="Arial" w:cs="Arial"/>
          <w:sz w:val="22"/>
        </w:rPr>
        <w:t>Bonica GM, Johns RW, Jadvar H</w:t>
      </w:r>
      <w:r w:rsidR="00DA01B9" w:rsidRPr="007C00E4">
        <w:rPr>
          <w:rFonts w:ascii="Arial" w:hAnsi="Arial" w:cs="Arial"/>
          <w:sz w:val="22"/>
        </w:rPr>
        <w:t xml:space="preserve">. 2024). </w:t>
      </w:r>
      <w:r w:rsidR="00921BE9" w:rsidRPr="007C00E4">
        <w:rPr>
          <w:rFonts w:ascii="Arial" w:hAnsi="Arial" w:cs="Arial"/>
          <w:sz w:val="22"/>
        </w:rPr>
        <w:t xml:space="preserve">Patients can control their health and get care without in-person visits thanks to telehealth, which employs digital technologies to deliver healthcare services remotely. It includes a variety of modalities that support continuous health management and therapeutic contacts, such as video consultations, phone calls, and remote monitoring equipment. By providing various communication alternatives catered to individual needs, telehealth is seen as a crucial service that assists patients, particularly those with specific communication needs like augmentative and alternative communication (AAC) users </w:t>
      </w:r>
      <w:r w:rsidR="00F34E0F" w:rsidRPr="007C00E4">
        <w:rPr>
          <w:rFonts w:ascii="Arial" w:hAnsi="Arial" w:cs="Arial"/>
          <w:sz w:val="22"/>
        </w:rPr>
        <w:t>(Beneteau, E., Paradiso, A. and Pratt, W. 2022)</w:t>
      </w:r>
      <w:r w:rsidR="005B087E" w:rsidRPr="007C00E4">
        <w:rPr>
          <w:rFonts w:ascii="Arial" w:hAnsi="Arial" w:cs="Arial"/>
          <w:sz w:val="22"/>
        </w:rPr>
        <w:t>.</w:t>
      </w:r>
      <w:r w:rsidR="005B087E" w:rsidRPr="00433A13">
        <w:rPr>
          <w:rFonts w:ascii="Arial" w:hAnsi="Arial" w:cs="Arial"/>
        </w:rPr>
        <w:t xml:space="preserve"> </w:t>
      </w:r>
      <w:r w:rsidR="003B3D04" w:rsidRPr="007C00E4">
        <w:rPr>
          <w:rFonts w:ascii="Arial" w:hAnsi="Arial" w:cs="Arial"/>
          <w:sz w:val="22"/>
        </w:rPr>
        <w:t>Telehealth is a practical means of delivering medical care remotely</w:t>
      </w:r>
      <w:r w:rsidR="00E27255">
        <w:rPr>
          <w:rFonts w:ascii="Arial" w:hAnsi="Arial" w:cs="Arial"/>
          <w:sz w:val="22"/>
        </w:rPr>
        <w:t xml:space="preserve"> </w:t>
      </w:r>
      <w:r w:rsidR="003B3D04" w:rsidRPr="007C00E4">
        <w:rPr>
          <w:rFonts w:ascii="Arial" w:hAnsi="Arial" w:cs="Arial"/>
          <w:sz w:val="22"/>
        </w:rPr>
        <w:t xml:space="preserve">and as a means of expanding access for people who have trouble getting around or who reside in distant or rural locations </w:t>
      </w:r>
      <w:r w:rsidR="00423F6F" w:rsidRPr="007C00E4">
        <w:rPr>
          <w:rFonts w:ascii="Arial" w:hAnsi="Arial" w:cs="Arial"/>
          <w:sz w:val="22"/>
        </w:rPr>
        <w:t>(Snoswell, Stringer. et al. 2023)</w:t>
      </w:r>
      <w:r w:rsidR="00A93EA1" w:rsidRPr="007C00E4">
        <w:rPr>
          <w:rFonts w:ascii="Arial" w:hAnsi="Arial" w:cs="Arial"/>
          <w:sz w:val="22"/>
        </w:rPr>
        <w:t xml:space="preserve">. </w:t>
      </w:r>
    </w:p>
    <w:p w14:paraId="4CE4043E" w14:textId="41D97378" w:rsidR="001F541D" w:rsidRPr="007C00E4" w:rsidRDefault="00997F6F" w:rsidP="00CE7F9C">
      <w:pPr>
        <w:spacing w:line="360" w:lineRule="auto"/>
        <w:rPr>
          <w:rFonts w:ascii="Arial" w:hAnsi="Arial" w:cs="Arial"/>
          <w:sz w:val="22"/>
        </w:rPr>
      </w:pPr>
      <w:r w:rsidRPr="007C00E4">
        <w:rPr>
          <w:rFonts w:ascii="Arial" w:hAnsi="Arial" w:cs="Arial"/>
          <w:sz w:val="22"/>
        </w:rPr>
        <w:t xml:space="preserve">In the healthcare industry, facilitators are people or groups who encourage communication, teamwork, and capacity building </w:t>
      </w:r>
      <w:r w:rsidR="002D2667" w:rsidRPr="007C00E4">
        <w:rPr>
          <w:rFonts w:ascii="Arial" w:hAnsi="Arial" w:cs="Arial"/>
          <w:sz w:val="22"/>
        </w:rPr>
        <w:t>to</w:t>
      </w:r>
      <w:r w:rsidRPr="007C00E4">
        <w:rPr>
          <w:rFonts w:ascii="Arial" w:hAnsi="Arial" w:cs="Arial"/>
          <w:sz w:val="22"/>
        </w:rPr>
        <w:t xml:space="preserve"> promote and facilitate the implementation of interventions, collaborations, or practice changes. By overseeing interpersonal relationships, project tasks, and organisational procedures, they serve as change agents that assist in incorporating evidence-based methods into standard treatment. </w:t>
      </w:r>
      <w:r w:rsidR="002D2667" w:rsidRPr="007C00E4">
        <w:rPr>
          <w:rFonts w:ascii="Arial" w:hAnsi="Arial" w:cs="Arial"/>
          <w:sz w:val="22"/>
        </w:rPr>
        <w:t>To</w:t>
      </w:r>
      <w:r w:rsidRPr="007C00E4">
        <w:rPr>
          <w:rFonts w:ascii="Arial" w:hAnsi="Arial" w:cs="Arial"/>
          <w:sz w:val="22"/>
        </w:rPr>
        <w:t xml:space="preserve"> encourage and maintain practice change in healthcare settings, facilitation jobs involve a variety of tasks such meeting management, change management, and group dynamics support</w:t>
      </w:r>
      <w:r w:rsidR="002D2667" w:rsidRPr="007C00E4">
        <w:rPr>
          <w:rFonts w:ascii="Arial" w:hAnsi="Arial" w:cs="Arial"/>
          <w:sz w:val="22"/>
        </w:rPr>
        <w:t>. Facilitators can be outside parties or members of interprofessional teams made up of a variety of health professionals, including doctors, nurses, chemists, and other specialists</w:t>
      </w:r>
      <w:r w:rsidR="000C02AC" w:rsidRPr="007C00E4">
        <w:rPr>
          <w:rFonts w:ascii="Arial" w:hAnsi="Arial" w:cs="Arial"/>
          <w:sz w:val="22"/>
        </w:rPr>
        <w:t xml:space="preserve"> </w:t>
      </w:r>
      <w:r w:rsidR="00B445C4" w:rsidRPr="007C00E4">
        <w:rPr>
          <w:rFonts w:ascii="Arial" w:hAnsi="Arial" w:cs="Arial"/>
          <w:sz w:val="22"/>
        </w:rPr>
        <w:t xml:space="preserve">(Lessard, S. et al. 2016). </w:t>
      </w:r>
    </w:p>
    <w:p w14:paraId="040764B6" w14:textId="56D5C7EE" w:rsidR="006B0E4D" w:rsidRPr="007C00E4" w:rsidRDefault="001012F9" w:rsidP="00CE7F9C">
      <w:pPr>
        <w:spacing w:line="360" w:lineRule="auto"/>
        <w:rPr>
          <w:rFonts w:ascii="Arial" w:hAnsi="Arial" w:cs="Arial"/>
          <w:sz w:val="22"/>
        </w:rPr>
      </w:pPr>
      <w:r w:rsidRPr="007C00E4">
        <w:rPr>
          <w:rFonts w:ascii="Arial" w:hAnsi="Arial" w:cs="Arial"/>
          <w:sz w:val="22"/>
        </w:rPr>
        <w:t>In the UK, telehealth obstacles include a variety of difficulties faced by patients and healthcare professionals. Technological obstacles include inadequate internet connectivity, a lack of expertise with digital technologies, and restricted access to suitable devices.</w:t>
      </w:r>
      <w:r w:rsidR="00A53788" w:rsidRPr="007C00E4">
        <w:rPr>
          <w:rFonts w:ascii="Arial" w:hAnsi="Arial" w:cs="Arial"/>
          <w:sz w:val="22"/>
        </w:rPr>
        <w:t xml:space="preserve"> </w:t>
      </w:r>
      <w:r w:rsidR="00B35774" w:rsidRPr="007C00E4">
        <w:rPr>
          <w:rFonts w:ascii="Arial" w:hAnsi="Arial" w:cs="Arial"/>
          <w:sz w:val="22"/>
        </w:rPr>
        <w:t xml:space="preserve">(Ko, M. et al. 2025). </w:t>
      </w:r>
    </w:p>
    <w:p w14:paraId="4EF977E4" w14:textId="77777777" w:rsidR="00F169C1" w:rsidRDefault="00F169C1" w:rsidP="002000A8"/>
    <w:p w14:paraId="2C8FD211" w14:textId="77777777" w:rsidR="00A8381C" w:rsidRDefault="00A8381C" w:rsidP="00C06FB8">
      <w:pPr>
        <w:pStyle w:val="Heading2"/>
      </w:pPr>
      <w:bookmarkStart w:id="5" w:name="_Toc227850521"/>
    </w:p>
    <w:p w14:paraId="0D6CACEB" w14:textId="77777777" w:rsidR="00A8381C" w:rsidRDefault="00A8381C" w:rsidP="00C06FB8">
      <w:pPr>
        <w:pStyle w:val="Heading2"/>
      </w:pPr>
    </w:p>
    <w:p w14:paraId="339D2D9D" w14:textId="77777777" w:rsidR="00A8381C" w:rsidRDefault="00A8381C" w:rsidP="00C06FB8">
      <w:pPr>
        <w:pStyle w:val="Heading2"/>
      </w:pPr>
    </w:p>
    <w:p w14:paraId="638A1DFB" w14:textId="1D32741D" w:rsidR="002000A8" w:rsidRPr="00BF26C2" w:rsidRDefault="002000A8" w:rsidP="00C06FB8">
      <w:pPr>
        <w:pStyle w:val="Heading2"/>
      </w:pPr>
      <w:r w:rsidRPr="00C06FB8">
        <w:t>Rational</w:t>
      </w:r>
      <w:bookmarkEnd w:id="5"/>
      <w:r w:rsidR="006F56B6" w:rsidRPr="00C06FB8">
        <w:t>e</w:t>
      </w:r>
      <w:r w:rsidR="006F56B6">
        <w:t xml:space="preserve"> </w:t>
      </w:r>
      <w:r>
        <w:t xml:space="preserve"> </w:t>
      </w:r>
    </w:p>
    <w:p w14:paraId="08E0D7A3" w14:textId="77777777" w:rsidR="00BF26C2" w:rsidRPr="00BF26C2" w:rsidRDefault="00BF26C2" w:rsidP="00BF26C2"/>
    <w:p w14:paraId="7B8F2070" w14:textId="118A1A76" w:rsidR="0066421C" w:rsidRPr="007C00E4" w:rsidRDefault="009670E7" w:rsidP="00CE7F9C">
      <w:pPr>
        <w:spacing w:line="360" w:lineRule="auto"/>
        <w:rPr>
          <w:rFonts w:ascii="Arial" w:hAnsi="Arial" w:cs="Arial"/>
          <w:sz w:val="22"/>
        </w:rPr>
      </w:pPr>
      <w:r w:rsidRPr="007C00E4">
        <w:rPr>
          <w:rFonts w:ascii="Arial" w:hAnsi="Arial" w:cs="Arial"/>
          <w:sz w:val="22"/>
        </w:rPr>
        <w:t>In the UK, telehealth is expanding because of several practical, social, and political issues that affect uptake and long-term commitment. The expansion of these services is supported by a governmental push to use assistive technology like telehealth and telecare as creative and effective methods of delivering healthcare</w:t>
      </w:r>
      <w:r w:rsidR="0008406A" w:rsidRPr="007C00E4">
        <w:rPr>
          <w:rFonts w:ascii="Arial" w:hAnsi="Arial" w:cs="Arial"/>
          <w:sz w:val="22"/>
        </w:rPr>
        <w:t xml:space="preserve"> (Cook, E.J. et al. 2016). </w:t>
      </w:r>
      <w:r w:rsidR="00E22A6E" w:rsidRPr="007C00E4">
        <w:rPr>
          <w:rFonts w:ascii="Arial" w:hAnsi="Arial" w:cs="Arial"/>
          <w:sz w:val="22"/>
        </w:rPr>
        <w:t>In the UK, telehealth research is crucial. We need to address issues like lengthy wait times and delays in medical care, especially </w:t>
      </w:r>
      <w:r w:rsidR="00486077" w:rsidRPr="007C00E4">
        <w:rPr>
          <w:rFonts w:ascii="Arial" w:hAnsi="Arial" w:cs="Arial"/>
          <w:sz w:val="22"/>
        </w:rPr>
        <w:t>considering</w:t>
      </w:r>
      <w:r w:rsidR="00E22A6E" w:rsidRPr="007C00E4">
        <w:rPr>
          <w:rFonts w:ascii="Arial" w:hAnsi="Arial" w:cs="Arial"/>
          <w:sz w:val="22"/>
        </w:rPr>
        <w:t> the COVID-19 pandemic.</w:t>
      </w:r>
      <w:r w:rsidR="0015095B" w:rsidRPr="007C00E4">
        <w:rPr>
          <w:rFonts w:ascii="Arial" w:hAnsi="Arial" w:cs="Arial"/>
          <w:sz w:val="22"/>
        </w:rPr>
        <w:t xml:space="preserve">  By improving elements like service acceptability, availability, and</w:t>
      </w:r>
      <w:r w:rsidR="00486077" w:rsidRPr="007C00E4">
        <w:rPr>
          <w:rFonts w:ascii="Arial" w:hAnsi="Arial" w:cs="Arial"/>
          <w:sz w:val="22"/>
        </w:rPr>
        <w:t xml:space="preserve"> accessibility</w:t>
      </w:r>
      <w:r w:rsidR="0015095B" w:rsidRPr="007C00E4">
        <w:rPr>
          <w:rFonts w:ascii="Arial" w:hAnsi="Arial" w:cs="Arial"/>
          <w:sz w:val="22"/>
        </w:rPr>
        <w:t xml:space="preserve"> </w:t>
      </w:r>
      <w:r w:rsidR="001D51E2" w:rsidRPr="007C00E4">
        <w:rPr>
          <w:rFonts w:ascii="Arial" w:hAnsi="Arial" w:cs="Arial"/>
          <w:sz w:val="22"/>
        </w:rPr>
        <w:t>(Wang, S. et al. 2025).</w:t>
      </w:r>
      <w:r w:rsidR="006F7104" w:rsidRPr="007C00E4">
        <w:rPr>
          <w:rFonts w:ascii="Arial" w:hAnsi="Arial" w:cs="Arial"/>
          <w:sz w:val="22"/>
        </w:rPr>
        <w:t xml:space="preserve"> Because medical care services are still unavailable when needed, residents in rural areas have a 14% increase in mortality from preventable diseases</w:t>
      </w:r>
      <w:r w:rsidR="00BA35DE" w:rsidRPr="007C00E4">
        <w:rPr>
          <w:rFonts w:ascii="Arial" w:hAnsi="Arial" w:cs="Arial"/>
          <w:sz w:val="22"/>
        </w:rPr>
        <w:t xml:space="preserve"> (BPP Care, 2025).</w:t>
      </w:r>
      <w:r w:rsidR="009C5D3B" w:rsidRPr="007C00E4">
        <w:rPr>
          <w:rFonts w:ascii="Arial" w:hAnsi="Arial" w:cs="Arial"/>
          <w:sz w:val="22"/>
        </w:rPr>
        <w:t xml:space="preserve"> </w:t>
      </w:r>
      <w:r w:rsidR="00014509" w:rsidRPr="007C00E4">
        <w:rPr>
          <w:rFonts w:ascii="Arial" w:hAnsi="Arial" w:cs="Arial"/>
          <w:sz w:val="22"/>
        </w:rPr>
        <w:t xml:space="preserve">Online video conferencing jumped from 10% to 89%, while </w:t>
      </w:r>
      <w:r w:rsidR="00856C37" w:rsidRPr="007C00E4">
        <w:rPr>
          <w:rFonts w:ascii="Arial" w:hAnsi="Arial" w:cs="Arial"/>
          <w:sz w:val="22"/>
        </w:rPr>
        <w:t>telephone-based</w:t>
      </w:r>
      <w:r w:rsidR="001251FA" w:rsidRPr="007C00E4">
        <w:rPr>
          <w:rFonts w:ascii="Arial" w:hAnsi="Arial" w:cs="Arial"/>
          <w:sz w:val="22"/>
        </w:rPr>
        <w:t xml:space="preserve"> telemedicine utilisation increased from 66% before the pand</w:t>
      </w:r>
      <w:r w:rsidR="008526D1" w:rsidRPr="007C00E4">
        <w:rPr>
          <w:rFonts w:ascii="Arial" w:hAnsi="Arial" w:cs="Arial"/>
          <w:sz w:val="22"/>
        </w:rPr>
        <w:t xml:space="preserve">emic to 98% during it </w:t>
      </w:r>
      <w:r w:rsidR="005D6D28" w:rsidRPr="007C00E4">
        <w:rPr>
          <w:rFonts w:ascii="Arial" w:hAnsi="Arial" w:cs="Arial"/>
          <w:sz w:val="22"/>
        </w:rPr>
        <w:t>(Nelson, D. et al. 2023).</w:t>
      </w:r>
      <w:r w:rsidR="00257BF7" w:rsidRPr="007C00E4">
        <w:rPr>
          <w:rFonts w:ascii="Arial" w:hAnsi="Arial" w:cs="Arial"/>
          <w:sz w:val="22"/>
        </w:rPr>
        <w:t xml:space="preserve"> In the UK, telehealth has become increasingly popular for managing</w:t>
      </w:r>
      <w:r w:rsidR="00136AF4" w:rsidRPr="007C00E4">
        <w:rPr>
          <w:rFonts w:ascii="Arial" w:hAnsi="Arial" w:cs="Arial"/>
          <w:sz w:val="22"/>
        </w:rPr>
        <w:t>chronic illnesses and </w:t>
      </w:r>
      <w:r w:rsidR="001B117B" w:rsidRPr="007C00E4">
        <w:rPr>
          <w:rFonts w:ascii="Arial" w:hAnsi="Arial" w:cs="Arial"/>
          <w:sz w:val="22"/>
        </w:rPr>
        <w:t xml:space="preserve">     </w:t>
      </w:r>
      <w:r w:rsidR="00136AF4" w:rsidRPr="007C00E4">
        <w:rPr>
          <w:rFonts w:ascii="Arial" w:hAnsi="Arial" w:cs="Arial"/>
          <w:sz w:val="22"/>
        </w:rPr>
        <w:t>providing allied health professional (AHP) services.</w:t>
      </w:r>
      <w:r w:rsidR="007A35D5" w:rsidRPr="007C00E4">
        <w:rPr>
          <w:rFonts w:ascii="Arial" w:hAnsi="Arial" w:cs="Arial"/>
          <w:sz w:val="22"/>
        </w:rPr>
        <w:t xml:space="preserve"> NHS AHP services quickly switched</w:t>
      </w:r>
      <w:r w:rsidR="001B117B" w:rsidRPr="007C00E4">
        <w:rPr>
          <w:rFonts w:ascii="Arial" w:hAnsi="Arial" w:cs="Arial"/>
          <w:sz w:val="22"/>
        </w:rPr>
        <w:t xml:space="preserve"> </w:t>
      </w:r>
      <w:r w:rsidR="003314F2" w:rsidRPr="007C00E4">
        <w:rPr>
          <w:rFonts w:ascii="Arial" w:hAnsi="Arial" w:cs="Arial"/>
          <w:sz w:val="22"/>
        </w:rPr>
        <w:t xml:space="preserve">to virtual consultations during the </w:t>
      </w:r>
      <w:r w:rsidR="00654F7B" w:rsidRPr="007C00E4">
        <w:rPr>
          <w:rFonts w:ascii="Arial" w:hAnsi="Arial" w:cs="Arial"/>
          <w:sz w:val="22"/>
        </w:rPr>
        <w:t xml:space="preserve">COVID 19 pandemic. </w:t>
      </w:r>
      <w:r w:rsidR="0038011D" w:rsidRPr="007C00E4">
        <w:rPr>
          <w:rFonts w:ascii="Arial" w:hAnsi="Arial" w:cs="Arial"/>
          <w:sz w:val="22"/>
        </w:rPr>
        <w:t xml:space="preserve">Most physicians and services </w:t>
      </w:r>
      <w:r w:rsidR="00654F7B" w:rsidRPr="007C00E4">
        <w:rPr>
          <w:rFonts w:ascii="Arial" w:hAnsi="Arial" w:cs="Arial"/>
          <w:sz w:val="22"/>
        </w:rPr>
        <w:t>are</w:t>
      </w:r>
      <w:r w:rsidR="0038011D" w:rsidRPr="007C00E4">
        <w:rPr>
          <w:rFonts w:ascii="Arial" w:hAnsi="Arial" w:cs="Arial"/>
          <w:sz w:val="22"/>
        </w:rPr>
        <w:t xml:space="preserve"> </w:t>
      </w:r>
      <w:r w:rsidR="00654F7B" w:rsidRPr="007C00E4">
        <w:rPr>
          <w:rFonts w:ascii="Arial" w:hAnsi="Arial" w:cs="Arial"/>
          <w:sz w:val="22"/>
        </w:rPr>
        <w:t>embracing telehealth and intend to keep using it beyond the </w:t>
      </w:r>
      <w:r w:rsidR="002B711E" w:rsidRPr="007C00E4">
        <w:rPr>
          <w:rFonts w:ascii="Arial" w:hAnsi="Arial" w:cs="Arial"/>
          <w:sz w:val="22"/>
        </w:rPr>
        <w:t>pandemic.</w:t>
      </w:r>
      <w:r w:rsidR="00BB240C" w:rsidRPr="007C00E4">
        <w:rPr>
          <w:rFonts w:ascii="Arial" w:hAnsi="Arial" w:cs="Arial"/>
          <w:sz w:val="22"/>
        </w:rPr>
        <w:t xml:space="preserve"> However</w:t>
      </w:r>
      <w:r w:rsidR="00DD40C5" w:rsidRPr="007C00E4">
        <w:rPr>
          <w:rFonts w:ascii="Arial" w:hAnsi="Arial" w:cs="Arial"/>
          <w:sz w:val="22"/>
        </w:rPr>
        <w:t xml:space="preserve"> </w:t>
      </w:r>
      <w:r w:rsidR="005E097C" w:rsidRPr="007C00E4">
        <w:rPr>
          <w:rFonts w:ascii="Arial" w:hAnsi="Arial" w:cs="Arial"/>
          <w:sz w:val="22"/>
        </w:rPr>
        <w:t xml:space="preserve">this </w:t>
      </w:r>
      <w:r w:rsidR="0038011D" w:rsidRPr="007C00E4">
        <w:rPr>
          <w:rFonts w:ascii="Arial" w:hAnsi="Arial" w:cs="Arial"/>
          <w:sz w:val="22"/>
        </w:rPr>
        <w:t xml:space="preserve">growth </w:t>
      </w:r>
      <w:r w:rsidR="001059C2" w:rsidRPr="007C00E4">
        <w:rPr>
          <w:rFonts w:ascii="Arial" w:hAnsi="Arial" w:cs="Arial"/>
          <w:sz w:val="22"/>
        </w:rPr>
        <w:t>has brought to light issues with digital literacy and access</w:t>
      </w:r>
      <w:r w:rsidR="00654F7B" w:rsidRPr="007C00E4">
        <w:rPr>
          <w:rFonts w:ascii="Arial" w:hAnsi="Arial" w:cs="Arial"/>
          <w:sz w:val="22"/>
        </w:rPr>
        <w:t>,</w:t>
      </w:r>
      <w:r w:rsidR="0038011D" w:rsidRPr="007C00E4">
        <w:rPr>
          <w:rFonts w:ascii="Arial" w:hAnsi="Arial" w:cs="Arial"/>
          <w:sz w:val="22"/>
        </w:rPr>
        <w:t xml:space="preserve"> which could </w:t>
      </w:r>
      <w:r w:rsidR="007C00E4" w:rsidRPr="007C00E4">
        <w:rPr>
          <w:rFonts w:ascii="Arial" w:hAnsi="Arial" w:cs="Arial"/>
          <w:sz w:val="22"/>
        </w:rPr>
        <w:t xml:space="preserve">worsen </w:t>
      </w:r>
      <w:r w:rsidR="001059C2" w:rsidRPr="007C00E4">
        <w:rPr>
          <w:rFonts w:ascii="Arial" w:hAnsi="Arial" w:cs="Arial"/>
          <w:sz w:val="22"/>
        </w:rPr>
        <w:t>health</w:t>
      </w:r>
      <w:r w:rsidR="007C00E4" w:rsidRPr="007C00E4">
        <w:rPr>
          <w:rFonts w:ascii="Arial" w:hAnsi="Arial" w:cs="Arial"/>
          <w:sz w:val="22"/>
        </w:rPr>
        <w:t xml:space="preserve"> </w:t>
      </w:r>
      <w:r w:rsidR="00654F7B" w:rsidRPr="007C00E4">
        <w:rPr>
          <w:rFonts w:ascii="Arial" w:hAnsi="Arial" w:cs="Arial"/>
          <w:sz w:val="22"/>
        </w:rPr>
        <w:t xml:space="preserve">disparities for vulnerable groups lacking resources or technological knowhow, hence restricting the reach and advantages of telehealth in these populations </w:t>
      </w:r>
      <w:r w:rsidR="00012ABF" w:rsidRPr="007C00E4">
        <w:rPr>
          <w:rFonts w:ascii="Arial" w:hAnsi="Arial" w:cs="Arial"/>
          <w:sz w:val="22"/>
        </w:rPr>
        <w:t xml:space="preserve">(Eddison, N. et al. 2022). </w:t>
      </w:r>
    </w:p>
    <w:p w14:paraId="7037B2FC" w14:textId="77777777" w:rsidR="0066421C" w:rsidRPr="00433A13" w:rsidRDefault="0066421C" w:rsidP="002000A8">
      <w:pPr>
        <w:rPr>
          <w:rFonts w:ascii="Arial" w:hAnsi="Arial" w:cs="Arial"/>
        </w:rPr>
      </w:pPr>
    </w:p>
    <w:p w14:paraId="7650CD47" w14:textId="77777777" w:rsidR="00BA115F" w:rsidRDefault="00BA115F" w:rsidP="00CD33A8">
      <w:pPr>
        <w:tabs>
          <w:tab w:val="left" w:pos="6540"/>
        </w:tabs>
        <w:spacing w:line="360" w:lineRule="auto"/>
        <w:rPr>
          <w:rStyle w:val="Heading1Char"/>
        </w:rPr>
      </w:pPr>
    </w:p>
    <w:p w14:paraId="7197B8E8" w14:textId="77777777" w:rsidR="00BA115F" w:rsidRDefault="00BA115F" w:rsidP="00CD33A8">
      <w:pPr>
        <w:tabs>
          <w:tab w:val="left" w:pos="6540"/>
        </w:tabs>
        <w:spacing w:line="360" w:lineRule="auto"/>
        <w:rPr>
          <w:rStyle w:val="Heading1Char"/>
        </w:rPr>
      </w:pPr>
    </w:p>
    <w:p w14:paraId="0A055B5A" w14:textId="77777777" w:rsidR="00BA115F" w:rsidRDefault="00BA115F" w:rsidP="00CD33A8">
      <w:pPr>
        <w:tabs>
          <w:tab w:val="left" w:pos="6540"/>
        </w:tabs>
        <w:spacing w:line="360" w:lineRule="auto"/>
        <w:rPr>
          <w:rStyle w:val="Heading1Char"/>
        </w:rPr>
      </w:pPr>
    </w:p>
    <w:p w14:paraId="0DF4EE57" w14:textId="77777777" w:rsidR="00BA115F" w:rsidRDefault="00BA115F" w:rsidP="00CD33A8">
      <w:pPr>
        <w:tabs>
          <w:tab w:val="left" w:pos="6540"/>
        </w:tabs>
        <w:spacing w:line="360" w:lineRule="auto"/>
        <w:rPr>
          <w:rStyle w:val="Heading1Char"/>
        </w:rPr>
      </w:pPr>
    </w:p>
    <w:p w14:paraId="5E4E8039" w14:textId="0A8E3E33" w:rsidR="002000A8" w:rsidRPr="007C00E4" w:rsidRDefault="002000A8" w:rsidP="00CD33A8">
      <w:pPr>
        <w:tabs>
          <w:tab w:val="left" w:pos="6540"/>
        </w:tabs>
        <w:spacing w:line="360" w:lineRule="auto"/>
        <w:rPr>
          <w:rFonts w:ascii="Arial" w:hAnsi="Arial" w:cs="Arial"/>
          <w:sz w:val="22"/>
        </w:rPr>
      </w:pPr>
      <w:bookmarkStart w:id="6" w:name="_Toc227850522"/>
      <w:r w:rsidRPr="00401FAC">
        <w:rPr>
          <w:rStyle w:val="Heading2Char"/>
        </w:rPr>
        <w:t>Review question</w:t>
      </w:r>
      <w:bookmarkEnd w:id="6"/>
      <w:r w:rsidRPr="002000A8">
        <w:rPr>
          <w:rFonts w:ascii="Arial" w:hAnsi="Arial" w:cs="Arial"/>
          <w:b/>
          <w:bCs/>
          <w:sz w:val="22"/>
        </w:rPr>
        <w:t xml:space="preserve">: </w:t>
      </w:r>
      <w:r w:rsidRPr="007C00E4">
        <w:rPr>
          <w:rFonts w:ascii="Arial" w:hAnsi="Arial" w:cs="Arial"/>
          <w:sz w:val="22"/>
        </w:rPr>
        <w:t>What are the barriers and facilitators to implement telehealth in the U</w:t>
      </w:r>
      <w:r w:rsidR="00095FBA" w:rsidRPr="007C00E4">
        <w:rPr>
          <w:rFonts w:ascii="Arial" w:hAnsi="Arial" w:cs="Arial"/>
          <w:sz w:val="22"/>
        </w:rPr>
        <w:t>k</w:t>
      </w:r>
    </w:p>
    <w:p w14:paraId="7D6F11FC" w14:textId="77777777" w:rsidR="00474F85" w:rsidRPr="002000A8" w:rsidRDefault="00474F85" w:rsidP="00CD33A8">
      <w:pPr>
        <w:tabs>
          <w:tab w:val="left" w:pos="6540"/>
        </w:tabs>
        <w:spacing w:line="360" w:lineRule="auto"/>
        <w:rPr>
          <w:rFonts w:ascii="Arial" w:hAnsi="Arial" w:cs="Arial"/>
          <w:sz w:val="22"/>
        </w:rPr>
      </w:pPr>
    </w:p>
    <w:p w14:paraId="0208E3DB" w14:textId="77777777" w:rsidR="004A435D" w:rsidRDefault="0026393A" w:rsidP="00C12D79">
      <w:pPr>
        <w:pStyle w:val="Heading1"/>
      </w:pPr>
      <w:bookmarkStart w:id="7" w:name="_Toc227850523"/>
      <w:r w:rsidRPr="00401FAC">
        <w:rPr>
          <w:rStyle w:val="Heading2Char"/>
        </w:rPr>
        <w:lastRenderedPageBreak/>
        <w:t>Objectives</w:t>
      </w:r>
      <w:r w:rsidR="00095FBA">
        <w:t>:</w:t>
      </w:r>
      <w:bookmarkEnd w:id="7"/>
      <w:r w:rsidR="00095FBA">
        <w:t xml:space="preserve"> </w:t>
      </w:r>
    </w:p>
    <w:p w14:paraId="21BE7300" w14:textId="0B637840" w:rsidR="00095FBA" w:rsidRDefault="00095FBA" w:rsidP="004A435D">
      <w:r>
        <w:t xml:space="preserve"> </w:t>
      </w:r>
    </w:p>
    <w:p w14:paraId="224E7F93" w14:textId="77777777" w:rsidR="00095FBA" w:rsidRPr="007C00E4" w:rsidRDefault="00095FBA" w:rsidP="004F50EA">
      <w:pPr>
        <w:spacing w:line="360" w:lineRule="auto"/>
        <w:rPr>
          <w:rFonts w:ascii="Arial" w:hAnsi="Arial" w:cs="Arial"/>
          <w:sz w:val="22"/>
        </w:rPr>
      </w:pPr>
      <w:r>
        <w:t>•</w:t>
      </w:r>
      <w:r>
        <w:tab/>
      </w:r>
      <w:r w:rsidRPr="007C00E4">
        <w:rPr>
          <w:rFonts w:ascii="Arial" w:hAnsi="Arial" w:cs="Arial"/>
          <w:sz w:val="22"/>
        </w:rPr>
        <w:t>Find out how many people in rural UK areas are now using telehealth.</w:t>
      </w:r>
    </w:p>
    <w:p w14:paraId="3880E333" w14:textId="557B7EB7" w:rsidR="00095FBA" w:rsidRPr="007C00E4" w:rsidRDefault="00095FBA" w:rsidP="004F50EA">
      <w:pPr>
        <w:spacing w:line="360" w:lineRule="auto"/>
        <w:rPr>
          <w:rFonts w:ascii="Arial" w:hAnsi="Arial" w:cs="Arial"/>
          <w:sz w:val="22"/>
        </w:rPr>
      </w:pPr>
      <w:r w:rsidRPr="007C00E4">
        <w:rPr>
          <w:rFonts w:ascii="Arial" w:hAnsi="Arial" w:cs="Arial"/>
          <w:sz w:val="22"/>
        </w:rPr>
        <w:t>•</w:t>
      </w:r>
      <w:r w:rsidRPr="007C00E4">
        <w:rPr>
          <w:rFonts w:ascii="Arial" w:hAnsi="Arial" w:cs="Arial"/>
          <w:sz w:val="22"/>
        </w:rPr>
        <w:tab/>
        <w:t>Determine obstacles</w:t>
      </w:r>
      <w:r w:rsidR="002106D5" w:rsidRPr="007C00E4">
        <w:rPr>
          <w:rFonts w:ascii="Arial" w:hAnsi="Arial" w:cs="Arial"/>
          <w:sz w:val="22"/>
        </w:rPr>
        <w:t>,</w:t>
      </w:r>
      <w:r w:rsidR="000E39CF" w:rsidRPr="007C00E4">
        <w:rPr>
          <w:rFonts w:ascii="Arial" w:hAnsi="Arial" w:cs="Arial"/>
          <w:sz w:val="22"/>
        </w:rPr>
        <w:t xml:space="preserve"> </w:t>
      </w:r>
      <w:r w:rsidRPr="007C00E4">
        <w:rPr>
          <w:rFonts w:ascii="Arial" w:hAnsi="Arial" w:cs="Arial"/>
          <w:sz w:val="22"/>
        </w:rPr>
        <w:t>device access, broadband availability, and digital literacy.</w:t>
      </w:r>
    </w:p>
    <w:p w14:paraId="4398E93A" w14:textId="77777777" w:rsidR="00095FBA" w:rsidRPr="007C00E4" w:rsidRDefault="00095FBA" w:rsidP="004F50EA">
      <w:pPr>
        <w:spacing w:line="360" w:lineRule="auto"/>
        <w:rPr>
          <w:rFonts w:ascii="Arial" w:hAnsi="Arial" w:cs="Arial"/>
          <w:sz w:val="22"/>
        </w:rPr>
      </w:pPr>
      <w:r w:rsidRPr="007C00E4">
        <w:rPr>
          <w:rFonts w:ascii="Arial" w:hAnsi="Arial" w:cs="Arial"/>
          <w:sz w:val="22"/>
        </w:rPr>
        <w:t>•</w:t>
      </w:r>
      <w:r w:rsidRPr="007C00E4">
        <w:rPr>
          <w:rFonts w:ascii="Arial" w:hAnsi="Arial" w:cs="Arial"/>
          <w:sz w:val="22"/>
        </w:rPr>
        <w:tab/>
        <w:t>Analyse how telehealth affects access to healthcare.</w:t>
      </w:r>
    </w:p>
    <w:p w14:paraId="5C383DC5" w14:textId="77777777" w:rsidR="00095FBA" w:rsidRPr="007C00E4" w:rsidRDefault="00095FBA" w:rsidP="004F50EA">
      <w:pPr>
        <w:spacing w:line="360" w:lineRule="auto"/>
        <w:rPr>
          <w:rFonts w:ascii="Arial" w:hAnsi="Arial" w:cs="Arial"/>
          <w:sz w:val="22"/>
        </w:rPr>
      </w:pPr>
      <w:r w:rsidRPr="007C00E4">
        <w:rPr>
          <w:rFonts w:ascii="Arial" w:hAnsi="Arial" w:cs="Arial"/>
          <w:sz w:val="22"/>
        </w:rPr>
        <w:t>•</w:t>
      </w:r>
      <w:r w:rsidRPr="007C00E4">
        <w:rPr>
          <w:rFonts w:ascii="Arial" w:hAnsi="Arial" w:cs="Arial"/>
          <w:sz w:val="22"/>
        </w:rPr>
        <w:tab/>
        <w:t>Make suggestions regarding the usage of telehealth.</w:t>
      </w:r>
    </w:p>
    <w:p w14:paraId="0826E35B" w14:textId="77777777" w:rsidR="00095FBA" w:rsidRPr="00095FBA" w:rsidRDefault="00095FBA" w:rsidP="00095FBA"/>
    <w:p w14:paraId="52010A5E" w14:textId="73496480" w:rsidR="0026393A" w:rsidRDefault="00085D42" w:rsidP="00CD33A8">
      <w:pPr>
        <w:tabs>
          <w:tab w:val="left" w:pos="6540"/>
        </w:tabs>
        <w:spacing w:line="360" w:lineRule="auto"/>
        <w:rPr>
          <w:rFonts w:ascii="Arial" w:hAnsi="Arial" w:cs="Arial"/>
          <w:sz w:val="22"/>
        </w:rPr>
      </w:pPr>
      <w:r w:rsidRPr="00085D42">
        <w:rPr>
          <w:rFonts w:ascii="Arial" w:hAnsi="Arial" w:cs="Arial"/>
          <w:noProof/>
          <w:sz w:val="22"/>
        </w:rPr>
        <w:drawing>
          <wp:inline distT="0" distB="0" distL="0" distR="0" wp14:anchorId="6F17BDCB" wp14:editId="17A642AF">
            <wp:extent cx="5721350" cy="4455268"/>
            <wp:effectExtent l="0" t="0" r="0" b="2540"/>
            <wp:docPr id="140887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782" cy="4458719"/>
                    </a:xfrm>
                    <a:prstGeom prst="rect">
                      <a:avLst/>
                    </a:prstGeom>
                    <a:noFill/>
                    <a:ln>
                      <a:noFill/>
                    </a:ln>
                  </pic:spPr>
                </pic:pic>
              </a:graphicData>
            </a:graphic>
          </wp:inline>
        </w:drawing>
      </w:r>
    </w:p>
    <w:p w14:paraId="6F0578AC" w14:textId="7161AEEE" w:rsidR="00085D42" w:rsidRPr="00CD33A8" w:rsidRDefault="00085D42" w:rsidP="00CD33A8">
      <w:pPr>
        <w:tabs>
          <w:tab w:val="left" w:pos="6540"/>
        </w:tabs>
        <w:spacing w:line="360" w:lineRule="auto"/>
        <w:rPr>
          <w:rFonts w:ascii="Arial" w:hAnsi="Arial" w:cs="Arial"/>
          <w:sz w:val="22"/>
        </w:rPr>
      </w:pPr>
      <w:r w:rsidRPr="00085D42">
        <w:rPr>
          <w:rFonts w:ascii="Arial" w:hAnsi="Arial" w:cs="Arial"/>
          <w:sz w:val="22"/>
        </w:rPr>
        <w:t xml:space="preserve">(Market us Media, 2026).  </w:t>
      </w:r>
    </w:p>
    <w:p w14:paraId="2E51761F" w14:textId="77777777" w:rsidR="00401FAC" w:rsidRDefault="00401FAC" w:rsidP="00C12D79">
      <w:pPr>
        <w:pStyle w:val="Heading1"/>
      </w:pPr>
    </w:p>
    <w:p w14:paraId="0F7D7609" w14:textId="4F4F3FDA" w:rsidR="0026393A" w:rsidRDefault="0026393A" w:rsidP="00C12D79">
      <w:pPr>
        <w:pStyle w:val="Heading1"/>
      </w:pPr>
      <w:bookmarkStart w:id="8" w:name="_Toc227850524"/>
      <w:r w:rsidRPr="00CD33A8">
        <w:t>Background</w:t>
      </w:r>
      <w:bookmarkEnd w:id="8"/>
    </w:p>
    <w:p w14:paraId="5195A200" w14:textId="77777777" w:rsidR="00BA115F" w:rsidRPr="00BA115F" w:rsidRDefault="00BA115F" w:rsidP="00BA115F"/>
    <w:p w14:paraId="194AB7AE" w14:textId="06263286" w:rsidR="004F003D" w:rsidRDefault="00BA7E86" w:rsidP="00C06FB8">
      <w:pPr>
        <w:pStyle w:val="Heading2"/>
      </w:pPr>
      <w:bookmarkStart w:id="9" w:name="_Toc227850525"/>
      <w:r w:rsidRPr="007C00E4">
        <w:lastRenderedPageBreak/>
        <w:t>Evolution of Telehealth in the UK</w:t>
      </w:r>
      <w:bookmarkEnd w:id="9"/>
    </w:p>
    <w:p w14:paraId="659572D3" w14:textId="77777777" w:rsidR="001367FC" w:rsidRPr="001367FC" w:rsidRDefault="001367FC" w:rsidP="001367FC"/>
    <w:p w14:paraId="15DC0B6D" w14:textId="26CF6CE6" w:rsidR="004517CF" w:rsidRPr="007A6105" w:rsidRDefault="002548D2" w:rsidP="004F50EA">
      <w:pPr>
        <w:spacing w:line="360" w:lineRule="auto"/>
        <w:rPr>
          <w:rFonts w:ascii="Arial" w:hAnsi="Arial" w:cs="Arial"/>
          <w:sz w:val="22"/>
        </w:rPr>
      </w:pPr>
      <w:r w:rsidRPr="007A6105">
        <w:rPr>
          <w:rFonts w:ascii="Arial" w:hAnsi="Arial" w:cs="Arial"/>
          <w:sz w:val="22"/>
        </w:rPr>
        <w:t>Organisational difficulties, changing healthcare demands, and regulatory initiatives have </w:t>
      </w:r>
      <w:r w:rsidR="00EE3910" w:rsidRPr="007A6105">
        <w:rPr>
          <w:rFonts w:ascii="Arial" w:hAnsi="Arial" w:cs="Arial"/>
          <w:sz w:val="22"/>
        </w:rPr>
        <w:t>all had</w:t>
      </w:r>
      <w:r w:rsidRPr="007A6105">
        <w:rPr>
          <w:rFonts w:ascii="Arial" w:hAnsi="Arial" w:cs="Arial"/>
          <w:sz w:val="22"/>
        </w:rPr>
        <w:t xml:space="preserve"> an impact on the growth of telehealth services in </w:t>
      </w:r>
      <w:r w:rsidR="00945575" w:rsidRPr="007A6105">
        <w:rPr>
          <w:rFonts w:ascii="Arial" w:hAnsi="Arial" w:cs="Arial"/>
          <w:sz w:val="22"/>
        </w:rPr>
        <w:t xml:space="preserve">the UK. </w:t>
      </w:r>
      <w:r w:rsidR="00EE3910" w:rsidRPr="007A6105">
        <w:rPr>
          <w:rFonts w:ascii="Arial" w:hAnsi="Arial" w:cs="Arial"/>
          <w:sz w:val="22"/>
        </w:rPr>
        <w:t>To</w:t>
      </w:r>
      <w:r w:rsidR="001A2223" w:rsidRPr="007A6105">
        <w:rPr>
          <w:rFonts w:ascii="Arial" w:hAnsi="Arial" w:cs="Arial"/>
          <w:sz w:val="22"/>
        </w:rPr>
        <w:t> innovate and increase efficiency, there has been a strong</w:t>
      </w:r>
      <w:r w:rsidR="00095506" w:rsidRPr="007A6105">
        <w:rPr>
          <w:rFonts w:ascii="Arial" w:hAnsi="Arial" w:cs="Arial"/>
          <w:sz w:val="22"/>
        </w:rPr>
        <w:t xml:space="preserve"> </w:t>
      </w:r>
      <w:r w:rsidR="0055463D" w:rsidRPr="007A6105">
        <w:rPr>
          <w:rFonts w:ascii="Arial" w:hAnsi="Arial" w:cs="Arial"/>
          <w:sz w:val="22"/>
        </w:rPr>
        <w:t>political push to include assistive</w:t>
      </w:r>
      <w:r w:rsidR="00260057" w:rsidRPr="007A6105">
        <w:rPr>
          <w:rFonts w:ascii="Arial" w:hAnsi="Arial" w:cs="Arial"/>
          <w:sz w:val="22"/>
        </w:rPr>
        <w:t> technology like telehealth and telecare</w:t>
      </w:r>
      <w:r w:rsidR="0055463D" w:rsidRPr="007A6105">
        <w:rPr>
          <w:rFonts w:ascii="Arial" w:hAnsi="Arial" w:cs="Arial"/>
          <w:sz w:val="22"/>
        </w:rPr>
        <w:t xml:space="preserve"> </w:t>
      </w:r>
      <w:r w:rsidR="00105A92" w:rsidRPr="007A6105">
        <w:rPr>
          <w:rFonts w:ascii="Arial" w:hAnsi="Arial" w:cs="Arial"/>
          <w:sz w:val="22"/>
        </w:rPr>
        <w:t xml:space="preserve">in healthcare delivery. </w:t>
      </w:r>
      <w:r w:rsidR="004C1524" w:rsidRPr="007A6105">
        <w:rPr>
          <w:rFonts w:ascii="Arial" w:hAnsi="Arial" w:cs="Arial"/>
          <w:sz w:val="22"/>
        </w:rPr>
        <w:t>Early implementation initiatives, like the Cambridgeshire </w:t>
      </w:r>
      <w:r w:rsidR="007B7962">
        <w:rPr>
          <w:rFonts w:ascii="Arial" w:hAnsi="Arial" w:cs="Arial"/>
          <w:sz w:val="22"/>
        </w:rPr>
        <w:t>c</w:t>
      </w:r>
      <w:r w:rsidR="0059295A" w:rsidRPr="007A6105">
        <w:rPr>
          <w:rFonts w:ascii="Arial" w:hAnsi="Arial" w:cs="Arial"/>
          <w:sz w:val="22"/>
        </w:rPr>
        <w:t xml:space="preserve">ommunity </w:t>
      </w:r>
      <w:r w:rsidR="002A35CA">
        <w:rPr>
          <w:rFonts w:ascii="Arial" w:hAnsi="Arial" w:cs="Arial"/>
          <w:sz w:val="22"/>
        </w:rPr>
        <w:t>s</w:t>
      </w:r>
      <w:r w:rsidR="002A35CA" w:rsidRPr="007A6105">
        <w:rPr>
          <w:rFonts w:ascii="Arial" w:hAnsi="Arial" w:cs="Arial"/>
          <w:sz w:val="22"/>
        </w:rPr>
        <w:t>ervices</w:t>
      </w:r>
      <w:r w:rsidR="002A35CA">
        <w:rPr>
          <w:rFonts w:ascii="Arial" w:hAnsi="Arial" w:cs="Arial"/>
          <w:sz w:val="22"/>
        </w:rPr>
        <w:t xml:space="preserve">, </w:t>
      </w:r>
      <w:r w:rsidR="002A35CA" w:rsidRPr="007A6105">
        <w:rPr>
          <w:rFonts w:ascii="Arial" w:hAnsi="Arial" w:cs="Arial"/>
          <w:sz w:val="22"/>
        </w:rPr>
        <w:t>Telehealth</w:t>
      </w:r>
      <w:r w:rsidR="00615FF6" w:rsidRPr="007A6105">
        <w:rPr>
          <w:rFonts w:ascii="Arial" w:hAnsi="Arial" w:cs="Arial"/>
          <w:sz w:val="22"/>
        </w:rPr>
        <w:t> and Telecare service, emphasised the significance of patient acceptance and </w:t>
      </w:r>
      <w:r w:rsidR="0059295A" w:rsidRPr="007A6105">
        <w:rPr>
          <w:rFonts w:ascii="Arial" w:hAnsi="Arial" w:cs="Arial"/>
          <w:sz w:val="22"/>
        </w:rPr>
        <w:t xml:space="preserve">         </w:t>
      </w:r>
      <w:r w:rsidR="00615FF6" w:rsidRPr="007A6105">
        <w:rPr>
          <w:rFonts w:ascii="Arial" w:hAnsi="Arial" w:cs="Arial"/>
          <w:sz w:val="22"/>
        </w:rPr>
        <w:t>engagement, with adoption decisions influenced by usability, perceived usefulness, and </w:t>
      </w:r>
      <w:r w:rsidR="0059295A" w:rsidRPr="007A6105">
        <w:rPr>
          <w:rFonts w:ascii="Arial" w:hAnsi="Arial" w:cs="Arial"/>
          <w:sz w:val="22"/>
        </w:rPr>
        <w:t xml:space="preserve">         </w:t>
      </w:r>
      <w:r w:rsidR="00615FF6" w:rsidRPr="007A6105">
        <w:rPr>
          <w:rFonts w:ascii="Arial" w:hAnsi="Arial" w:cs="Arial"/>
          <w:sz w:val="22"/>
        </w:rPr>
        <w:t>identity and independence concerns.</w:t>
      </w:r>
      <w:r w:rsidR="00A83D5B" w:rsidRPr="007A6105">
        <w:rPr>
          <w:rFonts w:ascii="Arial" w:hAnsi="Arial" w:cs="Arial"/>
          <w:sz w:val="22"/>
        </w:rPr>
        <w:t xml:space="preserve"> Referrers' roles and agencies' strategic participation </w:t>
      </w:r>
      <w:r w:rsidR="00615FF6" w:rsidRPr="007A6105">
        <w:rPr>
          <w:rFonts w:ascii="Arial" w:hAnsi="Arial" w:cs="Arial"/>
          <w:sz w:val="22"/>
        </w:rPr>
        <w:t>were found to be crucial in promoting uptake, especially among elderly groups who could </w:t>
      </w:r>
      <w:r w:rsidR="00A83D5B" w:rsidRPr="007A6105">
        <w:rPr>
          <w:rFonts w:ascii="Arial" w:hAnsi="Arial" w:cs="Arial"/>
          <w:sz w:val="22"/>
        </w:rPr>
        <w:t xml:space="preserve">    </w:t>
      </w:r>
      <w:r w:rsidR="00615FF6" w:rsidRPr="007A6105">
        <w:rPr>
          <w:rFonts w:ascii="Arial" w:hAnsi="Arial" w:cs="Arial"/>
          <w:sz w:val="22"/>
        </w:rPr>
        <w:t xml:space="preserve">have more unfavourable attitudes toward technology </w:t>
      </w:r>
      <w:r w:rsidR="00DA2E4A" w:rsidRPr="007A6105">
        <w:rPr>
          <w:rFonts w:ascii="Arial" w:hAnsi="Arial" w:cs="Arial"/>
          <w:sz w:val="22"/>
        </w:rPr>
        <w:t>(Cook, E.J. et al. 2016</w:t>
      </w:r>
      <w:r w:rsidR="005E3D95" w:rsidRPr="007A6105">
        <w:rPr>
          <w:rFonts w:ascii="Arial" w:hAnsi="Arial" w:cs="Arial"/>
          <w:sz w:val="22"/>
        </w:rPr>
        <w:t xml:space="preserve">). </w:t>
      </w:r>
      <w:r w:rsidR="00104C6E">
        <w:rPr>
          <w:rFonts w:ascii="Arial" w:hAnsi="Arial" w:cs="Arial"/>
          <w:sz w:val="22"/>
        </w:rPr>
        <w:t xml:space="preserve"> As </w:t>
      </w:r>
      <w:r w:rsidR="00A42F81" w:rsidRPr="007A6105">
        <w:rPr>
          <w:rFonts w:ascii="Arial" w:hAnsi="Arial" w:cs="Arial"/>
          <w:sz w:val="22"/>
        </w:rPr>
        <w:t xml:space="preserve">COVID-19 pandemic significantly influenced the adoption of </w:t>
      </w:r>
      <w:r w:rsidR="003B1904">
        <w:rPr>
          <w:rFonts w:ascii="Arial" w:hAnsi="Arial" w:cs="Arial"/>
          <w:sz w:val="22"/>
        </w:rPr>
        <w:t>T</w:t>
      </w:r>
      <w:r w:rsidR="00A42F81" w:rsidRPr="007A6105">
        <w:rPr>
          <w:rFonts w:ascii="Arial" w:hAnsi="Arial" w:cs="Arial"/>
          <w:sz w:val="22"/>
        </w:rPr>
        <w:t xml:space="preserve">elehealth services </w:t>
      </w:r>
      <w:r w:rsidR="003B1904">
        <w:rPr>
          <w:rFonts w:ascii="Arial" w:hAnsi="Arial" w:cs="Arial"/>
          <w:sz w:val="22"/>
        </w:rPr>
        <w:t>with</w:t>
      </w:r>
      <w:r w:rsidR="00A42F81" w:rsidRPr="007A6105">
        <w:rPr>
          <w:rFonts w:ascii="Arial" w:hAnsi="Arial" w:cs="Arial"/>
          <w:sz w:val="22"/>
        </w:rPr>
        <w:t xml:space="preserve">in the United Kingdom by accelerating its use across healthcare settings. Prior to the pandemic, telehealth adoption was relatively limited, but the crisis created an urgent need to reduce transmission risks and maintain healthcare access, prompting rapid expansion of telehealth modalities such as video consultations. This shift was particularly evident in hospital settings, where patients reported benefits including easier access to care, improved timeliness of treatment, and better prioritization of healthcare resources during the pandemic period </w:t>
      </w:r>
      <w:r w:rsidR="00857B28" w:rsidRPr="007A6105">
        <w:rPr>
          <w:rFonts w:ascii="Arial" w:hAnsi="Arial" w:cs="Arial"/>
          <w:sz w:val="22"/>
        </w:rPr>
        <w:t xml:space="preserve">(Painter, A. et al. 2023). </w:t>
      </w:r>
      <w:r w:rsidR="006D49C5" w:rsidRPr="007A6105">
        <w:rPr>
          <w:rFonts w:ascii="Arial" w:hAnsi="Arial" w:cs="Arial"/>
          <w:sz w:val="22"/>
        </w:rPr>
        <w:t>P</w:t>
      </w:r>
      <w:r w:rsidR="000D27B8" w:rsidRPr="007A6105">
        <w:rPr>
          <w:rFonts w:ascii="Arial" w:hAnsi="Arial" w:cs="Arial"/>
          <w:sz w:val="22"/>
        </w:rPr>
        <w:t xml:space="preserve">olicy driver is the recognition of digital inclusion as essential to avoid exacerbating health inequalities. </w:t>
      </w:r>
      <w:r w:rsidR="00B57C57">
        <w:rPr>
          <w:rFonts w:ascii="Arial" w:hAnsi="Arial" w:cs="Arial"/>
          <w:sz w:val="22"/>
        </w:rPr>
        <w:t>Those that are most affected are those</w:t>
      </w:r>
      <w:r w:rsidR="00046135">
        <w:rPr>
          <w:rFonts w:ascii="Arial" w:hAnsi="Arial" w:cs="Arial"/>
          <w:sz w:val="22"/>
        </w:rPr>
        <w:t xml:space="preserve"> that live </w:t>
      </w:r>
      <w:r w:rsidR="00B23DE7">
        <w:rPr>
          <w:rFonts w:ascii="Arial" w:hAnsi="Arial" w:cs="Arial"/>
          <w:sz w:val="22"/>
        </w:rPr>
        <w:t xml:space="preserve">within </w:t>
      </w:r>
      <w:r w:rsidR="008326ED">
        <w:rPr>
          <w:rFonts w:ascii="Arial" w:hAnsi="Arial" w:cs="Arial"/>
          <w:sz w:val="22"/>
        </w:rPr>
        <w:t xml:space="preserve">a lower </w:t>
      </w:r>
      <w:proofErr w:type="gramStart"/>
      <w:r w:rsidR="00B235EF">
        <w:rPr>
          <w:rFonts w:ascii="Arial" w:hAnsi="Arial" w:cs="Arial"/>
          <w:sz w:val="22"/>
        </w:rPr>
        <w:t xml:space="preserve">privilege </w:t>
      </w:r>
      <w:r w:rsidR="000D27B8" w:rsidRPr="007A6105">
        <w:rPr>
          <w:rFonts w:ascii="Arial" w:hAnsi="Arial" w:cs="Arial"/>
          <w:sz w:val="22"/>
        </w:rPr>
        <w:t xml:space="preserve"> population</w:t>
      </w:r>
      <w:proofErr w:type="gramEnd"/>
      <w:r w:rsidR="000D27B8" w:rsidRPr="007A6105">
        <w:rPr>
          <w:rFonts w:ascii="Arial" w:hAnsi="Arial" w:cs="Arial"/>
          <w:sz w:val="22"/>
        </w:rPr>
        <w:t xml:space="preserve"> w</w:t>
      </w:r>
      <w:r w:rsidR="00781BBC">
        <w:rPr>
          <w:rFonts w:ascii="Arial" w:hAnsi="Arial" w:cs="Arial"/>
          <w:sz w:val="22"/>
        </w:rPr>
        <w:t>ho have</w:t>
      </w:r>
      <w:r w:rsidR="000D27B8" w:rsidRPr="007A6105">
        <w:rPr>
          <w:rFonts w:ascii="Arial" w:hAnsi="Arial" w:cs="Arial"/>
          <w:sz w:val="22"/>
        </w:rPr>
        <w:t xml:space="preserve"> limited digital literacy or access risk being excluded from telehealth benefits, which could widen disparities in healthcare access. Therefore, digital inclusion strategies are necessary to ensure equitable access to telehealth services as part of the NHS digital transformation</w:t>
      </w:r>
      <w:r w:rsidR="00A37DE8" w:rsidRPr="007A6105">
        <w:rPr>
          <w:rFonts w:ascii="Arial" w:hAnsi="Arial" w:cs="Arial"/>
          <w:sz w:val="22"/>
        </w:rPr>
        <w:t xml:space="preserve"> </w:t>
      </w:r>
      <w:r w:rsidR="00E555C1" w:rsidRPr="007A6105">
        <w:rPr>
          <w:rFonts w:ascii="Arial" w:hAnsi="Arial" w:cs="Arial"/>
          <w:sz w:val="22"/>
        </w:rPr>
        <w:t xml:space="preserve">(Eddison, N. et al. 2022). </w:t>
      </w:r>
      <w:r w:rsidR="00A83D5B" w:rsidRPr="007A6105">
        <w:rPr>
          <w:rFonts w:ascii="Arial" w:hAnsi="Arial" w:cs="Arial"/>
          <w:sz w:val="22"/>
        </w:rPr>
        <w:t xml:space="preserve"> </w:t>
      </w:r>
    </w:p>
    <w:p w14:paraId="25F21878" w14:textId="361C2F15" w:rsidR="00BA7E86" w:rsidRDefault="00644790" w:rsidP="00085D42">
      <w:pPr>
        <w:rPr>
          <w:rFonts w:ascii="Arial" w:hAnsi="Arial" w:cs="Arial"/>
          <w:b/>
          <w:bCs/>
          <w:sz w:val="22"/>
        </w:rPr>
      </w:pPr>
      <w:bookmarkStart w:id="10" w:name="_Toc227850526"/>
      <w:r w:rsidRPr="00401FAC">
        <w:rPr>
          <w:rStyle w:val="Heading2Char"/>
        </w:rPr>
        <w:t>Current state of Telehealth in Rural UK</w:t>
      </w:r>
      <w:bookmarkEnd w:id="10"/>
      <w:r w:rsidR="00F451D3" w:rsidRPr="007A6105">
        <w:rPr>
          <w:rFonts w:ascii="Arial" w:hAnsi="Arial" w:cs="Arial"/>
          <w:b/>
          <w:bCs/>
          <w:sz w:val="22"/>
        </w:rPr>
        <w:t xml:space="preserve">: </w:t>
      </w:r>
    </w:p>
    <w:p w14:paraId="3DC4DE07" w14:textId="77777777" w:rsidR="00BA115F" w:rsidRPr="007A6105" w:rsidRDefault="00BA115F" w:rsidP="00085D42">
      <w:pPr>
        <w:rPr>
          <w:rFonts w:ascii="Arial" w:hAnsi="Arial" w:cs="Arial"/>
          <w:b/>
          <w:bCs/>
          <w:sz w:val="22"/>
        </w:rPr>
      </w:pPr>
    </w:p>
    <w:p w14:paraId="6A9F6A9C" w14:textId="10A7C21F" w:rsidR="009C2153" w:rsidRPr="007A6105" w:rsidRDefault="00C23BC8" w:rsidP="004F50EA">
      <w:pPr>
        <w:spacing w:line="360" w:lineRule="auto"/>
        <w:rPr>
          <w:rFonts w:ascii="Arial" w:hAnsi="Arial" w:cs="Arial"/>
          <w:sz w:val="22"/>
        </w:rPr>
      </w:pPr>
      <w:r w:rsidRPr="007A6105">
        <w:rPr>
          <w:rFonts w:ascii="Arial" w:hAnsi="Arial" w:cs="Arial"/>
          <w:sz w:val="22"/>
        </w:rPr>
        <w:t>In the context of allied health and mental health services in particular,</w:t>
      </w:r>
      <w:r w:rsidR="008D4DF0" w:rsidRPr="007A6105">
        <w:rPr>
          <w:rFonts w:ascii="Arial" w:hAnsi="Arial" w:cs="Arial"/>
          <w:sz w:val="22"/>
        </w:rPr>
        <w:t xml:space="preserve"> </w:t>
      </w:r>
      <w:r w:rsidR="008565F5" w:rsidRPr="007A6105">
        <w:rPr>
          <w:rFonts w:ascii="Arial" w:hAnsi="Arial" w:cs="Arial"/>
          <w:sz w:val="22"/>
        </w:rPr>
        <w:t xml:space="preserve">the current condition of telehealth delivery in rural areas of the UK </w:t>
      </w:r>
      <w:r w:rsidR="00593251" w:rsidRPr="007A6105">
        <w:rPr>
          <w:rFonts w:ascii="Arial" w:hAnsi="Arial" w:cs="Arial"/>
          <w:sz w:val="22"/>
        </w:rPr>
        <w:t xml:space="preserve">indicates both growing use and </w:t>
      </w:r>
      <w:r w:rsidR="008565F5" w:rsidRPr="007A6105">
        <w:rPr>
          <w:rFonts w:ascii="Arial" w:hAnsi="Arial" w:cs="Arial"/>
          <w:sz w:val="22"/>
        </w:rPr>
        <w:t>persistent problems.</w:t>
      </w:r>
      <w:r w:rsidR="006804F8" w:rsidRPr="007A6105">
        <w:rPr>
          <w:rFonts w:ascii="Arial" w:hAnsi="Arial" w:cs="Arial"/>
          <w:sz w:val="22"/>
        </w:rPr>
        <w:t xml:space="preserve"> </w:t>
      </w:r>
      <w:r w:rsidR="00EC6C44" w:rsidRPr="007A6105">
        <w:rPr>
          <w:rFonts w:ascii="Arial" w:hAnsi="Arial" w:cs="Arial"/>
          <w:sz w:val="22"/>
        </w:rPr>
        <w:t>With a notable increase in remote consultations among allied health professionals (AHPs) in the NHS, where 87–</w:t>
      </w:r>
      <w:r w:rsidR="00593251" w:rsidRPr="007A6105">
        <w:rPr>
          <w:rFonts w:ascii="Arial" w:hAnsi="Arial" w:cs="Arial"/>
          <w:sz w:val="22"/>
        </w:rPr>
        <w:t xml:space="preserve"> 89% of clinicians and services reported using telehealth </w:t>
      </w:r>
      <w:r w:rsidR="00EC6C44" w:rsidRPr="007A6105">
        <w:rPr>
          <w:rFonts w:ascii="Arial" w:hAnsi="Arial" w:cs="Arial"/>
          <w:sz w:val="22"/>
        </w:rPr>
        <w:t>and intended to continue after the COVID-</w:t>
      </w:r>
      <w:r w:rsidR="00593251" w:rsidRPr="007A6105">
        <w:rPr>
          <w:rFonts w:ascii="Arial" w:hAnsi="Arial" w:cs="Arial"/>
          <w:sz w:val="22"/>
        </w:rPr>
        <w:t xml:space="preserve"> 19 pandemic expedited the adoption of </w:t>
      </w:r>
      <w:r w:rsidR="002B23EF">
        <w:rPr>
          <w:rFonts w:ascii="Arial" w:hAnsi="Arial" w:cs="Arial"/>
          <w:sz w:val="22"/>
        </w:rPr>
        <w:t>T</w:t>
      </w:r>
      <w:r w:rsidR="00593251" w:rsidRPr="007A6105">
        <w:rPr>
          <w:rFonts w:ascii="Arial" w:hAnsi="Arial" w:cs="Arial"/>
          <w:sz w:val="22"/>
        </w:rPr>
        <w:t>elehealth. Benefits include less exposure to infectious diseases,</w:t>
      </w:r>
      <w:r w:rsidR="00EC6C44" w:rsidRPr="007A6105">
        <w:rPr>
          <w:rFonts w:ascii="Arial" w:hAnsi="Arial" w:cs="Arial"/>
          <w:sz w:val="22"/>
        </w:rPr>
        <w:t> more flexibility, and shorter travel times and expenses for both patients and professi</w:t>
      </w:r>
      <w:r w:rsidR="00593251" w:rsidRPr="007A6105">
        <w:rPr>
          <w:rFonts w:ascii="Arial" w:hAnsi="Arial" w:cs="Arial"/>
          <w:sz w:val="22"/>
        </w:rPr>
        <w:t>onals</w:t>
      </w:r>
      <w:r w:rsidR="00EC6C44" w:rsidRPr="007A6105">
        <w:rPr>
          <w:rFonts w:ascii="Arial" w:hAnsi="Arial" w:cs="Arial"/>
          <w:sz w:val="22"/>
        </w:rPr>
        <w:t>.</w:t>
      </w:r>
      <w:r w:rsidR="00593251" w:rsidRPr="007A6105">
        <w:rPr>
          <w:rFonts w:ascii="Arial" w:hAnsi="Arial" w:cs="Arial"/>
          <w:sz w:val="22"/>
        </w:rPr>
        <w:t xml:space="preserve"> However, obstacles still exist, particularly for vulnerable people living in distant areas. </w:t>
      </w:r>
      <w:r w:rsidR="00EC6C44" w:rsidRPr="007A6105">
        <w:rPr>
          <w:rFonts w:ascii="Arial" w:hAnsi="Arial" w:cs="Arial"/>
          <w:sz w:val="22"/>
        </w:rPr>
        <w:lastRenderedPageBreak/>
        <w:t>These include low digital literacy, restricted access to technology, and connectivity </w:t>
      </w:r>
      <w:r w:rsidR="00842DF4" w:rsidRPr="007A6105">
        <w:rPr>
          <w:rFonts w:ascii="Arial" w:hAnsi="Arial" w:cs="Arial"/>
          <w:sz w:val="22"/>
        </w:rPr>
        <w:t>problems, which</w:t>
      </w:r>
      <w:r w:rsidR="00EC6C44" w:rsidRPr="007A6105">
        <w:rPr>
          <w:rFonts w:ascii="Arial" w:hAnsi="Arial" w:cs="Arial"/>
          <w:sz w:val="22"/>
        </w:rPr>
        <w:t> may worsen health disparities and lower the use of telehealth among communit</w:t>
      </w:r>
      <w:r w:rsidR="00842DF4" w:rsidRPr="007A6105">
        <w:rPr>
          <w:rFonts w:ascii="Arial" w:hAnsi="Arial" w:cs="Arial"/>
          <w:sz w:val="22"/>
        </w:rPr>
        <w:t>ie</w:t>
      </w:r>
      <w:r w:rsidR="00EC6C44" w:rsidRPr="007A6105">
        <w:rPr>
          <w:rFonts w:ascii="Arial" w:hAnsi="Arial" w:cs="Arial"/>
          <w:sz w:val="22"/>
        </w:rPr>
        <w:t xml:space="preserve">s </w:t>
      </w:r>
      <w:r w:rsidR="00AE5D94" w:rsidRPr="007A6105">
        <w:rPr>
          <w:rFonts w:ascii="Arial" w:hAnsi="Arial" w:cs="Arial"/>
          <w:sz w:val="22"/>
        </w:rPr>
        <w:t>(Eddison, N. et al. 2022).</w:t>
      </w:r>
    </w:p>
    <w:p w14:paraId="259B8430" w14:textId="77777777" w:rsidR="002162B6" w:rsidRDefault="0035194A" w:rsidP="004F50EA">
      <w:pPr>
        <w:spacing w:line="360" w:lineRule="auto"/>
        <w:rPr>
          <w:rFonts w:ascii="Arial" w:hAnsi="Arial" w:cs="Arial"/>
          <w:sz w:val="22"/>
        </w:rPr>
      </w:pPr>
      <w:r w:rsidRPr="007A6105">
        <w:rPr>
          <w:rFonts w:ascii="Arial" w:hAnsi="Arial" w:cs="Arial"/>
          <w:sz w:val="22"/>
        </w:rPr>
        <w:t xml:space="preserve">During the COVID-19 pandemic, telehealth use increased significantly, with telephone use rising from 66% to 98% and online video conferencing from 10% to 89% among providers, according to a study of mental health professionals providing psychological therapy in rural UK settings. Although the patient numbers were not given, this indicates a significant adoption of telehealth services in remote locations. Despite difficulties with older persons, those with disabilities, and connectivity in rural places, the study also found that telehealth enhanced client access and attendance. Instead of going back to totally in-person treatments, most professionals (86%) preferred to continue providing therapy largely or entirely via telehealth </w:t>
      </w:r>
      <w:r w:rsidR="00EB02D0" w:rsidRPr="007A6105">
        <w:rPr>
          <w:rFonts w:ascii="Arial" w:hAnsi="Arial" w:cs="Arial"/>
          <w:sz w:val="22"/>
        </w:rPr>
        <w:t>(Nelson, D. et al. 2023).</w:t>
      </w:r>
      <w:r w:rsidR="00B531F4" w:rsidRPr="007A6105">
        <w:rPr>
          <w:rFonts w:ascii="Arial" w:hAnsi="Arial" w:cs="Arial"/>
          <w:sz w:val="22"/>
        </w:rPr>
        <w:t xml:space="preserve"> </w:t>
      </w:r>
    </w:p>
    <w:p w14:paraId="0418DE82" w14:textId="77777777" w:rsidR="002162B6" w:rsidRDefault="002162B6" w:rsidP="004F50EA">
      <w:pPr>
        <w:spacing w:line="360" w:lineRule="auto"/>
        <w:rPr>
          <w:rFonts w:ascii="Arial" w:hAnsi="Arial" w:cs="Arial"/>
          <w:sz w:val="22"/>
        </w:rPr>
      </w:pPr>
    </w:p>
    <w:p w14:paraId="2C711954" w14:textId="032D51EC" w:rsidR="00C753EC" w:rsidRPr="007A6105" w:rsidRDefault="00EB02D0" w:rsidP="00903EF7">
      <w:pPr>
        <w:spacing w:line="360" w:lineRule="auto"/>
        <w:rPr>
          <w:rFonts w:ascii="Arial" w:hAnsi="Arial" w:cs="Arial"/>
          <w:sz w:val="22"/>
        </w:rPr>
      </w:pPr>
      <w:r w:rsidRPr="007A6105">
        <w:rPr>
          <w:rFonts w:ascii="Arial" w:hAnsi="Arial" w:cs="Arial"/>
          <w:sz w:val="22"/>
        </w:rPr>
        <w:t xml:space="preserve"> </w:t>
      </w:r>
    </w:p>
    <w:p w14:paraId="2C3D5006" w14:textId="3AC180A5" w:rsidR="00F451D3" w:rsidRDefault="006755F0" w:rsidP="00C06FB8">
      <w:pPr>
        <w:pStyle w:val="Heading2"/>
      </w:pPr>
      <w:bookmarkStart w:id="11" w:name="_Toc227850527"/>
      <w:r w:rsidRPr="007A6105">
        <w:t>Impact of Access</w:t>
      </w:r>
      <w:bookmarkEnd w:id="11"/>
      <w:r w:rsidR="003E454F" w:rsidRPr="007A6105">
        <w:t xml:space="preserve"> </w:t>
      </w:r>
    </w:p>
    <w:p w14:paraId="6A368590" w14:textId="77777777" w:rsidR="00F51BA8" w:rsidRPr="00F51BA8" w:rsidRDefault="00F51BA8" w:rsidP="00F51BA8"/>
    <w:p w14:paraId="0B3FE323" w14:textId="1E146727" w:rsidR="00D057C8" w:rsidRPr="007A6105" w:rsidRDefault="001A0249" w:rsidP="004F50EA">
      <w:pPr>
        <w:spacing w:line="360" w:lineRule="auto"/>
        <w:rPr>
          <w:rFonts w:ascii="Arial" w:hAnsi="Arial" w:cs="Arial"/>
          <w:sz w:val="22"/>
        </w:rPr>
      </w:pPr>
      <w:r w:rsidRPr="007A6105">
        <w:rPr>
          <w:rFonts w:ascii="Arial" w:hAnsi="Arial" w:cs="Arial"/>
          <w:sz w:val="22"/>
        </w:rPr>
        <w:t>The effects of telehealth access in the UK are multifaceted and include equity, usability, technological hurdles, and service delivery outcomes. By addressing factors including accessibility, availability, and acceptance, telehealth has demonstrated the potential to enhance healthcare access, especially in non-urban and underserved areas. However, current research shows that assessments frequently fall short in all pertinent access dimensions, with gaps in infrastructure, digital literacy, affordability, and cultural barriers</w:t>
      </w:r>
      <w:r w:rsidR="007E159D">
        <w:rPr>
          <w:rFonts w:ascii="Arial" w:hAnsi="Arial" w:cs="Arial"/>
          <w:sz w:val="22"/>
        </w:rPr>
        <w:t xml:space="preserve"> </w:t>
      </w:r>
      <w:r w:rsidRPr="007A6105">
        <w:rPr>
          <w:rFonts w:ascii="Arial" w:hAnsi="Arial" w:cs="Arial"/>
          <w:sz w:val="22"/>
        </w:rPr>
        <w:t>all of which are essential for fair access to telehealth services</w:t>
      </w:r>
      <w:r w:rsidR="00EC4C15" w:rsidRPr="007A6105">
        <w:rPr>
          <w:rFonts w:ascii="Arial" w:hAnsi="Arial" w:cs="Arial"/>
          <w:sz w:val="22"/>
        </w:rPr>
        <w:t xml:space="preserve"> </w:t>
      </w:r>
      <w:r w:rsidR="00FF02B7" w:rsidRPr="007A6105">
        <w:rPr>
          <w:rFonts w:ascii="Arial" w:hAnsi="Arial" w:cs="Arial"/>
          <w:sz w:val="22"/>
        </w:rPr>
        <w:t xml:space="preserve">(Wang, S. et al. 2025). </w:t>
      </w:r>
    </w:p>
    <w:p w14:paraId="143E8913" w14:textId="279C6C7A" w:rsidR="00730ED3" w:rsidRPr="007A6105" w:rsidRDefault="00596EB0" w:rsidP="004F50EA">
      <w:pPr>
        <w:spacing w:line="360" w:lineRule="auto"/>
        <w:rPr>
          <w:rFonts w:ascii="Arial" w:hAnsi="Arial" w:cs="Arial"/>
          <w:sz w:val="22"/>
        </w:rPr>
      </w:pPr>
      <w:r w:rsidRPr="007A6105">
        <w:rPr>
          <w:rFonts w:ascii="Arial" w:hAnsi="Arial" w:cs="Arial"/>
          <w:sz w:val="22"/>
        </w:rPr>
        <w:t xml:space="preserve">Perceived need, technology attitudes, and telehealth device usability all affect patient involvement and adoption. Referrers play an important role in decision-making processes, and effective interaction with these stakeholders can increase adoption and access. To encourage larger demographic groups to adopt telehealth services, ongoing product development focused on improving usability and functionality is required </w:t>
      </w:r>
      <w:r w:rsidR="00FD09EB" w:rsidRPr="007A6105">
        <w:rPr>
          <w:rFonts w:ascii="Arial" w:hAnsi="Arial" w:cs="Arial"/>
          <w:sz w:val="22"/>
        </w:rPr>
        <w:t>(Cook, E.J. et al. 2016).</w:t>
      </w:r>
      <w:r w:rsidR="007953D7" w:rsidRPr="007A6105">
        <w:rPr>
          <w:rFonts w:ascii="Arial" w:hAnsi="Arial" w:cs="Arial"/>
          <w:sz w:val="22"/>
        </w:rPr>
        <w:t xml:space="preserve"> </w:t>
      </w:r>
    </w:p>
    <w:p w14:paraId="6F8D6C94" w14:textId="560C0EB0" w:rsidR="003E454F" w:rsidRPr="007A6105" w:rsidRDefault="009E2037" w:rsidP="004F50EA">
      <w:pPr>
        <w:spacing w:line="360" w:lineRule="auto"/>
        <w:rPr>
          <w:rFonts w:ascii="Arial" w:hAnsi="Arial" w:cs="Arial"/>
          <w:sz w:val="22"/>
        </w:rPr>
      </w:pPr>
      <w:r w:rsidRPr="007A6105">
        <w:rPr>
          <w:rFonts w:ascii="Arial" w:hAnsi="Arial" w:cs="Arial"/>
          <w:sz w:val="22"/>
        </w:rPr>
        <w:t xml:space="preserve">In the UK, telehealth has several potential advantages, including lowering travel expenses, expanding the availability of appointments, and facilitating remote chronic illness management. Reducing socioeconomic barriers associated with travel time and expenses for patients, especially those in remote or underdeveloped locations, is a major benefit. Research from low- and middle-income nations demonstrates that telemedicine significantly </w:t>
      </w:r>
      <w:r w:rsidRPr="007A6105">
        <w:rPr>
          <w:rFonts w:ascii="Arial" w:hAnsi="Arial" w:cs="Arial"/>
          <w:sz w:val="22"/>
        </w:rPr>
        <w:lastRenderedPageBreak/>
        <w:t>reduces travel time and expenses for patients, indicating that comparable advantages may apply in the UK, particularly for the treatment of chronic illnesses that necessitate frequent visits</w:t>
      </w:r>
      <w:r w:rsidR="00D305E5" w:rsidRPr="007A6105">
        <w:rPr>
          <w:rFonts w:ascii="Arial" w:hAnsi="Arial" w:cs="Arial"/>
          <w:sz w:val="22"/>
        </w:rPr>
        <w:t xml:space="preserve"> </w:t>
      </w:r>
      <w:r w:rsidR="00EA4FEC" w:rsidRPr="007A6105">
        <w:rPr>
          <w:rFonts w:ascii="Arial" w:hAnsi="Arial" w:cs="Arial"/>
          <w:sz w:val="22"/>
        </w:rPr>
        <w:t>(Sayani, S. et al. 2019</w:t>
      </w:r>
      <w:r w:rsidR="00B8108A" w:rsidRPr="007A6105">
        <w:rPr>
          <w:rFonts w:ascii="Arial" w:hAnsi="Arial" w:cs="Arial"/>
          <w:sz w:val="22"/>
        </w:rPr>
        <w:t xml:space="preserve">). </w:t>
      </w:r>
    </w:p>
    <w:p w14:paraId="7292CD4C" w14:textId="643B0FC7" w:rsidR="002607B8" w:rsidRPr="007A6105" w:rsidRDefault="00997DE9" w:rsidP="007E159D">
      <w:pPr>
        <w:pStyle w:val="Heading3"/>
      </w:pPr>
      <w:bookmarkStart w:id="12" w:name="_Toc227850528"/>
      <w:r w:rsidRPr="007A6105">
        <w:t>Key Challenges/Barriers</w:t>
      </w:r>
      <w:bookmarkEnd w:id="12"/>
      <w:r w:rsidRPr="007A6105">
        <w:t xml:space="preserve"> </w:t>
      </w:r>
    </w:p>
    <w:p w14:paraId="2E954F85" w14:textId="3AC5EC6E" w:rsidR="005578FA" w:rsidRPr="007A6105" w:rsidRDefault="00CF770E" w:rsidP="004F50EA">
      <w:pPr>
        <w:spacing w:line="360" w:lineRule="auto"/>
        <w:rPr>
          <w:rFonts w:ascii="Arial" w:hAnsi="Arial" w:cs="Arial"/>
          <w:sz w:val="22"/>
        </w:rPr>
      </w:pPr>
      <w:r w:rsidRPr="007A6105">
        <w:rPr>
          <w:rFonts w:ascii="Arial" w:hAnsi="Arial" w:cs="Arial"/>
          <w:sz w:val="22"/>
        </w:rPr>
        <w:t>These are the recognised areas of concern that I will thoroughly examine in my review. In the UK, several interconnected elements are the main telehealth problems and barriers. The absence of uniform and explicit guidelines for allied health professionals (AHPs) providing telehealth consultations is a major problem. Current standards focus mostly on certain professions, such as occupational therapists, physiotherapists, and speech-language pathologists, and exhibit inconsistent terminology. Important factors, including evaluating the efficacy of telehealth, obstacles, logistical management, family and carer duties, and financial considerations like registration requirements, fees, and legal issues, are still not sufficiently addressed. The assistance that AHPs can receive in telehealth delivery is limited by this lack of guidelines</w:t>
      </w:r>
      <w:r w:rsidR="007E41AF" w:rsidRPr="007A6105">
        <w:rPr>
          <w:rFonts w:ascii="Arial" w:hAnsi="Arial" w:cs="Arial"/>
          <w:sz w:val="22"/>
        </w:rPr>
        <w:t xml:space="preserve"> (Leone, E. et al. 2021)</w:t>
      </w:r>
    </w:p>
    <w:p w14:paraId="4E32BA03" w14:textId="1CCB353B" w:rsidR="00997DE9" w:rsidRPr="007A6105" w:rsidRDefault="009969FF" w:rsidP="004F50EA">
      <w:pPr>
        <w:spacing w:line="360" w:lineRule="auto"/>
        <w:rPr>
          <w:rFonts w:ascii="Arial" w:hAnsi="Arial" w:cs="Arial"/>
          <w:sz w:val="22"/>
        </w:rPr>
      </w:pPr>
      <w:r w:rsidRPr="007A6105">
        <w:rPr>
          <w:rFonts w:ascii="Arial" w:hAnsi="Arial" w:cs="Arial"/>
          <w:sz w:val="22"/>
        </w:rPr>
        <w:t>In the UK, telehealth has several challenges that limit its efficacy and</w:t>
      </w:r>
      <w:r w:rsidR="00CD17F4" w:rsidRPr="007A6105">
        <w:rPr>
          <w:rFonts w:ascii="Arial" w:hAnsi="Arial" w:cs="Arial"/>
          <w:sz w:val="22"/>
        </w:rPr>
        <w:t xml:space="preserve"> accessibility, especially for</w:t>
      </w:r>
      <w:r w:rsidR="008642FC" w:rsidRPr="007A6105">
        <w:rPr>
          <w:rFonts w:ascii="Arial" w:hAnsi="Arial" w:cs="Arial"/>
          <w:sz w:val="22"/>
        </w:rPr>
        <w:t xml:space="preserve"> individuals with disabilities. Technological difficulties,</w:t>
      </w:r>
      <w:r w:rsidR="00CD17F4" w:rsidRPr="007A6105">
        <w:rPr>
          <w:rFonts w:ascii="Arial" w:hAnsi="Arial" w:cs="Arial"/>
          <w:sz w:val="22"/>
        </w:rPr>
        <w:t xml:space="preserve"> </w:t>
      </w:r>
      <w:r w:rsidR="001F7D97" w:rsidRPr="007A6105">
        <w:rPr>
          <w:rFonts w:ascii="Arial" w:hAnsi="Arial" w:cs="Arial"/>
          <w:sz w:val="22"/>
        </w:rPr>
        <w:t xml:space="preserve">Inadequate internet connectivity, restricted access to suitable equipment, </w:t>
      </w:r>
      <w:r w:rsidR="008D7389" w:rsidRPr="007A6105">
        <w:rPr>
          <w:rFonts w:ascii="Arial" w:hAnsi="Arial" w:cs="Arial"/>
          <w:sz w:val="22"/>
        </w:rPr>
        <w:t>and a lack of experience with digital technologies are major obstacles.</w:t>
      </w:r>
      <w:r w:rsidR="000778CA" w:rsidRPr="007A6105">
        <w:rPr>
          <w:rFonts w:ascii="Arial" w:hAnsi="Arial" w:cs="Arial"/>
          <w:sz w:val="22"/>
        </w:rPr>
        <w:t xml:space="preserve"> </w:t>
      </w:r>
      <w:r w:rsidR="008D7389" w:rsidRPr="007A6105">
        <w:rPr>
          <w:rFonts w:ascii="Arial" w:hAnsi="Arial" w:cs="Arial"/>
          <w:sz w:val="22"/>
        </w:rPr>
        <w:t xml:space="preserve">When using telehealth services, people with sensory impairments have disability-specific challenges that exacerbate these problems. </w:t>
      </w:r>
      <w:r w:rsidR="000778CA" w:rsidRPr="007A6105">
        <w:rPr>
          <w:rFonts w:ascii="Arial" w:hAnsi="Arial" w:cs="Arial"/>
          <w:sz w:val="22"/>
        </w:rPr>
        <w:t xml:space="preserve">The ease of telehealth is generally </w:t>
      </w:r>
      <w:r w:rsidR="008D7389" w:rsidRPr="007A6105">
        <w:rPr>
          <w:rFonts w:ascii="Arial" w:hAnsi="Arial" w:cs="Arial"/>
          <w:sz w:val="22"/>
        </w:rPr>
        <w:t>appreciated, but in</w:t>
      </w:r>
      <w:r w:rsidR="000778CA" w:rsidRPr="007A6105">
        <w:rPr>
          <w:rFonts w:ascii="Arial" w:hAnsi="Arial" w:cs="Arial"/>
          <w:sz w:val="22"/>
        </w:rPr>
        <w:t>-</w:t>
      </w:r>
      <w:r w:rsidR="003A539E" w:rsidRPr="007A6105">
        <w:rPr>
          <w:rFonts w:ascii="Arial" w:hAnsi="Arial" w:cs="Arial"/>
          <w:sz w:val="22"/>
        </w:rPr>
        <w:t xml:space="preserve"> person consultations are still preferred, in part because of worries about </w:t>
      </w:r>
      <w:r w:rsidR="008D7389" w:rsidRPr="007A6105">
        <w:rPr>
          <w:rFonts w:ascii="Arial" w:hAnsi="Arial" w:cs="Arial"/>
          <w:sz w:val="22"/>
        </w:rPr>
        <w:t xml:space="preserve">the calibre of distant evaluations and the capacity to build rapport with medical professionals </w:t>
      </w:r>
      <w:r w:rsidR="007032E5" w:rsidRPr="007A6105">
        <w:rPr>
          <w:rFonts w:ascii="Arial" w:hAnsi="Arial" w:cs="Arial"/>
          <w:sz w:val="22"/>
        </w:rPr>
        <w:t>(Ko, M. et al. 2025).</w:t>
      </w:r>
      <w:r w:rsidR="00862BBC" w:rsidRPr="007A6105">
        <w:rPr>
          <w:rFonts w:ascii="Arial" w:hAnsi="Arial" w:cs="Arial"/>
          <w:sz w:val="22"/>
        </w:rPr>
        <w:t xml:space="preserve"> </w:t>
      </w:r>
    </w:p>
    <w:p w14:paraId="66CE6993" w14:textId="315A0B2D" w:rsidR="00CA2D1E" w:rsidRPr="007A6105" w:rsidRDefault="005107EA" w:rsidP="007E159D">
      <w:pPr>
        <w:pStyle w:val="Heading3"/>
      </w:pPr>
      <w:bookmarkStart w:id="13" w:name="_Toc227850529"/>
      <w:r w:rsidRPr="007A6105">
        <w:t>Cost considerations</w:t>
      </w:r>
      <w:bookmarkEnd w:id="13"/>
    </w:p>
    <w:p w14:paraId="295E8F71" w14:textId="25C9977A" w:rsidR="00905FC4" w:rsidRPr="007A6105" w:rsidRDefault="00843DB7" w:rsidP="004F50EA">
      <w:pPr>
        <w:spacing w:line="360" w:lineRule="auto"/>
        <w:rPr>
          <w:rFonts w:ascii="Arial" w:hAnsi="Arial" w:cs="Arial"/>
          <w:sz w:val="22"/>
        </w:rPr>
      </w:pPr>
      <w:r w:rsidRPr="007A6105">
        <w:rPr>
          <w:rFonts w:ascii="Arial" w:hAnsi="Arial" w:cs="Arial"/>
          <w:sz w:val="22"/>
        </w:rPr>
        <w:t>The research on adult telehealth cost considerations in the UK setting considers several issuesabout patient participation, service delivery, and the effects on the healthcare system. One important component is the framework for economic evaluation, which recommends thatcost assessments incorporate planning and assessment by economists, thorough cost-effectiveness or cost-benefit evaluations, and population-</w:t>
      </w:r>
      <w:r w:rsidR="00246305" w:rsidRPr="007A6105">
        <w:rPr>
          <w:rFonts w:ascii="Arial" w:hAnsi="Arial" w:cs="Arial"/>
          <w:sz w:val="22"/>
        </w:rPr>
        <w:t xml:space="preserve"> level consideration of health, </w:t>
      </w:r>
      <w:r w:rsidRPr="007A6105">
        <w:rPr>
          <w:rFonts w:ascii="Arial" w:hAnsi="Arial" w:cs="Arial"/>
          <w:sz w:val="22"/>
        </w:rPr>
        <w:t xml:space="preserve">quality of life, and utility outcomes. </w:t>
      </w:r>
      <w:r w:rsidR="00246305" w:rsidRPr="007A6105">
        <w:rPr>
          <w:rFonts w:ascii="Arial" w:hAnsi="Arial" w:cs="Arial"/>
          <w:sz w:val="22"/>
        </w:rPr>
        <w:t>Additionally, this paradigm suggests broad viewpoints such as</w:t>
      </w:r>
      <w:r w:rsidR="009A7D98" w:rsidRPr="007A6105">
        <w:rPr>
          <w:rFonts w:ascii="Arial" w:hAnsi="Arial" w:cs="Arial"/>
          <w:sz w:val="22"/>
        </w:rPr>
        <w:t xml:space="preserve"> societal costs, uncertainty sensitivity analyses, and cost and benefit timing modifications </w:t>
      </w:r>
      <w:r w:rsidR="00BB69A6" w:rsidRPr="007A6105">
        <w:rPr>
          <w:rFonts w:ascii="Arial" w:hAnsi="Arial" w:cs="Arial"/>
          <w:sz w:val="22"/>
        </w:rPr>
        <w:t xml:space="preserve">(Hilty, D.M., Serhal, E. and Crawford, A. 2023). </w:t>
      </w:r>
      <w:r w:rsidR="00246305" w:rsidRPr="007A6105">
        <w:rPr>
          <w:rFonts w:ascii="Arial" w:hAnsi="Arial" w:cs="Arial"/>
          <w:sz w:val="22"/>
        </w:rPr>
        <w:t xml:space="preserve"> </w:t>
      </w:r>
    </w:p>
    <w:p w14:paraId="61A46924" w14:textId="4C7D65A3" w:rsidR="00FE29B4" w:rsidRPr="007A6105" w:rsidRDefault="00C92EB6" w:rsidP="004F50EA">
      <w:pPr>
        <w:spacing w:line="360" w:lineRule="auto"/>
        <w:rPr>
          <w:rFonts w:ascii="Arial" w:hAnsi="Arial" w:cs="Arial"/>
          <w:sz w:val="22"/>
        </w:rPr>
      </w:pPr>
      <w:r w:rsidRPr="007A6105">
        <w:rPr>
          <w:rFonts w:ascii="Arial" w:hAnsi="Arial" w:cs="Arial"/>
          <w:sz w:val="22"/>
        </w:rPr>
        <w:lastRenderedPageBreak/>
        <w:t>Patient-related expenses are high, especially the travel costs that telemedicine helps to save. For instance, patients in allied health cancer services saved an average of £51.25 each trip on petrol and parking, which helps lower overall costs and increase patient satisfaction with telehealth services</w:t>
      </w:r>
      <w:r w:rsidR="00616204" w:rsidRPr="007A6105">
        <w:rPr>
          <w:rFonts w:ascii="Arial" w:hAnsi="Arial" w:cs="Arial"/>
          <w:sz w:val="22"/>
        </w:rPr>
        <w:t xml:space="preserve"> (Charters, E. et al. 2022</w:t>
      </w:r>
      <w:r w:rsidR="00C46C5E" w:rsidRPr="007A6105">
        <w:rPr>
          <w:rFonts w:ascii="Arial" w:hAnsi="Arial" w:cs="Arial"/>
          <w:sz w:val="22"/>
        </w:rPr>
        <w:t xml:space="preserve">). </w:t>
      </w:r>
    </w:p>
    <w:p w14:paraId="46915542" w14:textId="7EE97EB6" w:rsidR="005107EA" w:rsidRPr="007A6105" w:rsidRDefault="00377CA0" w:rsidP="004F50EA">
      <w:pPr>
        <w:spacing w:line="360" w:lineRule="auto"/>
        <w:rPr>
          <w:rFonts w:ascii="Arial" w:hAnsi="Arial" w:cs="Arial"/>
          <w:sz w:val="22"/>
        </w:rPr>
      </w:pPr>
      <w:r w:rsidRPr="007A6105">
        <w:rPr>
          <w:rFonts w:ascii="Arial" w:hAnsi="Arial" w:cs="Arial"/>
          <w:sz w:val="22"/>
        </w:rPr>
        <w:t>In the UK, telehealth's financial effects have been examined from the</w:t>
      </w:r>
      <w:r w:rsidR="00966E56" w:rsidRPr="007A6105">
        <w:rPr>
          <w:rFonts w:ascii="Arial" w:hAnsi="Arial" w:cs="Arial"/>
          <w:sz w:val="22"/>
        </w:rPr>
        <w:t xml:space="preserve"> viewpoints of both patients and providers. </w:t>
      </w:r>
      <w:r w:rsidR="00A428A7" w:rsidRPr="007A6105">
        <w:rPr>
          <w:rFonts w:ascii="Arial" w:hAnsi="Arial" w:cs="Arial"/>
          <w:sz w:val="22"/>
        </w:rPr>
        <w:t xml:space="preserve">According to one study on allied health professional (AHP) services within the NHS, telemedicine consultations allowed for more flexible work </w:t>
      </w:r>
      <w:r w:rsidR="00892C67" w:rsidRPr="007A6105">
        <w:rPr>
          <w:rFonts w:ascii="Arial" w:hAnsi="Arial" w:cs="Arial"/>
          <w:sz w:val="22"/>
        </w:rPr>
        <w:t>schedules and decreased patient expenditures for clinician appointments, travel time, and expenses.</w:t>
      </w:r>
      <w:r w:rsidR="008923C7" w:rsidRPr="007A6105">
        <w:rPr>
          <w:rFonts w:ascii="Arial" w:hAnsi="Arial" w:cs="Arial"/>
          <w:sz w:val="22"/>
        </w:rPr>
        <w:t xml:space="preserve"> </w:t>
      </w:r>
    </w:p>
    <w:p w14:paraId="457D9B37" w14:textId="77777777" w:rsidR="007E159D" w:rsidRDefault="007E159D" w:rsidP="00C12D79">
      <w:pPr>
        <w:pStyle w:val="Heading1"/>
      </w:pPr>
    </w:p>
    <w:p w14:paraId="60B2CDC3" w14:textId="77F6789A" w:rsidR="00B87E75" w:rsidRDefault="00B87E75" w:rsidP="00C12D79">
      <w:pPr>
        <w:pStyle w:val="Heading1"/>
      </w:pPr>
      <w:bookmarkStart w:id="14" w:name="_Toc227850530"/>
      <w:r w:rsidRPr="00CD33A8">
        <w:t>Method</w:t>
      </w:r>
      <w:r w:rsidR="003E4ECF" w:rsidRPr="00CD33A8">
        <w:t>s</w:t>
      </w:r>
      <w:bookmarkEnd w:id="14"/>
    </w:p>
    <w:p w14:paraId="00B9BF04" w14:textId="0325C543" w:rsidR="00F375A8" w:rsidRPr="007A6105" w:rsidRDefault="00EA78E2" w:rsidP="004F50EA">
      <w:pPr>
        <w:spacing w:line="360" w:lineRule="auto"/>
        <w:rPr>
          <w:rFonts w:ascii="Arial" w:hAnsi="Arial" w:cs="Arial"/>
          <w:sz w:val="22"/>
        </w:rPr>
      </w:pPr>
      <w:r w:rsidRPr="007A6105">
        <w:rPr>
          <w:rFonts w:ascii="Arial" w:hAnsi="Arial" w:cs="Arial"/>
          <w:sz w:val="22"/>
        </w:rPr>
        <w:t>Th</w:t>
      </w:r>
      <w:r w:rsidR="00F80E8E">
        <w:rPr>
          <w:rFonts w:ascii="Arial" w:hAnsi="Arial" w:cs="Arial"/>
          <w:sz w:val="22"/>
        </w:rPr>
        <w:t>is</w:t>
      </w:r>
      <w:r w:rsidRPr="007A6105">
        <w:rPr>
          <w:rFonts w:ascii="Arial" w:hAnsi="Arial" w:cs="Arial"/>
          <w:sz w:val="22"/>
        </w:rPr>
        <w:t xml:space="preserve"> research uses a secondary approach</w:t>
      </w:r>
      <w:r w:rsidR="0077446A" w:rsidRPr="007A6105">
        <w:rPr>
          <w:rFonts w:ascii="Arial" w:hAnsi="Arial" w:cs="Arial"/>
          <w:sz w:val="22"/>
        </w:rPr>
        <w:t xml:space="preserve"> using </w:t>
      </w:r>
      <w:r w:rsidR="004F34E1" w:rsidRPr="007A6105">
        <w:rPr>
          <w:rFonts w:ascii="Arial" w:hAnsi="Arial" w:cs="Arial"/>
          <w:sz w:val="22"/>
        </w:rPr>
        <w:t>existing</w:t>
      </w:r>
      <w:r w:rsidR="0077446A" w:rsidRPr="007A6105">
        <w:rPr>
          <w:rFonts w:ascii="Arial" w:hAnsi="Arial" w:cs="Arial"/>
          <w:sz w:val="22"/>
        </w:rPr>
        <w:t xml:space="preserve"> data </w:t>
      </w:r>
      <w:r w:rsidR="004F34E1" w:rsidRPr="007A6105">
        <w:rPr>
          <w:rFonts w:ascii="Arial" w:hAnsi="Arial" w:cs="Arial"/>
          <w:sz w:val="22"/>
        </w:rPr>
        <w:t>(Emick, 2024)</w:t>
      </w:r>
      <w:r w:rsidR="009F5A32" w:rsidRPr="007A6105">
        <w:rPr>
          <w:rFonts w:ascii="Arial" w:hAnsi="Arial" w:cs="Arial"/>
          <w:sz w:val="22"/>
        </w:rPr>
        <w:t xml:space="preserve">. </w:t>
      </w:r>
      <w:r w:rsidR="00BE2D9A" w:rsidRPr="007A6105">
        <w:rPr>
          <w:rFonts w:ascii="Arial" w:hAnsi="Arial" w:cs="Arial"/>
          <w:sz w:val="22"/>
        </w:rPr>
        <w:t>Research</w:t>
      </w:r>
      <w:r w:rsidR="00F80E8E">
        <w:rPr>
          <w:rFonts w:ascii="Arial" w:hAnsi="Arial" w:cs="Arial"/>
          <w:sz w:val="22"/>
        </w:rPr>
        <w:t xml:space="preserve"> is</w:t>
      </w:r>
      <w:r w:rsidR="00BE2D9A" w:rsidRPr="007A6105">
        <w:rPr>
          <w:rFonts w:ascii="Arial" w:hAnsi="Arial" w:cs="Arial"/>
          <w:sz w:val="22"/>
        </w:rPr>
        <w:t xml:space="preserve"> published in peer-reviewed journals. </w:t>
      </w:r>
      <w:r w:rsidR="00A65BCC">
        <w:rPr>
          <w:rFonts w:ascii="Arial" w:hAnsi="Arial" w:cs="Arial"/>
          <w:sz w:val="22"/>
        </w:rPr>
        <w:t>Using a s</w:t>
      </w:r>
      <w:r w:rsidR="00BE2D9A" w:rsidRPr="007A6105">
        <w:rPr>
          <w:rFonts w:ascii="Arial" w:hAnsi="Arial" w:cs="Arial"/>
          <w:sz w:val="22"/>
        </w:rPr>
        <w:t>coping to collect the data</w:t>
      </w:r>
      <w:r w:rsidR="00D10A80">
        <w:rPr>
          <w:rFonts w:ascii="Arial" w:hAnsi="Arial" w:cs="Arial"/>
          <w:sz w:val="22"/>
        </w:rPr>
        <w:t>.</w:t>
      </w:r>
    </w:p>
    <w:p w14:paraId="4D157E57" w14:textId="272E29C4" w:rsidR="002A40FC" w:rsidRPr="007A6105" w:rsidRDefault="00085D42" w:rsidP="004F50EA">
      <w:pPr>
        <w:spacing w:line="360" w:lineRule="auto"/>
        <w:rPr>
          <w:rFonts w:ascii="Arial" w:hAnsi="Arial" w:cs="Arial"/>
          <w:sz w:val="22"/>
        </w:rPr>
      </w:pPr>
      <w:bookmarkStart w:id="15" w:name="_Toc227850531"/>
      <w:r w:rsidRPr="007E159D">
        <w:rPr>
          <w:rStyle w:val="Heading2Char"/>
        </w:rPr>
        <w:t>Databases</w:t>
      </w:r>
      <w:bookmarkEnd w:id="15"/>
      <w:r w:rsidRPr="007A6105">
        <w:rPr>
          <w:rFonts w:ascii="Arial" w:hAnsi="Arial" w:cs="Arial"/>
          <w:sz w:val="22"/>
        </w:rPr>
        <w:t xml:space="preserve">: </w:t>
      </w:r>
      <w:r w:rsidR="000E5D1C" w:rsidRPr="007A6105">
        <w:rPr>
          <w:rFonts w:ascii="Arial" w:hAnsi="Arial" w:cs="Arial"/>
          <w:sz w:val="22"/>
        </w:rPr>
        <w:t>T</w:t>
      </w:r>
      <w:r w:rsidRPr="007A6105">
        <w:rPr>
          <w:rFonts w:ascii="Arial" w:hAnsi="Arial" w:cs="Arial"/>
          <w:sz w:val="22"/>
        </w:rPr>
        <w:t>he</w:t>
      </w:r>
      <w:r w:rsidR="00D10A80">
        <w:rPr>
          <w:rFonts w:ascii="Arial" w:hAnsi="Arial" w:cs="Arial"/>
          <w:sz w:val="22"/>
        </w:rPr>
        <w:t>se</w:t>
      </w:r>
      <w:r w:rsidRPr="007A6105">
        <w:rPr>
          <w:rFonts w:ascii="Arial" w:hAnsi="Arial" w:cs="Arial"/>
          <w:sz w:val="22"/>
        </w:rPr>
        <w:t xml:space="preserve"> articles will be search in the following databases:  </w:t>
      </w:r>
    </w:p>
    <w:p w14:paraId="7584219B" w14:textId="176BD2D2" w:rsidR="00085D42" w:rsidRPr="007A6105" w:rsidRDefault="00085D42" w:rsidP="004F50EA">
      <w:pPr>
        <w:spacing w:line="360" w:lineRule="auto"/>
        <w:rPr>
          <w:rFonts w:ascii="Arial" w:hAnsi="Arial" w:cs="Arial"/>
          <w:sz w:val="22"/>
        </w:rPr>
      </w:pPr>
      <w:r w:rsidRPr="007A6105">
        <w:rPr>
          <w:rFonts w:ascii="Arial" w:hAnsi="Arial" w:cs="Arial"/>
          <w:sz w:val="22"/>
        </w:rPr>
        <w:t xml:space="preserve">UWTSD library, Google Scholar.  </w:t>
      </w:r>
      <w:r w:rsidR="00EA78E2" w:rsidRPr="007A6105">
        <w:rPr>
          <w:rFonts w:ascii="Arial" w:hAnsi="Arial" w:cs="Arial"/>
          <w:sz w:val="22"/>
        </w:rPr>
        <w:t xml:space="preserve"> </w:t>
      </w:r>
    </w:p>
    <w:p w14:paraId="5AEFDB6E" w14:textId="77777777" w:rsidR="00A17769" w:rsidRDefault="00A17769" w:rsidP="00085D42"/>
    <w:p w14:paraId="22993964" w14:textId="77777777" w:rsidR="00305A82" w:rsidRPr="007A6105" w:rsidRDefault="00305A82" w:rsidP="007E159D">
      <w:pPr>
        <w:pStyle w:val="Heading3"/>
      </w:pPr>
      <w:bookmarkStart w:id="16" w:name="_Toc227850532"/>
      <w:r w:rsidRPr="007A6105">
        <w:t>Inclusion and exclusion criteria</w:t>
      </w:r>
      <w:bookmarkEnd w:id="16"/>
      <w:r w:rsidRPr="007A6105">
        <w:t xml:space="preserve">  </w:t>
      </w:r>
    </w:p>
    <w:p w14:paraId="706AEE76" w14:textId="77777777" w:rsidR="00305A82" w:rsidRPr="007A6105" w:rsidRDefault="00305A82" w:rsidP="007E159D">
      <w:pPr>
        <w:pStyle w:val="Heading3"/>
      </w:pPr>
      <w:bookmarkStart w:id="17" w:name="_Toc227850533"/>
      <w:r w:rsidRPr="007A6105">
        <w:t>Inclusion criteria</w:t>
      </w:r>
      <w:bookmarkEnd w:id="17"/>
      <w:r w:rsidRPr="007A6105">
        <w:t xml:space="preserve">  </w:t>
      </w:r>
    </w:p>
    <w:p w14:paraId="582697C0" w14:textId="5D015F2F"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Peer-reviews journals articles</w:t>
      </w:r>
      <w:r w:rsidR="00773513">
        <w:rPr>
          <w:rFonts w:ascii="Arial" w:hAnsi="Arial" w:cs="Arial"/>
          <w:sz w:val="22"/>
        </w:rPr>
        <w:t>.</w:t>
      </w:r>
      <w:r w:rsidRPr="007A6105">
        <w:rPr>
          <w:rFonts w:ascii="Arial" w:hAnsi="Arial" w:cs="Arial"/>
          <w:sz w:val="22"/>
        </w:rPr>
        <w:t xml:space="preserve"> </w:t>
      </w:r>
    </w:p>
    <w:p w14:paraId="07135CF5"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Published from 2016 </w:t>
      </w:r>
    </w:p>
    <w:p w14:paraId="4F9A7698"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Based on UK adults 18+ </w:t>
      </w:r>
    </w:p>
    <w:p w14:paraId="576A502B" w14:textId="0B2CA161"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Based on </w:t>
      </w:r>
      <w:r w:rsidR="00762CC3" w:rsidRPr="007A6105">
        <w:rPr>
          <w:rFonts w:ascii="Arial" w:hAnsi="Arial" w:cs="Arial"/>
          <w:sz w:val="22"/>
        </w:rPr>
        <w:t>barriers and facilitators to implement telehealth in the Uk</w:t>
      </w:r>
      <w:r w:rsidRPr="007A6105">
        <w:rPr>
          <w:rFonts w:ascii="Arial" w:hAnsi="Arial" w:cs="Arial"/>
          <w:sz w:val="22"/>
        </w:rPr>
        <w:t xml:space="preserve"> </w:t>
      </w:r>
    </w:p>
    <w:p w14:paraId="4FA005A5" w14:textId="77777777" w:rsidR="00471DB9"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Written in English</w:t>
      </w:r>
    </w:p>
    <w:p w14:paraId="399F37AC" w14:textId="77777777" w:rsidR="00780028" w:rsidRPr="007A6105" w:rsidRDefault="00780028" w:rsidP="004F50EA">
      <w:pPr>
        <w:pStyle w:val="ListParagraph"/>
        <w:numPr>
          <w:ilvl w:val="0"/>
          <w:numId w:val="2"/>
        </w:numPr>
        <w:spacing w:line="360" w:lineRule="auto"/>
        <w:rPr>
          <w:rFonts w:ascii="Arial" w:hAnsi="Arial" w:cs="Arial"/>
          <w:sz w:val="22"/>
        </w:rPr>
      </w:pPr>
      <w:r w:rsidRPr="007A6105">
        <w:rPr>
          <w:rFonts w:ascii="Arial" w:hAnsi="Arial" w:cs="Arial"/>
          <w:sz w:val="22"/>
        </w:rPr>
        <w:t>Cost of Telehealth</w:t>
      </w:r>
    </w:p>
    <w:p w14:paraId="70F4CE87" w14:textId="77777777" w:rsidR="002A785D"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Device access</w:t>
      </w:r>
    </w:p>
    <w:p w14:paraId="3191AC1D" w14:textId="77777777" w:rsidR="002A785D"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Broadband</w:t>
      </w:r>
    </w:p>
    <w:p w14:paraId="6B727B9B" w14:textId="77777777" w:rsidR="002A785D"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Digital literacy</w:t>
      </w:r>
    </w:p>
    <w:p w14:paraId="1E838744" w14:textId="3D3F36FE" w:rsidR="00305A82"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Rural population</w:t>
      </w:r>
      <w:r w:rsidR="00305A82" w:rsidRPr="007A6105">
        <w:rPr>
          <w:rFonts w:ascii="Arial" w:hAnsi="Arial" w:cs="Arial"/>
          <w:sz w:val="22"/>
        </w:rPr>
        <w:t xml:space="preserve">  </w:t>
      </w:r>
    </w:p>
    <w:p w14:paraId="2A837F5F" w14:textId="77777777" w:rsidR="008A3F92" w:rsidRPr="007A6105" w:rsidRDefault="008A3F92" w:rsidP="004F50EA">
      <w:pPr>
        <w:spacing w:line="360" w:lineRule="auto"/>
        <w:ind w:left="360"/>
        <w:rPr>
          <w:rFonts w:ascii="Arial" w:hAnsi="Arial" w:cs="Arial"/>
          <w:b/>
          <w:bCs/>
          <w:sz w:val="22"/>
        </w:rPr>
      </w:pPr>
    </w:p>
    <w:p w14:paraId="57829E1B" w14:textId="77777777" w:rsidR="007E159D" w:rsidRDefault="007E159D" w:rsidP="004F50EA">
      <w:pPr>
        <w:spacing w:line="360" w:lineRule="auto"/>
        <w:ind w:left="360"/>
        <w:rPr>
          <w:rFonts w:ascii="Arial" w:hAnsi="Arial" w:cs="Arial"/>
          <w:b/>
          <w:bCs/>
          <w:sz w:val="22"/>
        </w:rPr>
      </w:pPr>
    </w:p>
    <w:p w14:paraId="21D341E2" w14:textId="5372004E" w:rsidR="00305A82" w:rsidRPr="007A6105" w:rsidRDefault="00305A82" w:rsidP="007E159D">
      <w:pPr>
        <w:pStyle w:val="Heading3"/>
      </w:pPr>
      <w:bookmarkStart w:id="18" w:name="_Toc227850534"/>
      <w:r w:rsidRPr="007A6105">
        <w:t>Exclusion criteria</w:t>
      </w:r>
      <w:bookmarkEnd w:id="18"/>
      <w:r w:rsidRPr="007A6105">
        <w:t xml:space="preserve"> </w:t>
      </w:r>
    </w:p>
    <w:p w14:paraId="6DCA0342" w14:textId="36716835" w:rsidR="00305A82" w:rsidRPr="007A6105" w:rsidRDefault="00305A82" w:rsidP="004F50EA">
      <w:pPr>
        <w:pStyle w:val="ListParagraph"/>
        <w:numPr>
          <w:ilvl w:val="0"/>
          <w:numId w:val="4"/>
        </w:numPr>
        <w:spacing w:line="360" w:lineRule="auto"/>
        <w:rPr>
          <w:rFonts w:ascii="Arial" w:hAnsi="Arial" w:cs="Arial"/>
          <w:sz w:val="22"/>
        </w:rPr>
      </w:pPr>
      <w:r w:rsidRPr="007A6105">
        <w:rPr>
          <w:rFonts w:ascii="Arial" w:hAnsi="Arial" w:cs="Arial"/>
          <w:sz w:val="22"/>
        </w:rPr>
        <w:t>Books, reports, websites</w:t>
      </w:r>
      <w:r w:rsidR="00D13815">
        <w:rPr>
          <w:rFonts w:ascii="Arial" w:hAnsi="Arial" w:cs="Arial"/>
          <w:sz w:val="22"/>
        </w:rPr>
        <w:t>.</w:t>
      </w:r>
      <w:r w:rsidRPr="007A6105">
        <w:rPr>
          <w:rFonts w:ascii="Arial" w:hAnsi="Arial" w:cs="Arial"/>
          <w:sz w:val="22"/>
        </w:rPr>
        <w:t xml:space="preserve">  </w:t>
      </w:r>
    </w:p>
    <w:p w14:paraId="6916533D" w14:textId="597DE3E9"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Published prior </w:t>
      </w:r>
      <w:r w:rsidR="00D13815">
        <w:rPr>
          <w:rFonts w:ascii="Arial" w:hAnsi="Arial" w:cs="Arial"/>
          <w:sz w:val="22"/>
        </w:rPr>
        <w:t xml:space="preserve">or </w:t>
      </w:r>
      <w:r w:rsidRPr="007A6105">
        <w:rPr>
          <w:rFonts w:ascii="Arial" w:hAnsi="Arial" w:cs="Arial"/>
          <w:sz w:val="22"/>
        </w:rPr>
        <w:t>before 2016</w:t>
      </w:r>
      <w:r w:rsidR="00D13815">
        <w:rPr>
          <w:rFonts w:ascii="Arial" w:hAnsi="Arial" w:cs="Arial"/>
          <w:sz w:val="22"/>
        </w:rPr>
        <w:t>.</w:t>
      </w:r>
      <w:r w:rsidRPr="007A6105">
        <w:rPr>
          <w:rFonts w:ascii="Arial" w:hAnsi="Arial" w:cs="Arial"/>
          <w:sz w:val="22"/>
        </w:rPr>
        <w:t xml:space="preserve"> </w:t>
      </w:r>
    </w:p>
    <w:p w14:paraId="21B1757C" w14:textId="19F7415B" w:rsidR="00305A82" w:rsidRPr="007A6105" w:rsidRDefault="00D13815" w:rsidP="004F50EA">
      <w:pPr>
        <w:pStyle w:val="ListParagraph"/>
        <w:numPr>
          <w:ilvl w:val="0"/>
          <w:numId w:val="2"/>
        </w:numPr>
        <w:spacing w:line="360" w:lineRule="auto"/>
        <w:rPr>
          <w:rFonts w:ascii="Arial" w:hAnsi="Arial" w:cs="Arial"/>
          <w:sz w:val="22"/>
        </w:rPr>
      </w:pPr>
      <w:r>
        <w:rPr>
          <w:rFonts w:ascii="Arial" w:hAnsi="Arial" w:cs="Arial"/>
          <w:sz w:val="22"/>
        </w:rPr>
        <w:t>B</w:t>
      </w:r>
      <w:r w:rsidR="00305A82" w:rsidRPr="007A6105">
        <w:rPr>
          <w:rFonts w:ascii="Arial" w:hAnsi="Arial" w:cs="Arial"/>
          <w:sz w:val="22"/>
        </w:rPr>
        <w:t>ased on children</w:t>
      </w:r>
      <w:r>
        <w:rPr>
          <w:rFonts w:ascii="Arial" w:hAnsi="Arial" w:cs="Arial"/>
          <w:sz w:val="22"/>
        </w:rPr>
        <w:t>.</w:t>
      </w:r>
      <w:r w:rsidR="00305A82" w:rsidRPr="007A6105">
        <w:rPr>
          <w:rFonts w:ascii="Arial" w:hAnsi="Arial" w:cs="Arial"/>
          <w:sz w:val="22"/>
        </w:rPr>
        <w:t xml:space="preserve">  </w:t>
      </w:r>
    </w:p>
    <w:p w14:paraId="5D11E948" w14:textId="4411F4C5" w:rsidR="00305A82" w:rsidRPr="007A6105" w:rsidRDefault="00D13815" w:rsidP="004F50EA">
      <w:pPr>
        <w:pStyle w:val="ListParagraph"/>
        <w:numPr>
          <w:ilvl w:val="0"/>
          <w:numId w:val="2"/>
        </w:numPr>
        <w:spacing w:line="360" w:lineRule="auto"/>
        <w:rPr>
          <w:rFonts w:ascii="Arial" w:hAnsi="Arial" w:cs="Arial"/>
          <w:sz w:val="22"/>
        </w:rPr>
      </w:pPr>
      <w:r>
        <w:rPr>
          <w:rFonts w:ascii="Arial" w:hAnsi="Arial" w:cs="Arial"/>
          <w:sz w:val="22"/>
        </w:rPr>
        <w:t>B</w:t>
      </w:r>
      <w:r w:rsidR="00305A82" w:rsidRPr="007A6105">
        <w:rPr>
          <w:rFonts w:ascii="Arial" w:hAnsi="Arial" w:cs="Arial"/>
          <w:sz w:val="22"/>
        </w:rPr>
        <w:t>ased on adults living outside</w:t>
      </w:r>
      <w:r w:rsidR="00817442">
        <w:rPr>
          <w:rFonts w:ascii="Arial" w:hAnsi="Arial" w:cs="Arial"/>
          <w:sz w:val="22"/>
        </w:rPr>
        <w:t xml:space="preserve"> of</w:t>
      </w:r>
      <w:r w:rsidR="00305A82" w:rsidRPr="007A6105">
        <w:rPr>
          <w:rFonts w:ascii="Arial" w:hAnsi="Arial" w:cs="Arial"/>
          <w:sz w:val="22"/>
        </w:rPr>
        <w:t xml:space="preserve"> the UK</w:t>
      </w:r>
      <w:r>
        <w:rPr>
          <w:rFonts w:ascii="Arial" w:hAnsi="Arial" w:cs="Arial"/>
          <w:sz w:val="22"/>
        </w:rPr>
        <w:t>.</w:t>
      </w:r>
      <w:r w:rsidR="00305A82" w:rsidRPr="007A6105">
        <w:rPr>
          <w:rFonts w:ascii="Arial" w:hAnsi="Arial" w:cs="Arial"/>
          <w:sz w:val="22"/>
        </w:rPr>
        <w:t xml:space="preserve">  </w:t>
      </w:r>
    </w:p>
    <w:p w14:paraId="199CDE77" w14:textId="4108E1B7" w:rsidR="00305A82" w:rsidRPr="007A6105" w:rsidRDefault="00A77209"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Non-peer—reviewed sources </w:t>
      </w:r>
      <w:r w:rsidR="00063CD3" w:rsidRPr="007A6105">
        <w:rPr>
          <w:rFonts w:ascii="Arial" w:hAnsi="Arial" w:cs="Arial"/>
          <w:sz w:val="22"/>
        </w:rPr>
        <w:t xml:space="preserve">(Unless </w:t>
      </w:r>
      <w:r w:rsidR="00450B44" w:rsidRPr="007A6105">
        <w:rPr>
          <w:rFonts w:ascii="Arial" w:hAnsi="Arial" w:cs="Arial"/>
          <w:sz w:val="22"/>
        </w:rPr>
        <w:t>relevant)</w:t>
      </w:r>
      <w:r w:rsidR="003C1164">
        <w:rPr>
          <w:rFonts w:ascii="Arial" w:hAnsi="Arial" w:cs="Arial"/>
          <w:sz w:val="22"/>
        </w:rPr>
        <w:t>.</w:t>
      </w:r>
      <w:r w:rsidR="00450B44" w:rsidRPr="007A6105">
        <w:rPr>
          <w:rFonts w:ascii="Arial" w:hAnsi="Arial" w:cs="Arial"/>
          <w:sz w:val="22"/>
        </w:rPr>
        <w:t xml:space="preserve"> </w:t>
      </w:r>
      <w:r w:rsidR="00305A82" w:rsidRPr="007A6105">
        <w:rPr>
          <w:rFonts w:ascii="Arial" w:hAnsi="Arial" w:cs="Arial"/>
          <w:sz w:val="22"/>
        </w:rPr>
        <w:t xml:space="preserve">  </w:t>
      </w:r>
    </w:p>
    <w:p w14:paraId="3320C582" w14:textId="52D1431F"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Written in other languages other than English</w:t>
      </w:r>
      <w:r w:rsidR="003C1164">
        <w:rPr>
          <w:rFonts w:ascii="Arial" w:hAnsi="Arial" w:cs="Arial"/>
          <w:sz w:val="22"/>
        </w:rPr>
        <w:t>.</w:t>
      </w:r>
      <w:r w:rsidRPr="007A6105">
        <w:rPr>
          <w:rFonts w:ascii="Arial" w:hAnsi="Arial" w:cs="Arial"/>
          <w:sz w:val="22"/>
        </w:rPr>
        <w:t xml:space="preserve">  </w:t>
      </w:r>
    </w:p>
    <w:p w14:paraId="43F6B698" w14:textId="694C6738" w:rsidR="00305A82" w:rsidRPr="007A6105" w:rsidRDefault="00305A82" w:rsidP="004F50EA">
      <w:pPr>
        <w:spacing w:line="360" w:lineRule="auto"/>
        <w:rPr>
          <w:rFonts w:ascii="Arial" w:hAnsi="Arial" w:cs="Arial"/>
          <w:sz w:val="22"/>
        </w:rPr>
      </w:pPr>
      <w:r w:rsidRPr="007A6105">
        <w:rPr>
          <w:rFonts w:ascii="Arial" w:hAnsi="Arial" w:cs="Arial"/>
          <w:sz w:val="22"/>
        </w:rPr>
        <w:t xml:space="preserve"> </w:t>
      </w:r>
    </w:p>
    <w:p w14:paraId="716FF477" w14:textId="34F0869C" w:rsidR="00085D42" w:rsidRPr="007A6105" w:rsidRDefault="00085D42" w:rsidP="004F50EA">
      <w:pPr>
        <w:spacing w:line="360" w:lineRule="auto"/>
        <w:rPr>
          <w:rFonts w:ascii="Arial" w:hAnsi="Arial" w:cs="Arial"/>
          <w:sz w:val="22"/>
        </w:rPr>
      </w:pPr>
      <w:bookmarkStart w:id="19" w:name="_Toc227850535"/>
      <w:r w:rsidRPr="008462A6">
        <w:rPr>
          <w:rStyle w:val="Heading3Char"/>
          <w:rFonts w:eastAsiaTheme="minorHAnsi"/>
        </w:rPr>
        <w:t>Keywords</w:t>
      </w:r>
      <w:bookmarkEnd w:id="19"/>
      <w:r w:rsidRPr="007A6105">
        <w:rPr>
          <w:rFonts w:ascii="Arial" w:hAnsi="Arial" w:cs="Arial"/>
          <w:sz w:val="22"/>
        </w:rPr>
        <w:t xml:space="preserve">: </w:t>
      </w:r>
    </w:p>
    <w:p w14:paraId="78DE4DDF" w14:textId="5C25BF3F" w:rsidR="00611707" w:rsidRPr="007A6105" w:rsidRDefault="00732537"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UK</w:t>
      </w:r>
    </w:p>
    <w:p w14:paraId="7C05B1AB" w14:textId="00A556CC" w:rsidR="00732537" w:rsidRPr="007A6105" w:rsidRDefault="00732537" w:rsidP="004F50EA">
      <w:pPr>
        <w:pStyle w:val="ListParagraph"/>
        <w:numPr>
          <w:ilvl w:val="0"/>
          <w:numId w:val="3"/>
        </w:numPr>
        <w:spacing w:line="360" w:lineRule="auto"/>
        <w:rPr>
          <w:rFonts w:ascii="Arial" w:hAnsi="Arial" w:cs="Arial"/>
          <w:sz w:val="22"/>
        </w:rPr>
      </w:pPr>
      <w:r w:rsidRPr="007A6105">
        <w:rPr>
          <w:rFonts w:ascii="Arial" w:hAnsi="Arial" w:cs="Arial"/>
          <w:sz w:val="22"/>
        </w:rPr>
        <w:t xml:space="preserve">Telehealth </w:t>
      </w:r>
      <w:r w:rsidR="00387958" w:rsidRPr="007A6105">
        <w:rPr>
          <w:rFonts w:ascii="Arial" w:hAnsi="Arial" w:cs="Arial"/>
          <w:sz w:val="22"/>
        </w:rPr>
        <w:t>in remote UK</w:t>
      </w:r>
    </w:p>
    <w:p w14:paraId="21766E08" w14:textId="0F4B14D9" w:rsidR="00387958" w:rsidRPr="007A6105" w:rsidRDefault="00387958"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barriers</w:t>
      </w:r>
    </w:p>
    <w:p w14:paraId="0D250D85" w14:textId="6EF8E4AC" w:rsidR="00387958" w:rsidRPr="007A6105" w:rsidRDefault="00A00134"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facilit</w:t>
      </w:r>
      <w:r w:rsidR="00205F1A" w:rsidRPr="007A6105">
        <w:rPr>
          <w:rFonts w:ascii="Arial" w:hAnsi="Arial" w:cs="Arial"/>
          <w:sz w:val="22"/>
        </w:rPr>
        <w:t>at</w:t>
      </w:r>
      <w:r w:rsidRPr="007A6105">
        <w:rPr>
          <w:rFonts w:ascii="Arial" w:hAnsi="Arial" w:cs="Arial"/>
          <w:sz w:val="22"/>
        </w:rPr>
        <w:t>ors</w:t>
      </w:r>
    </w:p>
    <w:p w14:paraId="18B7B58A" w14:textId="255C31B0" w:rsidR="00864A7D" w:rsidRPr="007A6105" w:rsidRDefault="0081297D"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b</w:t>
      </w:r>
      <w:r w:rsidR="00864A7D" w:rsidRPr="007A6105">
        <w:rPr>
          <w:rFonts w:ascii="Arial" w:hAnsi="Arial" w:cs="Arial"/>
          <w:sz w:val="22"/>
        </w:rPr>
        <w:t>roadband access</w:t>
      </w:r>
    </w:p>
    <w:p w14:paraId="4770BAB4" w14:textId="34A882FB" w:rsidR="00F16633" w:rsidRPr="007A6105" w:rsidRDefault="00F16633" w:rsidP="004F50EA">
      <w:pPr>
        <w:pStyle w:val="ListParagraph"/>
        <w:numPr>
          <w:ilvl w:val="0"/>
          <w:numId w:val="3"/>
        </w:numPr>
        <w:spacing w:line="360" w:lineRule="auto"/>
        <w:rPr>
          <w:rFonts w:ascii="Arial" w:hAnsi="Arial" w:cs="Arial"/>
          <w:sz w:val="22"/>
        </w:rPr>
      </w:pPr>
      <w:r w:rsidRPr="007A6105">
        <w:rPr>
          <w:rFonts w:ascii="Arial" w:hAnsi="Arial" w:cs="Arial"/>
          <w:sz w:val="22"/>
        </w:rPr>
        <w:t xml:space="preserve">Telehealth digital </w:t>
      </w:r>
      <w:r w:rsidR="00205F1A" w:rsidRPr="007A6105">
        <w:rPr>
          <w:rFonts w:ascii="Arial" w:hAnsi="Arial" w:cs="Arial"/>
          <w:sz w:val="22"/>
        </w:rPr>
        <w:t>divide</w:t>
      </w:r>
    </w:p>
    <w:p w14:paraId="7D2CFA6B" w14:textId="5CB7775C" w:rsidR="00F16633" w:rsidRPr="007A6105" w:rsidRDefault="00F16633"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cost</w:t>
      </w:r>
    </w:p>
    <w:p w14:paraId="74C2F132" w14:textId="06E5FF40" w:rsidR="008462A6" w:rsidRDefault="008462A6" w:rsidP="00AE4D72">
      <w:pPr>
        <w:spacing w:line="360" w:lineRule="auto"/>
      </w:pPr>
    </w:p>
    <w:p w14:paraId="3B1E3E58" w14:textId="77777777" w:rsidR="00CE71DB" w:rsidRPr="00CE71DB" w:rsidRDefault="00CE71DB" w:rsidP="00AE4D72">
      <w:pPr>
        <w:spacing w:line="360" w:lineRule="auto"/>
        <w:rPr>
          <w:b/>
          <w:bCs/>
        </w:rPr>
      </w:pPr>
    </w:p>
    <w:p w14:paraId="0D10F150" w14:textId="77777777" w:rsidR="00CE71DB" w:rsidRPr="005D2A8B" w:rsidRDefault="00CE71DB" w:rsidP="00CE71DB">
      <w:pPr>
        <w:spacing w:line="360" w:lineRule="auto"/>
        <w:rPr>
          <w:rFonts w:ascii="Arial" w:hAnsi="Arial" w:cs="Arial"/>
          <w:b/>
          <w:bCs/>
          <w:sz w:val="22"/>
        </w:rPr>
      </w:pPr>
      <w:r w:rsidRPr="005D2A8B">
        <w:rPr>
          <w:rFonts w:ascii="Arial" w:hAnsi="Arial" w:cs="Arial"/>
          <w:b/>
          <w:bCs/>
          <w:sz w:val="22"/>
        </w:rPr>
        <w:t>Data Analysis: Thematic Analysis</w:t>
      </w:r>
    </w:p>
    <w:p w14:paraId="5E0647E0" w14:textId="77777777" w:rsidR="00CE71DB" w:rsidRPr="005D2A8B" w:rsidRDefault="00CE71DB" w:rsidP="00CE71DB">
      <w:pPr>
        <w:spacing w:line="360" w:lineRule="auto"/>
        <w:rPr>
          <w:rFonts w:ascii="Arial" w:hAnsi="Arial" w:cs="Arial"/>
          <w:sz w:val="22"/>
        </w:rPr>
      </w:pPr>
      <w:r w:rsidRPr="005D2A8B">
        <w:rPr>
          <w:rFonts w:ascii="Arial" w:hAnsi="Arial" w:cs="Arial"/>
          <w:sz w:val="22"/>
        </w:rPr>
        <w:t>The data in this review were analysed using thematic analysis, a method suitable for identifying patterns across qualitative findings from existing studies. After selecting the included articles, key information was extracted and coded based on recurring ideas related to telehealth barriers and facilitators. Codes were then grouped into broader themes that reflected shared concepts across the literature. This process allowed the review to synthesise findings from different studies and highlight common issues such as digital inequality, organisational readiness, and staff acceptance. Thematic analysis was appropriate for this secondary research because it supports the interpretation of diverse evidence while maintaining a structured and transparent approach to identifying patterns in published work.</w:t>
      </w:r>
    </w:p>
    <w:p w14:paraId="320056F5" w14:textId="77777777" w:rsidR="00CE71DB" w:rsidRDefault="00CE71DB" w:rsidP="00CE71DB">
      <w:pPr>
        <w:spacing w:line="360" w:lineRule="auto"/>
      </w:pPr>
    </w:p>
    <w:p w14:paraId="5214D523" w14:textId="77777777" w:rsidR="00CE71DB" w:rsidRPr="00BD0C53" w:rsidRDefault="00CE71DB" w:rsidP="00CE71DB">
      <w:pPr>
        <w:spacing w:line="360" w:lineRule="auto"/>
        <w:rPr>
          <w:rFonts w:ascii="Arial" w:hAnsi="Arial" w:cs="Arial"/>
          <w:b/>
          <w:bCs/>
          <w:sz w:val="22"/>
        </w:rPr>
      </w:pPr>
      <w:r w:rsidRPr="00BD0C53">
        <w:rPr>
          <w:rFonts w:ascii="Arial" w:hAnsi="Arial" w:cs="Arial"/>
          <w:b/>
          <w:bCs/>
          <w:sz w:val="22"/>
        </w:rPr>
        <w:lastRenderedPageBreak/>
        <w:t>Ethical Considerations</w:t>
      </w:r>
    </w:p>
    <w:p w14:paraId="521702E3" w14:textId="70649734" w:rsidR="00CE71DB" w:rsidRPr="00941D4D" w:rsidRDefault="00CE71DB" w:rsidP="00CE71DB">
      <w:pPr>
        <w:spacing w:line="360" w:lineRule="auto"/>
        <w:rPr>
          <w:rFonts w:ascii="Arial" w:hAnsi="Arial" w:cs="Arial"/>
          <w:sz w:val="22"/>
        </w:rPr>
      </w:pPr>
      <w:r w:rsidRPr="00941D4D">
        <w:rPr>
          <w:rFonts w:ascii="Arial" w:hAnsi="Arial" w:cs="Arial"/>
          <w:sz w:val="22"/>
        </w:rPr>
        <w:t>As this study uses secondary research, ethical risks are based on secondary research ethical considerations because no new data were collected from human participants. All sources used were publicly available, peer</w:t>
      </w:r>
      <w:r w:rsidRPr="00941D4D">
        <w:rPr>
          <w:rFonts w:ascii="Cambria Math" w:hAnsi="Cambria Math" w:cs="Cambria Math"/>
          <w:sz w:val="22"/>
        </w:rPr>
        <w:t>‑</w:t>
      </w:r>
      <w:r w:rsidRPr="00941D4D">
        <w:rPr>
          <w:rFonts w:ascii="Arial" w:hAnsi="Arial" w:cs="Arial"/>
          <w:sz w:val="22"/>
        </w:rPr>
        <w:t>reviewed academic publications. Ethical practice was maintained by ensuring accurate reporting, objective interpretation, and proper referencing of all materials. Objectivity was supported by analysing studies systematically and avoiding personal bias when interpreting findings. Accuracy was ensured by cross</w:t>
      </w:r>
      <w:r w:rsidRPr="00941D4D">
        <w:rPr>
          <w:rFonts w:ascii="Cambria Math" w:hAnsi="Cambria Math" w:cs="Cambria Math"/>
          <w:sz w:val="22"/>
        </w:rPr>
        <w:t>‑</w:t>
      </w:r>
      <w:r w:rsidRPr="00941D4D">
        <w:rPr>
          <w:rFonts w:ascii="Arial" w:hAnsi="Arial" w:cs="Arial"/>
          <w:sz w:val="22"/>
        </w:rPr>
        <w:t>checking extracted information with the original articles. Full Harvard</w:t>
      </w:r>
      <w:r w:rsidRPr="00941D4D">
        <w:rPr>
          <w:rFonts w:ascii="Cambria Math" w:hAnsi="Cambria Math" w:cs="Cambria Math"/>
          <w:sz w:val="22"/>
        </w:rPr>
        <w:t>‑</w:t>
      </w:r>
      <w:r w:rsidRPr="00941D4D">
        <w:rPr>
          <w:rFonts w:ascii="Arial" w:hAnsi="Arial" w:cs="Arial"/>
          <w:sz w:val="22"/>
        </w:rPr>
        <w:t>style referencing was used to acknowledge authors’ work and avoid plagiarism. Since no personal or sensitive data were handled, formal ethical approval was not required, but academic integrity and responsible scholarship were upheld throughout the research process.</w:t>
      </w:r>
    </w:p>
    <w:p w14:paraId="581C99BF" w14:textId="33DE5DD8" w:rsidR="00B87E75" w:rsidRDefault="00B87E75" w:rsidP="00C12D79">
      <w:pPr>
        <w:pStyle w:val="Heading1"/>
      </w:pPr>
      <w:bookmarkStart w:id="20" w:name="_Toc227850536"/>
      <w:r w:rsidRPr="00CD33A8">
        <w:t>Results</w:t>
      </w:r>
      <w:bookmarkEnd w:id="20"/>
    </w:p>
    <w:p w14:paraId="5B6AFB0B" w14:textId="66EB8F17" w:rsidR="00C12D79" w:rsidRPr="00C12D79" w:rsidRDefault="008B3F44" w:rsidP="00C12D79">
      <w:r>
        <w:t>The characteristics of the selected studie</w:t>
      </w:r>
      <w:r w:rsidR="00AB058D">
        <w:t>s</w:t>
      </w:r>
      <w:r>
        <w:t xml:space="preserve"> are presented in the table below.</w:t>
      </w:r>
    </w:p>
    <w:p w14:paraId="7A29FCB1" w14:textId="61085040" w:rsidR="003E4ECF" w:rsidRDefault="003E4ECF" w:rsidP="00CD33A8">
      <w:pPr>
        <w:tabs>
          <w:tab w:val="left" w:pos="6540"/>
        </w:tabs>
        <w:spacing w:line="360" w:lineRule="auto"/>
        <w:rPr>
          <w:rFonts w:asciiTheme="minorBidi" w:hAnsiTheme="minorBidi"/>
          <w:sz w:val="22"/>
        </w:rPr>
      </w:pPr>
    </w:p>
    <w:tbl>
      <w:tblPr>
        <w:tblStyle w:val="TableGrid"/>
        <w:tblW w:w="9209" w:type="dxa"/>
        <w:tblLook w:val="04A0" w:firstRow="1" w:lastRow="0" w:firstColumn="1" w:lastColumn="0" w:noHBand="0" w:noVBand="1"/>
      </w:tblPr>
      <w:tblGrid>
        <w:gridCol w:w="2345"/>
        <w:gridCol w:w="2345"/>
        <w:gridCol w:w="2345"/>
        <w:gridCol w:w="2174"/>
      </w:tblGrid>
      <w:tr w:rsidR="00283EBF" w14:paraId="54F73591" w14:textId="77777777" w:rsidTr="007D3B82">
        <w:trPr>
          <w:trHeight w:val="774"/>
        </w:trPr>
        <w:tc>
          <w:tcPr>
            <w:tcW w:w="2345" w:type="dxa"/>
          </w:tcPr>
          <w:p w14:paraId="33DCACA6" w14:textId="4947A55E"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 xml:space="preserve">Author/s and publication year </w:t>
            </w:r>
          </w:p>
        </w:tc>
        <w:tc>
          <w:tcPr>
            <w:tcW w:w="2345" w:type="dxa"/>
          </w:tcPr>
          <w:p w14:paraId="33D83758" w14:textId="7946C189"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Aim</w:t>
            </w:r>
          </w:p>
        </w:tc>
        <w:tc>
          <w:tcPr>
            <w:tcW w:w="2345" w:type="dxa"/>
          </w:tcPr>
          <w:p w14:paraId="08CFF90C" w14:textId="41BCA51E"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Methods</w:t>
            </w:r>
          </w:p>
        </w:tc>
        <w:tc>
          <w:tcPr>
            <w:tcW w:w="2174" w:type="dxa"/>
          </w:tcPr>
          <w:p w14:paraId="2D91FF2D" w14:textId="4D1BE11E"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 xml:space="preserve">Key findings </w:t>
            </w:r>
          </w:p>
        </w:tc>
      </w:tr>
      <w:tr w:rsidR="00283EBF" w14:paraId="4A5F6675" w14:textId="77777777" w:rsidTr="007D3B82">
        <w:trPr>
          <w:trHeight w:val="1947"/>
        </w:trPr>
        <w:tc>
          <w:tcPr>
            <w:tcW w:w="2345" w:type="dxa"/>
          </w:tcPr>
          <w:p w14:paraId="2ACEDBCF" w14:textId="088FF690" w:rsidR="00283EBF" w:rsidRPr="007A6105" w:rsidRDefault="00990D56" w:rsidP="004F50EA">
            <w:pPr>
              <w:tabs>
                <w:tab w:val="left" w:pos="6540"/>
              </w:tabs>
              <w:spacing w:line="360" w:lineRule="auto"/>
              <w:rPr>
                <w:rFonts w:ascii="Arial" w:hAnsi="Arial" w:cs="Arial"/>
                <w:sz w:val="22"/>
              </w:rPr>
            </w:pPr>
            <w:r w:rsidRPr="007A6105">
              <w:rPr>
                <w:rFonts w:ascii="Arial" w:hAnsi="Arial" w:cs="Arial"/>
                <w:sz w:val="22"/>
              </w:rPr>
              <w:t>Kayyali, R. et al. (2017).</w:t>
            </w:r>
          </w:p>
        </w:tc>
        <w:tc>
          <w:tcPr>
            <w:tcW w:w="2345" w:type="dxa"/>
          </w:tcPr>
          <w:p w14:paraId="5CD36FC3" w14:textId="3F7A6E10" w:rsidR="00283EBF" w:rsidRPr="007A6105" w:rsidRDefault="00FC3864" w:rsidP="004F50EA">
            <w:pPr>
              <w:tabs>
                <w:tab w:val="left" w:pos="6540"/>
              </w:tabs>
              <w:spacing w:line="360" w:lineRule="auto"/>
              <w:rPr>
                <w:rFonts w:ascii="Arial" w:hAnsi="Arial" w:cs="Arial"/>
                <w:sz w:val="22"/>
              </w:rPr>
            </w:pPr>
            <w:r w:rsidRPr="007A6105">
              <w:rPr>
                <w:rFonts w:ascii="Arial" w:hAnsi="Arial" w:cs="Arial"/>
                <w:sz w:val="22"/>
              </w:rPr>
              <w:t xml:space="preserve">Explore the barriers to Telehealth </w:t>
            </w:r>
            <w:r w:rsidR="00BE50B3" w:rsidRPr="007A6105">
              <w:rPr>
                <w:rFonts w:ascii="Arial" w:hAnsi="Arial" w:cs="Arial"/>
                <w:sz w:val="22"/>
              </w:rPr>
              <w:t>in the UK</w:t>
            </w:r>
          </w:p>
        </w:tc>
        <w:tc>
          <w:tcPr>
            <w:tcW w:w="2345" w:type="dxa"/>
          </w:tcPr>
          <w:p w14:paraId="36736455" w14:textId="1F804AF7" w:rsidR="00283EBF" w:rsidRPr="007A6105" w:rsidRDefault="0089686B" w:rsidP="004F50EA">
            <w:pPr>
              <w:tabs>
                <w:tab w:val="left" w:pos="6540"/>
              </w:tabs>
              <w:spacing w:line="360" w:lineRule="auto"/>
              <w:rPr>
                <w:rFonts w:ascii="Arial" w:hAnsi="Arial" w:cs="Arial"/>
                <w:sz w:val="22"/>
              </w:rPr>
            </w:pPr>
            <w:r w:rsidRPr="007A6105">
              <w:rPr>
                <w:rFonts w:ascii="Arial" w:hAnsi="Arial" w:cs="Arial"/>
                <w:sz w:val="22"/>
              </w:rPr>
              <w:t xml:space="preserve">Qualitative </w:t>
            </w:r>
            <w:r w:rsidR="00157A87" w:rsidRPr="007A6105">
              <w:rPr>
                <w:rFonts w:ascii="Arial" w:hAnsi="Arial" w:cs="Arial"/>
                <w:sz w:val="22"/>
              </w:rPr>
              <w:t xml:space="preserve">semi-structured interviews </w:t>
            </w:r>
          </w:p>
        </w:tc>
        <w:tc>
          <w:tcPr>
            <w:tcW w:w="2174" w:type="dxa"/>
          </w:tcPr>
          <w:p w14:paraId="03DCD837" w14:textId="6164E003" w:rsidR="00283EBF" w:rsidRPr="007A6105" w:rsidRDefault="00A77D67" w:rsidP="004F50EA">
            <w:pPr>
              <w:tabs>
                <w:tab w:val="left" w:pos="6540"/>
              </w:tabs>
              <w:spacing w:line="360" w:lineRule="auto"/>
              <w:rPr>
                <w:rFonts w:ascii="Arial" w:hAnsi="Arial" w:cs="Arial"/>
                <w:sz w:val="22"/>
              </w:rPr>
            </w:pPr>
            <w:r w:rsidRPr="007A6105">
              <w:rPr>
                <w:rFonts w:ascii="Arial" w:hAnsi="Arial" w:cs="Arial"/>
                <w:sz w:val="22"/>
              </w:rPr>
              <w:t xml:space="preserve">Mixed views regarding Telehealth </w:t>
            </w:r>
            <w:r w:rsidR="004471A2" w:rsidRPr="007A6105">
              <w:rPr>
                <w:rFonts w:ascii="Arial" w:hAnsi="Arial" w:cs="Arial"/>
                <w:sz w:val="22"/>
              </w:rPr>
              <w:t>awareness. Lack of Telehealth experience</w:t>
            </w:r>
          </w:p>
        </w:tc>
      </w:tr>
      <w:tr w:rsidR="00283EBF" w14:paraId="5BAE0E10" w14:textId="77777777" w:rsidTr="007D3B82">
        <w:trPr>
          <w:trHeight w:val="1559"/>
        </w:trPr>
        <w:tc>
          <w:tcPr>
            <w:tcW w:w="2345" w:type="dxa"/>
          </w:tcPr>
          <w:p w14:paraId="48EA8459" w14:textId="67C00198" w:rsidR="00283EBF" w:rsidRPr="007A6105" w:rsidRDefault="00FD464B" w:rsidP="004F50EA">
            <w:pPr>
              <w:tabs>
                <w:tab w:val="left" w:pos="6540"/>
              </w:tabs>
              <w:spacing w:line="360" w:lineRule="auto"/>
              <w:rPr>
                <w:rFonts w:ascii="Arial" w:hAnsi="Arial" w:cs="Arial"/>
                <w:sz w:val="22"/>
              </w:rPr>
            </w:pPr>
            <w:r w:rsidRPr="007A6105">
              <w:rPr>
                <w:rFonts w:ascii="Arial" w:hAnsi="Arial" w:cs="Arial"/>
                <w:sz w:val="22"/>
              </w:rPr>
              <w:t xml:space="preserve">Nelson, D. et al. (2023) </w:t>
            </w:r>
          </w:p>
        </w:tc>
        <w:tc>
          <w:tcPr>
            <w:tcW w:w="2345" w:type="dxa"/>
          </w:tcPr>
          <w:p w14:paraId="67E42F1C" w14:textId="43900642" w:rsidR="00283EBF" w:rsidRPr="007A6105" w:rsidRDefault="00E92416" w:rsidP="004F50EA">
            <w:pPr>
              <w:tabs>
                <w:tab w:val="left" w:pos="6540"/>
              </w:tabs>
              <w:spacing w:line="360" w:lineRule="auto"/>
              <w:rPr>
                <w:rFonts w:ascii="Arial" w:hAnsi="Arial" w:cs="Arial"/>
                <w:sz w:val="22"/>
              </w:rPr>
            </w:pPr>
            <w:r w:rsidRPr="007A6105">
              <w:rPr>
                <w:rFonts w:ascii="Arial" w:hAnsi="Arial" w:cs="Arial"/>
                <w:sz w:val="22"/>
              </w:rPr>
              <w:t>S</w:t>
            </w:r>
            <w:r w:rsidR="002D7E75" w:rsidRPr="007A6105">
              <w:rPr>
                <w:rFonts w:ascii="Arial" w:hAnsi="Arial" w:cs="Arial"/>
                <w:sz w:val="22"/>
              </w:rPr>
              <w:t xml:space="preserve">taff experiences and perceptions of delivering rural psychological </w:t>
            </w:r>
            <w:r w:rsidR="0030749D">
              <w:rPr>
                <w:rFonts w:ascii="Arial" w:hAnsi="Arial" w:cs="Arial"/>
                <w:sz w:val="22"/>
              </w:rPr>
              <w:t>care</w:t>
            </w:r>
          </w:p>
        </w:tc>
        <w:tc>
          <w:tcPr>
            <w:tcW w:w="2345" w:type="dxa"/>
          </w:tcPr>
          <w:p w14:paraId="37F02AC7" w14:textId="7F7B2D82" w:rsidR="00283EBF" w:rsidRPr="007A6105" w:rsidRDefault="00871345" w:rsidP="004F50EA">
            <w:pPr>
              <w:tabs>
                <w:tab w:val="left" w:pos="6540"/>
              </w:tabs>
              <w:spacing w:line="360" w:lineRule="auto"/>
              <w:rPr>
                <w:rFonts w:ascii="Arial" w:hAnsi="Arial" w:cs="Arial"/>
                <w:sz w:val="22"/>
              </w:rPr>
            </w:pPr>
            <w:r w:rsidRPr="007A6105">
              <w:rPr>
                <w:rFonts w:ascii="Arial" w:hAnsi="Arial" w:cs="Arial"/>
                <w:sz w:val="22"/>
              </w:rPr>
              <w:t>Online cross-sectional survey</w:t>
            </w:r>
          </w:p>
        </w:tc>
        <w:tc>
          <w:tcPr>
            <w:tcW w:w="2174" w:type="dxa"/>
          </w:tcPr>
          <w:p w14:paraId="13A5D376" w14:textId="325D3834" w:rsidR="00283EBF" w:rsidRPr="007A6105" w:rsidRDefault="00DC5EBB" w:rsidP="004F50EA">
            <w:pPr>
              <w:tabs>
                <w:tab w:val="left" w:pos="6540"/>
              </w:tabs>
              <w:spacing w:line="360" w:lineRule="auto"/>
              <w:rPr>
                <w:rFonts w:ascii="Arial" w:hAnsi="Arial" w:cs="Arial"/>
                <w:sz w:val="22"/>
              </w:rPr>
            </w:pPr>
            <w:r w:rsidRPr="007A6105">
              <w:rPr>
                <w:rFonts w:ascii="Arial" w:hAnsi="Arial" w:cs="Arial"/>
                <w:sz w:val="22"/>
              </w:rPr>
              <w:t>62</w:t>
            </w:r>
            <w:r w:rsidR="008112FC" w:rsidRPr="007A6105">
              <w:rPr>
                <w:rFonts w:ascii="Arial" w:hAnsi="Arial" w:cs="Arial"/>
                <w:sz w:val="22"/>
              </w:rPr>
              <w:t xml:space="preserve"> respondents completed. </w:t>
            </w:r>
            <w:r w:rsidR="009A50A3" w:rsidRPr="007A6105">
              <w:rPr>
                <w:rFonts w:ascii="Arial" w:hAnsi="Arial" w:cs="Arial"/>
                <w:sz w:val="22"/>
              </w:rPr>
              <w:t>(86%) preferring to deliver</w:t>
            </w:r>
            <w:r w:rsidR="00E92416" w:rsidRPr="007A6105">
              <w:rPr>
                <w:rFonts w:ascii="Arial" w:hAnsi="Arial" w:cs="Arial"/>
                <w:sz w:val="22"/>
              </w:rPr>
              <w:t xml:space="preserve"> via telehealth</w:t>
            </w:r>
          </w:p>
        </w:tc>
      </w:tr>
      <w:tr w:rsidR="00283EBF" w14:paraId="0F51B295" w14:textId="77777777" w:rsidTr="007D3B82">
        <w:trPr>
          <w:trHeight w:val="2663"/>
        </w:trPr>
        <w:tc>
          <w:tcPr>
            <w:tcW w:w="2345" w:type="dxa"/>
          </w:tcPr>
          <w:p w14:paraId="3F5E5E7E" w14:textId="47F077E3" w:rsidR="00283EBF" w:rsidRPr="007A6105" w:rsidRDefault="00FE4ED7" w:rsidP="004F50EA">
            <w:pPr>
              <w:tabs>
                <w:tab w:val="left" w:pos="6540"/>
              </w:tabs>
              <w:spacing w:line="360" w:lineRule="auto"/>
              <w:rPr>
                <w:rFonts w:ascii="Arial" w:hAnsi="Arial" w:cs="Arial"/>
                <w:sz w:val="22"/>
              </w:rPr>
            </w:pPr>
            <w:r w:rsidRPr="007A6105">
              <w:rPr>
                <w:rFonts w:ascii="Arial" w:hAnsi="Arial" w:cs="Arial"/>
                <w:sz w:val="22"/>
              </w:rPr>
              <w:t>Colburn, D.A. (2024).</w:t>
            </w:r>
          </w:p>
        </w:tc>
        <w:tc>
          <w:tcPr>
            <w:tcW w:w="2345" w:type="dxa"/>
          </w:tcPr>
          <w:p w14:paraId="225BEA15" w14:textId="08EE5E74" w:rsidR="0058214D" w:rsidRPr="007A6105" w:rsidRDefault="007D3B82" w:rsidP="004F50EA">
            <w:pPr>
              <w:tabs>
                <w:tab w:val="left" w:pos="6540"/>
              </w:tabs>
              <w:spacing w:line="360" w:lineRule="auto"/>
              <w:rPr>
                <w:rFonts w:ascii="Arial" w:hAnsi="Arial" w:cs="Arial"/>
                <w:sz w:val="22"/>
              </w:rPr>
            </w:pPr>
            <w:r w:rsidRPr="007A6105">
              <w:rPr>
                <w:rFonts w:ascii="Arial" w:hAnsi="Arial" w:cs="Arial"/>
                <w:sz w:val="22"/>
              </w:rPr>
              <w:t xml:space="preserve">Systematically review </w:t>
            </w:r>
            <w:r w:rsidR="00DB7759">
              <w:rPr>
                <w:rFonts w:ascii="Arial" w:hAnsi="Arial" w:cs="Arial"/>
                <w:sz w:val="22"/>
              </w:rPr>
              <w:t>and</w:t>
            </w:r>
            <w:r w:rsidRPr="007A6105">
              <w:rPr>
                <w:rFonts w:ascii="Arial" w:hAnsi="Arial" w:cs="Arial"/>
                <w:sz w:val="22"/>
              </w:rPr>
              <w:t xml:space="preserve"> published literature on demographic differences in </w:t>
            </w:r>
            <w:r w:rsidR="002132F1">
              <w:rPr>
                <w:rFonts w:ascii="Arial" w:hAnsi="Arial" w:cs="Arial"/>
                <w:sz w:val="22"/>
              </w:rPr>
              <w:t>T</w:t>
            </w:r>
            <w:r w:rsidRPr="007A6105">
              <w:rPr>
                <w:rFonts w:ascii="Arial" w:hAnsi="Arial" w:cs="Arial"/>
                <w:sz w:val="22"/>
              </w:rPr>
              <w:t>elehealth access</w:t>
            </w:r>
          </w:p>
        </w:tc>
        <w:tc>
          <w:tcPr>
            <w:tcW w:w="2345" w:type="dxa"/>
          </w:tcPr>
          <w:p w14:paraId="3B2FE718" w14:textId="3B746C95" w:rsidR="00283EBF" w:rsidRPr="007A6105" w:rsidRDefault="00297B83" w:rsidP="004F50EA">
            <w:pPr>
              <w:tabs>
                <w:tab w:val="left" w:pos="6540"/>
              </w:tabs>
              <w:spacing w:line="360" w:lineRule="auto"/>
              <w:rPr>
                <w:rFonts w:ascii="Arial" w:hAnsi="Arial" w:cs="Arial"/>
                <w:sz w:val="22"/>
              </w:rPr>
            </w:pPr>
            <w:r w:rsidRPr="007A6105">
              <w:rPr>
                <w:rFonts w:ascii="Arial" w:hAnsi="Arial" w:cs="Arial"/>
                <w:sz w:val="22"/>
              </w:rPr>
              <w:t>Litcovid, PubMed, Web of Science, M</w:t>
            </w:r>
            <w:r w:rsidR="002132F1">
              <w:rPr>
                <w:rFonts w:ascii="Arial" w:hAnsi="Arial" w:cs="Arial"/>
                <w:sz w:val="22"/>
              </w:rPr>
              <w:t>edline</w:t>
            </w:r>
            <w:r w:rsidRPr="007A6105">
              <w:rPr>
                <w:rFonts w:ascii="Arial" w:hAnsi="Arial" w:cs="Arial"/>
                <w:sz w:val="22"/>
              </w:rPr>
              <w:t xml:space="preserve"> databases</w:t>
            </w:r>
          </w:p>
        </w:tc>
        <w:tc>
          <w:tcPr>
            <w:tcW w:w="2174" w:type="dxa"/>
          </w:tcPr>
          <w:p w14:paraId="37C157CA" w14:textId="1B7C8E2B" w:rsidR="0081297D" w:rsidRPr="007A6105" w:rsidRDefault="00F574C1" w:rsidP="004F50EA">
            <w:pPr>
              <w:tabs>
                <w:tab w:val="left" w:pos="6540"/>
              </w:tabs>
              <w:spacing w:line="360" w:lineRule="auto"/>
              <w:rPr>
                <w:rFonts w:ascii="Arial" w:hAnsi="Arial" w:cs="Arial"/>
                <w:sz w:val="22"/>
              </w:rPr>
            </w:pPr>
            <w:r>
              <w:rPr>
                <w:rFonts w:ascii="Arial" w:hAnsi="Arial" w:cs="Arial"/>
                <w:sz w:val="22"/>
              </w:rPr>
              <w:t>A</w:t>
            </w:r>
            <w:r w:rsidR="00D65C2B" w:rsidRPr="007A6105">
              <w:rPr>
                <w:rFonts w:ascii="Arial" w:hAnsi="Arial" w:cs="Arial"/>
                <w:sz w:val="22"/>
              </w:rPr>
              <w:t>ddressing at least one of eight different areas of inquiry</w:t>
            </w:r>
          </w:p>
        </w:tc>
      </w:tr>
    </w:tbl>
    <w:p w14:paraId="6308C0FD" w14:textId="77777777" w:rsidR="00283EBF" w:rsidRPr="00CD33A8" w:rsidRDefault="00283EBF" w:rsidP="00CD33A8">
      <w:pPr>
        <w:tabs>
          <w:tab w:val="left" w:pos="6540"/>
        </w:tabs>
        <w:spacing w:line="360" w:lineRule="auto"/>
        <w:rPr>
          <w:rFonts w:asciiTheme="minorBidi" w:hAnsiTheme="minorBidi"/>
          <w:sz w:val="22"/>
        </w:rPr>
      </w:pPr>
    </w:p>
    <w:p w14:paraId="5BA80528" w14:textId="66EECEE1" w:rsidR="00147570" w:rsidRPr="003E2C9E" w:rsidRDefault="00147570" w:rsidP="00CD33A8">
      <w:pPr>
        <w:tabs>
          <w:tab w:val="left" w:pos="6540"/>
        </w:tabs>
        <w:spacing w:line="360" w:lineRule="auto"/>
        <w:rPr>
          <w:rFonts w:asciiTheme="minorBidi" w:hAnsiTheme="minorBidi"/>
          <w:b/>
          <w:bCs/>
          <w:sz w:val="22"/>
        </w:rPr>
      </w:pPr>
      <w:r w:rsidRPr="003E2C9E">
        <w:rPr>
          <w:rFonts w:asciiTheme="minorBidi" w:hAnsiTheme="minorBidi"/>
          <w:b/>
          <w:bCs/>
          <w:sz w:val="22"/>
        </w:rPr>
        <w:lastRenderedPageBreak/>
        <w:t xml:space="preserve">Themes </w:t>
      </w:r>
    </w:p>
    <w:p w14:paraId="7F633C59" w14:textId="5C2E7FF4" w:rsidR="00147570" w:rsidRPr="00CD33A8" w:rsidRDefault="003E2C9E" w:rsidP="00CD33A8">
      <w:pPr>
        <w:tabs>
          <w:tab w:val="left" w:pos="6540"/>
        </w:tabs>
        <w:spacing w:line="360" w:lineRule="auto"/>
        <w:rPr>
          <w:rFonts w:asciiTheme="minorBidi" w:hAnsiTheme="minorBidi"/>
          <w:sz w:val="22"/>
        </w:rPr>
      </w:pPr>
      <w:r>
        <w:rPr>
          <w:rFonts w:asciiTheme="minorBidi" w:hAnsiTheme="minorBidi"/>
          <w:sz w:val="22"/>
        </w:rPr>
        <w:t xml:space="preserve">Two main themes were identified from the analysis of the </w:t>
      </w:r>
      <w:r w:rsidR="00A8421F">
        <w:rPr>
          <w:rFonts w:asciiTheme="minorBidi" w:hAnsiTheme="minorBidi"/>
          <w:sz w:val="22"/>
        </w:rPr>
        <w:t>3</w:t>
      </w:r>
      <w:r>
        <w:rPr>
          <w:rFonts w:asciiTheme="minorBidi" w:hAnsiTheme="minorBidi"/>
          <w:sz w:val="22"/>
        </w:rPr>
        <w:t xml:space="preserve"> journal articles. </w:t>
      </w:r>
    </w:p>
    <w:p w14:paraId="3DAA63B6" w14:textId="77777777" w:rsidR="003E2C9E" w:rsidRPr="003E2C9E" w:rsidRDefault="003E2C9E" w:rsidP="003E2C9E">
      <w:pPr>
        <w:spacing w:line="360" w:lineRule="auto"/>
        <w:rPr>
          <w:rFonts w:ascii="Arial" w:hAnsi="Arial" w:cs="Arial"/>
          <w:b/>
          <w:bCs/>
          <w:sz w:val="22"/>
        </w:rPr>
      </w:pPr>
      <w:r w:rsidRPr="003E2C9E">
        <w:rPr>
          <w:rFonts w:ascii="Arial" w:hAnsi="Arial" w:cs="Arial"/>
          <w:b/>
          <w:bCs/>
          <w:sz w:val="22"/>
        </w:rPr>
        <w:t>Theme 1: Digital Inequality and Variable Readiness</w:t>
      </w:r>
    </w:p>
    <w:p w14:paraId="3290EA58" w14:textId="3BF0A436" w:rsidR="00BA115F" w:rsidRPr="003E2C9E" w:rsidRDefault="00412016" w:rsidP="003E2C9E">
      <w:pPr>
        <w:spacing w:line="360" w:lineRule="auto"/>
        <w:rPr>
          <w:rFonts w:ascii="Arial" w:hAnsi="Arial" w:cs="Arial"/>
          <w:bCs/>
          <w:sz w:val="22"/>
        </w:rPr>
      </w:pPr>
      <w:r w:rsidRPr="00412016">
        <w:rPr>
          <w:rFonts w:ascii="Arial" w:hAnsi="Arial" w:cs="Arial"/>
          <w:bCs/>
          <w:sz w:val="22"/>
        </w:rPr>
        <w:t>The ongoing problem of digital inequality and varying preparedness among patients and healthcare providers is one of the main themes that emerged from the examined studies. According to Kayyali et al. (2017), a lack of familiarity that limits uptake is shown by the fact that many people had mixed awareness and little experience with telehealth. Colburn (2024) also showed that telehealth access is strongly influenced by demographic characteristics, including age, income, and computer competence, with disadvantaged groups encountering more obstacles. These results demonstrate that unequal digital skills, unreliable broadband connectivity, and limited device ownership preclude egalitarian participation even in the presence of telehealth services. Taken as a whole, these studies highlight that digital exclusion remains a structural obstacle that must be removed before telehealth can be fully successful for the people of the United Kingdom.</w:t>
      </w:r>
    </w:p>
    <w:p w14:paraId="14815867" w14:textId="77777777" w:rsidR="00BA115F" w:rsidRPr="003E2C9E" w:rsidRDefault="00BA115F" w:rsidP="003E2C9E">
      <w:pPr>
        <w:spacing w:line="360" w:lineRule="auto"/>
        <w:rPr>
          <w:rFonts w:ascii="Arial" w:hAnsi="Arial" w:cs="Arial"/>
          <w:sz w:val="22"/>
        </w:rPr>
      </w:pPr>
    </w:p>
    <w:p w14:paraId="000A1850" w14:textId="77777777" w:rsidR="00C12D79" w:rsidRPr="00C12D79" w:rsidRDefault="00C12D79" w:rsidP="00C12D79">
      <w:pPr>
        <w:spacing w:line="360" w:lineRule="auto"/>
        <w:rPr>
          <w:rFonts w:ascii="Arial" w:hAnsi="Arial" w:cs="Arial"/>
          <w:b/>
          <w:bCs/>
          <w:sz w:val="22"/>
        </w:rPr>
      </w:pPr>
      <w:r w:rsidRPr="00C12D79">
        <w:rPr>
          <w:rFonts w:ascii="Arial" w:hAnsi="Arial" w:cs="Arial"/>
          <w:b/>
          <w:bCs/>
          <w:sz w:val="22"/>
        </w:rPr>
        <w:t>Theme 2: Growing Acceptance but Persistent Structural Barriers</w:t>
      </w:r>
    </w:p>
    <w:p w14:paraId="64D66860" w14:textId="33E6C267" w:rsidR="00BA115F" w:rsidRPr="00C12D79" w:rsidRDefault="006C1EF6" w:rsidP="00C12D79">
      <w:pPr>
        <w:spacing w:line="360" w:lineRule="auto"/>
        <w:rPr>
          <w:rFonts w:ascii="Arial" w:hAnsi="Arial" w:cs="Arial"/>
          <w:sz w:val="22"/>
        </w:rPr>
      </w:pPr>
      <w:r w:rsidRPr="006C1EF6">
        <w:rPr>
          <w:rFonts w:ascii="Arial" w:hAnsi="Arial" w:cs="Arial"/>
          <w:sz w:val="22"/>
        </w:rPr>
        <w:t>A second theme is the contrast between the increasing acceptance of telehealth and the systemic barriers that still prevent its successful application is a second subject. According to Nelson et al. (2023), 86% of rural psychological treatment providers are enthusiastic about continuing to provide care via telehealth because of the increased accessibility and flexibility. However, organisational and experiential challenges that prevent broader adoption were noted by Kayyali et al. (2017). These barriers include a lack of training, low confidence, and worries about losing face-to-face interaction. These results are consistent with Colburn's (2024) observation that telehealth utilisation is further restricted by systemic problems, including infrastructural constraints and uneven service delivery. The studies collectively demonstrate that although telehealth is becoming more widely accepted, organisational preparedness, employee training, and infrastructural dependability are necessary for it to realise its full potential.</w:t>
      </w:r>
    </w:p>
    <w:p w14:paraId="5C43254D" w14:textId="412934AB" w:rsidR="00B87E75" w:rsidRPr="00C12D79" w:rsidRDefault="00B87E75" w:rsidP="00C12D79">
      <w:pPr>
        <w:pStyle w:val="Heading1"/>
      </w:pPr>
      <w:bookmarkStart w:id="21" w:name="_Toc227850537"/>
      <w:r w:rsidRPr="00C12D79">
        <w:t>Discussion</w:t>
      </w:r>
      <w:bookmarkEnd w:id="21"/>
    </w:p>
    <w:p w14:paraId="4595EF52" w14:textId="68A19230" w:rsidR="00A70BF7" w:rsidRPr="007A6105" w:rsidRDefault="00744810" w:rsidP="004F50EA">
      <w:pPr>
        <w:spacing w:line="360" w:lineRule="auto"/>
        <w:rPr>
          <w:rFonts w:ascii="Arial" w:hAnsi="Arial" w:cs="Arial"/>
          <w:sz w:val="22"/>
        </w:rPr>
      </w:pPr>
      <w:r w:rsidRPr="007A6105">
        <w:rPr>
          <w:rFonts w:ascii="Arial" w:hAnsi="Arial" w:cs="Arial"/>
          <w:sz w:val="22"/>
        </w:rPr>
        <w:t>When limited broadband availability is </w:t>
      </w:r>
      <w:r w:rsidR="00DB1682" w:rsidRPr="007A6105">
        <w:rPr>
          <w:rFonts w:ascii="Arial" w:hAnsi="Arial" w:cs="Arial"/>
          <w:sz w:val="22"/>
        </w:rPr>
        <w:t>considered</w:t>
      </w:r>
      <w:r w:rsidRPr="007A6105">
        <w:rPr>
          <w:rFonts w:ascii="Arial" w:hAnsi="Arial" w:cs="Arial"/>
          <w:sz w:val="22"/>
        </w:rPr>
        <w:t>, telehealth's potential to expand healthcareaccess is directly countered by the intricate interplay between facilitators and barriers</w:t>
      </w:r>
      <w:r w:rsidR="00DB1682" w:rsidRPr="007A6105">
        <w:rPr>
          <w:rFonts w:ascii="Arial" w:hAnsi="Arial" w:cs="Arial"/>
          <w:sz w:val="22"/>
        </w:rPr>
        <w:t xml:space="preserve"> </w:t>
      </w:r>
      <w:r w:rsidRPr="007A6105">
        <w:rPr>
          <w:rFonts w:ascii="Arial" w:hAnsi="Arial" w:cs="Arial"/>
          <w:sz w:val="22"/>
        </w:rPr>
        <w:t>in telehealth utilisation. Telehealth has been recognized for its ability to maintain healthcare access during the COVID-19 pandemic by addressing barriers such as</w:t>
      </w:r>
      <w:r w:rsidR="002259F1">
        <w:rPr>
          <w:rFonts w:ascii="Arial" w:hAnsi="Arial" w:cs="Arial"/>
          <w:sz w:val="22"/>
        </w:rPr>
        <w:t>,</w:t>
      </w:r>
      <w:r w:rsidRPr="007A6105">
        <w:rPr>
          <w:rFonts w:ascii="Arial" w:hAnsi="Arial" w:cs="Arial"/>
          <w:sz w:val="22"/>
        </w:rPr>
        <w:t xml:space="preserve"> transportation </w:t>
      </w:r>
      <w:r w:rsidRPr="007A6105">
        <w:rPr>
          <w:rFonts w:ascii="Arial" w:hAnsi="Arial" w:cs="Arial"/>
          <w:sz w:val="22"/>
        </w:rPr>
        <w:lastRenderedPageBreak/>
        <w:t>issues, and scheduling conflicts</w:t>
      </w:r>
      <w:r w:rsidR="001E768A">
        <w:rPr>
          <w:rFonts w:ascii="Arial" w:hAnsi="Arial" w:cs="Arial"/>
          <w:sz w:val="22"/>
        </w:rPr>
        <w:t>.</w:t>
      </w:r>
      <w:r w:rsidRPr="007A6105">
        <w:rPr>
          <w:rFonts w:ascii="Arial" w:hAnsi="Arial" w:cs="Arial"/>
          <w:sz w:val="22"/>
        </w:rPr>
        <w:t xml:space="preserve"> </w:t>
      </w:r>
      <w:r w:rsidR="001E768A">
        <w:rPr>
          <w:rFonts w:ascii="Arial" w:hAnsi="Arial" w:cs="Arial"/>
          <w:sz w:val="22"/>
        </w:rPr>
        <w:t>T</w:t>
      </w:r>
      <w:r w:rsidRPr="007A6105">
        <w:rPr>
          <w:rFonts w:ascii="Arial" w:hAnsi="Arial" w:cs="Arial"/>
          <w:sz w:val="22"/>
        </w:rPr>
        <w:t>hereby facilitating improved care quality and coordination through convenient communication channels. However, there are still major obstacles that prevent equitable telehealth use, such as </w:t>
      </w:r>
      <w:r w:rsidR="00765584" w:rsidRPr="007A6105">
        <w:rPr>
          <w:rFonts w:ascii="Arial" w:hAnsi="Arial" w:cs="Arial"/>
          <w:sz w:val="22"/>
        </w:rPr>
        <w:t xml:space="preserve">             </w:t>
      </w:r>
      <w:r w:rsidRPr="007A6105">
        <w:rPr>
          <w:rFonts w:ascii="Arial" w:hAnsi="Arial" w:cs="Arial"/>
          <w:sz w:val="22"/>
        </w:rPr>
        <w:t>inadequate broadband and technological availability. Patients' capacity to participate in telehealth visits is limited by restrictive policies and </w:t>
      </w:r>
      <w:r w:rsidR="00765584" w:rsidRPr="007A6105">
        <w:rPr>
          <w:rFonts w:ascii="Arial" w:hAnsi="Arial" w:cs="Arial"/>
          <w:sz w:val="22"/>
        </w:rPr>
        <w:t xml:space="preserve">           </w:t>
      </w:r>
      <w:r w:rsidRPr="007A6105">
        <w:rPr>
          <w:rFonts w:ascii="Arial" w:hAnsi="Arial" w:cs="Arial"/>
          <w:sz w:val="22"/>
        </w:rPr>
        <w:t xml:space="preserve">inadequate broadband services, particularly in low-income and socially vulnerable places. The availability of broadband and technology infrastructure is crucial </w:t>
      </w:r>
      <w:r w:rsidR="00916CF1" w:rsidRPr="007A6105">
        <w:rPr>
          <w:rFonts w:ascii="Arial" w:hAnsi="Arial" w:cs="Arial"/>
          <w:sz w:val="22"/>
        </w:rPr>
        <w:t xml:space="preserve">(Norman, K. et al. 2024). </w:t>
      </w:r>
      <w:r w:rsidR="007239EE" w:rsidRPr="007A6105">
        <w:rPr>
          <w:rFonts w:ascii="Arial" w:hAnsi="Arial" w:cs="Arial"/>
          <w:sz w:val="22"/>
        </w:rPr>
        <w:t>Disparities in telehealth utilisation continue despite high reported internet connectivity in remote and rural locations, underscoring the impact of the digital divide. This implies that </w:t>
      </w:r>
      <w:r w:rsidR="000F26CA" w:rsidRPr="007A6105">
        <w:rPr>
          <w:rFonts w:ascii="Arial" w:hAnsi="Arial" w:cs="Arial"/>
          <w:sz w:val="22"/>
        </w:rPr>
        <w:t>to</w:t>
      </w:r>
      <w:r w:rsidR="007239EE" w:rsidRPr="007A6105">
        <w:rPr>
          <w:rFonts w:ascii="Arial" w:hAnsi="Arial" w:cs="Arial"/>
          <w:sz w:val="22"/>
        </w:rPr>
        <w:t> improve telehealth adoption, broadband availability must be combined with additional facilitators, including digital literacy, familiarity with technology, and supporting</w:t>
      </w:r>
      <w:r w:rsidR="000F26CA" w:rsidRPr="007A6105">
        <w:rPr>
          <w:rFonts w:ascii="Arial" w:hAnsi="Arial" w:cs="Arial"/>
          <w:sz w:val="22"/>
        </w:rPr>
        <w:t xml:space="preserve"> legislation</w:t>
      </w:r>
      <w:r w:rsidR="007239EE" w:rsidRPr="007A6105">
        <w:rPr>
          <w:rFonts w:ascii="Arial" w:hAnsi="Arial" w:cs="Arial"/>
          <w:sz w:val="22"/>
        </w:rPr>
        <w:t xml:space="preserve"> </w:t>
      </w:r>
      <w:r w:rsidR="0091260F" w:rsidRPr="007A6105">
        <w:rPr>
          <w:rFonts w:ascii="Arial" w:hAnsi="Arial" w:cs="Arial"/>
          <w:sz w:val="22"/>
        </w:rPr>
        <w:t>(Smith, L.C. et al. 2024)</w:t>
      </w:r>
      <w:r w:rsidR="00413018" w:rsidRPr="007A6105">
        <w:rPr>
          <w:rFonts w:ascii="Arial" w:hAnsi="Arial" w:cs="Arial"/>
          <w:sz w:val="22"/>
        </w:rPr>
        <w:t xml:space="preserve">. </w:t>
      </w:r>
    </w:p>
    <w:p w14:paraId="315BBCC8" w14:textId="1F43FD66" w:rsidR="00FB1874" w:rsidRPr="007A6105" w:rsidRDefault="00C16842" w:rsidP="004F50EA">
      <w:pPr>
        <w:spacing w:line="360" w:lineRule="auto"/>
        <w:rPr>
          <w:rFonts w:ascii="Arial" w:hAnsi="Arial" w:cs="Arial"/>
          <w:sz w:val="22"/>
        </w:rPr>
      </w:pPr>
      <w:r w:rsidRPr="007A6105">
        <w:rPr>
          <w:rFonts w:ascii="Arial" w:hAnsi="Arial" w:cs="Arial"/>
          <w:sz w:val="22"/>
        </w:rPr>
        <w:t>With implications for cost savings, telehealth has shown promise in </w:t>
      </w:r>
      <w:r w:rsidR="00581C74" w:rsidRPr="007A6105">
        <w:rPr>
          <w:rFonts w:ascii="Arial" w:hAnsi="Arial" w:cs="Arial"/>
          <w:sz w:val="22"/>
        </w:rPr>
        <w:t>several</w:t>
      </w:r>
      <w:r w:rsidRPr="007A6105">
        <w:rPr>
          <w:rFonts w:ascii="Arial" w:hAnsi="Arial" w:cs="Arial"/>
          <w:sz w:val="22"/>
        </w:rPr>
        <w:t> healthcare </w:t>
      </w:r>
      <w:r w:rsidR="00A70BF7" w:rsidRPr="007A6105">
        <w:rPr>
          <w:rFonts w:ascii="Arial" w:hAnsi="Arial" w:cs="Arial"/>
          <w:sz w:val="22"/>
        </w:rPr>
        <w:t xml:space="preserve">          </w:t>
      </w:r>
      <w:r w:rsidRPr="007A6105">
        <w:rPr>
          <w:rFonts w:ascii="Arial" w:hAnsi="Arial" w:cs="Arial"/>
          <w:sz w:val="22"/>
        </w:rPr>
        <w:t>delivery areas, such as follow-up appointments, medication management, triage, and post-operative care. Research indicates that telephone follow-</w:t>
      </w:r>
      <w:r w:rsidR="006009D4" w:rsidRPr="007A6105">
        <w:rPr>
          <w:rFonts w:ascii="Arial" w:hAnsi="Arial" w:cs="Arial"/>
          <w:sz w:val="22"/>
        </w:rPr>
        <w:t xml:space="preserve"> up following paediatric surgery was safe, </w:t>
      </w:r>
      <w:r w:rsidRPr="007A6105">
        <w:rPr>
          <w:rFonts w:ascii="Arial" w:hAnsi="Arial" w:cs="Arial"/>
          <w:sz w:val="22"/>
        </w:rPr>
        <w:t xml:space="preserve">acceptable, and economical. </w:t>
      </w:r>
      <w:r w:rsidR="00A93265" w:rsidRPr="007A6105">
        <w:rPr>
          <w:rFonts w:ascii="Arial" w:hAnsi="Arial" w:cs="Arial"/>
          <w:sz w:val="22"/>
        </w:rPr>
        <w:t xml:space="preserve">(Patel, N., Loveland, J. and Scribante, J. 2024). </w:t>
      </w:r>
      <w:r w:rsidR="007B5520" w:rsidRPr="007A6105">
        <w:rPr>
          <w:rFonts w:ascii="Arial" w:hAnsi="Arial" w:cs="Arial"/>
          <w:sz w:val="22"/>
        </w:rPr>
        <w:t>Given the continued interest in comprehending the financial impact of telehealth on </w:t>
      </w:r>
      <w:r w:rsidR="00BB37D3" w:rsidRPr="007A6105">
        <w:rPr>
          <w:rFonts w:ascii="Arial" w:hAnsi="Arial" w:cs="Arial"/>
          <w:sz w:val="22"/>
        </w:rPr>
        <w:t xml:space="preserve">              </w:t>
      </w:r>
      <w:r w:rsidR="007B5520" w:rsidRPr="007A6105">
        <w:rPr>
          <w:rFonts w:ascii="Arial" w:hAnsi="Arial" w:cs="Arial"/>
          <w:sz w:val="22"/>
        </w:rPr>
        <w:t>healthcare services, the NHS-based experiment specifically</w:t>
      </w:r>
      <w:r w:rsidR="000C5E0A" w:rsidRPr="007A6105">
        <w:rPr>
          <w:rFonts w:ascii="Arial" w:hAnsi="Arial" w:cs="Arial"/>
          <w:sz w:val="22"/>
        </w:rPr>
        <w:t xml:space="preserve"> </w:t>
      </w:r>
      <w:r w:rsidR="007B5520" w:rsidRPr="007A6105">
        <w:rPr>
          <w:rFonts w:ascii="Arial" w:hAnsi="Arial" w:cs="Arial"/>
          <w:sz w:val="22"/>
        </w:rPr>
        <w:t>incorporates health economic analysis to establish </w:t>
      </w:r>
      <w:r w:rsidR="000C5E0A" w:rsidRPr="007A6105">
        <w:rPr>
          <w:rFonts w:ascii="Arial" w:hAnsi="Arial" w:cs="Arial"/>
          <w:sz w:val="22"/>
        </w:rPr>
        <w:t>c</w:t>
      </w:r>
      <w:r w:rsidR="007B5520" w:rsidRPr="007A6105">
        <w:rPr>
          <w:rFonts w:ascii="Arial" w:hAnsi="Arial" w:cs="Arial"/>
          <w:sz w:val="22"/>
        </w:rPr>
        <w:t>ost-effectiveness.</w:t>
      </w:r>
      <w:r w:rsidR="00CC4482" w:rsidRPr="007A6105">
        <w:rPr>
          <w:rFonts w:ascii="Arial" w:hAnsi="Arial" w:cs="Arial"/>
          <w:sz w:val="22"/>
        </w:rPr>
        <w:t xml:space="preserve"> </w:t>
      </w:r>
      <w:r w:rsidR="007B5520" w:rsidRPr="007A6105">
        <w:rPr>
          <w:rFonts w:ascii="Arial" w:hAnsi="Arial" w:cs="Arial"/>
          <w:sz w:val="22"/>
        </w:rPr>
        <w:t>Furthermore, telehealth usage, especially virtual visits, surged in the UK during and after the COVID19 pandemic, according to a study of </w:t>
      </w:r>
      <w:r w:rsidR="00E9583F" w:rsidRPr="007A6105">
        <w:rPr>
          <w:rFonts w:ascii="Arial" w:hAnsi="Arial" w:cs="Arial"/>
          <w:sz w:val="22"/>
        </w:rPr>
        <w:t>home health</w:t>
      </w:r>
      <w:r w:rsidR="007B5520" w:rsidRPr="007A6105">
        <w:rPr>
          <w:rFonts w:ascii="Arial" w:hAnsi="Arial" w:cs="Arial"/>
          <w:sz w:val="22"/>
        </w:rPr>
        <w:t> agencies; however,</w:t>
      </w:r>
      <w:r w:rsidR="00E9583F" w:rsidRPr="007A6105">
        <w:rPr>
          <w:rFonts w:ascii="Arial" w:hAnsi="Arial" w:cs="Arial"/>
          <w:sz w:val="22"/>
        </w:rPr>
        <w:t xml:space="preserve"> </w:t>
      </w:r>
      <w:r w:rsidR="007B5520" w:rsidRPr="007A6105">
        <w:rPr>
          <w:rFonts w:ascii="Arial" w:hAnsi="Arial" w:cs="Arial"/>
          <w:sz w:val="22"/>
        </w:rPr>
        <w:t>discontinuation was also noticed due to concerns around patient appropriateness and reimbursement. This demonstrates the continued importance of cost</w:t>
      </w:r>
      <w:r w:rsidR="007F1C83" w:rsidRPr="007A6105">
        <w:rPr>
          <w:rFonts w:ascii="Arial" w:hAnsi="Arial" w:cs="Arial"/>
          <w:sz w:val="22"/>
        </w:rPr>
        <w:t xml:space="preserve"> effectiveness </w:t>
      </w:r>
      <w:r w:rsidR="00BB37D3" w:rsidRPr="007A6105">
        <w:rPr>
          <w:rFonts w:ascii="Arial" w:hAnsi="Arial" w:cs="Arial"/>
          <w:sz w:val="22"/>
        </w:rPr>
        <w:t xml:space="preserve">and reimbursement regulations in determining the viability of telehealth </w:t>
      </w:r>
      <w:r w:rsidR="00161FED" w:rsidRPr="007A6105">
        <w:rPr>
          <w:rFonts w:ascii="Arial" w:hAnsi="Arial" w:cs="Arial"/>
          <w:sz w:val="22"/>
        </w:rPr>
        <w:t xml:space="preserve">(Mukamel, D.B. et al. 2025). </w:t>
      </w:r>
    </w:p>
    <w:p w14:paraId="68503770" w14:textId="1C94157A" w:rsidR="00A20F40" w:rsidRPr="007A6105" w:rsidRDefault="00980D78" w:rsidP="004F50EA">
      <w:pPr>
        <w:spacing w:line="360" w:lineRule="auto"/>
        <w:rPr>
          <w:rFonts w:ascii="Arial" w:hAnsi="Arial" w:cs="Arial"/>
          <w:sz w:val="22"/>
        </w:rPr>
      </w:pPr>
      <w:r w:rsidRPr="007A6105">
        <w:rPr>
          <w:rFonts w:ascii="Arial" w:hAnsi="Arial" w:cs="Arial"/>
          <w:sz w:val="22"/>
        </w:rPr>
        <w:t>In one study, 34 general practices in England sent out a postal survey to patients with chronic illnesses, particularly depression and an elevated risk of cardiovascular disease. 44.4% of the 3,329 patients who were invited answered, showing a moderate interest in using telehealth technologies via</w:t>
      </w:r>
      <w:r w:rsidR="00806C14">
        <w:rPr>
          <w:rFonts w:ascii="Arial" w:hAnsi="Arial" w:cs="Arial"/>
          <w:sz w:val="22"/>
        </w:rPr>
        <w:t xml:space="preserve"> the</w:t>
      </w:r>
      <w:r w:rsidRPr="007A6105">
        <w:rPr>
          <w:rFonts w:ascii="Arial" w:hAnsi="Arial" w:cs="Arial"/>
          <w:sz w:val="22"/>
        </w:rPr>
        <w:t xml:space="preserve"> </w:t>
      </w:r>
      <w:r w:rsidR="005C4E7E">
        <w:rPr>
          <w:rFonts w:ascii="Arial" w:hAnsi="Arial" w:cs="Arial"/>
          <w:sz w:val="22"/>
        </w:rPr>
        <w:t>telephone</w:t>
      </w:r>
      <w:r w:rsidRPr="007A6105">
        <w:rPr>
          <w:rFonts w:ascii="Arial" w:hAnsi="Arial" w:cs="Arial"/>
          <w:sz w:val="22"/>
        </w:rPr>
        <w:t xml:space="preserve"> (60.01%) and email/Internet (57.26%), but a low</w:t>
      </w:r>
      <w:r w:rsidR="005C4E7E">
        <w:rPr>
          <w:rFonts w:ascii="Arial" w:hAnsi="Arial" w:cs="Arial"/>
          <w:sz w:val="22"/>
        </w:rPr>
        <w:t>er</w:t>
      </w:r>
      <w:r w:rsidRPr="007A6105">
        <w:rPr>
          <w:rFonts w:ascii="Arial" w:hAnsi="Arial" w:cs="Arial"/>
          <w:sz w:val="22"/>
        </w:rPr>
        <w:t xml:space="preserve"> interest in telehealth via social media</w:t>
      </w:r>
      <w:r w:rsidR="00806C14">
        <w:rPr>
          <w:rFonts w:ascii="Arial" w:hAnsi="Arial" w:cs="Arial"/>
          <w:sz w:val="22"/>
        </w:rPr>
        <w:t xml:space="preserve"> only</w:t>
      </w:r>
      <w:r w:rsidRPr="007A6105">
        <w:rPr>
          <w:rFonts w:ascii="Arial" w:hAnsi="Arial" w:cs="Arial"/>
          <w:sz w:val="22"/>
        </w:rPr>
        <w:t xml:space="preserve"> (16.99%) </w:t>
      </w:r>
      <w:r w:rsidR="002A022F" w:rsidRPr="007A6105">
        <w:rPr>
          <w:rFonts w:ascii="Arial" w:hAnsi="Arial" w:cs="Arial"/>
          <w:sz w:val="22"/>
        </w:rPr>
        <w:t>(Edwards, L. et al. 2014)</w:t>
      </w:r>
      <w:r w:rsidR="004604BD" w:rsidRPr="007A6105">
        <w:rPr>
          <w:rFonts w:ascii="Arial" w:hAnsi="Arial" w:cs="Arial"/>
          <w:sz w:val="22"/>
        </w:rPr>
        <w:t xml:space="preserve">. </w:t>
      </w:r>
      <w:r w:rsidR="005C1431" w:rsidRPr="007A6105">
        <w:rPr>
          <w:rFonts w:ascii="Arial" w:hAnsi="Arial" w:cs="Arial"/>
          <w:sz w:val="22"/>
        </w:rPr>
        <w:t xml:space="preserve">This indicates the overall </w:t>
      </w:r>
      <w:r w:rsidR="00844396" w:rsidRPr="007A6105">
        <w:rPr>
          <w:rFonts w:ascii="Arial" w:hAnsi="Arial" w:cs="Arial"/>
          <w:sz w:val="22"/>
        </w:rPr>
        <w:t>need for Telehealth</w:t>
      </w:r>
      <w:r w:rsidR="001602F4" w:rsidRPr="007A6105">
        <w:rPr>
          <w:rFonts w:ascii="Arial" w:hAnsi="Arial" w:cs="Arial"/>
          <w:sz w:val="22"/>
        </w:rPr>
        <w:t>.</w:t>
      </w:r>
      <w:r w:rsidR="00234021" w:rsidRPr="007A6105">
        <w:rPr>
          <w:rFonts w:ascii="Arial" w:hAnsi="Arial" w:cs="Arial"/>
          <w:sz w:val="22"/>
        </w:rPr>
        <w:t xml:space="preserve"> </w:t>
      </w:r>
    </w:p>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0BF6CD98" w:rsidR="00B87E75" w:rsidRPr="00CD33A8" w:rsidRDefault="00B87E75" w:rsidP="00C12D79">
      <w:pPr>
        <w:pStyle w:val="Heading1"/>
      </w:pPr>
      <w:bookmarkStart w:id="22" w:name="_Toc227850538"/>
      <w:r w:rsidRPr="00CD33A8">
        <w:lastRenderedPageBreak/>
        <w:t>Conclusion</w:t>
      </w:r>
      <w:r w:rsidR="00CD33A8">
        <w:t xml:space="preserve"> and Recommendations</w:t>
      </w:r>
      <w:bookmarkEnd w:id="22"/>
    </w:p>
    <w:p w14:paraId="3A91D8DF" w14:textId="3D8AFAEF" w:rsidR="00A461EA" w:rsidRPr="004F50EA" w:rsidRDefault="00A461EA" w:rsidP="004F50EA">
      <w:pPr>
        <w:tabs>
          <w:tab w:val="left" w:pos="6540"/>
        </w:tabs>
        <w:spacing w:line="360" w:lineRule="auto"/>
        <w:rPr>
          <w:rFonts w:ascii="Arial" w:hAnsi="Arial" w:cs="Arial"/>
          <w:sz w:val="22"/>
        </w:rPr>
      </w:pPr>
    </w:p>
    <w:p w14:paraId="3745C675" w14:textId="71C7DCE0" w:rsidR="00777219" w:rsidRPr="004F50EA" w:rsidRDefault="002840EE" w:rsidP="004F50EA">
      <w:pPr>
        <w:pStyle w:val="NoSpacing"/>
        <w:spacing w:line="360" w:lineRule="auto"/>
        <w:rPr>
          <w:rFonts w:ascii="Arial" w:hAnsi="Arial" w:cs="Arial"/>
          <w:sz w:val="22"/>
        </w:rPr>
      </w:pPr>
      <w:r w:rsidRPr="004F50EA">
        <w:rPr>
          <w:rFonts w:ascii="Arial" w:hAnsi="Arial" w:cs="Arial"/>
          <w:sz w:val="22"/>
        </w:rPr>
        <w:t>The adoption and long-term us</w:t>
      </w:r>
      <w:r w:rsidR="00A35AFC">
        <w:rPr>
          <w:rFonts w:ascii="Arial" w:hAnsi="Arial" w:cs="Arial"/>
          <w:sz w:val="22"/>
        </w:rPr>
        <w:t>age</w:t>
      </w:r>
      <w:r w:rsidRPr="004F50EA">
        <w:rPr>
          <w:rFonts w:ascii="Arial" w:hAnsi="Arial" w:cs="Arial"/>
          <w:sz w:val="22"/>
        </w:rPr>
        <w:t xml:space="preserve"> of telehealth in </w:t>
      </w:r>
      <w:r w:rsidR="00A35AFC">
        <w:rPr>
          <w:rFonts w:ascii="Arial" w:hAnsi="Arial" w:cs="Arial"/>
          <w:sz w:val="22"/>
        </w:rPr>
        <w:t>within the</w:t>
      </w:r>
      <w:r w:rsidRPr="004F50EA">
        <w:rPr>
          <w:rFonts w:ascii="Arial" w:hAnsi="Arial" w:cs="Arial"/>
          <w:sz w:val="22"/>
        </w:rPr>
        <w:t xml:space="preserve"> UK are influenced by several obstacles and enablers. Particularly among healthcare professionals (HCPs) in primary care settings, telemedicine awareness and experience are still lacking. This lack of familiarity leads to misconceptions that impede the adoption of telehealth, such as worries about losing in-person interactions with patients and uncertainties about their confidence in using technology. Implementation is severely hampered by financial limitations, such as expense and a lack of resources and funds. Raising public and healthcare staff awareness and investing in the resources required to promote telehealth services are two identified facilitators</w:t>
      </w:r>
      <w:r w:rsidR="007872AF" w:rsidRPr="004F50EA">
        <w:rPr>
          <w:rFonts w:ascii="Arial" w:hAnsi="Arial" w:cs="Arial"/>
          <w:sz w:val="22"/>
        </w:rPr>
        <w:t xml:space="preserve"> </w:t>
      </w:r>
      <w:r w:rsidR="00971BC9" w:rsidRPr="004F50EA">
        <w:rPr>
          <w:rFonts w:ascii="Arial" w:hAnsi="Arial" w:cs="Arial"/>
          <w:sz w:val="22"/>
        </w:rPr>
        <w:t xml:space="preserve">(Kayyali, R. et al. 2017). </w:t>
      </w:r>
      <w:r w:rsidR="00264189" w:rsidRPr="004F50EA">
        <w:rPr>
          <w:rFonts w:ascii="Arial" w:hAnsi="Arial" w:cs="Arial"/>
          <w:sz w:val="22"/>
        </w:rPr>
        <w:t>In conclusion, awareness, organisational, financial, technological, and psychological aspects all have an impact on telehealth deployment in the UK. Facilitating telehealth acceptance and integration into healthcare delivery requires addressing misconceptions, optimising resource allocation, improving usability, and providing training and incentives to healthcare personnel.</w:t>
      </w:r>
    </w:p>
    <w:p w14:paraId="12A453E7" w14:textId="1BC87584" w:rsidR="00D10C83" w:rsidRPr="004F50EA" w:rsidRDefault="00E20692" w:rsidP="004F50EA">
      <w:pPr>
        <w:pStyle w:val="NoSpacing"/>
        <w:spacing w:line="360" w:lineRule="auto"/>
        <w:rPr>
          <w:rFonts w:ascii="Arial" w:hAnsi="Arial" w:cs="Arial"/>
          <w:sz w:val="22"/>
        </w:rPr>
      </w:pPr>
      <w:r w:rsidRPr="004F50EA">
        <w:rPr>
          <w:rFonts w:ascii="Arial" w:hAnsi="Arial" w:cs="Arial"/>
          <w:sz w:val="22"/>
        </w:rPr>
        <w:t xml:space="preserve">To improve uptake and efficient use, telehealth policy and health and social care practice recommendations place a strong emphasis on addressing a variety of variables. Since telehealth adoption in health centres has been linked to Medicaid regulations that allow live video and store-and-forward services, policy improvements should concentrate on enhancing reimbursement structures </w:t>
      </w:r>
      <w:r w:rsidR="001602F4" w:rsidRPr="004F50EA">
        <w:rPr>
          <w:rFonts w:ascii="Arial" w:hAnsi="Arial" w:cs="Arial"/>
          <w:sz w:val="22"/>
        </w:rPr>
        <w:t xml:space="preserve">(Lin, C.-C.C. et al. 2018). </w:t>
      </w:r>
      <w:r w:rsidR="00734510" w:rsidRPr="004F50EA">
        <w:rPr>
          <w:rFonts w:ascii="Arial" w:hAnsi="Arial" w:cs="Arial"/>
          <w:sz w:val="22"/>
        </w:rPr>
        <w:t xml:space="preserve">Improvements to physical infrastructure and broadband access are essential since telehealth delivery depends on dependable, high-quality internet connectivity, which is a major obstacle for underserved and rural populations </w:t>
      </w:r>
      <w:r w:rsidR="00C47291" w:rsidRPr="004F50EA">
        <w:rPr>
          <w:rFonts w:ascii="Arial" w:hAnsi="Arial" w:cs="Arial"/>
          <w:sz w:val="22"/>
        </w:rPr>
        <w:t>(Cortelyou-Ward, K. et al. 2020</w:t>
      </w:r>
      <w:r w:rsidR="004A3438" w:rsidRPr="004F50EA">
        <w:rPr>
          <w:rFonts w:ascii="Arial" w:hAnsi="Arial" w:cs="Arial"/>
          <w:sz w:val="22"/>
        </w:rPr>
        <w:t xml:space="preserve">) </w:t>
      </w:r>
      <w:r w:rsidR="00AB3D4A" w:rsidRPr="004F50EA">
        <w:rPr>
          <w:rFonts w:ascii="Arial" w:hAnsi="Arial" w:cs="Arial"/>
          <w:sz w:val="22"/>
        </w:rPr>
        <w:t xml:space="preserve">To foster confidence between consumers and providers, policies should also support data security, privacy protections, and interoperable technology solutions </w:t>
      </w:r>
      <w:r w:rsidR="00C7540E" w:rsidRPr="004F50EA">
        <w:rPr>
          <w:rFonts w:ascii="Arial" w:hAnsi="Arial" w:cs="Arial"/>
          <w:sz w:val="22"/>
        </w:rPr>
        <w:t xml:space="preserve">(Anthony Jnr, B. 2024). </w:t>
      </w:r>
      <w:r w:rsidR="00BA25D5" w:rsidRPr="004F50EA">
        <w:rPr>
          <w:rFonts w:ascii="Arial" w:hAnsi="Arial" w:cs="Arial"/>
          <w:sz w:val="22"/>
        </w:rPr>
        <w:t xml:space="preserve">To improve acceptance and motivation for telehealth use, training and awareness programs for health care professionals (HCPs) are advised. This is especially true in complex care settings like home-based palliative care, where technology must be in line with interpersonal interactions and care goals </w:t>
      </w:r>
      <w:r w:rsidR="0071334D" w:rsidRPr="004F50EA">
        <w:rPr>
          <w:rFonts w:ascii="Arial" w:hAnsi="Arial" w:cs="Arial"/>
          <w:sz w:val="22"/>
        </w:rPr>
        <w:t xml:space="preserve">(Lundereng, E.D. et al. 2023). </w:t>
      </w:r>
    </w:p>
    <w:p w14:paraId="29813CB3" w14:textId="3F90FF1B" w:rsidR="00BD4E95" w:rsidRPr="004F50EA" w:rsidRDefault="009D7230" w:rsidP="004F50EA">
      <w:pPr>
        <w:pStyle w:val="NoSpacing"/>
        <w:spacing w:line="360" w:lineRule="auto"/>
        <w:rPr>
          <w:rFonts w:ascii="Arial" w:hAnsi="Arial" w:cs="Arial"/>
          <w:sz w:val="22"/>
        </w:rPr>
      </w:pPr>
      <w:r w:rsidRPr="004F50EA">
        <w:rPr>
          <w:rFonts w:ascii="Arial" w:hAnsi="Arial" w:cs="Arial"/>
          <w:sz w:val="22"/>
        </w:rPr>
        <w:t>Clear, consistent standards that address the existing gaps in telehealth implementation for allied health professionals (AHPs) and other healthcare</w:t>
      </w:r>
      <w:r w:rsidR="00DC5517" w:rsidRPr="004F50EA">
        <w:rPr>
          <w:rFonts w:ascii="Arial" w:hAnsi="Arial" w:cs="Arial"/>
          <w:sz w:val="22"/>
        </w:rPr>
        <w:t xml:space="preserve"> providers are necessary for telehealth policy and health and social care </w:t>
      </w:r>
      <w:r w:rsidR="00011945" w:rsidRPr="004F50EA">
        <w:rPr>
          <w:rFonts w:ascii="Arial" w:hAnsi="Arial" w:cs="Arial"/>
          <w:sz w:val="22"/>
        </w:rPr>
        <w:t xml:space="preserve">practice in the UK. </w:t>
      </w:r>
      <w:r w:rsidR="006F15C9" w:rsidRPr="004F50EA">
        <w:rPr>
          <w:rFonts w:ascii="Arial" w:hAnsi="Arial" w:cs="Arial"/>
          <w:sz w:val="22"/>
        </w:rPr>
        <w:t>The current guidelines' support for AHPs providing telehealth consultations </w:t>
      </w:r>
      <w:r w:rsidR="00D940D0" w:rsidRPr="004F50EA">
        <w:rPr>
          <w:rFonts w:ascii="Arial" w:hAnsi="Arial" w:cs="Arial"/>
          <w:sz w:val="22"/>
        </w:rPr>
        <w:t>is limited since    they are inconsistent and frequently unclear on important</w:t>
      </w:r>
      <w:r w:rsidR="00AD407E" w:rsidRPr="004F50EA">
        <w:rPr>
          <w:rFonts w:ascii="Arial" w:hAnsi="Arial" w:cs="Arial"/>
          <w:sz w:val="22"/>
        </w:rPr>
        <w:t xml:space="preserve"> topics like legal considerations, registration requirements, prices, and coverage. </w:t>
      </w:r>
      <w:r w:rsidR="001D3633" w:rsidRPr="004F50EA">
        <w:rPr>
          <w:rFonts w:ascii="Arial" w:hAnsi="Arial" w:cs="Arial"/>
          <w:sz w:val="22"/>
        </w:rPr>
        <w:t>(Leone et al.</w:t>
      </w:r>
      <w:r w:rsidR="00C12D79">
        <w:rPr>
          <w:rFonts w:ascii="Arial" w:hAnsi="Arial" w:cs="Arial"/>
          <w:sz w:val="22"/>
        </w:rPr>
        <w:t xml:space="preserve">, </w:t>
      </w:r>
      <w:r w:rsidR="001D3633" w:rsidRPr="004F50EA">
        <w:rPr>
          <w:rFonts w:ascii="Arial" w:hAnsi="Arial" w:cs="Arial"/>
          <w:sz w:val="22"/>
        </w:rPr>
        <w:t xml:space="preserve">2021). </w:t>
      </w:r>
    </w:p>
    <w:p w14:paraId="36F5C0D9" w14:textId="77777777" w:rsidR="004A7673" w:rsidRDefault="004A7673" w:rsidP="004F50EA">
      <w:pPr>
        <w:pStyle w:val="NoSpacing"/>
        <w:spacing w:line="360" w:lineRule="auto"/>
        <w:rPr>
          <w:rFonts w:ascii="Arial" w:hAnsi="Arial" w:cs="Arial"/>
          <w:sz w:val="22"/>
        </w:rPr>
      </w:pPr>
    </w:p>
    <w:p w14:paraId="2D2E6B42" w14:textId="77777777" w:rsidR="004F50EA" w:rsidRDefault="004F50EA" w:rsidP="004F50EA">
      <w:pPr>
        <w:pStyle w:val="NoSpacing"/>
        <w:spacing w:line="360" w:lineRule="auto"/>
        <w:rPr>
          <w:rFonts w:ascii="Arial" w:hAnsi="Arial" w:cs="Arial"/>
          <w:sz w:val="22"/>
        </w:rPr>
      </w:pPr>
    </w:p>
    <w:p w14:paraId="61F71D3F" w14:textId="77777777" w:rsidR="004F50EA" w:rsidRDefault="004F50EA" w:rsidP="004F50EA">
      <w:pPr>
        <w:pStyle w:val="NoSpacing"/>
        <w:spacing w:line="360" w:lineRule="auto"/>
        <w:rPr>
          <w:rFonts w:ascii="Arial" w:hAnsi="Arial" w:cs="Arial"/>
          <w:sz w:val="22"/>
        </w:rPr>
      </w:pPr>
    </w:p>
    <w:p w14:paraId="44E4FC1B" w14:textId="77777777" w:rsidR="004F50EA" w:rsidRDefault="004F50EA" w:rsidP="004F50EA">
      <w:pPr>
        <w:pStyle w:val="NoSpacing"/>
        <w:spacing w:line="360" w:lineRule="auto"/>
        <w:rPr>
          <w:rFonts w:ascii="Arial" w:hAnsi="Arial" w:cs="Arial"/>
          <w:sz w:val="22"/>
        </w:rPr>
      </w:pPr>
    </w:p>
    <w:p w14:paraId="1C535C86" w14:textId="77777777" w:rsidR="004F50EA" w:rsidRDefault="004F50EA" w:rsidP="004F50EA">
      <w:pPr>
        <w:pStyle w:val="NoSpacing"/>
        <w:spacing w:line="360" w:lineRule="auto"/>
        <w:rPr>
          <w:rFonts w:ascii="Arial" w:hAnsi="Arial" w:cs="Arial"/>
          <w:sz w:val="22"/>
        </w:rPr>
      </w:pPr>
    </w:p>
    <w:p w14:paraId="3FBD17B2" w14:textId="77777777" w:rsidR="004F50EA" w:rsidRDefault="004F50EA" w:rsidP="004F50EA">
      <w:pPr>
        <w:pStyle w:val="NoSpacing"/>
        <w:spacing w:line="360" w:lineRule="auto"/>
        <w:rPr>
          <w:rFonts w:ascii="Arial" w:hAnsi="Arial" w:cs="Arial"/>
          <w:sz w:val="22"/>
        </w:rPr>
      </w:pPr>
    </w:p>
    <w:p w14:paraId="242E0AE9" w14:textId="77777777" w:rsidR="004F50EA" w:rsidRDefault="004F50EA" w:rsidP="004F50EA">
      <w:pPr>
        <w:pStyle w:val="NoSpacing"/>
        <w:spacing w:line="360" w:lineRule="auto"/>
        <w:rPr>
          <w:rFonts w:ascii="Arial" w:hAnsi="Arial" w:cs="Arial"/>
          <w:sz w:val="22"/>
        </w:rPr>
      </w:pPr>
    </w:p>
    <w:p w14:paraId="68FD8F8F" w14:textId="77777777" w:rsidR="004F50EA" w:rsidRDefault="004F50EA" w:rsidP="004F50EA">
      <w:pPr>
        <w:pStyle w:val="NoSpacing"/>
        <w:spacing w:line="360" w:lineRule="auto"/>
        <w:rPr>
          <w:rFonts w:ascii="Arial" w:hAnsi="Arial" w:cs="Arial"/>
          <w:sz w:val="22"/>
        </w:rPr>
      </w:pPr>
    </w:p>
    <w:p w14:paraId="64CA8FC3" w14:textId="77777777" w:rsidR="004F50EA" w:rsidRDefault="004F50EA" w:rsidP="004F50EA">
      <w:pPr>
        <w:pStyle w:val="NoSpacing"/>
        <w:spacing w:line="360" w:lineRule="auto"/>
        <w:rPr>
          <w:rFonts w:ascii="Arial" w:hAnsi="Arial" w:cs="Arial"/>
          <w:sz w:val="22"/>
        </w:rPr>
      </w:pPr>
    </w:p>
    <w:p w14:paraId="1A05FB60" w14:textId="77777777" w:rsidR="004F50EA" w:rsidRDefault="004F50EA" w:rsidP="004F50EA">
      <w:pPr>
        <w:pStyle w:val="NoSpacing"/>
        <w:spacing w:line="360" w:lineRule="auto"/>
        <w:rPr>
          <w:rFonts w:ascii="Arial" w:hAnsi="Arial" w:cs="Arial"/>
          <w:sz w:val="22"/>
        </w:rPr>
      </w:pPr>
    </w:p>
    <w:p w14:paraId="17058192" w14:textId="77777777" w:rsidR="004F50EA" w:rsidRDefault="004F50EA" w:rsidP="004F50EA">
      <w:pPr>
        <w:pStyle w:val="NoSpacing"/>
        <w:spacing w:line="360" w:lineRule="auto"/>
        <w:rPr>
          <w:rFonts w:ascii="Arial" w:hAnsi="Arial" w:cs="Arial"/>
          <w:sz w:val="22"/>
        </w:rPr>
      </w:pPr>
    </w:p>
    <w:p w14:paraId="7A2972C7" w14:textId="77777777" w:rsidR="004F50EA" w:rsidRDefault="004F50EA" w:rsidP="004F50EA">
      <w:pPr>
        <w:pStyle w:val="NoSpacing"/>
        <w:spacing w:line="360" w:lineRule="auto"/>
        <w:rPr>
          <w:rFonts w:ascii="Arial" w:hAnsi="Arial" w:cs="Arial"/>
          <w:sz w:val="22"/>
        </w:rPr>
      </w:pPr>
    </w:p>
    <w:p w14:paraId="670D2031" w14:textId="77777777" w:rsidR="004F50EA" w:rsidRDefault="004F50EA" w:rsidP="004F50EA">
      <w:pPr>
        <w:pStyle w:val="NoSpacing"/>
        <w:spacing w:line="360" w:lineRule="auto"/>
        <w:rPr>
          <w:rFonts w:ascii="Arial" w:hAnsi="Arial" w:cs="Arial"/>
          <w:sz w:val="22"/>
        </w:rPr>
      </w:pPr>
    </w:p>
    <w:p w14:paraId="6D3BD4E4" w14:textId="77777777" w:rsidR="004F50EA" w:rsidRDefault="004F50EA" w:rsidP="004F50EA">
      <w:pPr>
        <w:pStyle w:val="NoSpacing"/>
        <w:spacing w:line="360" w:lineRule="auto"/>
        <w:rPr>
          <w:rFonts w:ascii="Arial" w:hAnsi="Arial" w:cs="Arial"/>
          <w:sz w:val="22"/>
        </w:rPr>
      </w:pPr>
    </w:p>
    <w:p w14:paraId="6907B0E5" w14:textId="77777777" w:rsidR="00BA115F" w:rsidRDefault="00BA115F" w:rsidP="00C12D79">
      <w:pPr>
        <w:pStyle w:val="Heading1"/>
      </w:pPr>
    </w:p>
    <w:p w14:paraId="33F8F0BD" w14:textId="5E2C6ABD" w:rsidR="00B87E75" w:rsidRPr="0007520F" w:rsidRDefault="00B87E75" w:rsidP="00C12D79">
      <w:pPr>
        <w:pStyle w:val="Heading1"/>
        <w:rPr>
          <w:rFonts w:asciiTheme="minorBidi" w:hAnsiTheme="minorBidi"/>
          <w:sz w:val="28"/>
        </w:rPr>
      </w:pPr>
      <w:bookmarkStart w:id="23" w:name="_Toc227850539"/>
      <w:r w:rsidRPr="00CD33A8">
        <w:t>References</w:t>
      </w:r>
      <w:bookmarkEnd w:id="23"/>
    </w:p>
    <w:p w14:paraId="028F4AB9" w14:textId="77777777" w:rsidR="007239FB" w:rsidRDefault="007239FB" w:rsidP="002000A8">
      <w:pPr>
        <w:tabs>
          <w:tab w:val="left" w:pos="6540"/>
        </w:tabs>
        <w:spacing w:line="360" w:lineRule="auto"/>
        <w:rPr>
          <w:rFonts w:asciiTheme="minorBidi" w:hAnsiTheme="minorBidi"/>
          <w:sz w:val="22"/>
        </w:rPr>
      </w:pPr>
    </w:p>
    <w:p w14:paraId="09289F35" w14:textId="77777777" w:rsidR="00D428DE" w:rsidRPr="00CE3FC0" w:rsidRDefault="00D428DE" w:rsidP="00C7540E">
      <w:pPr>
        <w:tabs>
          <w:tab w:val="left" w:pos="6540"/>
        </w:tabs>
        <w:spacing w:line="360" w:lineRule="auto"/>
        <w:rPr>
          <w:rFonts w:ascii="Arial" w:hAnsi="Arial" w:cs="Arial"/>
          <w:sz w:val="22"/>
        </w:rPr>
      </w:pPr>
      <w:r w:rsidRPr="00CE3FC0">
        <w:rPr>
          <w:rFonts w:ascii="Arial" w:hAnsi="Arial" w:cs="Arial"/>
          <w:sz w:val="22"/>
        </w:rPr>
        <w:t xml:space="preserve">Anthony Jnr, B. (2024) “Examining the adoption of telehealth during public health emergencies based on technology organization environment framework,” Journal of Science and Technology Policy Management, 15(6), pp. 1311–1338. Available at: </w:t>
      </w:r>
      <w:hyperlink r:id="rId11" w:history="1">
        <w:r w:rsidRPr="00CE3FC0">
          <w:rPr>
            <w:rStyle w:val="Hyperlink"/>
            <w:rFonts w:ascii="Arial" w:hAnsi="Arial" w:cs="Arial"/>
            <w:sz w:val="22"/>
          </w:rPr>
          <w:t>https://doi.org/10.1108/JSTPM-05-2022-0079</w:t>
        </w:r>
      </w:hyperlink>
      <w:r w:rsidRPr="00CE3FC0">
        <w:rPr>
          <w:rFonts w:ascii="Arial" w:hAnsi="Arial" w:cs="Arial"/>
          <w:sz w:val="22"/>
        </w:rPr>
        <w:t>. Accessed 22 April 2026</w:t>
      </w:r>
    </w:p>
    <w:p w14:paraId="767063C1" w14:textId="77777777" w:rsidR="00D428DE" w:rsidRPr="00CE3FC0" w:rsidRDefault="00D428DE" w:rsidP="00F34E0F">
      <w:pPr>
        <w:tabs>
          <w:tab w:val="left" w:pos="6540"/>
        </w:tabs>
        <w:spacing w:line="360" w:lineRule="auto"/>
        <w:rPr>
          <w:rFonts w:ascii="Arial" w:hAnsi="Arial" w:cs="Arial"/>
          <w:sz w:val="22"/>
        </w:rPr>
      </w:pPr>
      <w:r w:rsidRPr="00CE3FC0">
        <w:rPr>
          <w:rFonts w:ascii="Arial" w:hAnsi="Arial" w:cs="Arial"/>
          <w:sz w:val="22"/>
        </w:rPr>
        <w:t xml:space="preserve">Beneteau, E., Paradiso, A. and Pratt, W. (2022) “Telehealth experiences of providers and patients who use augmentative and alternative communication,” Journal of the American Medical Informatics Association: JAMIA, 29(3), pp. 481–488. Available at: </w:t>
      </w:r>
      <w:hyperlink r:id="rId12" w:history="1">
        <w:r w:rsidRPr="00CE3FC0">
          <w:rPr>
            <w:rStyle w:val="Hyperlink"/>
            <w:rFonts w:ascii="Arial" w:hAnsi="Arial" w:cs="Arial"/>
            <w:sz w:val="22"/>
          </w:rPr>
          <w:t>https://doi.org/10.1093/jamia/ocab273</w:t>
        </w:r>
      </w:hyperlink>
      <w:r w:rsidRPr="00CE3FC0">
        <w:rPr>
          <w:rFonts w:ascii="Arial" w:hAnsi="Arial" w:cs="Arial"/>
          <w:sz w:val="22"/>
        </w:rPr>
        <w:t>. 20 April 2026</w:t>
      </w:r>
    </w:p>
    <w:p w14:paraId="50AFE976" w14:textId="77777777" w:rsidR="00D428DE" w:rsidRPr="00CE3FC0" w:rsidRDefault="00D428DE" w:rsidP="00B5113D">
      <w:pPr>
        <w:tabs>
          <w:tab w:val="left" w:pos="6540"/>
        </w:tabs>
        <w:spacing w:line="360" w:lineRule="auto"/>
        <w:rPr>
          <w:rFonts w:ascii="Arial" w:hAnsi="Arial" w:cs="Arial"/>
          <w:sz w:val="22"/>
        </w:rPr>
      </w:pPr>
      <w:r w:rsidRPr="00CE3FC0">
        <w:rPr>
          <w:rFonts w:ascii="Arial" w:hAnsi="Arial" w:cs="Arial"/>
          <w:sz w:val="22"/>
        </w:rPr>
        <w:t xml:space="preserve">Bond, C.S. and Worswick, L. (2015) “Self-Management and Telehealth: Lessons Learnt from the Evaluation of a Dorset Telehealth Program,” The patient: patient-centred outcomes research, 8(4), pp. 311–316. Available at: </w:t>
      </w:r>
      <w:hyperlink r:id="rId13" w:history="1">
        <w:r w:rsidRPr="00CE3FC0">
          <w:rPr>
            <w:rStyle w:val="Hyperlink"/>
            <w:rFonts w:ascii="Arial" w:hAnsi="Arial" w:cs="Arial"/>
            <w:sz w:val="22"/>
          </w:rPr>
          <w:t>https://doi.org/10.1007/s40271-014-0091-y</w:t>
        </w:r>
      </w:hyperlink>
      <w:r w:rsidRPr="00CE3FC0">
        <w:rPr>
          <w:rFonts w:ascii="Arial" w:hAnsi="Arial" w:cs="Arial"/>
          <w:sz w:val="22"/>
        </w:rPr>
        <w:t>. Accessed 20 April 2026</w:t>
      </w:r>
    </w:p>
    <w:p w14:paraId="079C2192" w14:textId="77777777" w:rsidR="00D428DE" w:rsidRPr="00CE3FC0" w:rsidRDefault="00D428DE" w:rsidP="00B5113D">
      <w:pPr>
        <w:tabs>
          <w:tab w:val="left" w:pos="6540"/>
        </w:tabs>
        <w:spacing w:line="360" w:lineRule="auto"/>
        <w:rPr>
          <w:rFonts w:ascii="Arial" w:hAnsi="Arial" w:cs="Arial"/>
          <w:sz w:val="22"/>
        </w:rPr>
      </w:pPr>
      <w:r w:rsidRPr="00CE3FC0">
        <w:rPr>
          <w:rFonts w:ascii="Arial" w:hAnsi="Arial" w:cs="Arial"/>
          <w:sz w:val="22"/>
        </w:rPr>
        <w:t>Bonica GM, Johns RW, Jadvar H. Telehealth and Telemedicine: Regulatory and Medicolegal Landscape. Clin Nucl Med. 2024 Jul 1;49(7):644-647. doi: 10.1097/RLU.0000000000005254. Epub 2024 May 21. PMID: 38769654. Accessed 20 April 2026</w:t>
      </w:r>
    </w:p>
    <w:p w14:paraId="0BC09F61" w14:textId="77777777" w:rsidR="00D428DE" w:rsidRPr="00CE3FC0" w:rsidRDefault="00D428DE" w:rsidP="002000A8">
      <w:pPr>
        <w:tabs>
          <w:tab w:val="left" w:pos="6540"/>
        </w:tabs>
        <w:spacing w:line="360" w:lineRule="auto"/>
        <w:rPr>
          <w:rFonts w:ascii="Arial" w:hAnsi="Arial" w:cs="Arial"/>
          <w:sz w:val="22"/>
        </w:rPr>
      </w:pPr>
      <w:r w:rsidRPr="00CE3FC0">
        <w:rPr>
          <w:rFonts w:ascii="Arial" w:hAnsi="Arial" w:cs="Arial"/>
          <w:sz w:val="22"/>
        </w:rPr>
        <w:lastRenderedPageBreak/>
        <w:t xml:space="preserve">BPP Care Ltd (2025) Telemedicine in Rural Areas: A Lifeline for the Forgotten; Available at: </w:t>
      </w:r>
      <w:hyperlink r:id="rId14" w:history="1">
        <w:r w:rsidRPr="00CE3FC0">
          <w:rPr>
            <w:rStyle w:val="Hyperlink"/>
            <w:rFonts w:ascii="Arial" w:hAnsi="Arial" w:cs="Arial"/>
            <w:sz w:val="22"/>
          </w:rPr>
          <w:t>https://bpp-care.co.uk/telemedicine-in-rural-areas-a-lifeline-for-the-forgotten/</w:t>
        </w:r>
      </w:hyperlink>
      <w:r w:rsidRPr="00CE3FC0">
        <w:rPr>
          <w:rFonts w:ascii="Arial" w:hAnsi="Arial" w:cs="Arial"/>
          <w:sz w:val="22"/>
        </w:rPr>
        <w:t xml:space="preserve"> Accessed 26 February 2025) </w:t>
      </w:r>
    </w:p>
    <w:p w14:paraId="77AF0EB2" w14:textId="77777777" w:rsidR="00D428DE" w:rsidRPr="00CE3FC0" w:rsidRDefault="00D428DE" w:rsidP="00616204">
      <w:pPr>
        <w:tabs>
          <w:tab w:val="left" w:pos="6540"/>
        </w:tabs>
        <w:spacing w:line="360" w:lineRule="auto"/>
        <w:rPr>
          <w:rFonts w:ascii="Arial" w:hAnsi="Arial" w:cs="Arial"/>
          <w:sz w:val="22"/>
        </w:rPr>
      </w:pPr>
      <w:r w:rsidRPr="00CE3FC0">
        <w:rPr>
          <w:rFonts w:ascii="Arial" w:hAnsi="Arial" w:cs="Arial"/>
          <w:sz w:val="22"/>
        </w:rPr>
        <w:t xml:space="preserve">Charters, E. et al. (2022) “Patient satisfaction and cost analysis of telehealth delivered by allied health oncology clinicians,” Contemporary oncology (Poznań, Poland), 26(1), pp. 44–48. Available at: </w:t>
      </w:r>
      <w:hyperlink r:id="rId15" w:history="1">
        <w:r w:rsidRPr="00CE3FC0">
          <w:rPr>
            <w:rStyle w:val="Hyperlink"/>
            <w:rFonts w:ascii="Arial" w:hAnsi="Arial" w:cs="Arial"/>
            <w:sz w:val="22"/>
          </w:rPr>
          <w:t>https://doi.org/10.5114/wo.2022.115047</w:t>
        </w:r>
      </w:hyperlink>
      <w:r w:rsidRPr="00CE3FC0">
        <w:rPr>
          <w:rFonts w:ascii="Arial" w:hAnsi="Arial" w:cs="Arial"/>
          <w:sz w:val="22"/>
        </w:rPr>
        <w:t>. Accessed 22 April 2026</w:t>
      </w:r>
    </w:p>
    <w:p w14:paraId="11D3C74A" w14:textId="77777777" w:rsidR="00D428DE" w:rsidRPr="00CE3FC0" w:rsidRDefault="00D428DE" w:rsidP="0005224C">
      <w:pPr>
        <w:tabs>
          <w:tab w:val="left" w:pos="6540"/>
        </w:tabs>
        <w:spacing w:line="360" w:lineRule="auto"/>
        <w:rPr>
          <w:rFonts w:ascii="Arial" w:hAnsi="Arial" w:cs="Arial"/>
          <w:sz w:val="22"/>
        </w:rPr>
      </w:pPr>
      <w:r w:rsidRPr="00CE3FC0">
        <w:rPr>
          <w:rFonts w:ascii="Arial" w:hAnsi="Arial" w:cs="Arial"/>
          <w:sz w:val="22"/>
        </w:rPr>
        <w:t xml:space="preserve">Cook, E.J. et al. (2016) “Exploring the factors that influence the decision to adopt and engage with an integrated assistive telehealth and telecare service in Cambridgeshire, UK: a nested qualitative study of patient ‘users’ and ‘non-users,’” BMC health services research, 16(1). Available at: </w:t>
      </w:r>
      <w:hyperlink r:id="rId16" w:history="1">
        <w:r w:rsidRPr="00CE3FC0">
          <w:rPr>
            <w:rStyle w:val="Hyperlink"/>
            <w:rFonts w:ascii="Arial" w:hAnsi="Arial" w:cs="Arial"/>
            <w:sz w:val="22"/>
          </w:rPr>
          <w:t>https://doi.org/10.1186/s12913-016-1379-5</w:t>
        </w:r>
      </w:hyperlink>
      <w:r w:rsidRPr="00CE3FC0">
        <w:rPr>
          <w:rFonts w:ascii="Arial" w:hAnsi="Arial" w:cs="Arial"/>
          <w:sz w:val="22"/>
        </w:rPr>
        <w:t>. Accessed 20 April 2026</w:t>
      </w:r>
    </w:p>
    <w:p w14:paraId="049128D8" w14:textId="77777777" w:rsidR="00D428DE" w:rsidRPr="00CE3FC0" w:rsidRDefault="00D428DE" w:rsidP="00DA2E4A">
      <w:pPr>
        <w:tabs>
          <w:tab w:val="left" w:pos="6540"/>
        </w:tabs>
        <w:spacing w:line="360" w:lineRule="auto"/>
        <w:rPr>
          <w:rFonts w:ascii="Arial" w:hAnsi="Arial" w:cs="Arial"/>
          <w:sz w:val="22"/>
        </w:rPr>
      </w:pPr>
      <w:r w:rsidRPr="00CE3FC0">
        <w:rPr>
          <w:rFonts w:ascii="Arial" w:hAnsi="Arial" w:cs="Arial"/>
          <w:sz w:val="22"/>
        </w:rPr>
        <w:t xml:space="preserve">Cook, E.J. et al. (2016) “Exploring the factors that influence the decision to adopt and engage with an integrated assistive telehealth and telecare service in Cambridgeshire, UK: a nested qualitative study of patient ‘users’ and ‘non-users,’” BMC health services research, 16(1). Available at: </w:t>
      </w:r>
      <w:hyperlink r:id="rId17" w:history="1">
        <w:r w:rsidRPr="00CE3FC0">
          <w:rPr>
            <w:rStyle w:val="Hyperlink"/>
            <w:rFonts w:ascii="Arial" w:hAnsi="Arial" w:cs="Arial"/>
            <w:sz w:val="22"/>
          </w:rPr>
          <w:t>https://doi.org/10.1186/s12913-016-1379-5</w:t>
        </w:r>
      </w:hyperlink>
      <w:r w:rsidRPr="00CE3FC0">
        <w:rPr>
          <w:rFonts w:ascii="Arial" w:hAnsi="Arial" w:cs="Arial"/>
          <w:sz w:val="22"/>
        </w:rPr>
        <w:t>. Accessed 20 April 2026</w:t>
      </w:r>
    </w:p>
    <w:p w14:paraId="4FD89A78" w14:textId="77777777" w:rsidR="00D428DE" w:rsidRPr="00CE3FC0" w:rsidRDefault="00D428DE" w:rsidP="00811F68">
      <w:pPr>
        <w:tabs>
          <w:tab w:val="left" w:pos="6540"/>
        </w:tabs>
        <w:spacing w:line="360" w:lineRule="auto"/>
        <w:rPr>
          <w:rFonts w:ascii="Arial" w:hAnsi="Arial" w:cs="Arial"/>
          <w:sz w:val="22"/>
        </w:rPr>
      </w:pPr>
      <w:r w:rsidRPr="00CE3FC0">
        <w:rPr>
          <w:rFonts w:ascii="Arial" w:hAnsi="Arial" w:cs="Arial"/>
          <w:sz w:val="22"/>
        </w:rPr>
        <w:t xml:space="preserve">Cook, E.J. et al. (2016) “Exploring the factors that influence the decision to adopt and engage with an integrated assistive telehealth and telecare service in Cambridgeshire, UK: a nested qualitative study of patient ‘users’ and ‘non-users,’” BMC health services research, 16(1). Available at: </w:t>
      </w:r>
      <w:hyperlink r:id="rId18" w:history="1">
        <w:r w:rsidRPr="00CE3FC0">
          <w:rPr>
            <w:rStyle w:val="Hyperlink"/>
            <w:rFonts w:ascii="Arial" w:hAnsi="Arial" w:cs="Arial"/>
            <w:sz w:val="22"/>
          </w:rPr>
          <w:t>https://doi.org/10.1186/s12913-016-1379-5</w:t>
        </w:r>
      </w:hyperlink>
      <w:r w:rsidRPr="00CE3FC0">
        <w:rPr>
          <w:rFonts w:ascii="Arial" w:hAnsi="Arial" w:cs="Arial"/>
          <w:sz w:val="22"/>
        </w:rPr>
        <w:t>. Accessed 22 April 2026</w:t>
      </w:r>
    </w:p>
    <w:p w14:paraId="43AAC9AE" w14:textId="77777777" w:rsidR="00D428DE" w:rsidRPr="00CE3FC0" w:rsidRDefault="00D428DE" w:rsidP="00EC55EF">
      <w:pPr>
        <w:tabs>
          <w:tab w:val="left" w:pos="6540"/>
        </w:tabs>
        <w:spacing w:line="360" w:lineRule="auto"/>
        <w:rPr>
          <w:rFonts w:ascii="Arial" w:hAnsi="Arial" w:cs="Arial"/>
          <w:sz w:val="22"/>
        </w:rPr>
      </w:pPr>
      <w:r w:rsidRPr="00CE3FC0">
        <w:rPr>
          <w:rFonts w:ascii="Arial" w:hAnsi="Arial" w:cs="Arial"/>
          <w:sz w:val="22"/>
        </w:rPr>
        <w:t xml:space="preserve">Cook, E.J., Randhawa, G., Sharp, C. et al. (2016) Exploring the factors that influence the decision to adopt and engage with an integrated assistive telehealth and telecare service in Cambridgeshire, UK: a nested qualitative study of patient ‘users’ and ‘non-users’. BMC Health Serv Res 16, 137. </w:t>
      </w:r>
      <w:hyperlink r:id="rId19" w:history="1">
        <w:r w:rsidRPr="00CE3FC0">
          <w:rPr>
            <w:rStyle w:val="Hyperlink"/>
            <w:rFonts w:ascii="Arial" w:hAnsi="Arial" w:cs="Arial"/>
            <w:sz w:val="22"/>
          </w:rPr>
          <w:t>https://doi.org/10.1186/s12913-016-1379-5</w:t>
        </w:r>
      </w:hyperlink>
      <w:r w:rsidRPr="00CE3FC0">
        <w:rPr>
          <w:rFonts w:ascii="Arial" w:hAnsi="Arial" w:cs="Arial"/>
          <w:sz w:val="22"/>
        </w:rPr>
        <w:t xml:space="preserve"> Accessed 19 April 2026</w:t>
      </w:r>
    </w:p>
    <w:p w14:paraId="0A07FB1F" w14:textId="77777777" w:rsidR="00D428DE" w:rsidRPr="00CE3FC0" w:rsidRDefault="00D428DE" w:rsidP="00C47291">
      <w:pPr>
        <w:tabs>
          <w:tab w:val="left" w:pos="6540"/>
        </w:tabs>
        <w:spacing w:line="360" w:lineRule="auto"/>
        <w:rPr>
          <w:rFonts w:ascii="Arial" w:hAnsi="Arial" w:cs="Arial"/>
          <w:sz w:val="22"/>
        </w:rPr>
      </w:pPr>
      <w:r w:rsidRPr="00CE3FC0">
        <w:rPr>
          <w:rFonts w:ascii="Arial" w:hAnsi="Arial" w:cs="Arial"/>
          <w:sz w:val="22"/>
        </w:rPr>
        <w:t xml:space="preserve">Cortelyou-Ward, K. et al. (2020) “Navigating the Digital Divide: Barriers to Telehealth in Rural Areas,” Journal of health care for the poor and underserved, 31(4), pp. 1546–1556. Available at: </w:t>
      </w:r>
      <w:hyperlink r:id="rId20" w:history="1">
        <w:r w:rsidRPr="00CE3FC0">
          <w:rPr>
            <w:rStyle w:val="Hyperlink"/>
            <w:rFonts w:ascii="Arial" w:hAnsi="Arial" w:cs="Arial"/>
            <w:sz w:val="22"/>
          </w:rPr>
          <w:t>https://doi.org/10.1353/hpu.2020.0116</w:t>
        </w:r>
      </w:hyperlink>
      <w:r w:rsidRPr="00CE3FC0">
        <w:rPr>
          <w:rFonts w:ascii="Arial" w:hAnsi="Arial" w:cs="Arial"/>
          <w:sz w:val="22"/>
        </w:rPr>
        <w:t>. Accessed 22 April 2026</w:t>
      </w:r>
    </w:p>
    <w:p w14:paraId="6F397EBE" w14:textId="77777777" w:rsidR="00D428DE" w:rsidRPr="00CE3FC0" w:rsidRDefault="00D428DE" w:rsidP="00012ABF">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equity in health, 21(1). Available at: </w:t>
      </w:r>
      <w:hyperlink r:id="rId21" w:history="1">
        <w:r w:rsidRPr="00CE3FC0">
          <w:rPr>
            <w:rStyle w:val="Hyperlink"/>
            <w:rFonts w:ascii="Arial" w:hAnsi="Arial" w:cs="Arial"/>
            <w:sz w:val="22"/>
          </w:rPr>
          <w:t>https://doi.org/10.1186/s12939-022-01689-2</w:t>
        </w:r>
      </w:hyperlink>
      <w:r w:rsidRPr="00CE3FC0">
        <w:rPr>
          <w:rFonts w:ascii="Arial" w:hAnsi="Arial" w:cs="Arial"/>
          <w:sz w:val="22"/>
        </w:rPr>
        <w:t>. Accessed 20 April 2026</w:t>
      </w:r>
    </w:p>
    <w:p w14:paraId="0BC03EDB" w14:textId="77777777" w:rsidR="00D428DE" w:rsidRPr="00CE3FC0" w:rsidRDefault="00D428DE" w:rsidP="00E555C1">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w:t>
      </w:r>
      <w:r w:rsidRPr="00CE3FC0">
        <w:rPr>
          <w:rFonts w:ascii="Arial" w:hAnsi="Arial" w:cs="Arial"/>
          <w:sz w:val="22"/>
        </w:rPr>
        <w:lastRenderedPageBreak/>
        <w:t xml:space="preserve">equity in health, 21(1). Available at: </w:t>
      </w:r>
      <w:hyperlink r:id="rId22" w:history="1">
        <w:r w:rsidRPr="00CE3FC0">
          <w:rPr>
            <w:rStyle w:val="Hyperlink"/>
            <w:rFonts w:ascii="Arial" w:hAnsi="Arial" w:cs="Arial"/>
            <w:sz w:val="22"/>
          </w:rPr>
          <w:t>https://doi.org/10.1186/s12939-022-01689-2</w:t>
        </w:r>
      </w:hyperlink>
      <w:r w:rsidRPr="00CE3FC0">
        <w:rPr>
          <w:rFonts w:ascii="Arial" w:hAnsi="Arial" w:cs="Arial"/>
          <w:sz w:val="22"/>
        </w:rPr>
        <w:t>. Accessed 20 April 2026</w:t>
      </w:r>
    </w:p>
    <w:p w14:paraId="69380689" w14:textId="77777777" w:rsidR="00D428DE" w:rsidRPr="00CE3FC0" w:rsidRDefault="00D428DE" w:rsidP="00853735">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equity in health, 21(1). Available at: </w:t>
      </w:r>
      <w:hyperlink r:id="rId23" w:history="1">
        <w:r w:rsidRPr="00CE3FC0">
          <w:rPr>
            <w:rStyle w:val="Hyperlink"/>
            <w:rFonts w:ascii="Arial" w:hAnsi="Arial" w:cs="Arial"/>
            <w:sz w:val="22"/>
          </w:rPr>
          <w:t>https://doi.org/10.1186/s12939-022-01689-2</w:t>
        </w:r>
      </w:hyperlink>
      <w:r w:rsidRPr="00CE3FC0">
        <w:rPr>
          <w:rFonts w:ascii="Arial" w:hAnsi="Arial" w:cs="Arial"/>
          <w:sz w:val="22"/>
        </w:rPr>
        <w:t>. Accessed 20 April 2026</w:t>
      </w:r>
    </w:p>
    <w:p w14:paraId="255FB1B4" w14:textId="77777777" w:rsidR="00D428DE" w:rsidRPr="00CE3FC0" w:rsidRDefault="00D428DE" w:rsidP="00F136A2">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equity in health, 21(1). Available at: </w:t>
      </w:r>
      <w:hyperlink r:id="rId24" w:history="1">
        <w:r w:rsidRPr="00CE3FC0">
          <w:rPr>
            <w:rStyle w:val="Hyperlink"/>
            <w:rFonts w:ascii="Arial" w:hAnsi="Arial" w:cs="Arial"/>
            <w:sz w:val="22"/>
          </w:rPr>
          <w:t>https://doi.org/10.1186/s12939-022-01689-2</w:t>
        </w:r>
      </w:hyperlink>
      <w:r w:rsidRPr="00CE3FC0">
        <w:rPr>
          <w:rFonts w:ascii="Arial" w:hAnsi="Arial" w:cs="Arial"/>
          <w:sz w:val="22"/>
        </w:rPr>
        <w:t>. Accessed 22 April 2026</w:t>
      </w:r>
    </w:p>
    <w:p w14:paraId="63310A80" w14:textId="77777777" w:rsidR="00D428DE" w:rsidRPr="00CE3FC0" w:rsidRDefault="00D428DE" w:rsidP="002D54BA">
      <w:pPr>
        <w:tabs>
          <w:tab w:val="left" w:pos="6540"/>
        </w:tabs>
        <w:spacing w:line="360" w:lineRule="auto"/>
        <w:rPr>
          <w:rFonts w:ascii="Arial" w:hAnsi="Arial" w:cs="Arial"/>
          <w:sz w:val="22"/>
        </w:rPr>
      </w:pPr>
      <w:r w:rsidRPr="00CE3FC0">
        <w:rPr>
          <w:rFonts w:ascii="Arial" w:hAnsi="Arial" w:cs="Arial"/>
          <w:sz w:val="22"/>
        </w:rPr>
        <w:t xml:space="preserve">Eddison, N. et al. (2023) “The emergence of telehealth in orthotic services across the United Kingdom,” Assistive technology, 35(2), pp. 163–168. Available at: </w:t>
      </w:r>
      <w:hyperlink r:id="rId25" w:history="1">
        <w:r w:rsidRPr="00CE3FC0">
          <w:rPr>
            <w:rStyle w:val="Hyperlink"/>
            <w:rFonts w:ascii="Arial" w:hAnsi="Arial" w:cs="Arial"/>
            <w:sz w:val="22"/>
          </w:rPr>
          <w:t>https://doi.org/10.1080/10400435.2021.1995531</w:t>
        </w:r>
      </w:hyperlink>
      <w:r w:rsidRPr="00CE3FC0">
        <w:rPr>
          <w:rFonts w:ascii="Arial" w:hAnsi="Arial" w:cs="Arial"/>
          <w:sz w:val="22"/>
        </w:rPr>
        <w:t xml:space="preserve">. Accessed 6 April 2026 </w:t>
      </w:r>
    </w:p>
    <w:p w14:paraId="6B6CAE9C" w14:textId="77777777" w:rsidR="00D428DE" w:rsidRPr="00CE3FC0" w:rsidRDefault="00D428DE" w:rsidP="0014271F">
      <w:pPr>
        <w:tabs>
          <w:tab w:val="left" w:pos="6540"/>
        </w:tabs>
        <w:spacing w:line="360" w:lineRule="auto"/>
        <w:rPr>
          <w:rFonts w:ascii="Arial" w:hAnsi="Arial" w:cs="Arial"/>
          <w:sz w:val="22"/>
        </w:rPr>
      </w:pPr>
      <w:r w:rsidRPr="00CE3FC0">
        <w:rPr>
          <w:rFonts w:ascii="Arial" w:hAnsi="Arial" w:cs="Arial"/>
          <w:sz w:val="22"/>
        </w:rPr>
        <w:t xml:space="preserve">Edwards, L. et al. (2014) “Are People with Chronic Diseases Interested in Using Telehealth? A Cross-Sectional Postal Survey,” Journal of medical Internet research, 16(5), p. e123. Available at: </w:t>
      </w:r>
      <w:hyperlink r:id="rId26" w:history="1">
        <w:r w:rsidRPr="00CE3FC0">
          <w:rPr>
            <w:rStyle w:val="Hyperlink"/>
            <w:rFonts w:ascii="Arial" w:hAnsi="Arial" w:cs="Arial"/>
            <w:sz w:val="22"/>
          </w:rPr>
          <w:t>https://doi.org/10.2196/jmir.3257</w:t>
        </w:r>
      </w:hyperlink>
      <w:r w:rsidRPr="00CE3FC0">
        <w:rPr>
          <w:rFonts w:ascii="Arial" w:hAnsi="Arial" w:cs="Arial"/>
          <w:sz w:val="22"/>
        </w:rPr>
        <w:t>. Accessed 21 April 2026</w:t>
      </w:r>
    </w:p>
    <w:p w14:paraId="437375E8" w14:textId="77777777" w:rsidR="00D428DE" w:rsidRPr="00CE3FC0" w:rsidRDefault="00D428DE" w:rsidP="00FA4FD9">
      <w:pPr>
        <w:tabs>
          <w:tab w:val="left" w:pos="6540"/>
        </w:tabs>
        <w:spacing w:line="360" w:lineRule="auto"/>
        <w:rPr>
          <w:rFonts w:ascii="Arial" w:hAnsi="Arial" w:cs="Arial"/>
          <w:sz w:val="22"/>
        </w:rPr>
      </w:pPr>
      <w:r w:rsidRPr="00CE3FC0">
        <w:rPr>
          <w:rFonts w:ascii="Arial" w:hAnsi="Arial" w:cs="Arial"/>
          <w:sz w:val="22"/>
        </w:rPr>
        <w:t>Greenhalgh, T., Wherton, J., Shaw, S. and Morrison, C. (2020) ‘Video consultations for COVID</w:t>
      </w:r>
      <w:r w:rsidRPr="00CE3FC0">
        <w:rPr>
          <w:rFonts w:ascii="Cambria Math" w:hAnsi="Cambria Math" w:cs="Cambria Math"/>
          <w:sz w:val="22"/>
        </w:rPr>
        <w:t>‑</w:t>
      </w:r>
      <w:r w:rsidRPr="00CE3FC0">
        <w:rPr>
          <w:rFonts w:ascii="Arial" w:hAnsi="Arial" w:cs="Arial"/>
          <w:sz w:val="22"/>
        </w:rPr>
        <w:t>19’, BMJ, 368, m998. NHS England (2022) Digital First Primary Care: Implementation Guidance. NHS England. Shaw, S., Wherton, J., Vijayaraghavan, S. et al. (2018) ‘Advantages and challenges of telehealth in general practice’, Journal of Medical Internet Research, 20(11), e110. Accessed 22 April 2026</w:t>
      </w:r>
    </w:p>
    <w:p w14:paraId="3F7F1A07" w14:textId="77777777" w:rsidR="00D428DE" w:rsidRPr="00CE3FC0" w:rsidRDefault="00D428DE" w:rsidP="009C54E9">
      <w:pPr>
        <w:tabs>
          <w:tab w:val="left" w:pos="6540"/>
        </w:tabs>
        <w:spacing w:line="360" w:lineRule="auto"/>
        <w:rPr>
          <w:rFonts w:ascii="Arial" w:hAnsi="Arial" w:cs="Arial"/>
          <w:sz w:val="22"/>
        </w:rPr>
      </w:pPr>
      <w:r w:rsidRPr="00CE3FC0">
        <w:rPr>
          <w:rFonts w:ascii="Arial" w:hAnsi="Arial" w:cs="Arial"/>
          <w:sz w:val="22"/>
        </w:rPr>
        <w:t xml:space="preserve">Hilty, D.M., Serhal, E. and Crawford, A. (2023) “A Telehealth and Telepsychiatry Economic Cost Analysis Framework: Scoping Review,” Telemedicine journal and e-health, 29(1), pp. 23–37. Available at: </w:t>
      </w:r>
      <w:hyperlink r:id="rId27" w:history="1">
        <w:r w:rsidRPr="00CE3FC0">
          <w:rPr>
            <w:rStyle w:val="Hyperlink"/>
            <w:rFonts w:ascii="Arial" w:hAnsi="Arial" w:cs="Arial"/>
            <w:sz w:val="22"/>
          </w:rPr>
          <w:t>https://doi.org/10.1089/tmj.2022.0016</w:t>
        </w:r>
      </w:hyperlink>
      <w:r w:rsidRPr="00CE3FC0">
        <w:rPr>
          <w:rFonts w:ascii="Arial" w:hAnsi="Arial" w:cs="Arial"/>
          <w:sz w:val="22"/>
        </w:rPr>
        <w:t>. Accessed 22 April 2026</w:t>
      </w:r>
    </w:p>
    <w:p w14:paraId="0A1642BB" w14:textId="77777777" w:rsidR="00D428DE" w:rsidRPr="00CE3FC0" w:rsidRDefault="00D428DE" w:rsidP="00971BC9">
      <w:pPr>
        <w:tabs>
          <w:tab w:val="left" w:pos="6540"/>
        </w:tabs>
        <w:spacing w:line="360" w:lineRule="auto"/>
        <w:rPr>
          <w:rFonts w:ascii="Arial" w:hAnsi="Arial" w:cs="Arial"/>
          <w:sz w:val="22"/>
        </w:rPr>
      </w:pPr>
      <w:r w:rsidRPr="00CE3FC0">
        <w:rPr>
          <w:rFonts w:ascii="Arial" w:hAnsi="Arial" w:cs="Arial"/>
          <w:sz w:val="22"/>
        </w:rPr>
        <w:t xml:space="preserve">Kayyali, R. et al. (2017) “Telehealth: misconceptions and experiences of healthcare professionals in England,” The International journal of pharmacy practice, 25(3), pp. 203–209. Available at: </w:t>
      </w:r>
      <w:hyperlink r:id="rId28" w:history="1">
        <w:r w:rsidRPr="00CE3FC0">
          <w:rPr>
            <w:rStyle w:val="Hyperlink"/>
            <w:rFonts w:ascii="Arial" w:hAnsi="Arial" w:cs="Arial"/>
            <w:sz w:val="22"/>
          </w:rPr>
          <w:t>https://doi.org/10.1111/ijpp.12340</w:t>
        </w:r>
      </w:hyperlink>
      <w:r w:rsidRPr="00CE3FC0">
        <w:rPr>
          <w:rFonts w:ascii="Arial" w:hAnsi="Arial" w:cs="Arial"/>
          <w:sz w:val="22"/>
        </w:rPr>
        <w:t>. Accessed 22 April 2026</w:t>
      </w:r>
    </w:p>
    <w:p w14:paraId="130ABEA7" w14:textId="77777777" w:rsidR="00D428DE" w:rsidRPr="00CE3FC0" w:rsidRDefault="00D428DE" w:rsidP="00105739">
      <w:pPr>
        <w:tabs>
          <w:tab w:val="left" w:pos="6540"/>
        </w:tabs>
        <w:spacing w:line="360" w:lineRule="auto"/>
        <w:rPr>
          <w:rFonts w:ascii="Arial" w:hAnsi="Arial" w:cs="Arial"/>
          <w:sz w:val="22"/>
        </w:rPr>
      </w:pPr>
      <w:r w:rsidRPr="00CE3FC0">
        <w:rPr>
          <w:rFonts w:ascii="Arial" w:hAnsi="Arial" w:cs="Arial"/>
          <w:sz w:val="22"/>
        </w:rPr>
        <w:t xml:space="preserve">Ko, M. et al. (2025) “Telehealth and people with disabilities in the United Kingdom: a scoping review,” Frontiers in public health, 13, p. 1504318. Available at: </w:t>
      </w:r>
      <w:hyperlink r:id="rId29" w:history="1">
        <w:r w:rsidRPr="00CE3FC0">
          <w:rPr>
            <w:rStyle w:val="Hyperlink"/>
            <w:rFonts w:ascii="Arial" w:hAnsi="Arial" w:cs="Arial"/>
            <w:sz w:val="22"/>
          </w:rPr>
          <w:t>https://doi.org/10.3389/fpubh.2025.1504318</w:t>
        </w:r>
      </w:hyperlink>
      <w:r w:rsidRPr="00CE3FC0">
        <w:rPr>
          <w:rFonts w:ascii="Arial" w:hAnsi="Arial" w:cs="Arial"/>
          <w:sz w:val="22"/>
        </w:rPr>
        <w:t>. Accessed 18 April 2026</w:t>
      </w:r>
    </w:p>
    <w:p w14:paraId="1E40C16B" w14:textId="77777777" w:rsidR="00D428DE" w:rsidRPr="00CE3FC0" w:rsidRDefault="00D428DE" w:rsidP="00A16F42">
      <w:pPr>
        <w:tabs>
          <w:tab w:val="left" w:pos="6540"/>
        </w:tabs>
        <w:spacing w:line="360" w:lineRule="auto"/>
        <w:rPr>
          <w:rFonts w:ascii="Arial" w:hAnsi="Arial" w:cs="Arial"/>
          <w:sz w:val="22"/>
        </w:rPr>
      </w:pPr>
      <w:r w:rsidRPr="00CE3FC0">
        <w:rPr>
          <w:rFonts w:ascii="Arial" w:hAnsi="Arial" w:cs="Arial"/>
          <w:sz w:val="22"/>
        </w:rPr>
        <w:t xml:space="preserve">Ko, M. et al. (2025) “Telehealth and people with disabilities in the United Kingdom: a scoping review,” Frontiers in public health, 13, p. 1504318. Available at: </w:t>
      </w:r>
      <w:hyperlink r:id="rId30" w:history="1">
        <w:r w:rsidRPr="00CE3FC0">
          <w:rPr>
            <w:rStyle w:val="Hyperlink"/>
            <w:rFonts w:ascii="Arial" w:hAnsi="Arial" w:cs="Arial"/>
            <w:sz w:val="22"/>
          </w:rPr>
          <w:t>https://doi.org/10.3389/fpubh.2025.1504318</w:t>
        </w:r>
      </w:hyperlink>
      <w:r w:rsidRPr="00CE3FC0">
        <w:rPr>
          <w:rFonts w:ascii="Arial" w:hAnsi="Arial" w:cs="Arial"/>
          <w:sz w:val="22"/>
        </w:rPr>
        <w:t>. Accessed 20 April 2026</w:t>
      </w:r>
    </w:p>
    <w:p w14:paraId="3548FAEA" w14:textId="77777777" w:rsidR="00D428DE" w:rsidRPr="00CE3FC0" w:rsidRDefault="00D428DE" w:rsidP="00BB43D4">
      <w:pPr>
        <w:tabs>
          <w:tab w:val="left" w:pos="6540"/>
        </w:tabs>
        <w:spacing w:line="360" w:lineRule="auto"/>
        <w:rPr>
          <w:rFonts w:ascii="Arial" w:hAnsi="Arial" w:cs="Arial"/>
          <w:sz w:val="22"/>
        </w:rPr>
      </w:pPr>
      <w:r w:rsidRPr="00CE3FC0">
        <w:rPr>
          <w:rFonts w:ascii="Arial" w:hAnsi="Arial" w:cs="Arial"/>
          <w:sz w:val="22"/>
        </w:rPr>
        <w:lastRenderedPageBreak/>
        <w:t xml:space="preserve">Ko, M. et al. (2025) “Telehealth and people with disabilities in the United Kingdom: a scoping review,” Frontiers in public health, 13, p. 1504318. Available at: </w:t>
      </w:r>
      <w:hyperlink r:id="rId31" w:history="1">
        <w:r w:rsidRPr="00CE3FC0">
          <w:rPr>
            <w:rStyle w:val="Hyperlink"/>
            <w:rFonts w:ascii="Arial" w:hAnsi="Arial" w:cs="Arial"/>
            <w:sz w:val="22"/>
          </w:rPr>
          <w:t>https://doi.org/10.3389/fpubh.2025.1504318</w:t>
        </w:r>
      </w:hyperlink>
      <w:r w:rsidRPr="00CE3FC0">
        <w:rPr>
          <w:rFonts w:ascii="Arial" w:hAnsi="Arial" w:cs="Arial"/>
          <w:sz w:val="22"/>
        </w:rPr>
        <w:t>. Accessed 22 April 2026</w:t>
      </w:r>
    </w:p>
    <w:p w14:paraId="4BCEC311" w14:textId="77777777" w:rsidR="00D428DE" w:rsidRPr="00CE3FC0" w:rsidRDefault="00D428DE" w:rsidP="006E4C63">
      <w:pPr>
        <w:tabs>
          <w:tab w:val="left" w:pos="6540"/>
        </w:tabs>
        <w:spacing w:line="360" w:lineRule="auto"/>
        <w:rPr>
          <w:rFonts w:ascii="Arial" w:hAnsi="Arial" w:cs="Arial"/>
          <w:sz w:val="22"/>
        </w:rPr>
      </w:pPr>
      <w:r w:rsidRPr="00CE3FC0">
        <w:rPr>
          <w:rFonts w:ascii="Arial" w:hAnsi="Arial" w:cs="Arial"/>
          <w:sz w:val="22"/>
        </w:rPr>
        <w:t xml:space="preserve">Leone, E. et al. (2021) “Exploration of implementation, financial and technical considerations within allied health professional (AHP) telehealth consultation guidance: a scoping review including UK AHP professional bodies’ guidance,” BMJ open, 11(12), p. e055823. Available at: </w:t>
      </w:r>
      <w:hyperlink r:id="rId32" w:history="1">
        <w:r w:rsidRPr="00CE3FC0">
          <w:rPr>
            <w:rStyle w:val="Hyperlink"/>
            <w:rFonts w:ascii="Arial" w:hAnsi="Arial" w:cs="Arial"/>
            <w:sz w:val="22"/>
          </w:rPr>
          <w:t>https://doi.org/10.1136/bmjopen-2021-055823</w:t>
        </w:r>
      </w:hyperlink>
      <w:r w:rsidRPr="00CE3FC0">
        <w:rPr>
          <w:rFonts w:ascii="Arial" w:hAnsi="Arial" w:cs="Arial"/>
          <w:sz w:val="22"/>
        </w:rPr>
        <w:t>. Accessed 20 April 2026</w:t>
      </w:r>
    </w:p>
    <w:p w14:paraId="561E37C5" w14:textId="77777777" w:rsidR="00D428DE" w:rsidRPr="00CE3FC0" w:rsidRDefault="00D428DE" w:rsidP="001D3633">
      <w:pPr>
        <w:tabs>
          <w:tab w:val="left" w:pos="6540"/>
        </w:tabs>
        <w:spacing w:line="360" w:lineRule="auto"/>
        <w:rPr>
          <w:rFonts w:ascii="Arial" w:hAnsi="Arial" w:cs="Arial"/>
          <w:sz w:val="22"/>
        </w:rPr>
      </w:pPr>
      <w:r w:rsidRPr="00CE3FC0">
        <w:rPr>
          <w:rFonts w:ascii="Arial" w:hAnsi="Arial" w:cs="Arial"/>
          <w:sz w:val="22"/>
        </w:rPr>
        <w:t xml:space="preserve">Leone, E. et al. (2021) “Exploration of implementation, financial and technical considerations within allied health professional (AHP) telehealth consultation guidance: a scoping review including UK AHP professional bodies’ guidance,” BMJ open, 11(12), p. e055823. Available at: </w:t>
      </w:r>
      <w:hyperlink r:id="rId33" w:history="1">
        <w:r w:rsidRPr="00CE3FC0">
          <w:rPr>
            <w:rStyle w:val="Hyperlink"/>
            <w:rFonts w:ascii="Arial" w:hAnsi="Arial" w:cs="Arial"/>
            <w:sz w:val="22"/>
          </w:rPr>
          <w:t>https://doi.org/10.1136/bmjopen-2021-055823</w:t>
        </w:r>
      </w:hyperlink>
      <w:r w:rsidRPr="00CE3FC0">
        <w:rPr>
          <w:rFonts w:ascii="Arial" w:hAnsi="Arial" w:cs="Arial"/>
          <w:sz w:val="22"/>
        </w:rPr>
        <w:t>. Accessed 22 April 2026</w:t>
      </w:r>
    </w:p>
    <w:p w14:paraId="604E5D2D" w14:textId="77777777" w:rsidR="00D428DE" w:rsidRPr="00CE3FC0" w:rsidRDefault="00D428DE" w:rsidP="00CE73C5">
      <w:pPr>
        <w:tabs>
          <w:tab w:val="left" w:pos="6540"/>
        </w:tabs>
        <w:spacing w:line="360" w:lineRule="auto"/>
        <w:rPr>
          <w:rFonts w:ascii="Arial" w:hAnsi="Arial" w:cs="Arial"/>
          <w:sz w:val="22"/>
        </w:rPr>
      </w:pPr>
      <w:r w:rsidRPr="00CE3FC0">
        <w:rPr>
          <w:rFonts w:ascii="Arial" w:hAnsi="Arial" w:cs="Arial"/>
          <w:sz w:val="22"/>
        </w:rPr>
        <w:t xml:space="preserve">Leone, E. et al. (2022) “Do UK Allied Health Professionals (AHPs) have sufficient guidelines and training to provide telehealth patient consultations?” Human resources for health, 20(1). Available at: </w:t>
      </w:r>
      <w:hyperlink r:id="rId34" w:history="1">
        <w:r w:rsidRPr="00CE3FC0">
          <w:rPr>
            <w:rStyle w:val="Hyperlink"/>
            <w:rFonts w:ascii="Arial" w:hAnsi="Arial" w:cs="Arial"/>
            <w:sz w:val="22"/>
          </w:rPr>
          <w:t>https://doi.org/10.1186/s12960-022-00778-1</w:t>
        </w:r>
      </w:hyperlink>
      <w:r w:rsidRPr="00CE3FC0">
        <w:rPr>
          <w:rFonts w:ascii="Arial" w:hAnsi="Arial" w:cs="Arial"/>
          <w:sz w:val="22"/>
        </w:rPr>
        <w:t>. Accessed 22 April 2026</w:t>
      </w:r>
    </w:p>
    <w:p w14:paraId="395974AB" w14:textId="77777777" w:rsidR="00D428DE" w:rsidRPr="00CE3FC0" w:rsidRDefault="00D428DE" w:rsidP="00733D56">
      <w:pPr>
        <w:tabs>
          <w:tab w:val="left" w:pos="6540"/>
        </w:tabs>
        <w:spacing w:line="360" w:lineRule="auto"/>
        <w:rPr>
          <w:rFonts w:ascii="Arial" w:hAnsi="Arial" w:cs="Arial"/>
          <w:sz w:val="22"/>
        </w:rPr>
      </w:pPr>
      <w:r w:rsidRPr="00CE3FC0">
        <w:rPr>
          <w:rFonts w:ascii="Arial" w:hAnsi="Arial" w:cs="Arial"/>
          <w:sz w:val="22"/>
        </w:rPr>
        <w:t xml:space="preserve">Lessard, S. et al. (2016) “External facilitators and interprofessional facilitation teams: a qualitative study of their roles in supporting practice change,” Implementation science: IS, 11(1). Available at: </w:t>
      </w:r>
      <w:hyperlink r:id="rId35" w:history="1">
        <w:r w:rsidRPr="00CE3FC0">
          <w:rPr>
            <w:rStyle w:val="Hyperlink"/>
            <w:rFonts w:ascii="Arial" w:hAnsi="Arial" w:cs="Arial"/>
            <w:sz w:val="22"/>
          </w:rPr>
          <w:t>https://doi.org/10.1186/s13012-016-0458-7</w:t>
        </w:r>
      </w:hyperlink>
      <w:r w:rsidRPr="00CE3FC0">
        <w:rPr>
          <w:rFonts w:ascii="Arial" w:hAnsi="Arial" w:cs="Arial"/>
          <w:sz w:val="22"/>
        </w:rPr>
        <w:t>. Accessed 22 April 2026</w:t>
      </w:r>
    </w:p>
    <w:p w14:paraId="37DD9E7C" w14:textId="77777777" w:rsidR="00D428DE" w:rsidRPr="00CE3FC0" w:rsidRDefault="00D428DE" w:rsidP="00C47291">
      <w:pPr>
        <w:tabs>
          <w:tab w:val="left" w:pos="6540"/>
        </w:tabs>
        <w:spacing w:line="360" w:lineRule="auto"/>
        <w:rPr>
          <w:rFonts w:ascii="Arial" w:hAnsi="Arial" w:cs="Arial"/>
          <w:sz w:val="22"/>
        </w:rPr>
      </w:pPr>
      <w:r w:rsidRPr="00CE3FC0">
        <w:rPr>
          <w:rFonts w:ascii="Arial" w:hAnsi="Arial" w:cs="Arial"/>
          <w:sz w:val="22"/>
        </w:rPr>
        <w:t xml:space="preserve">Lin, C.-C.C. et al. (2018) “Telehealth in Health Centres: Key Adoption Factors, Barriers, And Opportunities,” Health Affairs, 37(12), pp. 1967–1974. Available at: </w:t>
      </w:r>
      <w:hyperlink r:id="rId36" w:history="1">
        <w:r w:rsidRPr="00CE3FC0">
          <w:rPr>
            <w:rStyle w:val="Hyperlink"/>
            <w:rFonts w:ascii="Arial" w:hAnsi="Arial" w:cs="Arial"/>
            <w:sz w:val="22"/>
          </w:rPr>
          <w:t>https://doi.org/10.1377/hlthaff.2018.05125</w:t>
        </w:r>
      </w:hyperlink>
      <w:r w:rsidRPr="00CE3FC0">
        <w:rPr>
          <w:rFonts w:ascii="Arial" w:hAnsi="Arial" w:cs="Arial"/>
          <w:sz w:val="22"/>
        </w:rPr>
        <w:t>. Accessed 22 April 2026</w:t>
      </w:r>
    </w:p>
    <w:p w14:paraId="4C15D722" w14:textId="77777777" w:rsidR="00D428DE" w:rsidRPr="00CE3FC0" w:rsidRDefault="00D428DE" w:rsidP="0071334D">
      <w:pPr>
        <w:tabs>
          <w:tab w:val="left" w:pos="6540"/>
        </w:tabs>
        <w:spacing w:line="360" w:lineRule="auto"/>
        <w:rPr>
          <w:rFonts w:ascii="Arial" w:hAnsi="Arial" w:cs="Arial"/>
          <w:sz w:val="22"/>
        </w:rPr>
      </w:pPr>
      <w:r w:rsidRPr="00CE3FC0">
        <w:rPr>
          <w:rFonts w:ascii="Arial" w:hAnsi="Arial" w:cs="Arial"/>
          <w:sz w:val="22"/>
        </w:rPr>
        <w:t xml:space="preserve">Lundereng, E.D. et al. (2023) “Health Care Professionals’ Experiences and Perspectives on Using Telehealth for Home-based Palliative Care: Scoping Review,” Journal of medical Internet research, 25(9), p. e43429. Available at: </w:t>
      </w:r>
      <w:hyperlink r:id="rId37" w:history="1">
        <w:r w:rsidRPr="00CE3FC0">
          <w:rPr>
            <w:rStyle w:val="Hyperlink"/>
            <w:rFonts w:ascii="Arial" w:hAnsi="Arial" w:cs="Arial"/>
            <w:sz w:val="22"/>
          </w:rPr>
          <w:t>https://doi.org/10.2196/43429</w:t>
        </w:r>
      </w:hyperlink>
      <w:r w:rsidRPr="00CE3FC0">
        <w:rPr>
          <w:rFonts w:ascii="Arial" w:hAnsi="Arial" w:cs="Arial"/>
          <w:sz w:val="22"/>
        </w:rPr>
        <w:t>. Accessed 22 April 2026</w:t>
      </w:r>
    </w:p>
    <w:p w14:paraId="7CEB1641" w14:textId="77777777" w:rsidR="00D428DE" w:rsidRPr="00CE3FC0" w:rsidRDefault="00D428DE" w:rsidP="00844204">
      <w:pPr>
        <w:tabs>
          <w:tab w:val="left" w:pos="6540"/>
        </w:tabs>
        <w:spacing w:line="360" w:lineRule="auto"/>
        <w:rPr>
          <w:rFonts w:ascii="Arial" w:hAnsi="Arial" w:cs="Arial"/>
          <w:sz w:val="22"/>
        </w:rPr>
      </w:pPr>
      <w:r w:rsidRPr="00CE3FC0">
        <w:rPr>
          <w:rFonts w:ascii="Arial" w:hAnsi="Arial" w:cs="Arial"/>
          <w:sz w:val="22"/>
        </w:rPr>
        <w:t>Mukamel, D.B. et al. (2025) “Telehealth Use by Home Health Agencies Before, During, and After COVID</w:t>
      </w:r>
      <w:r w:rsidRPr="00CE3FC0">
        <w:rPr>
          <w:rFonts w:ascii="Cambria Math" w:hAnsi="Cambria Math" w:cs="Cambria Math"/>
          <w:sz w:val="22"/>
        </w:rPr>
        <w:t>‐</w:t>
      </w:r>
      <w:r w:rsidRPr="00CE3FC0">
        <w:rPr>
          <w:rFonts w:ascii="Arial" w:hAnsi="Arial" w:cs="Arial"/>
          <w:sz w:val="22"/>
        </w:rPr>
        <w:t xml:space="preserve">19,” Health services research, 60(5), pp. e14645-n/a. Available at: </w:t>
      </w:r>
      <w:hyperlink r:id="rId38" w:history="1">
        <w:r w:rsidRPr="00CE3FC0">
          <w:rPr>
            <w:rStyle w:val="Hyperlink"/>
            <w:rFonts w:ascii="Arial" w:hAnsi="Arial" w:cs="Arial"/>
            <w:sz w:val="22"/>
          </w:rPr>
          <w:t>https://doi.org/10.1111/1475-6773.14645</w:t>
        </w:r>
      </w:hyperlink>
      <w:r w:rsidRPr="00CE3FC0">
        <w:rPr>
          <w:rFonts w:ascii="Arial" w:hAnsi="Arial" w:cs="Arial"/>
          <w:sz w:val="22"/>
        </w:rPr>
        <w:t>. Accessed 21 April 2026</w:t>
      </w:r>
    </w:p>
    <w:p w14:paraId="61C1B2D3" w14:textId="77777777" w:rsidR="00D428DE" w:rsidRPr="00CE3FC0" w:rsidRDefault="00D428DE" w:rsidP="00AC5F3F">
      <w:pPr>
        <w:tabs>
          <w:tab w:val="left" w:pos="6540"/>
        </w:tabs>
        <w:spacing w:line="360" w:lineRule="auto"/>
        <w:rPr>
          <w:rFonts w:ascii="Arial" w:hAnsi="Arial" w:cs="Arial"/>
          <w:sz w:val="22"/>
        </w:rPr>
      </w:pPr>
      <w:r w:rsidRPr="00CE3FC0">
        <w:rPr>
          <w:rFonts w:ascii="Arial" w:hAnsi="Arial" w:cs="Arial"/>
          <w:sz w:val="22"/>
        </w:rPr>
        <w:t xml:space="preserve">Nelson, D. et al. (2023) “Mental health professionals and telehealth in a rural setting: a cross-sectional survey,” BMC health services research, 23(1). Available at: </w:t>
      </w:r>
      <w:hyperlink r:id="rId39" w:history="1">
        <w:r w:rsidRPr="00CE3FC0">
          <w:rPr>
            <w:rStyle w:val="Hyperlink"/>
            <w:rFonts w:ascii="Arial" w:hAnsi="Arial" w:cs="Arial"/>
            <w:sz w:val="22"/>
          </w:rPr>
          <w:t>https://doi.org/10.1186/s12913-023-09083-6</w:t>
        </w:r>
      </w:hyperlink>
      <w:r w:rsidRPr="00CE3FC0">
        <w:rPr>
          <w:rFonts w:ascii="Arial" w:hAnsi="Arial" w:cs="Arial"/>
          <w:sz w:val="22"/>
        </w:rPr>
        <w:t>. Accessed 18 April 2026</w:t>
      </w:r>
    </w:p>
    <w:p w14:paraId="5EF62231" w14:textId="77777777" w:rsidR="00D428DE" w:rsidRPr="00CE3FC0" w:rsidRDefault="00D428DE" w:rsidP="00EB02D0">
      <w:pPr>
        <w:tabs>
          <w:tab w:val="left" w:pos="6540"/>
        </w:tabs>
        <w:spacing w:line="360" w:lineRule="auto"/>
        <w:rPr>
          <w:rFonts w:ascii="Arial" w:hAnsi="Arial" w:cs="Arial"/>
          <w:sz w:val="22"/>
        </w:rPr>
      </w:pPr>
      <w:r w:rsidRPr="00CE3FC0">
        <w:rPr>
          <w:rFonts w:ascii="Arial" w:hAnsi="Arial" w:cs="Arial"/>
          <w:sz w:val="22"/>
        </w:rPr>
        <w:t xml:space="preserve">Nelson, D. et al. (2023) “Mental health professionals and telehealth in a rural setting: a cross-sectional survey,” BMC health services research, 23(1). Available at: </w:t>
      </w:r>
      <w:hyperlink r:id="rId40" w:history="1">
        <w:r w:rsidRPr="00CE3FC0">
          <w:rPr>
            <w:rStyle w:val="Hyperlink"/>
            <w:rFonts w:ascii="Arial" w:hAnsi="Arial" w:cs="Arial"/>
            <w:sz w:val="22"/>
          </w:rPr>
          <w:t>https://doi.org/10.1186/s12913-023-09083-6</w:t>
        </w:r>
      </w:hyperlink>
      <w:r w:rsidRPr="00CE3FC0">
        <w:rPr>
          <w:rFonts w:ascii="Arial" w:hAnsi="Arial" w:cs="Arial"/>
          <w:sz w:val="22"/>
        </w:rPr>
        <w:t xml:space="preserve">. Accessed 20 April 2026  </w:t>
      </w:r>
    </w:p>
    <w:p w14:paraId="238A8DF7" w14:textId="77777777" w:rsidR="00D428DE" w:rsidRPr="00CE3FC0" w:rsidRDefault="00D428DE" w:rsidP="003B0CB0">
      <w:pPr>
        <w:tabs>
          <w:tab w:val="left" w:pos="6540"/>
        </w:tabs>
        <w:spacing w:line="360" w:lineRule="auto"/>
        <w:rPr>
          <w:rFonts w:ascii="Arial" w:hAnsi="Arial" w:cs="Arial"/>
          <w:sz w:val="22"/>
        </w:rPr>
      </w:pPr>
      <w:r w:rsidRPr="00CE3FC0">
        <w:rPr>
          <w:rFonts w:ascii="Arial" w:hAnsi="Arial" w:cs="Arial"/>
          <w:sz w:val="22"/>
        </w:rPr>
        <w:lastRenderedPageBreak/>
        <w:t xml:space="preserve">Norman, K. et al. (2024) “Describing Perspectives of Telehealth and the Impact on Equity in Access to Health Care from Community and Provider Perspectives: A Multimethod Analysis,” Telemedicine journal and e-health, 30(1), pp. 242–259. Available at: </w:t>
      </w:r>
      <w:hyperlink r:id="rId41" w:history="1">
        <w:r w:rsidRPr="00CE3FC0">
          <w:rPr>
            <w:rStyle w:val="Hyperlink"/>
            <w:rFonts w:ascii="Arial" w:hAnsi="Arial" w:cs="Arial"/>
            <w:sz w:val="22"/>
          </w:rPr>
          <w:t>https://doi.org/10.1089/tmj.2023.0036</w:t>
        </w:r>
      </w:hyperlink>
      <w:r w:rsidRPr="00CE3FC0">
        <w:rPr>
          <w:rFonts w:ascii="Arial" w:hAnsi="Arial" w:cs="Arial"/>
          <w:sz w:val="22"/>
        </w:rPr>
        <w:t>. Accessed 21 April 2026</w:t>
      </w:r>
    </w:p>
    <w:p w14:paraId="1575003E" w14:textId="77777777" w:rsidR="00D428DE" w:rsidRPr="00CE3FC0" w:rsidRDefault="00D428DE" w:rsidP="0049127F">
      <w:pPr>
        <w:tabs>
          <w:tab w:val="left" w:pos="6540"/>
        </w:tabs>
        <w:spacing w:line="360" w:lineRule="auto"/>
        <w:rPr>
          <w:rFonts w:ascii="Arial" w:hAnsi="Arial" w:cs="Arial"/>
          <w:sz w:val="22"/>
        </w:rPr>
      </w:pPr>
      <w:r w:rsidRPr="00CE3FC0">
        <w:rPr>
          <w:rFonts w:ascii="Arial" w:hAnsi="Arial" w:cs="Arial"/>
          <w:sz w:val="22"/>
        </w:rPr>
        <w:t xml:space="preserve">Painter, A. et al. (2023) “Identifying benefits and concerns with using digital health services during COVID-19: Evidence from a hospital-based patient survey,” Health informatics journal, 29(4), p. 14604582231217339. Available at: </w:t>
      </w:r>
      <w:hyperlink r:id="rId42" w:history="1">
        <w:r w:rsidRPr="00CE3FC0">
          <w:rPr>
            <w:rStyle w:val="Hyperlink"/>
            <w:rFonts w:ascii="Arial" w:hAnsi="Arial" w:cs="Arial"/>
            <w:sz w:val="22"/>
          </w:rPr>
          <w:t>https://doi.org/10.1177/14604582231217339</w:t>
        </w:r>
      </w:hyperlink>
      <w:r w:rsidRPr="00CE3FC0">
        <w:rPr>
          <w:rFonts w:ascii="Arial" w:hAnsi="Arial" w:cs="Arial"/>
          <w:sz w:val="22"/>
        </w:rPr>
        <w:t>. Accessed 20 April 2026</w:t>
      </w:r>
    </w:p>
    <w:p w14:paraId="44971740" w14:textId="77777777" w:rsidR="00D428DE" w:rsidRPr="00CE3FC0" w:rsidRDefault="00D428DE" w:rsidP="0081049E">
      <w:pPr>
        <w:tabs>
          <w:tab w:val="left" w:pos="6540"/>
        </w:tabs>
        <w:spacing w:line="360" w:lineRule="auto"/>
        <w:rPr>
          <w:rFonts w:ascii="Arial" w:hAnsi="Arial" w:cs="Arial"/>
          <w:sz w:val="22"/>
        </w:rPr>
      </w:pPr>
      <w:r w:rsidRPr="00CE3FC0">
        <w:rPr>
          <w:rFonts w:ascii="Arial" w:hAnsi="Arial" w:cs="Arial"/>
          <w:sz w:val="22"/>
        </w:rPr>
        <w:t>Patel, N., Loveland, J. and Scribante, J. (2024) “Telephonic follow</w:t>
      </w:r>
      <w:r w:rsidRPr="00CE3FC0">
        <w:rPr>
          <w:rFonts w:ascii="Cambria Math" w:hAnsi="Cambria Math" w:cs="Cambria Math"/>
          <w:sz w:val="22"/>
        </w:rPr>
        <w:t>‐</w:t>
      </w:r>
      <w:r w:rsidRPr="00CE3FC0">
        <w:rPr>
          <w:rFonts w:ascii="Arial" w:hAnsi="Arial" w:cs="Arial"/>
          <w:sz w:val="22"/>
        </w:rPr>
        <w:t xml:space="preserve">up after day case paediatric surgery in an upper middle-income country: A pilot study,” World journal of surgery, 48(5), pp. 1266–1270. Available at: </w:t>
      </w:r>
      <w:hyperlink r:id="rId43" w:history="1">
        <w:r w:rsidRPr="00CE3FC0">
          <w:rPr>
            <w:rStyle w:val="Hyperlink"/>
            <w:rFonts w:ascii="Arial" w:hAnsi="Arial" w:cs="Arial"/>
            <w:sz w:val="22"/>
          </w:rPr>
          <w:t>https://doi.org/10.1002/wjs.12129</w:t>
        </w:r>
      </w:hyperlink>
      <w:r w:rsidRPr="00CE3FC0">
        <w:rPr>
          <w:rFonts w:ascii="Arial" w:hAnsi="Arial" w:cs="Arial"/>
          <w:sz w:val="22"/>
        </w:rPr>
        <w:t>. Accessed 21 April 2026</w:t>
      </w:r>
    </w:p>
    <w:p w14:paraId="7363CC16" w14:textId="77777777" w:rsidR="00D428DE" w:rsidRPr="00CE3FC0" w:rsidRDefault="00D428DE" w:rsidP="00D305E5">
      <w:pPr>
        <w:tabs>
          <w:tab w:val="left" w:pos="6540"/>
        </w:tabs>
        <w:spacing w:line="360" w:lineRule="auto"/>
        <w:rPr>
          <w:rFonts w:ascii="Arial" w:hAnsi="Arial" w:cs="Arial"/>
          <w:sz w:val="22"/>
        </w:rPr>
      </w:pPr>
      <w:r w:rsidRPr="00CE3FC0">
        <w:rPr>
          <w:rFonts w:ascii="Arial" w:hAnsi="Arial" w:cs="Arial"/>
          <w:sz w:val="22"/>
        </w:rPr>
        <w:t xml:space="preserve">Sayani, S. et al. (2019) “Addressing cost and time barriers in chronic disease management through telemedicine: exploratory research in select low- and middle-income countries,” Therapeutic advances in chronic disease, 10, p. 2040622319891587. Available at: </w:t>
      </w:r>
      <w:hyperlink r:id="rId44" w:history="1">
        <w:r w:rsidRPr="00CE3FC0">
          <w:rPr>
            <w:rStyle w:val="Hyperlink"/>
            <w:rFonts w:ascii="Arial" w:hAnsi="Arial" w:cs="Arial"/>
            <w:sz w:val="22"/>
          </w:rPr>
          <w:t>https://doi.org/10.1177/2040622319891587</w:t>
        </w:r>
      </w:hyperlink>
      <w:r w:rsidRPr="00CE3FC0">
        <w:rPr>
          <w:rFonts w:ascii="Arial" w:hAnsi="Arial" w:cs="Arial"/>
          <w:sz w:val="22"/>
        </w:rPr>
        <w:t>. Accessed 20 April 2026</w:t>
      </w:r>
    </w:p>
    <w:p w14:paraId="56996007" w14:textId="77777777" w:rsidR="00D428DE" w:rsidRPr="00CE3FC0" w:rsidRDefault="00D428DE" w:rsidP="0091260F">
      <w:pPr>
        <w:tabs>
          <w:tab w:val="left" w:pos="6540"/>
        </w:tabs>
        <w:spacing w:line="360" w:lineRule="auto"/>
        <w:rPr>
          <w:rFonts w:ascii="Arial" w:hAnsi="Arial" w:cs="Arial"/>
          <w:sz w:val="22"/>
        </w:rPr>
      </w:pPr>
      <w:r w:rsidRPr="00CE3FC0">
        <w:rPr>
          <w:rFonts w:ascii="Arial" w:hAnsi="Arial" w:cs="Arial"/>
          <w:sz w:val="22"/>
        </w:rPr>
        <w:t xml:space="preserve">Smith, L.C. et al. (2024) “Ever Use of Telehealth in Nebraska by March 2021: Cross-Sectional Analysis,” Journal of medical Internet research, 26(2), p. e53320. Available at: </w:t>
      </w:r>
      <w:hyperlink r:id="rId45" w:history="1">
        <w:r w:rsidRPr="00CE3FC0">
          <w:rPr>
            <w:rStyle w:val="Hyperlink"/>
            <w:rFonts w:ascii="Arial" w:hAnsi="Arial" w:cs="Arial"/>
            <w:sz w:val="22"/>
          </w:rPr>
          <w:t>https://doi.org/10.2196/53320</w:t>
        </w:r>
      </w:hyperlink>
      <w:r w:rsidRPr="00CE3FC0">
        <w:rPr>
          <w:rFonts w:ascii="Arial" w:hAnsi="Arial" w:cs="Arial"/>
          <w:sz w:val="22"/>
        </w:rPr>
        <w:t>. Accessed 21 April 2026</w:t>
      </w:r>
    </w:p>
    <w:p w14:paraId="5505C615" w14:textId="77777777" w:rsidR="00D428DE" w:rsidRPr="00CE3FC0" w:rsidRDefault="00D428DE" w:rsidP="002D54BA">
      <w:pPr>
        <w:tabs>
          <w:tab w:val="left" w:pos="6540"/>
        </w:tabs>
        <w:spacing w:line="360" w:lineRule="auto"/>
        <w:rPr>
          <w:rFonts w:ascii="Arial" w:hAnsi="Arial" w:cs="Arial"/>
          <w:sz w:val="22"/>
        </w:rPr>
      </w:pPr>
      <w:r w:rsidRPr="00CE3FC0">
        <w:rPr>
          <w:rFonts w:ascii="Arial" w:hAnsi="Arial" w:cs="Arial"/>
          <w:sz w:val="22"/>
        </w:rPr>
        <w:t xml:space="preserve">Snoswell, Stringer. et al. (2023) </w:t>
      </w:r>
      <w:r w:rsidRPr="00CE3FC0">
        <w:rPr>
          <w:rFonts w:ascii="Arial" w:hAnsi="Arial" w:cs="Arial"/>
          <w:i/>
          <w:iCs/>
          <w:sz w:val="22"/>
        </w:rPr>
        <w:t>An overview of the effect of telehealth on mortality: A systematic review of meta-analyses</w:t>
      </w:r>
      <w:r w:rsidRPr="00CE3FC0">
        <w:rPr>
          <w:rFonts w:ascii="Arial" w:hAnsi="Arial" w:cs="Arial"/>
          <w:sz w:val="22"/>
        </w:rPr>
        <w:t xml:space="preserve">. Available at: </w:t>
      </w:r>
      <w:hyperlink r:id="rId46" w:anchor="full-view-affiliation-1" w:history="1">
        <w:r w:rsidRPr="00CE3FC0">
          <w:rPr>
            <w:rStyle w:val="Hyperlink"/>
            <w:rFonts w:ascii="Arial" w:hAnsi="Arial" w:cs="Arial"/>
            <w:sz w:val="22"/>
          </w:rPr>
          <w:t>https://pubmed.ncbi.nlm.nih.gov/34184578/#full-view-affiliation-1</w:t>
        </w:r>
      </w:hyperlink>
      <w:r w:rsidRPr="00CE3FC0">
        <w:rPr>
          <w:rFonts w:ascii="Arial" w:hAnsi="Arial" w:cs="Arial"/>
          <w:sz w:val="22"/>
        </w:rPr>
        <w:t xml:space="preserve"> Accessed 9 April 2026</w:t>
      </w:r>
    </w:p>
    <w:p w14:paraId="598CEFCA" w14:textId="77777777" w:rsidR="00D428DE" w:rsidRPr="00CE3FC0" w:rsidRDefault="00D428DE" w:rsidP="002000A8">
      <w:pPr>
        <w:tabs>
          <w:tab w:val="left" w:pos="6540"/>
        </w:tabs>
        <w:spacing w:line="360" w:lineRule="auto"/>
        <w:rPr>
          <w:rFonts w:ascii="Arial" w:hAnsi="Arial" w:cs="Arial"/>
          <w:sz w:val="22"/>
        </w:rPr>
      </w:pPr>
      <w:r w:rsidRPr="00CE3FC0">
        <w:rPr>
          <w:rFonts w:ascii="Arial" w:hAnsi="Arial" w:cs="Arial"/>
          <w:sz w:val="22"/>
        </w:rPr>
        <w:t xml:space="preserve">Wang, S. et al. (2025) “Addressing health service equity through telehealth: A systematic review of reviews,” Digital health, 11, p. 20552076251326233. Available at: </w:t>
      </w:r>
      <w:hyperlink r:id="rId47" w:history="1">
        <w:r w:rsidRPr="00CE3FC0">
          <w:rPr>
            <w:rStyle w:val="Hyperlink"/>
            <w:rFonts w:ascii="Arial" w:hAnsi="Arial" w:cs="Arial"/>
            <w:sz w:val="22"/>
          </w:rPr>
          <w:t>https://doi.org/10.1177/20552076251326233</w:t>
        </w:r>
      </w:hyperlink>
      <w:r w:rsidRPr="00CE3FC0">
        <w:rPr>
          <w:rFonts w:ascii="Arial" w:hAnsi="Arial" w:cs="Arial"/>
          <w:sz w:val="22"/>
        </w:rPr>
        <w:t>.  Accessed 5 March 2026</w:t>
      </w:r>
    </w:p>
    <w:p w14:paraId="0ED80243" w14:textId="77777777" w:rsidR="00D428DE" w:rsidRPr="00CE3FC0" w:rsidRDefault="00D428DE" w:rsidP="00F01211">
      <w:pPr>
        <w:tabs>
          <w:tab w:val="left" w:pos="6540"/>
        </w:tabs>
        <w:spacing w:line="360" w:lineRule="auto"/>
        <w:rPr>
          <w:rFonts w:ascii="Arial" w:hAnsi="Arial" w:cs="Arial"/>
          <w:sz w:val="22"/>
        </w:rPr>
      </w:pPr>
      <w:r w:rsidRPr="00CE3FC0">
        <w:rPr>
          <w:rFonts w:ascii="Arial" w:hAnsi="Arial" w:cs="Arial"/>
          <w:sz w:val="22"/>
        </w:rPr>
        <w:t xml:space="preserve">Wang, S. et al. (2025) “Addressing health service equity through telehealth: A systematic review of reviews,” Digital health, 11, p. 20552076251326233. Available at: </w:t>
      </w:r>
      <w:hyperlink r:id="rId48" w:history="1">
        <w:r w:rsidRPr="00CE3FC0">
          <w:rPr>
            <w:rStyle w:val="Hyperlink"/>
            <w:rFonts w:ascii="Arial" w:hAnsi="Arial" w:cs="Arial"/>
            <w:sz w:val="22"/>
          </w:rPr>
          <w:t>https://doi.org/10.1177/20552076251326233</w:t>
        </w:r>
      </w:hyperlink>
      <w:r w:rsidRPr="00CE3FC0">
        <w:rPr>
          <w:rFonts w:ascii="Arial" w:hAnsi="Arial" w:cs="Arial"/>
          <w:sz w:val="22"/>
        </w:rPr>
        <w:t>. Accessed 22 April 2026</w:t>
      </w:r>
    </w:p>
    <w:sectPr w:rsidR="00D428DE" w:rsidRPr="00CE3FC0" w:rsidSect="00E620E7">
      <w:footerReference w:type="defaul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C827D" w14:textId="77777777" w:rsidR="00B7620F" w:rsidRDefault="00B7620F" w:rsidP="003E4ECF">
      <w:pPr>
        <w:spacing w:after="0" w:line="240" w:lineRule="auto"/>
      </w:pPr>
      <w:r>
        <w:separator/>
      </w:r>
    </w:p>
  </w:endnote>
  <w:endnote w:type="continuationSeparator" w:id="0">
    <w:p w14:paraId="11955152" w14:textId="77777777" w:rsidR="00B7620F" w:rsidRDefault="00B7620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A0E81" w14:textId="77777777" w:rsidR="00B7620F" w:rsidRDefault="00B7620F" w:rsidP="003E4ECF">
      <w:pPr>
        <w:spacing w:after="0" w:line="240" w:lineRule="auto"/>
      </w:pPr>
      <w:r>
        <w:separator/>
      </w:r>
    </w:p>
  </w:footnote>
  <w:footnote w:type="continuationSeparator" w:id="0">
    <w:p w14:paraId="4C2BC9AB" w14:textId="77777777" w:rsidR="00B7620F" w:rsidRDefault="00B7620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D2D7B"/>
    <w:multiLevelType w:val="hybridMultilevel"/>
    <w:tmpl w:val="27A2F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00447"/>
    <w:multiLevelType w:val="hybridMultilevel"/>
    <w:tmpl w:val="73B8C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E32D73"/>
    <w:multiLevelType w:val="hybridMultilevel"/>
    <w:tmpl w:val="99F6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50A92"/>
    <w:multiLevelType w:val="hybridMultilevel"/>
    <w:tmpl w:val="B942B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BC0077"/>
    <w:multiLevelType w:val="hybridMultilevel"/>
    <w:tmpl w:val="856029EE"/>
    <w:lvl w:ilvl="0" w:tplc="36B89CB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AD0829"/>
    <w:multiLevelType w:val="hybridMultilevel"/>
    <w:tmpl w:val="7A988812"/>
    <w:lvl w:ilvl="0" w:tplc="CC3E256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AE57EB"/>
    <w:multiLevelType w:val="hybridMultilevel"/>
    <w:tmpl w:val="E7A8B35A"/>
    <w:lvl w:ilvl="0" w:tplc="AF18D32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05554926">
    <w:abstractNumId w:val="1"/>
  </w:num>
  <w:num w:numId="2" w16cid:durableId="1005864065">
    <w:abstractNumId w:val="3"/>
  </w:num>
  <w:num w:numId="3" w16cid:durableId="2019308623">
    <w:abstractNumId w:val="0"/>
  </w:num>
  <w:num w:numId="4" w16cid:durableId="1120415090">
    <w:abstractNumId w:val="2"/>
  </w:num>
  <w:num w:numId="5" w16cid:durableId="1435202253">
    <w:abstractNumId w:val="5"/>
  </w:num>
  <w:num w:numId="6" w16cid:durableId="899753589">
    <w:abstractNumId w:val="4"/>
  </w:num>
  <w:num w:numId="7" w16cid:durableId="7209844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D69"/>
    <w:rsid w:val="000010E1"/>
    <w:rsid w:val="00001F26"/>
    <w:rsid w:val="00011945"/>
    <w:rsid w:val="00012ABF"/>
    <w:rsid w:val="00014509"/>
    <w:rsid w:val="000159D2"/>
    <w:rsid w:val="00015AAE"/>
    <w:rsid w:val="00016274"/>
    <w:rsid w:val="00030166"/>
    <w:rsid w:val="0004214B"/>
    <w:rsid w:val="00042628"/>
    <w:rsid w:val="00046135"/>
    <w:rsid w:val="0005224C"/>
    <w:rsid w:val="00055225"/>
    <w:rsid w:val="00056820"/>
    <w:rsid w:val="000572BF"/>
    <w:rsid w:val="00062188"/>
    <w:rsid w:val="00063CD3"/>
    <w:rsid w:val="00065D83"/>
    <w:rsid w:val="0007006B"/>
    <w:rsid w:val="0007352B"/>
    <w:rsid w:val="00074402"/>
    <w:rsid w:val="00074782"/>
    <w:rsid w:val="0007520F"/>
    <w:rsid w:val="000778CA"/>
    <w:rsid w:val="00080F26"/>
    <w:rsid w:val="0008333F"/>
    <w:rsid w:val="0008406A"/>
    <w:rsid w:val="00085D42"/>
    <w:rsid w:val="00094E20"/>
    <w:rsid w:val="00095506"/>
    <w:rsid w:val="00095FBA"/>
    <w:rsid w:val="00097317"/>
    <w:rsid w:val="000C00CA"/>
    <w:rsid w:val="000C02AC"/>
    <w:rsid w:val="000C5E0A"/>
    <w:rsid w:val="000C6015"/>
    <w:rsid w:val="000C7E50"/>
    <w:rsid w:val="000D27B8"/>
    <w:rsid w:val="000D6936"/>
    <w:rsid w:val="000E35D4"/>
    <w:rsid w:val="000E39CF"/>
    <w:rsid w:val="000E5D1C"/>
    <w:rsid w:val="000E677A"/>
    <w:rsid w:val="000E7B84"/>
    <w:rsid w:val="000F0B2C"/>
    <w:rsid w:val="000F26CA"/>
    <w:rsid w:val="000F5989"/>
    <w:rsid w:val="001012F9"/>
    <w:rsid w:val="0010498B"/>
    <w:rsid w:val="00104C6E"/>
    <w:rsid w:val="00105739"/>
    <w:rsid w:val="001059C2"/>
    <w:rsid w:val="00105A92"/>
    <w:rsid w:val="001139A8"/>
    <w:rsid w:val="001221CD"/>
    <w:rsid w:val="001251FA"/>
    <w:rsid w:val="0013423B"/>
    <w:rsid w:val="001367FC"/>
    <w:rsid w:val="00136AF4"/>
    <w:rsid w:val="00142675"/>
    <w:rsid w:val="0014271F"/>
    <w:rsid w:val="00147570"/>
    <w:rsid w:val="0015095B"/>
    <w:rsid w:val="00150E5B"/>
    <w:rsid w:val="001537D9"/>
    <w:rsid w:val="00155C72"/>
    <w:rsid w:val="00157A87"/>
    <w:rsid w:val="001602F4"/>
    <w:rsid w:val="00160892"/>
    <w:rsid w:val="00161FED"/>
    <w:rsid w:val="00170376"/>
    <w:rsid w:val="00185986"/>
    <w:rsid w:val="00191CF7"/>
    <w:rsid w:val="001A00F5"/>
    <w:rsid w:val="001A0249"/>
    <w:rsid w:val="001A2223"/>
    <w:rsid w:val="001B0247"/>
    <w:rsid w:val="001B117B"/>
    <w:rsid w:val="001B63A8"/>
    <w:rsid w:val="001C2B0C"/>
    <w:rsid w:val="001C6BD7"/>
    <w:rsid w:val="001D35CE"/>
    <w:rsid w:val="001D3633"/>
    <w:rsid w:val="001D51E2"/>
    <w:rsid w:val="001D7C03"/>
    <w:rsid w:val="001E768A"/>
    <w:rsid w:val="001F325B"/>
    <w:rsid w:val="001F541D"/>
    <w:rsid w:val="001F7D97"/>
    <w:rsid w:val="002000A8"/>
    <w:rsid w:val="00205F1A"/>
    <w:rsid w:val="00207B18"/>
    <w:rsid w:val="002106D5"/>
    <w:rsid w:val="00211F77"/>
    <w:rsid w:val="002132F1"/>
    <w:rsid w:val="002162B6"/>
    <w:rsid w:val="00216C85"/>
    <w:rsid w:val="00222829"/>
    <w:rsid w:val="002259F1"/>
    <w:rsid w:val="00231B2D"/>
    <w:rsid w:val="00234021"/>
    <w:rsid w:val="00236E58"/>
    <w:rsid w:val="00242C93"/>
    <w:rsid w:val="00244A1A"/>
    <w:rsid w:val="00246305"/>
    <w:rsid w:val="0025145D"/>
    <w:rsid w:val="002548D2"/>
    <w:rsid w:val="002564E0"/>
    <w:rsid w:val="00257BF7"/>
    <w:rsid w:val="00260057"/>
    <w:rsid w:val="002607B8"/>
    <w:rsid w:val="00261325"/>
    <w:rsid w:val="00261C7D"/>
    <w:rsid w:val="002629EF"/>
    <w:rsid w:val="0026393A"/>
    <w:rsid w:val="00264189"/>
    <w:rsid w:val="0026449D"/>
    <w:rsid w:val="00266B62"/>
    <w:rsid w:val="00270836"/>
    <w:rsid w:val="0027206D"/>
    <w:rsid w:val="002737EB"/>
    <w:rsid w:val="00273EDD"/>
    <w:rsid w:val="00274BAC"/>
    <w:rsid w:val="002806A9"/>
    <w:rsid w:val="00280870"/>
    <w:rsid w:val="00282FE4"/>
    <w:rsid w:val="00283EBF"/>
    <w:rsid w:val="002840EE"/>
    <w:rsid w:val="0029267B"/>
    <w:rsid w:val="00297B83"/>
    <w:rsid w:val="002A022F"/>
    <w:rsid w:val="002A35CA"/>
    <w:rsid w:val="002A40FC"/>
    <w:rsid w:val="002A4979"/>
    <w:rsid w:val="002A58D0"/>
    <w:rsid w:val="002A785D"/>
    <w:rsid w:val="002A7B49"/>
    <w:rsid w:val="002B01BF"/>
    <w:rsid w:val="002B0ACA"/>
    <w:rsid w:val="002B0C3E"/>
    <w:rsid w:val="002B23EF"/>
    <w:rsid w:val="002B2580"/>
    <w:rsid w:val="002B711E"/>
    <w:rsid w:val="002C0326"/>
    <w:rsid w:val="002C3965"/>
    <w:rsid w:val="002D2667"/>
    <w:rsid w:val="002D54BA"/>
    <w:rsid w:val="002D5E99"/>
    <w:rsid w:val="002D7E75"/>
    <w:rsid w:val="002F20DF"/>
    <w:rsid w:val="00305A82"/>
    <w:rsid w:val="00305C3B"/>
    <w:rsid w:val="0030749D"/>
    <w:rsid w:val="00315700"/>
    <w:rsid w:val="003163DC"/>
    <w:rsid w:val="003163EF"/>
    <w:rsid w:val="00321C4C"/>
    <w:rsid w:val="00327376"/>
    <w:rsid w:val="003314F2"/>
    <w:rsid w:val="003315FD"/>
    <w:rsid w:val="00335984"/>
    <w:rsid w:val="00337ED2"/>
    <w:rsid w:val="00337FF8"/>
    <w:rsid w:val="00341134"/>
    <w:rsid w:val="00347A08"/>
    <w:rsid w:val="0035194A"/>
    <w:rsid w:val="0036026C"/>
    <w:rsid w:val="00362C1C"/>
    <w:rsid w:val="00364033"/>
    <w:rsid w:val="00377CA0"/>
    <w:rsid w:val="00380116"/>
    <w:rsid w:val="0038011D"/>
    <w:rsid w:val="00382055"/>
    <w:rsid w:val="00387958"/>
    <w:rsid w:val="00390B73"/>
    <w:rsid w:val="00392BBC"/>
    <w:rsid w:val="00392E1A"/>
    <w:rsid w:val="0039503A"/>
    <w:rsid w:val="003A3564"/>
    <w:rsid w:val="003A539E"/>
    <w:rsid w:val="003A54FC"/>
    <w:rsid w:val="003B0CB0"/>
    <w:rsid w:val="003B1904"/>
    <w:rsid w:val="003B3D04"/>
    <w:rsid w:val="003B6508"/>
    <w:rsid w:val="003C1164"/>
    <w:rsid w:val="003C32B1"/>
    <w:rsid w:val="003D4B6F"/>
    <w:rsid w:val="003E1143"/>
    <w:rsid w:val="003E1C44"/>
    <w:rsid w:val="003E23CF"/>
    <w:rsid w:val="003E2C9E"/>
    <w:rsid w:val="003E454F"/>
    <w:rsid w:val="003E4ECF"/>
    <w:rsid w:val="003F4B4E"/>
    <w:rsid w:val="003F735D"/>
    <w:rsid w:val="00401FAC"/>
    <w:rsid w:val="00402E78"/>
    <w:rsid w:val="00403661"/>
    <w:rsid w:val="00407CF8"/>
    <w:rsid w:val="00411064"/>
    <w:rsid w:val="00412016"/>
    <w:rsid w:val="00413018"/>
    <w:rsid w:val="004137A0"/>
    <w:rsid w:val="00420CB2"/>
    <w:rsid w:val="00423F6F"/>
    <w:rsid w:val="00433A13"/>
    <w:rsid w:val="00433E58"/>
    <w:rsid w:val="00437F7D"/>
    <w:rsid w:val="00443CB4"/>
    <w:rsid w:val="0044670B"/>
    <w:rsid w:val="004471A2"/>
    <w:rsid w:val="00450B44"/>
    <w:rsid w:val="004517CF"/>
    <w:rsid w:val="004519A9"/>
    <w:rsid w:val="00452D0E"/>
    <w:rsid w:val="00454465"/>
    <w:rsid w:val="00455B1C"/>
    <w:rsid w:val="004561FE"/>
    <w:rsid w:val="004604BD"/>
    <w:rsid w:val="004606A7"/>
    <w:rsid w:val="00471DB9"/>
    <w:rsid w:val="00473414"/>
    <w:rsid w:val="00474F85"/>
    <w:rsid w:val="0047743F"/>
    <w:rsid w:val="00486077"/>
    <w:rsid w:val="00490459"/>
    <w:rsid w:val="0049127F"/>
    <w:rsid w:val="00496BC4"/>
    <w:rsid w:val="004A3438"/>
    <w:rsid w:val="004A435D"/>
    <w:rsid w:val="004A736E"/>
    <w:rsid w:val="004A7673"/>
    <w:rsid w:val="004B5051"/>
    <w:rsid w:val="004C1524"/>
    <w:rsid w:val="004C6FF4"/>
    <w:rsid w:val="004D5449"/>
    <w:rsid w:val="004D5D15"/>
    <w:rsid w:val="004E038A"/>
    <w:rsid w:val="004E0A31"/>
    <w:rsid w:val="004E5826"/>
    <w:rsid w:val="004E6230"/>
    <w:rsid w:val="004F003D"/>
    <w:rsid w:val="004F23A3"/>
    <w:rsid w:val="004F28E8"/>
    <w:rsid w:val="004F34E1"/>
    <w:rsid w:val="004F50EA"/>
    <w:rsid w:val="004F74FB"/>
    <w:rsid w:val="00500FDA"/>
    <w:rsid w:val="005107EA"/>
    <w:rsid w:val="005120E5"/>
    <w:rsid w:val="0052219A"/>
    <w:rsid w:val="005256E2"/>
    <w:rsid w:val="00532D64"/>
    <w:rsid w:val="00537B36"/>
    <w:rsid w:val="0054043D"/>
    <w:rsid w:val="005412E8"/>
    <w:rsid w:val="00545E16"/>
    <w:rsid w:val="0055463D"/>
    <w:rsid w:val="005578FA"/>
    <w:rsid w:val="00565723"/>
    <w:rsid w:val="00570B12"/>
    <w:rsid w:val="00574B2C"/>
    <w:rsid w:val="00577B9D"/>
    <w:rsid w:val="00577EF0"/>
    <w:rsid w:val="00580CC0"/>
    <w:rsid w:val="00581C74"/>
    <w:rsid w:val="00581FE6"/>
    <w:rsid w:val="0058214D"/>
    <w:rsid w:val="0058559C"/>
    <w:rsid w:val="00586D2A"/>
    <w:rsid w:val="00587EA0"/>
    <w:rsid w:val="0059295A"/>
    <w:rsid w:val="00593251"/>
    <w:rsid w:val="005933C5"/>
    <w:rsid w:val="00596EB0"/>
    <w:rsid w:val="005B087E"/>
    <w:rsid w:val="005B1C37"/>
    <w:rsid w:val="005B24FB"/>
    <w:rsid w:val="005B43D6"/>
    <w:rsid w:val="005B62D5"/>
    <w:rsid w:val="005C0FC2"/>
    <w:rsid w:val="005C1431"/>
    <w:rsid w:val="005C32A7"/>
    <w:rsid w:val="005C4E7E"/>
    <w:rsid w:val="005C5A3D"/>
    <w:rsid w:val="005D2A8B"/>
    <w:rsid w:val="005D5E57"/>
    <w:rsid w:val="005D6D28"/>
    <w:rsid w:val="005E097C"/>
    <w:rsid w:val="005E343A"/>
    <w:rsid w:val="005E3D95"/>
    <w:rsid w:val="005E463D"/>
    <w:rsid w:val="005F0A2A"/>
    <w:rsid w:val="006009D4"/>
    <w:rsid w:val="006038A5"/>
    <w:rsid w:val="006051DA"/>
    <w:rsid w:val="00607429"/>
    <w:rsid w:val="00611707"/>
    <w:rsid w:val="00615FF6"/>
    <w:rsid w:val="00616204"/>
    <w:rsid w:val="006169FE"/>
    <w:rsid w:val="00622128"/>
    <w:rsid w:val="00640D2B"/>
    <w:rsid w:val="00644790"/>
    <w:rsid w:val="0064677B"/>
    <w:rsid w:val="0065067C"/>
    <w:rsid w:val="00651536"/>
    <w:rsid w:val="006534F7"/>
    <w:rsid w:val="00654F7B"/>
    <w:rsid w:val="0065502C"/>
    <w:rsid w:val="0066421C"/>
    <w:rsid w:val="0066598B"/>
    <w:rsid w:val="0066705F"/>
    <w:rsid w:val="00673CE9"/>
    <w:rsid w:val="00674A5A"/>
    <w:rsid w:val="006755F0"/>
    <w:rsid w:val="0067676A"/>
    <w:rsid w:val="006804F8"/>
    <w:rsid w:val="006831FA"/>
    <w:rsid w:val="00683529"/>
    <w:rsid w:val="00690885"/>
    <w:rsid w:val="006925AA"/>
    <w:rsid w:val="006B0E4D"/>
    <w:rsid w:val="006C1EF6"/>
    <w:rsid w:val="006C4B5B"/>
    <w:rsid w:val="006D49C5"/>
    <w:rsid w:val="006E1825"/>
    <w:rsid w:val="006E4C63"/>
    <w:rsid w:val="006F15C9"/>
    <w:rsid w:val="006F1959"/>
    <w:rsid w:val="006F20E9"/>
    <w:rsid w:val="006F480F"/>
    <w:rsid w:val="006F56B6"/>
    <w:rsid w:val="006F7104"/>
    <w:rsid w:val="00700A4E"/>
    <w:rsid w:val="007032E5"/>
    <w:rsid w:val="0071334D"/>
    <w:rsid w:val="00713924"/>
    <w:rsid w:val="007239EE"/>
    <w:rsid w:val="007239FB"/>
    <w:rsid w:val="00725177"/>
    <w:rsid w:val="00725B09"/>
    <w:rsid w:val="00730ED3"/>
    <w:rsid w:val="00732537"/>
    <w:rsid w:val="00733D56"/>
    <w:rsid w:val="00734510"/>
    <w:rsid w:val="00734638"/>
    <w:rsid w:val="00736CF9"/>
    <w:rsid w:val="00741EEA"/>
    <w:rsid w:val="00744810"/>
    <w:rsid w:val="007551AF"/>
    <w:rsid w:val="00762CC3"/>
    <w:rsid w:val="00765584"/>
    <w:rsid w:val="007709FC"/>
    <w:rsid w:val="00772C4F"/>
    <w:rsid w:val="00773513"/>
    <w:rsid w:val="0077446A"/>
    <w:rsid w:val="007745F8"/>
    <w:rsid w:val="00777219"/>
    <w:rsid w:val="00780028"/>
    <w:rsid w:val="00781BBC"/>
    <w:rsid w:val="007830BF"/>
    <w:rsid w:val="007846ED"/>
    <w:rsid w:val="007872AF"/>
    <w:rsid w:val="00787611"/>
    <w:rsid w:val="00790533"/>
    <w:rsid w:val="0079116C"/>
    <w:rsid w:val="007953D7"/>
    <w:rsid w:val="007972C1"/>
    <w:rsid w:val="007A35D5"/>
    <w:rsid w:val="007A6105"/>
    <w:rsid w:val="007B5520"/>
    <w:rsid w:val="007B7962"/>
    <w:rsid w:val="007C00E4"/>
    <w:rsid w:val="007C261A"/>
    <w:rsid w:val="007C3BCC"/>
    <w:rsid w:val="007C652D"/>
    <w:rsid w:val="007D3B82"/>
    <w:rsid w:val="007E0468"/>
    <w:rsid w:val="007E082E"/>
    <w:rsid w:val="007E159D"/>
    <w:rsid w:val="007E195D"/>
    <w:rsid w:val="007E2F94"/>
    <w:rsid w:val="007E41AF"/>
    <w:rsid w:val="007E6DE0"/>
    <w:rsid w:val="007F0A1D"/>
    <w:rsid w:val="007F1C83"/>
    <w:rsid w:val="007F2E69"/>
    <w:rsid w:val="007F44F6"/>
    <w:rsid w:val="00806C14"/>
    <w:rsid w:val="0081049E"/>
    <w:rsid w:val="008112FC"/>
    <w:rsid w:val="00811F68"/>
    <w:rsid w:val="0081297D"/>
    <w:rsid w:val="00814A9E"/>
    <w:rsid w:val="00817442"/>
    <w:rsid w:val="008326ED"/>
    <w:rsid w:val="008340FA"/>
    <w:rsid w:val="008426E3"/>
    <w:rsid w:val="00842DF4"/>
    <w:rsid w:val="00843DB7"/>
    <w:rsid w:val="00844204"/>
    <w:rsid w:val="00844396"/>
    <w:rsid w:val="008462A6"/>
    <w:rsid w:val="008526D1"/>
    <w:rsid w:val="00853668"/>
    <w:rsid w:val="00853735"/>
    <w:rsid w:val="00853DF0"/>
    <w:rsid w:val="008565F5"/>
    <w:rsid w:val="00856C37"/>
    <w:rsid w:val="00857B28"/>
    <w:rsid w:val="00862BBC"/>
    <w:rsid w:val="00862DEB"/>
    <w:rsid w:val="008642FC"/>
    <w:rsid w:val="00864A7D"/>
    <w:rsid w:val="008651CA"/>
    <w:rsid w:val="00870F60"/>
    <w:rsid w:val="00871345"/>
    <w:rsid w:val="00873756"/>
    <w:rsid w:val="00875288"/>
    <w:rsid w:val="00875319"/>
    <w:rsid w:val="00877E0F"/>
    <w:rsid w:val="00880949"/>
    <w:rsid w:val="008852A2"/>
    <w:rsid w:val="00885C03"/>
    <w:rsid w:val="008923C7"/>
    <w:rsid w:val="00892C67"/>
    <w:rsid w:val="0089686B"/>
    <w:rsid w:val="008A2A5B"/>
    <w:rsid w:val="008A3F92"/>
    <w:rsid w:val="008A54A1"/>
    <w:rsid w:val="008B3F44"/>
    <w:rsid w:val="008B7586"/>
    <w:rsid w:val="008C389A"/>
    <w:rsid w:val="008D4DF0"/>
    <w:rsid w:val="008D7389"/>
    <w:rsid w:val="008E47D2"/>
    <w:rsid w:val="008E6C9B"/>
    <w:rsid w:val="008F180D"/>
    <w:rsid w:val="008F6407"/>
    <w:rsid w:val="0090040D"/>
    <w:rsid w:val="009020F5"/>
    <w:rsid w:val="00903EF7"/>
    <w:rsid w:val="00905FC4"/>
    <w:rsid w:val="0091260F"/>
    <w:rsid w:val="00913B85"/>
    <w:rsid w:val="00916CF1"/>
    <w:rsid w:val="00921BE9"/>
    <w:rsid w:val="00941D4D"/>
    <w:rsid w:val="00945575"/>
    <w:rsid w:val="009500A4"/>
    <w:rsid w:val="00963A03"/>
    <w:rsid w:val="00965211"/>
    <w:rsid w:val="00966E56"/>
    <w:rsid w:val="009670E7"/>
    <w:rsid w:val="0097009F"/>
    <w:rsid w:val="00971BC9"/>
    <w:rsid w:val="00980D78"/>
    <w:rsid w:val="00985324"/>
    <w:rsid w:val="00990D56"/>
    <w:rsid w:val="00991304"/>
    <w:rsid w:val="00993460"/>
    <w:rsid w:val="009960E2"/>
    <w:rsid w:val="009969FF"/>
    <w:rsid w:val="00997DE9"/>
    <w:rsid w:val="00997F6F"/>
    <w:rsid w:val="009A00C9"/>
    <w:rsid w:val="009A17EF"/>
    <w:rsid w:val="009A50A3"/>
    <w:rsid w:val="009A7D98"/>
    <w:rsid w:val="009C1815"/>
    <w:rsid w:val="009C1DCA"/>
    <w:rsid w:val="009C2153"/>
    <w:rsid w:val="009C47EE"/>
    <w:rsid w:val="009C54E9"/>
    <w:rsid w:val="009C5D3B"/>
    <w:rsid w:val="009C6531"/>
    <w:rsid w:val="009D052C"/>
    <w:rsid w:val="009D13E4"/>
    <w:rsid w:val="009D1D1E"/>
    <w:rsid w:val="009D5E7B"/>
    <w:rsid w:val="009D7230"/>
    <w:rsid w:val="009E2037"/>
    <w:rsid w:val="009E7B79"/>
    <w:rsid w:val="009F20B1"/>
    <w:rsid w:val="009F3AAA"/>
    <w:rsid w:val="009F5A32"/>
    <w:rsid w:val="00A00134"/>
    <w:rsid w:val="00A035FD"/>
    <w:rsid w:val="00A04709"/>
    <w:rsid w:val="00A07B72"/>
    <w:rsid w:val="00A12BE7"/>
    <w:rsid w:val="00A16F42"/>
    <w:rsid w:val="00A17769"/>
    <w:rsid w:val="00A204EE"/>
    <w:rsid w:val="00A20DB3"/>
    <w:rsid w:val="00A20F40"/>
    <w:rsid w:val="00A24E43"/>
    <w:rsid w:val="00A26E2B"/>
    <w:rsid w:val="00A329BF"/>
    <w:rsid w:val="00A359A9"/>
    <w:rsid w:val="00A35AC7"/>
    <w:rsid w:val="00A35AFC"/>
    <w:rsid w:val="00A3633B"/>
    <w:rsid w:val="00A37DE8"/>
    <w:rsid w:val="00A40FD8"/>
    <w:rsid w:val="00A419D7"/>
    <w:rsid w:val="00A42894"/>
    <w:rsid w:val="00A428A7"/>
    <w:rsid w:val="00A42F81"/>
    <w:rsid w:val="00A461EA"/>
    <w:rsid w:val="00A468DE"/>
    <w:rsid w:val="00A5114D"/>
    <w:rsid w:val="00A53788"/>
    <w:rsid w:val="00A5696C"/>
    <w:rsid w:val="00A65BCC"/>
    <w:rsid w:val="00A701E8"/>
    <w:rsid w:val="00A70BF7"/>
    <w:rsid w:val="00A70ED5"/>
    <w:rsid w:val="00A71212"/>
    <w:rsid w:val="00A77209"/>
    <w:rsid w:val="00A77D67"/>
    <w:rsid w:val="00A8381C"/>
    <w:rsid w:val="00A83D5B"/>
    <w:rsid w:val="00A8421F"/>
    <w:rsid w:val="00A93265"/>
    <w:rsid w:val="00A93EA1"/>
    <w:rsid w:val="00AB058D"/>
    <w:rsid w:val="00AB0878"/>
    <w:rsid w:val="00AB3110"/>
    <w:rsid w:val="00AB3D4A"/>
    <w:rsid w:val="00AB425B"/>
    <w:rsid w:val="00AB68A6"/>
    <w:rsid w:val="00AB7D89"/>
    <w:rsid w:val="00AC1C86"/>
    <w:rsid w:val="00AC5F3F"/>
    <w:rsid w:val="00AD3290"/>
    <w:rsid w:val="00AD407E"/>
    <w:rsid w:val="00AD4DDA"/>
    <w:rsid w:val="00AD79BA"/>
    <w:rsid w:val="00AE12ED"/>
    <w:rsid w:val="00AE4D72"/>
    <w:rsid w:val="00AE5D94"/>
    <w:rsid w:val="00AE72AD"/>
    <w:rsid w:val="00AF48FD"/>
    <w:rsid w:val="00B06E3B"/>
    <w:rsid w:val="00B134ED"/>
    <w:rsid w:val="00B13585"/>
    <w:rsid w:val="00B22829"/>
    <w:rsid w:val="00B235EF"/>
    <w:rsid w:val="00B23DE7"/>
    <w:rsid w:val="00B25AC7"/>
    <w:rsid w:val="00B35774"/>
    <w:rsid w:val="00B41A8C"/>
    <w:rsid w:val="00B445C4"/>
    <w:rsid w:val="00B45FFF"/>
    <w:rsid w:val="00B501D5"/>
    <w:rsid w:val="00B5113D"/>
    <w:rsid w:val="00B531F4"/>
    <w:rsid w:val="00B56336"/>
    <w:rsid w:val="00B57C57"/>
    <w:rsid w:val="00B67EB6"/>
    <w:rsid w:val="00B7620F"/>
    <w:rsid w:val="00B8108A"/>
    <w:rsid w:val="00B87D08"/>
    <w:rsid w:val="00B87E75"/>
    <w:rsid w:val="00B92CB2"/>
    <w:rsid w:val="00B94957"/>
    <w:rsid w:val="00B96219"/>
    <w:rsid w:val="00BA115F"/>
    <w:rsid w:val="00BA25D5"/>
    <w:rsid w:val="00BA3137"/>
    <w:rsid w:val="00BA35DE"/>
    <w:rsid w:val="00BA7E86"/>
    <w:rsid w:val="00BB00F5"/>
    <w:rsid w:val="00BB06FE"/>
    <w:rsid w:val="00BB240C"/>
    <w:rsid w:val="00BB37D3"/>
    <w:rsid w:val="00BB43D4"/>
    <w:rsid w:val="00BB69A6"/>
    <w:rsid w:val="00BC0536"/>
    <w:rsid w:val="00BC4106"/>
    <w:rsid w:val="00BC48F9"/>
    <w:rsid w:val="00BD0834"/>
    <w:rsid w:val="00BD0C53"/>
    <w:rsid w:val="00BD1BFA"/>
    <w:rsid w:val="00BD2F34"/>
    <w:rsid w:val="00BD4E95"/>
    <w:rsid w:val="00BD70A3"/>
    <w:rsid w:val="00BE0484"/>
    <w:rsid w:val="00BE2D9A"/>
    <w:rsid w:val="00BE50B3"/>
    <w:rsid w:val="00BF215C"/>
    <w:rsid w:val="00BF26C2"/>
    <w:rsid w:val="00C06FB8"/>
    <w:rsid w:val="00C11CC7"/>
    <w:rsid w:val="00C12D79"/>
    <w:rsid w:val="00C16842"/>
    <w:rsid w:val="00C21BD1"/>
    <w:rsid w:val="00C23BC8"/>
    <w:rsid w:val="00C2592E"/>
    <w:rsid w:val="00C31668"/>
    <w:rsid w:val="00C43373"/>
    <w:rsid w:val="00C437BC"/>
    <w:rsid w:val="00C46C5E"/>
    <w:rsid w:val="00C47291"/>
    <w:rsid w:val="00C5522C"/>
    <w:rsid w:val="00C753EC"/>
    <w:rsid w:val="00C7540E"/>
    <w:rsid w:val="00C77D6C"/>
    <w:rsid w:val="00C810DC"/>
    <w:rsid w:val="00C8213B"/>
    <w:rsid w:val="00C874BF"/>
    <w:rsid w:val="00C902E1"/>
    <w:rsid w:val="00C92EB6"/>
    <w:rsid w:val="00C9379C"/>
    <w:rsid w:val="00C93892"/>
    <w:rsid w:val="00C94513"/>
    <w:rsid w:val="00CA2D1E"/>
    <w:rsid w:val="00CB7925"/>
    <w:rsid w:val="00CC20B4"/>
    <w:rsid w:val="00CC4482"/>
    <w:rsid w:val="00CD17F4"/>
    <w:rsid w:val="00CD33A8"/>
    <w:rsid w:val="00CE1C7A"/>
    <w:rsid w:val="00CE3FC0"/>
    <w:rsid w:val="00CE71DB"/>
    <w:rsid w:val="00CE73C5"/>
    <w:rsid w:val="00CE7F9C"/>
    <w:rsid w:val="00CF475E"/>
    <w:rsid w:val="00CF770E"/>
    <w:rsid w:val="00D057C8"/>
    <w:rsid w:val="00D10A80"/>
    <w:rsid w:val="00D10C83"/>
    <w:rsid w:val="00D13815"/>
    <w:rsid w:val="00D138A9"/>
    <w:rsid w:val="00D2199B"/>
    <w:rsid w:val="00D305E5"/>
    <w:rsid w:val="00D313D4"/>
    <w:rsid w:val="00D327AA"/>
    <w:rsid w:val="00D428DE"/>
    <w:rsid w:val="00D54246"/>
    <w:rsid w:val="00D65C2B"/>
    <w:rsid w:val="00D763FB"/>
    <w:rsid w:val="00D81033"/>
    <w:rsid w:val="00D8299D"/>
    <w:rsid w:val="00D83A65"/>
    <w:rsid w:val="00D85A79"/>
    <w:rsid w:val="00D93960"/>
    <w:rsid w:val="00D940D0"/>
    <w:rsid w:val="00DA00E5"/>
    <w:rsid w:val="00DA01B9"/>
    <w:rsid w:val="00DA086C"/>
    <w:rsid w:val="00DA2E4A"/>
    <w:rsid w:val="00DA3274"/>
    <w:rsid w:val="00DA59F7"/>
    <w:rsid w:val="00DA68B8"/>
    <w:rsid w:val="00DB1682"/>
    <w:rsid w:val="00DB7759"/>
    <w:rsid w:val="00DC30CB"/>
    <w:rsid w:val="00DC4AB5"/>
    <w:rsid w:val="00DC5517"/>
    <w:rsid w:val="00DC5EBB"/>
    <w:rsid w:val="00DD374A"/>
    <w:rsid w:val="00DD40C5"/>
    <w:rsid w:val="00DE2F3D"/>
    <w:rsid w:val="00DF2CA4"/>
    <w:rsid w:val="00DF649C"/>
    <w:rsid w:val="00E11170"/>
    <w:rsid w:val="00E14CBF"/>
    <w:rsid w:val="00E15698"/>
    <w:rsid w:val="00E1638E"/>
    <w:rsid w:val="00E20692"/>
    <w:rsid w:val="00E22A6E"/>
    <w:rsid w:val="00E23008"/>
    <w:rsid w:val="00E27255"/>
    <w:rsid w:val="00E31F11"/>
    <w:rsid w:val="00E32CAA"/>
    <w:rsid w:val="00E32F0A"/>
    <w:rsid w:val="00E469F4"/>
    <w:rsid w:val="00E555C1"/>
    <w:rsid w:val="00E569FD"/>
    <w:rsid w:val="00E620E7"/>
    <w:rsid w:val="00E62AFC"/>
    <w:rsid w:val="00E70AF2"/>
    <w:rsid w:val="00E734B2"/>
    <w:rsid w:val="00E76C2B"/>
    <w:rsid w:val="00E874CE"/>
    <w:rsid w:val="00E92416"/>
    <w:rsid w:val="00E9583F"/>
    <w:rsid w:val="00E95F15"/>
    <w:rsid w:val="00EA4FEC"/>
    <w:rsid w:val="00EA75C5"/>
    <w:rsid w:val="00EA78E2"/>
    <w:rsid w:val="00EB02D0"/>
    <w:rsid w:val="00EB10D9"/>
    <w:rsid w:val="00EB1206"/>
    <w:rsid w:val="00EC4C15"/>
    <w:rsid w:val="00EC55EF"/>
    <w:rsid w:val="00EC6C44"/>
    <w:rsid w:val="00EC79D9"/>
    <w:rsid w:val="00ED11D2"/>
    <w:rsid w:val="00ED4FDE"/>
    <w:rsid w:val="00ED6DA1"/>
    <w:rsid w:val="00EE1C52"/>
    <w:rsid w:val="00EE3910"/>
    <w:rsid w:val="00EE6A83"/>
    <w:rsid w:val="00EF1BDF"/>
    <w:rsid w:val="00F01211"/>
    <w:rsid w:val="00F04D0B"/>
    <w:rsid w:val="00F05CC2"/>
    <w:rsid w:val="00F0640D"/>
    <w:rsid w:val="00F118FD"/>
    <w:rsid w:val="00F136A2"/>
    <w:rsid w:val="00F16633"/>
    <w:rsid w:val="00F169C1"/>
    <w:rsid w:val="00F255C5"/>
    <w:rsid w:val="00F3307A"/>
    <w:rsid w:val="00F34A5B"/>
    <w:rsid w:val="00F34E0F"/>
    <w:rsid w:val="00F35A0D"/>
    <w:rsid w:val="00F375A8"/>
    <w:rsid w:val="00F43455"/>
    <w:rsid w:val="00F451D3"/>
    <w:rsid w:val="00F51BA8"/>
    <w:rsid w:val="00F55DCB"/>
    <w:rsid w:val="00F574C1"/>
    <w:rsid w:val="00F6498B"/>
    <w:rsid w:val="00F66E1B"/>
    <w:rsid w:val="00F77030"/>
    <w:rsid w:val="00F80E8E"/>
    <w:rsid w:val="00F84CBC"/>
    <w:rsid w:val="00F84CE4"/>
    <w:rsid w:val="00F8711E"/>
    <w:rsid w:val="00FA4FD9"/>
    <w:rsid w:val="00FA69E0"/>
    <w:rsid w:val="00FB02CA"/>
    <w:rsid w:val="00FB1874"/>
    <w:rsid w:val="00FB71E9"/>
    <w:rsid w:val="00FC1B31"/>
    <w:rsid w:val="00FC26F0"/>
    <w:rsid w:val="00FC316B"/>
    <w:rsid w:val="00FC3864"/>
    <w:rsid w:val="00FC52F0"/>
    <w:rsid w:val="00FD0440"/>
    <w:rsid w:val="00FD09EB"/>
    <w:rsid w:val="00FD464B"/>
    <w:rsid w:val="00FE29B4"/>
    <w:rsid w:val="00FE434E"/>
    <w:rsid w:val="00FE4ED7"/>
    <w:rsid w:val="00FE74BA"/>
    <w:rsid w:val="00FF02B7"/>
    <w:rsid w:val="00FF60B9"/>
    <w:rsid w:val="00FF694C"/>
    <w:rsid w:val="00FF72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12D79"/>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C06FB8"/>
    <w:pPr>
      <w:keepNext/>
      <w:keepLines/>
      <w:spacing w:before="40" w:after="0"/>
      <w:outlineLvl w:val="1"/>
    </w:pPr>
    <w:rPr>
      <w:rFonts w:ascii="Arial" w:eastAsiaTheme="majorEastAsia" w:hAnsi="Arial" w:cstheme="majorBidi"/>
      <w:b/>
      <w:iCs/>
      <w:color w:val="262626" w:themeColor="text1" w:themeTint="D9"/>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D79"/>
    <w:rPr>
      <w:rFonts w:ascii="Arial" w:eastAsiaTheme="majorEastAsia" w:hAnsi="Arial"/>
      <w:b/>
      <w:sz w:val="32"/>
    </w:rPr>
  </w:style>
  <w:style w:type="character" w:customStyle="1" w:styleId="Heading2Char">
    <w:name w:val="Heading 2 Char"/>
    <w:basedOn w:val="DefaultParagraphFont"/>
    <w:link w:val="Heading2"/>
    <w:uiPriority w:val="9"/>
    <w:rsid w:val="00C06FB8"/>
    <w:rPr>
      <w:rFonts w:ascii="Arial" w:eastAsiaTheme="majorEastAsia" w:hAnsi="Arial" w:cstheme="majorBidi"/>
      <w:b/>
      <w:iCs/>
      <w:color w:val="262626" w:themeColor="text1" w:themeTint="D9"/>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283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5D42"/>
    <w:pPr>
      <w:ind w:left="720"/>
      <w:contextualSpacing/>
    </w:pPr>
  </w:style>
  <w:style w:type="character" w:styleId="Hyperlink">
    <w:name w:val="Hyperlink"/>
    <w:basedOn w:val="DefaultParagraphFont"/>
    <w:uiPriority w:val="99"/>
    <w:unhideWhenUsed/>
    <w:rsid w:val="002000A8"/>
    <w:rPr>
      <w:color w:val="0563C1" w:themeColor="hyperlink"/>
      <w:u w:val="single"/>
    </w:rPr>
  </w:style>
  <w:style w:type="character" w:styleId="UnresolvedMention">
    <w:name w:val="Unresolved Mention"/>
    <w:basedOn w:val="DefaultParagraphFont"/>
    <w:uiPriority w:val="99"/>
    <w:semiHidden/>
    <w:unhideWhenUsed/>
    <w:rsid w:val="002000A8"/>
    <w:rPr>
      <w:color w:val="605E5C"/>
      <w:shd w:val="clear" w:color="auto" w:fill="E1DFDD"/>
    </w:rPr>
  </w:style>
  <w:style w:type="paragraph" w:styleId="NoSpacing">
    <w:name w:val="No Spacing"/>
    <w:uiPriority w:val="1"/>
    <w:qFormat/>
    <w:rsid w:val="00CE7F9C"/>
    <w:pPr>
      <w:spacing w:after="0" w:line="240" w:lineRule="auto"/>
    </w:pPr>
  </w:style>
  <w:style w:type="paragraph" w:styleId="TOCHeading">
    <w:name w:val="TOC Heading"/>
    <w:basedOn w:val="Heading1"/>
    <w:next w:val="Normal"/>
    <w:uiPriority w:val="39"/>
    <w:unhideWhenUsed/>
    <w:qFormat/>
    <w:rsid w:val="00170376"/>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170376"/>
    <w:pPr>
      <w:spacing w:after="100"/>
    </w:pPr>
  </w:style>
  <w:style w:type="paragraph" w:styleId="TOC2">
    <w:name w:val="toc 2"/>
    <w:basedOn w:val="Normal"/>
    <w:next w:val="Normal"/>
    <w:autoRedefine/>
    <w:uiPriority w:val="39"/>
    <w:unhideWhenUsed/>
    <w:rsid w:val="00170376"/>
    <w:pPr>
      <w:spacing w:after="100"/>
      <w:ind w:left="240"/>
    </w:pPr>
  </w:style>
  <w:style w:type="paragraph" w:styleId="TOC3">
    <w:name w:val="toc 3"/>
    <w:basedOn w:val="Normal"/>
    <w:next w:val="Normal"/>
    <w:autoRedefine/>
    <w:uiPriority w:val="39"/>
    <w:unhideWhenUsed/>
    <w:rsid w:val="001703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0271-014-0091-y" TargetMode="External"/><Relationship Id="rId18" Type="http://schemas.openxmlformats.org/officeDocument/2006/relationships/hyperlink" Target="https://doi.org/10.1186/s12913-016-1379-5" TargetMode="External"/><Relationship Id="rId26" Type="http://schemas.openxmlformats.org/officeDocument/2006/relationships/hyperlink" Target="https://doi.org/10.2196/jmir.3257" TargetMode="External"/><Relationship Id="rId39" Type="http://schemas.openxmlformats.org/officeDocument/2006/relationships/hyperlink" Target="https://doi.org/10.1186/s12913-023-09083-6" TargetMode="External"/><Relationship Id="rId21" Type="http://schemas.openxmlformats.org/officeDocument/2006/relationships/hyperlink" Target="https://doi.org/10.1186/s12939-022-01689-2" TargetMode="External"/><Relationship Id="rId34" Type="http://schemas.openxmlformats.org/officeDocument/2006/relationships/hyperlink" Target="https://doi.org/10.1186/s12960-022-00778-1" TargetMode="External"/><Relationship Id="rId42" Type="http://schemas.openxmlformats.org/officeDocument/2006/relationships/hyperlink" Target="https://doi.org/10.1177/14604582231217339" TargetMode="External"/><Relationship Id="rId47" Type="http://schemas.openxmlformats.org/officeDocument/2006/relationships/hyperlink" Target="https://doi.org/10.1177/20552076251326233"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12913-016-1379-5" TargetMode="External"/><Relationship Id="rId29" Type="http://schemas.openxmlformats.org/officeDocument/2006/relationships/hyperlink" Target="https://doi.org/10.3389/fpubh.2025.1504318" TargetMode="External"/><Relationship Id="rId11" Type="http://schemas.openxmlformats.org/officeDocument/2006/relationships/hyperlink" Target="https://doi.org/10.1108/JSTPM-05-2022-0079" TargetMode="External"/><Relationship Id="rId24" Type="http://schemas.openxmlformats.org/officeDocument/2006/relationships/hyperlink" Target="https://doi.org/10.1186/s12939-022-01689-2" TargetMode="External"/><Relationship Id="rId32" Type="http://schemas.openxmlformats.org/officeDocument/2006/relationships/hyperlink" Target="https://doi.org/10.1136/bmjopen-2021-055823" TargetMode="External"/><Relationship Id="rId37" Type="http://schemas.openxmlformats.org/officeDocument/2006/relationships/hyperlink" Target="https://doi.org/10.2196/43429" TargetMode="External"/><Relationship Id="rId40" Type="http://schemas.openxmlformats.org/officeDocument/2006/relationships/hyperlink" Target="https://doi.org/10.1186/s12913-023-09083-6" TargetMode="External"/><Relationship Id="rId45" Type="http://schemas.openxmlformats.org/officeDocument/2006/relationships/hyperlink" Target="https://doi.org/10.2196/53320" TargetMode="External"/><Relationship Id="rId5" Type="http://schemas.openxmlformats.org/officeDocument/2006/relationships/webSettings" Target="webSettings.xml"/><Relationship Id="rId15" Type="http://schemas.openxmlformats.org/officeDocument/2006/relationships/hyperlink" Target="https://doi.org/10.5114/wo.2022.115047" TargetMode="External"/><Relationship Id="rId23" Type="http://schemas.openxmlformats.org/officeDocument/2006/relationships/hyperlink" Target="https://doi.org/10.1186/s12939-022-01689-2" TargetMode="External"/><Relationship Id="rId28" Type="http://schemas.openxmlformats.org/officeDocument/2006/relationships/hyperlink" Target="https://doi.org/10.1111/ijpp.12340" TargetMode="External"/><Relationship Id="rId36" Type="http://schemas.openxmlformats.org/officeDocument/2006/relationships/hyperlink" Target="https://doi.org/10.1377/hlthaff.2018.05125"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186/s12913-016-1379-5" TargetMode="External"/><Relationship Id="rId31" Type="http://schemas.openxmlformats.org/officeDocument/2006/relationships/hyperlink" Target="https://doi.org/10.3389/fpubh.2025.1504318" TargetMode="External"/><Relationship Id="rId44" Type="http://schemas.openxmlformats.org/officeDocument/2006/relationships/hyperlink" Target="https://doi.org/10.1177/204062231989158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pp-care.co.uk/telemedicine-in-rural-areas-a-lifeline-for-the-forgotten/" TargetMode="External"/><Relationship Id="rId22" Type="http://schemas.openxmlformats.org/officeDocument/2006/relationships/hyperlink" Target="https://doi.org/10.1186/s12939-022-01689-2" TargetMode="External"/><Relationship Id="rId27" Type="http://schemas.openxmlformats.org/officeDocument/2006/relationships/hyperlink" Target="https://doi.org/10.1089/tmj.2022.0016" TargetMode="External"/><Relationship Id="rId30" Type="http://schemas.openxmlformats.org/officeDocument/2006/relationships/hyperlink" Target="https://doi.org/10.3389/fpubh.2025.1504318" TargetMode="External"/><Relationship Id="rId35" Type="http://schemas.openxmlformats.org/officeDocument/2006/relationships/hyperlink" Target="https://doi.org/10.1186/s13012-016-0458-7" TargetMode="External"/><Relationship Id="rId43" Type="http://schemas.openxmlformats.org/officeDocument/2006/relationships/hyperlink" Target="https://doi.org/10.1002/wjs.12129" TargetMode="External"/><Relationship Id="rId48" Type="http://schemas.openxmlformats.org/officeDocument/2006/relationships/hyperlink" Target="https://doi.org/10.1177/20552076251326233"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93/jamia/ocab273" TargetMode="External"/><Relationship Id="rId17" Type="http://schemas.openxmlformats.org/officeDocument/2006/relationships/hyperlink" Target="https://doi.org/10.1186/s12913-016-1379-5" TargetMode="External"/><Relationship Id="rId25" Type="http://schemas.openxmlformats.org/officeDocument/2006/relationships/hyperlink" Target="https://doi.org/10.1080/10400435.2021.1995531" TargetMode="External"/><Relationship Id="rId33" Type="http://schemas.openxmlformats.org/officeDocument/2006/relationships/hyperlink" Target="https://doi.org/10.1136/bmjopen-2021-055823" TargetMode="External"/><Relationship Id="rId38" Type="http://schemas.openxmlformats.org/officeDocument/2006/relationships/hyperlink" Target="https://doi.org/10.1111/1475-6773.14645" TargetMode="External"/><Relationship Id="rId46" Type="http://schemas.openxmlformats.org/officeDocument/2006/relationships/hyperlink" Target="https://pubmed.ncbi.nlm.nih.gov/34184578/" TargetMode="External"/><Relationship Id="rId20" Type="http://schemas.openxmlformats.org/officeDocument/2006/relationships/hyperlink" Target="https://doi.org/10.1353/hpu.2020.0116" TargetMode="External"/><Relationship Id="rId41" Type="http://schemas.openxmlformats.org/officeDocument/2006/relationships/hyperlink" Target="https://doi.org/10.1089/tmj.2023.003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975CA-60CF-4AFE-A876-BFAB4A8D8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6563</Words>
  <Characters>37412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seleetz munroe</cp:lastModifiedBy>
  <cp:revision>2</cp:revision>
  <cp:lastPrinted>2026-03-31T16:02:00Z</cp:lastPrinted>
  <dcterms:created xsi:type="dcterms:W3CDTF">2026-04-24T01:16:00Z</dcterms:created>
  <dcterms:modified xsi:type="dcterms:W3CDTF">2026-04-24T01:16:00Z</dcterms:modified>
</cp:coreProperties>
</file>