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04D9" w:rsidRPr="001C4D04" w:rsidRDefault="002404D9" w:rsidP="000D3B26">
      <w:pPr>
        <w:spacing w:line="360" w:lineRule="auto"/>
        <w:jc w:val="center"/>
        <w:rPr>
          <w:b/>
          <w:bCs/>
          <w:sz w:val="48"/>
          <w:szCs w:val="48"/>
        </w:rPr>
      </w:pPr>
      <w:r w:rsidRPr="001C4D04">
        <w:rPr>
          <w:b/>
          <w:bCs/>
          <w:sz w:val="48"/>
          <w:szCs w:val="48"/>
        </w:rPr>
        <w:t>Digital Skills a</w:t>
      </w:r>
      <w:r w:rsidR="003608DD" w:rsidRPr="001C4D04">
        <w:rPr>
          <w:b/>
          <w:bCs/>
          <w:sz w:val="48"/>
          <w:szCs w:val="48"/>
        </w:rPr>
        <w:t>nd Research Methods</w:t>
      </w:r>
      <w:r w:rsidR="000D3B26" w:rsidRPr="001C4D04">
        <w:rPr>
          <w:b/>
          <w:bCs/>
          <w:sz w:val="48"/>
          <w:szCs w:val="48"/>
        </w:rPr>
        <w:t xml:space="preserve"> (BMSW4003)</w:t>
      </w:r>
    </w:p>
    <w:p w:rsidR="001C4D04" w:rsidRDefault="001C4D04" w:rsidP="000D3B26">
      <w:pPr>
        <w:spacing w:line="360" w:lineRule="auto"/>
        <w:jc w:val="center"/>
        <w:rPr>
          <w:b/>
          <w:bCs/>
          <w:sz w:val="72"/>
          <w:szCs w:val="72"/>
        </w:rPr>
      </w:pPr>
      <w:r w:rsidRPr="001C4D04">
        <w:rPr>
          <w:b/>
          <w:bCs/>
          <w:sz w:val="48"/>
          <w:szCs w:val="48"/>
        </w:rPr>
        <w:t>Task2</w:t>
      </w:r>
    </w:p>
    <w:p w:rsidR="000D3B26" w:rsidRPr="001C4D04" w:rsidRDefault="000D3B26" w:rsidP="000D3B26">
      <w:pPr>
        <w:spacing w:line="360" w:lineRule="auto"/>
        <w:jc w:val="center"/>
        <w:rPr>
          <w:b/>
          <w:bCs/>
          <w:sz w:val="44"/>
          <w:szCs w:val="44"/>
        </w:rPr>
      </w:pPr>
      <w:r w:rsidRPr="001C4D04">
        <w:rPr>
          <w:b/>
          <w:bCs/>
          <w:sz w:val="44"/>
          <w:szCs w:val="44"/>
        </w:rPr>
        <w:t>Student Name:</w:t>
      </w:r>
      <w:r w:rsidR="001C4D04" w:rsidRPr="001C4D04">
        <w:rPr>
          <w:b/>
          <w:bCs/>
          <w:sz w:val="44"/>
          <w:szCs w:val="44"/>
        </w:rPr>
        <w:t xml:space="preserve"> Itongo B N Elele</w:t>
      </w:r>
    </w:p>
    <w:p w:rsidR="001C4D04" w:rsidRPr="001C4D04" w:rsidRDefault="001C4D04" w:rsidP="000D3B26">
      <w:pPr>
        <w:spacing w:line="360" w:lineRule="auto"/>
        <w:jc w:val="center"/>
        <w:rPr>
          <w:b/>
          <w:bCs/>
          <w:sz w:val="44"/>
          <w:szCs w:val="44"/>
        </w:rPr>
      </w:pPr>
      <w:r w:rsidRPr="001C4D04">
        <w:rPr>
          <w:b/>
          <w:bCs/>
          <w:sz w:val="44"/>
          <w:szCs w:val="44"/>
        </w:rPr>
        <w:t>Student ID: 1814420</w:t>
      </w:r>
    </w:p>
    <w:p w:rsidR="000D3B26" w:rsidRPr="001C4D04" w:rsidRDefault="000D3B26" w:rsidP="000D3B26">
      <w:pPr>
        <w:spacing w:line="360" w:lineRule="auto"/>
        <w:jc w:val="center"/>
        <w:rPr>
          <w:b/>
          <w:bCs/>
          <w:sz w:val="44"/>
          <w:szCs w:val="44"/>
        </w:rPr>
      </w:pPr>
      <w:r w:rsidRPr="001C4D04">
        <w:rPr>
          <w:b/>
          <w:bCs/>
          <w:sz w:val="44"/>
          <w:szCs w:val="44"/>
        </w:rPr>
        <w:t>Lecture</w:t>
      </w:r>
      <w:r w:rsidR="00112AAC" w:rsidRPr="001C4D04">
        <w:rPr>
          <w:b/>
          <w:bCs/>
          <w:sz w:val="44"/>
          <w:szCs w:val="44"/>
        </w:rPr>
        <w:t>r</w:t>
      </w:r>
      <w:r w:rsidRPr="001C4D04">
        <w:rPr>
          <w:b/>
          <w:bCs/>
          <w:sz w:val="44"/>
          <w:szCs w:val="44"/>
        </w:rPr>
        <w:t>’s Name:</w:t>
      </w:r>
      <w:r w:rsidR="001C4D04" w:rsidRPr="001C4D04">
        <w:rPr>
          <w:b/>
          <w:bCs/>
          <w:sz w:val="44"/>
          <w:szCs w:val="44"/>
        </w:rPr>
        <w:t xml:space="preserve"> John Malagila</w:t>
      </w:r>
    </w:p>
    <w:p w:rsidR="002404D9" w:rsidRDefault="002404D9" w:rsidP="00183BCE">
      <w:pPr>
        <w:spacing w:line="360" w:lineRule="auto"/>
        <w:jc w:val="both"/>
        <w:rPr>
          <w:b/>
          <w:bCs/>
        </w:rPr>
      </w:pPr>
      <w:r>
        <w:rPr>
          <w:b/>
          <w:bCs/>
        </w:rPr>
        <w:br w:type="page"/>
      </w:r>
    </w:p>
    <w:sdt>
      <w:sdtPr>
        <w:rPr>
          <w:rFonts w:ascii="Arial" w:eastAsia="Arial" w:hAnsi="Arial" w:cs="Arial"/>
          <w:b w:val="0"/>
          <w:bCs w:val="0"/>
          <w:color w:val="auto"/>
          <w:sz w:val="22"/>
          <w:szCs w:val="22"/>
          <w:lang w:val="en-IN" w:eastAsia="en-IN"/>
        </w:rPr>
        <w:id w:val="786215158"/>
        <w:docPartObj>
          <w:docPartGallery w:val="Table of Contents"/>
          <w:docPartUnique/>
        </w:docPartObj>
      </w:sdtPr>
      <w:sdtEndPr/>
      <w:sdtContent>
        <w:p w:rsidR="002404D9" w:rsidRPr="00AE654C" w:rsidRDefault="00771714" w:rsidP="00AA6379">
          <w:pPr>
            <w:pStyle w:val="TOCHeading"/>
            <w:spacing w:line="360" w:lineRule="auto"/>
            <w:jc w:val="center"/>
            <w:rPr>
              <w:rFonts w:ascii="Arial" w:hAnsi="Arial" w:cs="Arial"/>
              <w:sz w:val="22"/>
              <w:szCs w:val="22"/>
            </w:rPr>
          </w:pPr>
          <w:r w:rsidRPr="00AE654C">
            <w:rPr>
              <w:rFonts w:ascii="Arial" w:hAnsi="Arial" w:cs="Arial"/>
              <w:color w:val="auto"/>
              <w:sz w:val="22"/>
              <w:szCs w:val="22"/>
            </w:rPr>
            <w:t xml:space="preserve">Table of </w:t>
          </w:r>
          <w:r w:rsidR="002404D9" w:rsidRPr="00AE654C">
            <w:rPr>
              <w:rFonts w:ascii="Arial" w:hAnsi="Arial" w:cs="Arial"/>
              <w:color w:val="auto"/>
              <w:sz w:val="22"/>
              <w:szCs w:val="22"/>
            </w:rPr>
            <w:t>Contents</w:t>
          </w:r>
        </w:p>
        <w:p w:rsidR="00AE654C" w:rsidRDefault="00C44020" w:rsidP="00AE654C">
          <w:pPr>
            <w:pStyle w:val="TOC1"/>
            <w:tabs>
              <w:tab w:val="right" w:leader="dot" w:pos="9350"/>
            </w:tabs>
            <w:spacing w:line="360" w:lineRule="auto"/>
            <w:jc w:val="both"/>
            <w:rPr>
              <w:rFonts w:asciiTheme="minorHAnsi" w:eastAsiaTheme="minorEastAsia" w:hAnsiTheme="minorHAnsi" w:cstheme="minorBidi"/>
              <w:noProof/>
            </w:rPr>
          </w:pPr>
          <w:r>
            <w:fldChar w:fldCharType="begin"/>
          </w:r>
          <w:r w:rsidR="002404D9">
            <w:instrText xml:space="preserve"> TOC \o "1-3" \h \z \u </w:instrText>
          </w:r>
          <w:r>
            <w:fldChar w:fldCharType="separate"/>
          </w:r>
          <w:hyperlink w:anchor="_Toc70941043" w:history="1">
            <w:r w:rsidR="00AE654C" w:rsidRPr="002A1269">
              <w:rPr>
                <w:rStyle w:val="Hyperlink"/>
                <w:noProof/>
              </w:rPr>
              <w:t>1.0 Introduction</w:t>
            </w:r>
            <w:r w:rsidR="00AE654C">
              <w:rPr>
                <w:noProof/>
                <w:webHidden/>
              </w:rPr>
              <w:tab/>
            </w:r>
            <w:r w:rsidR="00AE654C">
              <w:rPr>
                <w:noProof/>
                <w:webHidden/>
              </w:rPr>
              <w:fldChar w:fldCharType="begin"/>
            </w:r>
            <w:r w:rsidR="00AE654C">
              <w:rPr>
                <w:noProof/>
                <w:webHidden/>
              </w:rPr>
              <w:instrText xml:space="preserve"> PAGEREF _Toc70941043 \h </w:instrText>
            </w:r>
            <w:r w:rsidR="00AE654C">
              <w:rPr>
                <w:noProof/>
                <w:webHidden/>
              </w:rPr>
            </w:r>
            <w:r w:rsidR="00AE654C">
              <w:rPr>
                <w:noProof/>
                <w:webHidden/>
              </w:rPr>
              <w:fldChar w:fldCharType="separate"/>
            </w:r>
            <w:r w:rsidR="00AE654C">
              <w:rPr>
                <w:noProof/>
                <w:webHidden/>
              </w:rPr>
              <w:t>3</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4" w:history="1">
            <w:r w:rsidR="00AE654C" w:rsidRPr="002A1269">
              <w:rPr>
                <w:rStyle w:val="Hyperlink"/>
                <w:noProof/>
              </w:rPr>
              <w:t>2.0 Background</w:t>
            </w:r>
            <w:r w:rsidR="00AE654C">
              <w:rPr>
                <w:noProof/>
                <w:webHidden/>
              </w:rPr>
              <w:tab/>
            </w:r>
            <w:r w:rsidR="00AE654C">
              <w:rPr>
                <w:noProof/>
                <w:webHidden/>
              </w:rPr>
              <w:fldChar w:fldCharType="begin"/>
            </w:r>
            <w:r w:rsidR="00AE654C">
              <w:rPr>
                <w:noProof/>
                <w:webHidden/>
              </w:rPr>
              <w:instrText xml:space="preserve"> PAGEREF _Toc70941044 \h </w:instrText>
            </w:r>
            <w:r w:rsidR="00AE654C">
              <w:rPr>
                <w:noProof/>
                <w:webHidden/>
              </w:rPr>
            </w:r>
            <w:r w:rsidR="00AE654C">
              <w:rPr>
                <w:noProof/>
                <w:webHidden/>
              </w:rPr>
              <w:fldChar w:fldCharType="separate"/>
            </w:r>
            <w:r w:rsidR="00AE654C">
              <w:rPr>
                <w:noProof/>
                <w:webHidden/>
              </w:rPr>
              <w:t>3</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5" w:history="1">
            <w:r w:rsidR="00AE654C" w:rsidRPr="002A1269">
              <w:rPr>
                <w:rStyle w:val="Hyperlink"/>
                <w:noProof/>
              </w:rPr>
              <w:t>3.0 Aim</w:t>
            </w:r>
            <w:r w:rsidR="00AE654C">
              <w:rPr>
                <w:noProof/>
                <w:webHidden/>
              </w:rPr>
              <w:tab/>
            </w:r>
            <w:r w:rsidR="00AE654C">
              <w:rPr>
                <w:noProof/>
                <w:webHidden/>
              </w:rPr>
              <w:fldChar w:fldCharType="begin"/>
            </w:r>
            <w:r w:rsidR="00AE654C">
              <w:rPr>
                <w:noProof/>
                <w:webHidden/>
              </w:rPr>
              <w:instrText xml:space="preserve"> PAGEREF _Toc70941045 \h </w:instrText>
            </w:r>
            <w:r w:rsidR="00AE654C">
              <w:rPr>
                <w:noProof/>
                <w:webHidden/>
              </w:rPr>
            </w:r>
            <w:r w:rsidR="00AE654C">
              <w:rPr>
                <w:noProof/>
                <w:webHidden/>
              </w:rPr>
              <w:fldChar w:fldCharType="separate"/>
            </w:r>
            <w:r w:rsidR="00AE654C">
              <w:rPr>
                <w:noProof/>
                <w:webHidden/>
              </w:rPr>
              <w:t>5</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6" w:history="1">
            <w:r w:rsidR="00AE654C" w:rsidRPr="002A1269">
              <w:rPr>
                <w:rStyle w:val="Hyperlink"/>
                <w:noProof/>
              </w:rPr>
              <w:t>4.0 Methods</w:t>
            </w:r>
            <w:r w:rsidR="00AE654C">
              <w:rPr>
                <w:noProof/>
                <w:webHidden/>
              </w:rPr>
              <w:tab/>
            </w:r>
            <w:r w:rsidR="00AE654C">
              <w:rPr>
                <w:noProof/>
                <w:webHidden/>
              </w:rPr>
              <w:fldChar w:fldCharType="begin"/>
            </w:r>
            <w:r w:rsidR="00AE654C">
              <w:rPr>
                <w:noProof/>
                <w:webHidden/>
              </w:rPr>
              <w:instrText xml:space="preserve"> PAGEREF _Toc70941046 \h </w:instrText>
            </w:r>
            <w:r w:rsidR="00AE654C">
              <w:rPr>
                <w:noProof/>
                <w:webHidden/>
              </w:rPr>
            </w:r>
            <w:r w:rsidR="00AE654C">
              <w:rPr>
                <w:noProof/>
                <w:webHidden/>
              </w:rPr>
              <w:fldChar w:fldCharType="separate"/>
            </w:r>
            <w:r w:rsidR="00AE654C">
              <w:rPr>
                <w:noProof/>
                <w:webHidden/>
              </w:rPr>
              <w:t>5</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7" w:history="1">
            <w:r w:rsidR="00AE654C" w:rsidRPr="002A1269">
              <w:rPr>
                <w:rStyle w:val="Hyperlink"/>
                <w:noProof/>
              </w:rPr>
              <w:t>5.0 Results</w:t>
            </w:r>
            <w:r w:rsidR="00AE654C">
              <w:rPr>
                <w:noProof/>
                <w:webHidden/>
              </w:rPr>
              <w:tab/>
            </w:r>
            <w:r w:rsidR="00AE654C">
              <w:rPr>
                <w:noProof/>
                <w:webHidden/>
              </w:rPr>
              <w:fldChar w:fldCharType="begin"/>
            </w:r>
            <w:r w:rsidR="00AE654C">
              <w:rPr>
                <w:noProof/>
                <w:webHidden/>
              </w:rPr>
              <w:instrText xml:space="preserve"> PAGEREF _Toc70941047 \h </w:instrText>
            </w:r>
            <w:r w:rsidR="00AE654C">
              <w:rPr>
                <w:noProof/>
                <w:webHidden/>
              </w:rPr>
            </w:r>
            <w:r w:rsidR="00AE654C">
              <w:rPr>
                <w:noProof/>
                <w:webHidden/>
              </w:rPr>
              <w:fldChar w:fldCharType="separate"/>
            </w:r>
            <w:r w:rsidR="00AE654C">
              <w:rPr>
                <w:noProof/>
                <w:webHidden/>
              </w:rPr>
              <w:t>6</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8" w:history="1">
            <w:r w:rsidR="00AE654C" w:rsidRPr="002A1269">
              <w:rPr>
                <w:rStyle w:val="Hyperlink"/>
                <w:noProof/>
              </w:rPr>
              <w:t>6.0 Discussion</w:t>
            </w:r>
            <w:r w:rsidR="00AE654C">
              <w:rPr>
                <w:noProof/>
                <w:webHidden/>
              </w:rPr>
              <w:tab/>
            </w:r>
            <w:r w:rsidR="00AE654C">
              <w:rPr>
                <w:noProof/>
                <w:webHidden/>
              </w:rPr>
              <w:fldChar w:fldCharType="begin"/>
            </w:r>
            <w:r w:rsidR="00AE654C">
              <w:rPr>
                <w:noProof/>
                <w:webHidden/>
              </w:rPr>
              <w:instrText xml:space="preserve"> PAGEREF _Toc70941048 \h </w:instrText>
            </w:r>
            <w:r w:rsidR="00AE654C">
              <w:rPr>
                <w:noProof/>
                <w:webHidden/>
              </w:rPr>
            </w:r>
            <w:r w:rsidR="00AE654C">
              <w:rPr>
                <w:noProof/>
                <w:webHidden/>
              </w:rPr>
              <w:fldChar w:fldCharType="separate"/>
            </w:r>
            <w:r w:rsidR="00AE654C">
              <w:rPr>
                <w:noProof/>
                <w:webHidden/>
              </w:rPr>
              <w:t>6</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49" w:history="1">
            <w:r w:rsidR="00AE654C" w:rsidRPr="002A1269">
              <w:rPr>
                <w:rStyle w:val="Hyperlink"/>
                <w:noProof/>
              </w:rPr>
              <w:t>7.0 Conclusion</w:t>
            </w:r>
            <w:r w:rsidR="00AE654C">
              <w:rPr>
                <w:noProof/>
                <w:webHidden/>
              </w:rPr>
              <w:tab/>
            </w:r>
            <w:r w:rsidR="00AE654C">
              <w:rPr>
                <w:noProof/>
                <w:webHidden/>
              </w:rPr>
              <w:fldChar w:fldCharType="begin"/>
            </w:r>
            <w:r w:rsidR="00AE654C">
              <w:rPr>
                <w:noProof/>
                <w:webHidden/>
              </w:rPr>
              <w:instrText xml:space="preserve"> PAGEREF _Toc70941049 \h </w:instrText>
            </w:r>
            <w:r w:rsidR="00AE654C">
              <w:rPr>
                <w:noProof/>
                <w:webHidden/>
              </w:rPr>
            </w:r>
            <w:r w:rsidR="00AE654C">
              <w:rPr>
                <w:noProof/>
                <w:webHidden/>
              </w:rPr>
              <w:fldChar w:fldCharType="separate"/>
            </w:r>
            <w:r w:rsidR="00AE654C">
              <w:rPr>
                <w:noProof/>
                <w:webHidden/>
              </w:rPr>
              <w:t>8</w:t>
            </w:r>
            <w:r w:rsidR="00AE654C">
              <w:rPr>
                <w:noProof/>
                <w:webHidden/>
              </w:rPr>
              <w:fldChar w:fldCharType="end"/>
            </w:r>
          </w:hyperlink>
        </w:p>
        <w:p w:rsidR="00AE654C" w:rsidRDefault="009C78D4" w:rsidP="00AE654C">
          <w:pPr>
            <w:pStyle w:val="TOC1"/>
            <w:tabs>
              <w:tab w:val="right" w:leader="dot" w:pos="9350"/>
            </w:tabs>
            <w:spacing w:line="360" w:lineRule="auto"/>
            <w:jc w:val="both"/>
            <w:rPr>
              <w:rFonts w:asciiTheme="minorHAnsi" w:eastAsiaTheme="minorEastAsia" w:hAnsiTheme="minorHAnsi" w:cstheme="minorBidi"/>
              <w:noProof/>
            </w:rPr>
          </w:pPr>
          <w:hyperlink w:anchor="_Toc70941050" w:history="1">
            <w:r w:rsidR="00AE654C" w:rsidRPr="002A1269">
              <w:rPr>
                <w:rStyle w:val="Hyperlink"/>
                <w:noProof/>
              </w:rPr>
              <w:t>References</w:t>
            </w:r>
            <w:r w:rsidR="00AE654C">
              <w:rPr>
                <w:noProof/>
                <w:webHidden/>
              </w:rPr>
              <w:tab/>
            </w:r>
            <w:r w:rsidR="00AE654C">
              <w:rPr>
                <w:noProof/>
                <w:webHidden/>
              </w:rPr>
              <w:fldChar w:fldCharType="begin"/>
            </w:r>
            <w:r w:rsidR="00AE654C">
              <w:rPr>
                <w:noProof/>
                <w:webHidden/>
              </w:rPr>
              <w:instrText xml:space="preserve"> PAGEREF _Toc70941050 \h </w:instrText>
            </w:r>
            <w:r w:rsidR="00AE654C">
              <w:rPr>
                <w:noProof/>
                <w:webHidden/>
              </w:rPr>
            </w:r>
            <w:r w:rsidR="00AE654C">
              <w:rPr>
                <w:noProof/>
                <w:webHidden/>
              </w:rPr>
              <w:fldChar w:fldCharType="separate"/>
            </w:r>
            <w:r w:rsidR="00AE654C">
              <w:rPr>
                <w:noProof/>
                <w:webHidden/>
              </w:rPr>
              <w:t>9</w:t>
            </w:r>
            <w:r w:rsidR="00AE654C">
              <w:rPr>
                <w:noProof/>
                <w:webHidden/>
              </w:rPr>
              <w:fldChar w:fldCharType="end"/>
            </w:r>
          </w:hyperlink>
        </w:p>
        <w:p w:rsidR="002404D9" w:rsidRDefault="00C44020" w:rsidP="00AE654C">
          <w:pPr>
            <w:spacing w:line="360" w:lineRule="auto"/>
            <w:jc w:val="both"/>
          </w:pPr>
          <w:r>
            <w:fldChar w:fldCharType="end"/>
          </w:r>
        </w:p>
      </w:sdtContent>
    </w:sdt>
    <w:p w:rsidR="003608DD" w:rsidRDefault="003608DD" w:rsidP="00183BCE">
      <w:pPr>
        <w:spacing w:line="360" w:lineRule="auto"/>
        <w:jc w:val="both"/>
        <w:rPr>
          <w:b/>
          <w:bCs/>
        </w:rPr>
      </w:pPr>
    </w:p>
    <w:p w:rsidR="003608DD" w:rsidRDefault="003608DD" w:rsidP="00183BCE">
      <w:pPr>
        <w:spacing w:line="360" w:lineRule="auto"/>
        <w:jc w:val="both"/>
        <w:rPr>
          <w:b/>
          <w:bCs/>
        </w:rPr>
      </w:pPr>
      <w:r>
        <w:rPr>
          <w:b/>
          <w:bCs/>
        </w:rPr>
        <w:br w:type="page"/>
      </w:r>
    </w:p>
    <w:p w:rsidR="00243463" w:rsidRDefault="00EE0158" w:rsidP="00583361">
      <w:pPr>
        <w:pStyle w:val="Heading1"/>
      </w:pPr>
      <w:bookmarkStart w:id="0" w:name="_Toc70941043"/>
      <w:r>
        <w:lastRenderedPageBreak/>
        <w:t xml:space="preserve">1.0 </w:t>
      </w:r>
      <w:r w:rsidR="00AF1252">
        <w:t>Introduction</w:t>
      </w:r>
      <w:bookmarkEnd w:id="0"/>
      <w:r w:rsidR="00AF1252">
        <w:t xml:space="preserve"> </w:t>
      </w:r>
    </w:p>
    <w:p w:rsidR="00243463" w:rsidRDefault="00AF1252" w:rsidP="00183BCE">
      <w:pPr>
        <w:pStyle w:val="Normal1"/>
        <w:spacing w:line="360" w:lineRule="auto"/>
        <w:jc w:val="both"/>
      </w:pPr>
      <w:r>
        <w:t>Technology is the application of science knowledge. It can be used for practical purposes in healthcare or industrial motive. In the recent era technology has changed the objective of most of the industry. Technology has created a positive impact on healthcare across the world. The amount of data used in modern healthcare is enormous and the data storage system is larger and more reliable than earlier. Advanced technology has</w:t>
      </w:r>
      <w:r w:rsidR="003608DD">
        <w:t xml:space="preserve"> led the healthcare system to </w:t>
      </w:r>
      <w:r>
        <w:t xml:space="preserve">greater technology integration, upgraded the medical equipment and smoothen the information system in medical care. These updated instruments and information technology have a modern tendency to create positivity in healthcare. Integration of technology involves sharing important data about a patient's current health condition and professionals can conduct treatment by comparing with the past health records. Margin if technology in the medical care is provided a number of </w:t>
      </w:r>
      <w:proofErr w:type="gramStart"/>
      <w:r>
        <w:t>data</w:t>
      </w:r>
      <w:proofErr w:type="gramEnd"/>
      <w:r>
        <w:t xml:space="preserve"> to the professional like recent symptoms of the patients’, prescriptions, clinical trials, body reactions etc. Technology is providing the professions the above access to improve the healthcare system through implementation of updated techniques. As a positive benefit, the workflow is increasing in nursing homes and enables the sharing of important information related to the patient's health administration. Hospital billing departments are using the advanced system to understand the clinical effectiveness of the recommended treatments. The report will analyse all the benefits of advanced technology in the healthcare system. It will also discuss the effect of digital communication in the Covid 19 situation. It will teach and promote individual involvement in the healthcare practice.          </w:t>
      </w:r>
    </w:p>
    <w:p w:rsidR="00243463" w:rsidRDefault="00EE0158" w:rsidP="00583361">
      <w:pPr>
        <w:pStyle w:val="Heading1"/>
      </w:pPr>
      <w:bookmarkStart w:id="1" w:name="_Toc70941044"/>
      <w:r>
        <w:t>2.0 Background</w:t>
      </w:r>
      <w:bookmarkEnd w:id="1"/>
    </w:p>
    <w:p w:rsidR="00243463" w:rsidRDefault="00AF1252" w:rsidP="00183BCE">
      <w:pPr>
        <w:pStyle w:val="Normal1"/>
        <w:spacing w:line="360" w:lineRule="auto"/>
        <w:jc w:val="both"/>
      </w:pPr>
      <w:r>
        <w:t xml:space="preserve">Technology has brought resolution in healthcare practices worldwide. Doctors and professionals have got a number of opportunities to improve the process of treatment through advanced tools and techniques. Enormous data storage provided by the advanced technology is useful to store the medical data of all the patients in the hospitals. Every single data about the medical conditions of the patients is important to identify the issue. It has also enhanced the administration system of the hospitals and nursing homes. The health care employees and workers are getting motivated in the job as the blinding of technology in medical has enhanced the workforce and reduced the stress among the people. Though technology has developed healthcare worldwide, it is still controversial (Guzman </w:t>
      </w:r>
      <w:r>
        <w:rPr>
          <w:i/>
        </w:rPr>
        <w:t>et al</w:t>
      </w:r>
      <w:r>
        <w:t xml:space="preserve">, 2016). A number of researchers claim that digital and information technology has affected the healthcare practice in a negative way. In a survey it has been observed that many professionals are not taken seriously in the improvement of patients’ health </w:t>
      </w:r>
      <w:r>
        <w:lastRenderedPageBreak/>
        <w:t>as they are completely dependent on technology nowadays.</w:t>
      </w:r>
      <w:r w:rsidR="00B44682">
        <w:t xml:space="preserve"> </w:t>
      </w:r>
      <w:r>
        <w:t xml:space="preserve">Some of the researchers have demonstrated the shortcoming of the digital technology in medical care that </w:t>
      </w:r>
      <w:r w:rsidR="00583361">
        <w:t>is</w:t>
      </w:r>
      <w:r>
        <w:t xml:space="preserve"> getting used widely in the various sectors of healthcare. However, despite the gaps in digital technology, there are still some examples that can be used to identify the advantages of its application in healthcare practices.         </w:t>
      </w:r>
    </w:p>
    <w:p w:rsidR="00243463" w:rsidRDefault="00AF1252" w:rsidP="00183BCE">
      <w:pPr>
        <w:pStyle w:val="Normal1"/>
        <w:spacing w:line="360" w:lineRule="auto"/>
        <w:jc w:val="both"/>
      </w:pPr>
      <w:r>
        <w:t xml:space="preserve">Information technology is the use of science data that allows </w:t>
      </w:r>
      <w:r w:rsidR="00B44682">
        <w:t>storing, retrieving, modifying, implementing and transferring</w:t>
      </w:r>
      <w:r>
        <w:t xml:space="preserve"> the updated information. Health Information technology is playing a significant role in the healthcare system in terms of technology (Burr </w:t>
      </w:r>
      <w:r>
        <w:rPr>
          <w:i/>
        </w:rPr>
        <w:t>et al</w:t>
      </w:r>
      <w:r>
        <w:t xml:space="preserve">., 2020). It helps to store, analyse and share the data of medical information. A patient can identify and gain knowledge about their health record and recommended treatment. A range of technology in healthcare is providing all the required information on the patients and their families. Personal health devices or smart devices are providing current and past records of health, manifesting the symptoms to the patients (Mandel </w:t>
      </w:r>
      <w:r>
        <w:rPr>
          <w:i/>
        </w:rPr>
        <w:t>et al</w:t>
      </w:r>
      <w:r>
        <w:t xml:space="preserve">, 2016). The </w:t>
      </w:r>
      <w:r w:rsidR="00C0700D">
        <w:t>application of digital systems is</w:t>
      </w:r>
      <w:r>
        <w:t xml:space="preserve"> allowing the patients to conduct basic healthcare at the home. It also provides prescriptions and clinical records to the patients. Information system in healthcare is reducing time for treatment by providing all the details as soon as possible. The main motive of the information technology is to provide the patients' better services and promote healthcare equality. It improves the delivery of services to the patients by providing support for the patient’s data. This data is important to implement the guidelines to treat and prevent effectively the spread of diseases in the society.       </w:t>
      </w:r>
    </w:p>
    <w:p w:rsidR="00243463" w:rsidRDefault="00AF1252" w:rsidP="00183BCE">
      <w:pPr>
        <w:pStyle w:val="Normal1"/>
        <w:spacing w:line="360" w:lineRule="auto"/>
        <w:jc w:val="both"/>
      </w:pPr>
      <w:r>
        <w:t xml:space="preserve">Artificial intelligence is one of the fastest growing technologies across the world. Application of Artificial technology in healthcare is allowing </w:t>
      </w:r>
      <w:r w:rsidR="00291736">
        <w:t>big</w:t>
      </w:r>
      <w:r>
        <w:t xml:space="preserve"> data digital technology to improve the treatment worldwide. This technology is useful in examining, streamline and collecting the pat</w:t>
      </w:r>
      <w:r w:rsidR="009A31E5">
        <w:t>ient’s data in the hospitals. T</w:t>
      </w:r>
      <w:r>
        <w:t>h</w:t>
      </w:r>
      <w:r w:rsidR="009A31E5">
        <w:t>e</w:t>
      </w:r>
      <w:r>
        <w:t xml:space="preserve"> technology supports physicians, doctors and other healthcare staff by allowing the access of data on a large scale (Martinez, 2019). Artificial intelligence into the healthcare ecosystem allows the doctors to automate the tasks by analysing the patient’s database. Thus, they can deliver a </w:t>
      </w:r>
      <w:r w:rsidR="001C4D04">
        <w:t>better-quality</w:t>
      </w:r>
      <w:r>
        <w:t xml:space="preserve"> treatment in a short period of time and with a </w:t>
      </w:r>
      <w:r w:rsidR="001C4D04">
        <w:t>low-cost</w:t>
      </w:r>
      <w:r>
        <w:t xml:space="preserve"> budget. The survey stated that 30 percent o</w:t>
      </w:r>
      <w:r w:rsidR="00F716B4">
        <w:t>f medical expenses</w:t>
      </w:r>
      <w:r>
        <w:t xml:space="preserve"> are related to the healthcare management. AI allows the professionals to examine the tasks like checking insurance, pre-proved approvals and time scales etc. AI has the ability to identify a large database of the patients and analyse those data to quick identification of critical areas to mitigate those issues.         </w:t>
      </w:r>
    </w:p>
    <w:p w:rsidR="00243463" w:rsidRDefault="00AF1252" w:rsidP="00183BCE">
      <w:pPr>
        <w:pStyle w:val="Normal1"/>
        <w:spacing w:line="360" w:lineRule="auto"/>
        <w:jc w:val="both"/>
      </w:pPr>
      <w:r>
        <w:t xml:space="preserve">Digital technology is playing an important role in mitigating the </w:t>
      </w:r>
      <w:r w:rsidR="00AD5541">
        <w:t>gap</w:t>
      </w:r>
      <w:r>
        <w:t xml:space="preserve"> between doctors, patients and administrators. Recently the world is facing a pandemic situation which has rigorously affected the health of the world (Literat </w:t>
      </w:r>
      <w:r>
        <w:rPr>
          <w:i/>
        </w:rPr>
        <w:t>et al</w:t>
      </w:r>
      <w:r w:rsidR="00297226">
        <w:rPr>
          <w:i/>
        </w:rPr>
        <w:t>.</w:t>
      </w:r>
      <w:r>
        <w:t>, 2018). The Covid-19 effect has brought a vulnerable situation worldwide.</w:t>
      </w:r>
      <w:r w:rsidR="00B44682">
        <w:t xml:space="preserve"> </w:t>
      </w:r>
      <w:r>
        <w:t xml:space="preserve">Most of the infected patients are getting treated at home through technology to avoid </w:t>
      </w:r>
      <w:r>
        <w:lastRenderedPageBreak/>
        <w:t>public contact. Technological interventions are playing a vital role in improving the medica</w:t>
      </w:r>
      <w:r w:rsidR="009A31E5">
        <w:t>l system across the world. Near</w:t>
      </w:r>
      <w:r>
        <w:t>ly 80 percent of patients' data is online, controlled by the machine. The AI and Big data are currently storing a huge amount of data of worldwide patients. Patients are contacting the doctors through mobile application, AI chat boxes, telephone network etc. Through technology people are able to get health treatment by avoiding human contact. It has been hoped that online treatment of the patient can reduce the risk of spreading corona</w:t>
      </w:r>
      <w:r w:rsidR="002404D9">
        <w:t xml:space="preserve"> </w:t>
      </w:r>
      <w:r>
        <w:t xml:space="preserve">virus in the society and will create value in medical practices.  </w:t>
      </w:r>
    </w:p>
    <w:p w:rsidR="009A31E5" w:rsidRPr="009A31E5" w:rsidRDefault="009A31E5" w:rsidP="00583361">
      <w:pPr>
        <w:pStyle w:val="Heading1"/>
      </w:pPr>
      <w:bookmarkStart w:id="2" w:name="_Toc70941045"/>
      <w:r w:rsidRPr="009A31E5">
        <w:t>3.0 Aim</w:t>
      </w:r>
      <w:bookmarkEnd w:id="2"/>
    </w:p>
    <w:p w:rsidR="009A31E5" w:rsidRDefault="009A31E5" w:rsidP="00183BCE">
      <w:pPr>
        <w:pStyle w:val="Normal1"/>
        <w:spacing w:line="360" w:lineRule="auto"/>
        <w:jc w:val="both"/>
      </w:pPr>
      <w:r>
        <w:t>The aim of the project is discussed followed:</w:t>
      </w:r>
    </w:p>
    <w:p w:rsidR="009A31E5" w:rsidRDefault="009A31E5" w:rsidP="009A31E5">
      <w:pPr>
        <w:pStyle w:val="Normal1"/>
        <w:numPr>
          <w:ilvl w:val="0"/>
          <w:numId w:val="1"/>
        </w:numPr>
        <w:spacing w:line="360" w:lineRule="auto"/>
        <w:jc w:val="both"/>
      </w:pPr>
      <w:r>
        <w:t xml:space="preserve">To understand the concept of </w:t>
      </w:r>
      <w:r w:rsidR="00F716B4">
        <w:t>digital and information technology in healthcare</w:t>
      </w:r>
    </w:p>
    <w:p w:rsidR="00F716B4" w:rsidRDefault="00F716B4" w:rsidP="009A31E5">
      <w:pPr>
        <w:pStyle w:val="Normal1"/>
        <w:numPr>
          <w:ilvl w:val="0"/>
          <w:numId w:val="1"/>
        </w:numPr>
        <w:spacing w:line="360" w:lineRule="auto"/>
        <w:jc w:val="both"/>
      </w:pPr>
      <w:r>
        <w:t>To address the impact of technology in improving the healthcare practices worldwide</w:t>
      </w:r>
    </w:p>
    <w:p w:rsidR="00F716B4" w:rsidRDefault="00D22EC3" w:rsidP="009A31E5">
      <w:pPr>
        <w:pStyle w:val="Normal1"/>
        <w:numPr>
          <w:ilvl w:val="0"/>
          <w:numId w:val="1"/>
        </w:numPr>
        <w:spacing w:line="360" w:lineRule="auto"/>
        <w:jc w:val="both"/>
      </w:pPr>
      <w:r>
        <w:t>To find out effectiveness of technology in mitigating the healthcare issues, especially in the pandemic situation worldwide.</w:t>
      </w:r>
    </w:p>
    <w:p w:rsidR="00583361" w:rsidRDefault="00583361" w:rsidP="00583361">
      <w:pPr>
        <w:pStyle w:val="Heading1"/>
      </w:pPr>
      <w:bookmarkStart w:id="3" w:name="_Toc70941046"/>
      <w:r>
        <w:t xml:space="preserve">4.0 </w:t>
      </w:r>
      <w:r w:rsidRPr="00583361">
        <w:t>Methods</w:t>
      </w:r>
      <w:bookmarkEnd w:id="3"/>
    </w:p>
    <w:p w:rsidR="00243463" w:rsidRPr="00C56FC4" w:rsidRDefault="00AF1252" w:rsidP="00C56FC4">
      <w:pPr>
        <w:rPr>
          <w:b/>
        </w:rPr>
      </w:pPr>
      <w:r w:rsidRPr="00C56FC4">
        <w:rPr>
          <w:b/>
        </w:rPr>
        <w:t>The implemented digital collaboration, participation, and communication</w:t>
      </w:r>
    </w:p>
    <w:p w:rsidR="00243463" w:rsidRDefault="00AF1252" w:rsidP="00183BCE">
      <w:pPr>
        <w:pStyle w:val="Normal1"/>
        <w:spacing w:line="360" w:lineRule="auto"/>
        <w:jc w:val="both"/>
        <w:rPr>
          <w:b/>
          <w:i/>
        </w:rPr>
      </w:pPr>
      <w:r>
        <w:rPr>
          <w:b/>
          <w:i/>
        </w:rPr>
        <w:t>Digital Collaboration</w:t>
      </w:r>
    </w:p>
    <w:p w:rsidR="00243463" w:rsidRDefault="00AF1252" w:rsidP="00183BCE">
      <w:pPr>
        <w:pStyle w:val="Normal1"/>
        <w:spacing w:line="360" w:lineRule="auto"/>
        <w:jc w:val="both"/>
      </w:pPr>
      <w:r>
        <w:t>To attain the organisation's objective, digital cooperation is characterized as the capacity to establish, evaluate, and generate new strategies, project work, investigations, and other organisational function properly. Many group leaders are dedicated to accomplishing the same organisation objectives at many of these occurrences.</w:t>
      </w:r>
      <w:r w:rsidR="002404D9">
        <w:t xml:space="preserve"> </w:t>
      </w:r>
      <w:r>
        <w:t xml:space="preserve">Numerous tools, such as Google Apps, Google Docs, Google Drive, and Google Slides, allow health professionals to collaborate digitally. This is crucial information that many people with the same username and password can access. There are also many digital programs to exchange, such as promotional research social activities with the help of Zoom and Google Meet, as well as other media platforms where members participate via internet video and audio conversations. This Understanding Implications application motivates you to understand both methods in order to learn significantly more intelligence. As a result, collaborative work is nothing other than a centralized transmitted electronically onset of learners. Cloud ID is a facility that is protected to be used wherever. Health professionals can see all subscribers in the centralized server with Cloud Identity, irrespective as to where your physician screens them. Cloud Identity allows technological advancement to comprehend a participant's life expectancy and rapidly keep updating or modify it. Every </w:t>
      </w:r>
      <w:r>
        <w:lastRenderedPageBreak/>
        <w:t>subscriber has only one online profile with Cloud Identity. From a particular viewpoint, Information technology practitioners can keep updating sensitive data for organizations and individuals, instantaneously authenticate software innovations, and manage security settings. Cloud Identity can help deter individuals from posting PHI or PII by enforcing stricter browser policies that control accesses once the operator has left the companion.</w:t>
      </w:r>
    </w:p>
    <w:p w:rsidR="00583361" w:rsidRDefault="00583361" w:rsidP="00583361">
      <w:pPr>
        <w:pStyle w:val="Heading1"/>
      </w:pPr>
      <w:bookmarkStart w:id="4" w:name="_Toc70941047"/>
      <w:r>
        <w:t>5.0 Results</w:t>
      </w:r>
      <w:bookmarkEnd w:id="4"/>
    </w:p>
    <w:p w:rsidR="00583361" w:rsidRPr="00583361" w:rsidRDefault="00583361" w:rsidP="00183BCE">
      <w:pPr>
        <w:pStyle w:val="Normal1"/>
        <w:spacing w:line="360" w:lineRule="auto"/>
        <w:jc w:val="both"/>
        <w:rPr>
          <w:b/>
        </w:rPr>
      </w:pPr>
      <w:r w:rsidRPr="00583361">
        <w:rPr>
          <w:b/>
        </w:rPr>
        <w:t>Secondary Data analysis</w:t>
      </w:r>
    </w:p>
    <w:p w:rsidR="00243463" w:rsidRDefault="00AF1252" w:rsidP="00183BCE">
      <w:pPr>
        <w:pStyle w:val="Normal1"/>
        <w:spacing w:line="360" w:lineRule="auto"/>
        <w:jc w:val="both"/>
        <w:rPr>
          <w:b/>
          <w:i/>
        </w:rPr>
      </w:pPr>
      <w:r>
        <w:rPr>
          <w:b/>
          <w:i/>
        </w:rPr>
        <w:t>Digital Participation</w:t>
      </w:r>
    </w:p>
    <w:p w:rsidR="00243463" w:rsidRDefault="00AF1252" w:rsidP="00183BCE">
      <w:pPr>
        <w:pStyle w:val="Normal1"/>
        <w:spacing w:line="360" w:lineRule="auto"/>
        <w:jc w:val="both"/>
      </w:pPr>
      <w:r>
        <w:t xml:space="preserve">The concept "digital participation" </w:t>
      </w:r>
      <w:r w:rsidR="001C4D04">
        <w:t>refers</w:t>
      </w:r>
      <w:r>
        <w:t xml:space="preserve"> to a person's direct engagement in the digital environment through the use of cutting-edge information and communication technological advancements. Not only does active involvement entail connection to the digital world, but it also entails access to a wide range of internet platforms and subject matter. Social isolation can result from not engaging in the v</w:t>
      </w:r>
      <w:r w:rsidR="002404D9">
        <w:t>irtual environment, but ingress</w:t>
      </w:r>
      <w:r>
        <w:t xml:space="preserve"> to the online connectivity, as well as the capacity and eagerness to make usage of it, can contribute to a feeling of community engagement. The ability to contribute to different digital platforms or conversation online sources is referred to as digital involvement (Facebook, Instagram, </w:t>
      </w:r>
      <w:proofErr w:type="spellStart"/>
      <w:r>
        <w:t>Whatsapp</w:t>
      </w:r>
      <w:proofErr w:type="spellEnd"/>
      <w:r>
        <w:t xml:space="preserve">, Twitter, </w:t>
      </w:r>
      <w:proofErr w:type="spellStart"/>
      <w:r>
        <w:t>Linkedin</w:t>
      </w:r>
      <w:proofErr w:type="spellEnd"/>
      <w:r>
        <w:t>, etc.). Face</w:t>
      </w:r>
      <w:r w:rsidR="002404D9">
        <w:t xml:space="preserve"> </w:t>
      </w:r>
      <w:r>
        <w:t xml:space="preserve">book is utilized to keep in touch with buddies, relatives, and </w:t>
      </w:r>
      <w:proofErr w:type="spellStart"/>
      <w:r>
        <w:t>coworkers</w:t>
      </w:r>
      <w:proofErr w:type="spellEnd"/>
      <w:r>
        <w:t xml:space="preserve">. With the exception of </w:t>
      </w:r>
      <w:proofErr w:type="spellStart"/>
      <w:r>
        <w:t>Linkedin</w:t>
      </w:r>
      <w:proofErr w:type="spellEnd"/>
      <w:r>
        <w:t xml:space="preserve"> or Twitter, Face</w:t>
      </w:r>
      <w:r w:rsidR="002404D9">
        <w:t xml:space="preserve"> </w:t>
      </w:r>
      <w:r>
        <w:t xml:space="preserve">book is predominantly used for private uses, whereas </w:t>
      </w:r>
      <w:proofErr w:type="spellStart"/>
      <w:r>
        <w:t>Linkedin</w:t>
      </w:r>
      <w:proofErr w:type="spellEnd"/>
      <w:r>
        <w:t xml:space="preserve"> is utilized to locate an individual's professional activities. Twitter serves as the prime minister and president for the majority of famous people and other public figures. Permeable pavements are compensated for using internet technology, specifically in the context of the corona virus disease outbreak. Everyone used online platforms to build communication at the time of the community shutdowns. </w:t>
      </w:r>
    </w:p>
    <w:p w:rsidR="00583361" w:rsidRDefault="00583361" w:rsidP="00583361">
      <w:pPr>
        <w:pStyle w:val="Heading1"/>
      </w:pPr>
      <w:bookmarkStart w:id="5" w:name="_Toc70941048"/>
      <w:r>
        <w:t>6.0 Discussion</w:t>
      </w:r>
      <w:bookmarkEnd w:id="5"/>
    </w:p>
    <w:p w:rsidR="00243463" w:rsidRPr="00583361" w:rsidRDefault="00AF1252" w:rsidP="00183BCE">
      <w:pPr>
        <w:pStyle w:val="Normal1"/>
        <w:spacing w:line="360" w:lineRule="auto"/>
        <w:jc w:val="both"/>
        <w:rPr>
          <w:b/>
        </w:rPr>
      </w:pPr>
      <w:r w:rsidRPr="00583361">
        <w:rPr>
          <w:b/>
        </w:rPr>
        <w:t>Digital Communication</w:t>
      </w:r>
    </w:p>
    <w:p w:rsidR="00243463" w:rsidRDefault="00AF1252" w:rsidP="00183BCE">
      <w:pPr>
        <w:pStyle w:val="Normal1"/>
        <w:spacing w:line="360" w:lineRule="auto"/>
        <w:jc w:val="both"/>
      </w:pPr>
      <w:r>
        <w:t xml:space="preserve">It is a form of communicative internet or electronic communications technology, acquiring knowledge, schooling, and information exchange that is utilized to endorse and assist digitized information exchange. Many </w:t>
      </w:r>
      <w:r w:rsidR="002404D9">
        <w:t>internets</w:t>
      </w:r>
      <w:r>
        <w:t xml:space="preserve"> based or digitally delivered classes, instructional videos, workshops, and schoolwork conversations are obtainable. Electronic communications </w:t>
      </w:r>
      <w:proofErr w:type="gramStart"/>
      <w:r>
        <w:t>has</w:t>
      </w:r>
      <w:proofErr w:type="gramEnd"/>
      <w:r>
        <w:t xml:space="preserve"> become increasingly complicated. For instance, industry communicates between Apple, IBM, and other renowned technological firms (Bailey, et al 2017). When using a cohesive communications </w:t>
      </w:r>
      <w:r>
        <w:lastRenderedPageBreak/>
        <w:t xml:space="preserve">network, most organisations seek sound and accountable information exchange for all group members. Furthermore, its </w:t>
      </w:r>
      <w:r w:rsidR="002404D9">
        <w:t>Smartphone</w:t>
      </w:r>
      <w:r>
        <w:t xml:space="preserve"> applications are broadly used, and these digital technologies are designed to assist businesses.</w:t>
      </w:r>
    </w:p>
    <w:p w:rsidR="00243463" w:rsidRPr="00B44682" w:rsidRDefault="00AF1252" w:rsidP="00183BCE">
      <w:pPr>
        <w:pStyle w:val="Normal1"/>
        <w:spacing w:line="360" w:lineRule="auto"/>
        <w:jc w:val="both"/>
        <w:rPr>
          <w:b/>
          <w:i/>
        </w:rPr>
      </w:pPr>
      <w:r w:rsidRPr="00B44682">
        <w:rPr>
          <w:b/>
          <w:i/>
        </w:rPr>
        <w:t>Telehealth</w:t>
      </w:r>
    </w:p>
    <w:p w:rsidR="00243463" w:rsidRDefault="00AF1252" w:rsidP="00183BCE">
      <w:pPr>
        <w:pStyle w:val="Normal1"/>
        <w:spacing w:line="360" w:lineRule="auto"/>
        <w:jc w:val="both"/>
      </w:pPr>
      <w:r>
        <w:t>Telehealth is a service that allows a patient to communicate with doctors ov</w:t>
      </w:r>
      <w:r w:rsidR="00B44682">
        <w:t>er the internet, frequently via</w:t>
      </w:r>
      <w:r>
        <w:t xml:space="preserve"> audio-visual conferencing. Telehealth has a lot of promise for closing the disparity in healthcare outcomes. A service user on the site, for instance, could see a physician without having to cancel a corporate meeting for a prolonged time. Sufferers can reach out to hospitals and doctors who have no prior knowledge of the field. Sufferers can also see their own physician without having to leave the house. This is a great option for customers who need to make the journey for medical purposes. Telehealth is also appealing since it is extremely user-friendly.</w:t>
      </w:r>
    </w:p>
    <w:p w:rsidR="00243463" w:rsidRPr="00583361" w:rsidRDefault="00AF1252" w:rsidP="00583361">
      <w:pPr>
        <w:rPr>
          <w:b/>
        </w:rPr>
      </w:pPr>
      <w:r w:rsidRPr="00583361">
        <w:rPr>
          <w:b/>
        </w:rPr>
        <w:t>Tool for Communicating with Patients' Providers</w:t>
      </w:r>
    </w:p>
    <w:p w:rsidR="00243463" w:rsidRDefault="00AF1252" w:rsidP="00183BCE">
      <w:pPr>
        <w:pStyle w:val="Normal1"/>
        <w:spacing w:line="360" w:lineRule="auto"/>
        <w:jc w:val="both"/>
      </w:pPr>
      <w:r>
        <w:t xml:space="preserve">Sufferers can use the patient provider's messaging tool to immediately adapt to numerous choices with a short statement. The majority of these operating systems are presented via patient engagement from electronic health records suppliers. Physicians and other health professionals can make use of these techniques to answer back to complications that aren't immediately apparent (Mandel, et al 2016). With constructed electronic communications, you'll be capable of finding out when the outcomes of clinical examination would be readily accessible in the sufferer's Electronic health record system, remind the service user to arrange for appointments, or proclaim an invoice closing date. The </w:t>
      </w:r>
      <w:r w:rsidR="002404D9">
        <w:t>patient’s</w:t>
      </w:r>
      <w:r>
        <w:t xml:space="preserve"> </w:t>
      </w:r>
      <w:r w:rsidR="002404D9">
        <w:t>portals allow</w:t>
      </w:r>
      <w:r>
        <w:t xml:space="preserve"> sufferers to view and communicate directly their health history for complimentary.</w:t>
      </w:r>
    </w:p>
    <w:p w:rsidR="00243463" w:rsidRDefault="00AF1252" w:rsidP="00183BCE">
      <w:pPr>
        <w:pStyle w:val="Normal1"/>
        <w:spacing w:line="360" w:lineRule="auto"/>
        <w:jc w:val="both"/>
      </w:pPr>
      <w:r>
        <w:t>Identification, well-being, and security in the digital age</w:t>
      </w:r>
    </w:p>
    <w:p w:rsidR="00243463" w:rsidRDefault="00AF1252" w:rsidP="00183BCE">
      <w:pPr>
        <w:pStyle w:val="Normal1"/>
        <w:spacing w:line="360" w:lineRule="auto"/>
        <w:jc w:val="both"/>
      </w:pPr>
      <w:r>
        <w:t xml:space="preserve">An ordinary person can use a variety of methods to protect their technology platform. To begin, the ordinary person should use password-protected equipment that no </w:t>
      </w:r>
      <w:r w:rsidR="00B44682">
        <w:t>one else can decipher. Numerous</w:t>
      </w:r>
      <w:r>
        <w:t xml:space="preserve"> symbols, figures, and capital letters must all be included in the passcodes. Credentials predicated on pet identities, contact information, and anniversaries must be managed to avoid (Burr, et al 2020). Keeping digital identities protected is critical, and failing to do so could pose a serious threat to many administrative and public organizations. There are many Information technology cell entities with comprehensive hacking capabilities. As a result, maintaining electronic quality of life is critical. </w:t>
      </w:r>
    </w:p>
    <w:p w:rsidR="00243463" w:rsidRDefault="00AF1252" w:rsidP="00183BCE">
      <w:pPr>
        <w:pStyle w:val="Normal1"/>
        <w:spacing w:line="360" w:lineRule="auto"/>
        <w:jc w:val="both"/>
      </w:pPr>
      <w:r>
        <w:t>Digital literacy as a tool for professional advancement</w:t>
      </w:r>
    </w:p>
    <w:p w:rsidR="00243463" w:rsidRDefault="00AF1252" w:rsidP="00183BCE">
      <w:pPr>
        <w:pStyle w:val="Normal1"/>
        <w:spacing w:line="360" w:lineRule="auto"/>
        <w:jc w:val="both"/>
      </w:pPr>
      <w:r>
        <w:t xml:space="preserve">The development of electronic literacy relates to the procedure of increasing employment through the use of virtual education and development. Humans with virtual experience and competencies are always given higher priority by employers. Most businesses and multinational corporations </w:t>
      </w:r>
      <w:r>
        <w:lastRenderedPageBreak/>
        <w:t xml:space="preserve">(MNCs) are looking for people who are familiar with software development, hardware operational activities, and application operational activities. With the aid of online literacy, community is metamorphosed into a digitized community in which every ordinary person is equipped to handle digital technology and is well-versed in its numerous benefits and drawbacks, as well as responsible use of electronic content (Collin, and </w:t>
      </w:r>
      <w:proofErr w:type="spellStart"/>
      <w:r>
        <w:t>Swist</w:t>
      </w:r>
      <w:proofErr w:type="spellEnd"/>
      <w:r>
        <w:t>, 2016).</w:t>
      </w:r>
    </w:p>
    <w:p w:rsidR="00243463" w:rsidRDefault="00AF1252" w:rsidP="00183BCE">
      <w:pPr>
        <w:pStyle w:val="Normal1"/>
        <w:spacing w:line="360" w:lineRule="auto"/>
        <w:jc w:val="both"/>
      </w:pPr>
      <w:r>
        <w:t>Technical expertise is important for transferring knowledge and documents.</w:t>
      </w:r>
    </w:p>
    <w:p w:rsidR="00243463" w:rsidRDefault="00AF1252" w:rsidP="00183BCE">
      <w:pPr>
        <w:pStyle w:val="Normal1"/>
        <w:spacing w:line="360" w:lineRule="auto"/>
        <w:jc w:val="both"/>
      </w:pPr>
      <w:r>
        <w:t xml:space="preserve">It is critical to be conscious of the implications of electronic competency. Following the corona virus outbreak, the total educational structure was converted to an online channel, allowing learners to know from the comfort of their own home. In addition, academic and business people have begun communicating with one another and holding conferences via internet digital services from the comfortability of their own homes. </w:t>
      </w:r>
      <w:r w:rsidR="001C4D04">
        <w:t>Thus,</w:t>
      </w:r>
      <w:r>
        <w:t xml:space="preserve"> it is critical to keep the online technologies up to date (Guzman, et al 2016).</w:t>
      </w:r>
    </w:p>
    <w:p w:rsidR="00243463" w:rsidRDefault="00AE654C" w:rsidP="00583361">
      <w:pPr>
        <w:pStyle w:val="Heading1"/>
      </w:pPr>
      <w:bookmarkStart w:id="6" w:name="_Toc70941049"/>
      <w:r>
        <w:t xml:space="preserve">7.0 </w:t>
      </w:r>
      <w:r w:rsidR="00AF1252">
        <w:t>Conclusion</w:t>
      </w:r>
      <w:bookmarkEnd w:id="6"/>
    </w:p>
    <w:p w:rsidR="00243463" w:rsidRDefault="00AF1252" w:rsidP="00183BCE">
      <w:pPr>
        <w:pStyle w:val="Normal1"/>
        <w:spacing w:line="360" w:lineRule="auto"/>
        <w:jc w:val="both"/>
      </w:pPr>
      <w:r>
        <w:t>To sum up, having electronic competency and understanding provides a person a competitive advantage over the competition. Digital literacy and availability of digitized resource management should be available to everyone. The study has efficiently covered all of the important aspects of digital awareness. Human beings must hone their skill sets in picture higher education, venturing education, digital marketing, mass communication education, propagation education, technological understandings, and so forth.</w:t>
      </w:r>
    </w:p>
    <w:p w:rsidR="00243463" w:rsidRDefault="00AF1252" w:rsidP="00183BCE">
      <w:pPr>
        <w:pStyle w:val="Normal1"/>
        <w:spacing w:line="360" w:lineRule="auto"/>
        <w:jc w:val="both"/>
        <w:rPr>
          <w:b/>
        </w:rPr>
      </w:pPr>
      <w:r>
        <w:br w:type="page"/>
      </w:r>
    </w:p>
    <w:p w:rsidR="00243463" w:rsidRDefault="00AF1252" w:rsidP="00583361">
      <w:pPr>
        <w:pStyle w:val="Heading1"/>
      </w:pPr>
      <w:bookmarkStart w:id="7" w:name="_Toc70941050"/>
      <w:r>
        <w:lastRenderedPageBreak/>
        <w:t>References</w:t>
      </w:r>
      <w:bookmarkEnd w:id="7"/>
    </w:p>
    <w:p w:rsidR="00485DD7" w:rsidRDefault="00485DD7" w:rsidP="00183BCE">
      <w:pPr>
        <w:pStyle w:val="Normal1"/>
        <w:spacing w:line="360" w:lineRule="auto"/>
        <w:jc w:val="both"/>
      </w:pPr>
      <w:r>
        <w:t xml:space="preserve">Bailey, Z.D., Krieger, N., </w:t>
      </w:r>
      <w:proofErr w:type="spellStart"/>
      <w:r>
        <w:t>Agénor</w:t>
      </w:r>
      <w:proofErr w:type="spellEnd"/>
      <w:r>
        <w:t xml:space="preserve">, M., Graves, J., Linos, N. and Bassett, M.T., (2017). Structural racism and health inequities in the USA: evidence and interventions. The Lancet, 389(10077), pp.1453-1463. </w:t>
      </w:r>
    </w:p>
    <w:p w:rsidR="00485DD7" w:rsidRDefault="00485DD7" w:rsidP="00183BCE">
      <w:pPr>
        <w:pStyle w:val="Normal1"/>
        <w:spacing w:line="360" w:lineRule="auto"/>
        <w:jc w:val="both"/>
      </w:pPr>
      <w:r>
        <w:t>biomedical engineering, 2(10), pp.719-731.</w:t>
      </w:r>
    </w:p>
    <w:p w:rsidR="00485DD7" w:rsidRDefault="00485DD7" w:rsidP="00183BCE">
      <w:pPr>
        <w:pStyle w:val="Normal1"/>
        <w:spacing w:line="360" w:lineRule="auto"/>
        <w:jc w:val="both"/>
      </w:pPr>
      <w:proofErr w:type="spellStart"/>
      <w:r>
        <w:t>Blau</w:t>
      </w:r>
      <w:proofErr w:type="spellEnd"/>
      <w:r>
        <w:t xml:space="preserve">, I., Shamir </w:t>
      </w:r>
      <w:proofErr w:type="spellStart"/>
      <w:r>
        <w:t>Inbal</w:t>
      </w:r>
      <w:proofErr w:type="spellEnd"/>
      <w:r>
        <w:t xml:space="preserve">, T. and </w:t>
      </w:r>
      <w:proofErr w:type="spellStart"/>
      <w:r>
        <w:t>Hadad</w:t>
      </w:r>
      <w:proofErr w:type="spellEnd"/>
      <w:r>
        <w:t xml:space="preserve">, S., (2020). Digital collaborative learning in elementary and middle schools as a function of individualistic and collectivistic culture: The role of ICT coordinators' leadership experience, students' collaboration skills, and sustainability. Journal of computer assisted learning, 36(5), pp.672-687. </w:t>
      </w:r>
    </w:p>
    <w:p w:rsidR="00485DD7" w:rsidRDefault="00485DD7" w:rsidP="00183BCE">
      <w:pPr>
        <w:pStyle w:val="Normal1"/>
        <w:spacing w:line="360" w:lineRule="auto"/>
        <w:jc w:val="both"/>
      </w:pPr>
      <w:r>
        <w:t xml:space="preserve">Burr, C., Taddeo, M. and </w:t>
      </w:r>
      <w:proofErr w:type="spellStart"/>
      <w:r>
        <w:t>Floridi</w:t>
      </w:r>
      <w:proofErr w:type="spellEnd"/>
      <w:r>
        <w:t xml:space="preserve">, L., (2020). The ethics of digital well-being: a thematic review. Science and engineering ethics, pp.1-31. </w:t>
      </w:r>
    </w:p>
    <w:p w:rsidR="00485DD7" w:rsidRDefault="00485DD7" w:rsidP="00183BCE">
      <w:pPr>
        <w:pStyle w:val="Normal1"/>
        <w:spacing w:line="360" w:lineRule="auto"/>
        <w:jc w:val="both"/>
      </w:pPr>
      <w:r>
        <w:t xml:space="preserve">Collin, P. and </w:t>
      </w:r>
      <w:proofErr w:type="spellStart"/>
      <w:r>
        <w:t>Swist</w:t>
      </w:r>
      <w:proofErr w:type="spellEnd"/>
      <w:r>
        <w:t xml:space="preserve">, T., (2016). From products to publics? The potential of participatory design for research on youth, safety and well-being. Journal of Youth Studies, 19(3), pp.305-318. </w:t>
      </w:r>
    </w:p>
    <w:p w:rsidR="00485DD7" w:rsidRDefault="00485DD7" w:rsidP="00183BCE">
      <w:pPr>
        <w:pStyle w:val="Normal1"/>
        <w:spacing w:line="360" w:lineRule="auto"/>
        <w:jc w:val="both"/>
      </w:pPr>
      <w:r>
        <w:t xml:space="preserve">Emanuel, E.J. and Wachter, R.M., (2019). Artificial intelligence in health care: will the value match </w:t>
      </w:r>
    </w:p>
    <w:p w:rsidR="00485DD7" w:rsidRDefault="00485DD7" w:rsidP="00183BCE">
      <w:pPr>
        <w:pStyle w:val="Normal1"/>
        <w:spacing w:line="360" w:lineRule="auto"/>
        <w:jc w:val="both"/>
      </w:pPr>
      <w:r>
        <w:t xml:space="preserve">Guzman, E., </w:t>
      </w:r>
      <w:proofErr w:type="spellStart"/>
      <w:r>
        <w:t>Alkadhi</w:t>
      </w:r>
      <w:proofErr w:type="spellEnd"/>
      <w:r>
        <w:t xml:space="preserve">, R. and </w:t>
      </w:r>
      <w:proofErr w:type="spellStart"/>
      <w:r>
        <w:t>Seyff</w:t>
      </w:r>
      <w:proofErr w:type="spellEnd"/>
      <w:r>
        <w:t xml:space="preserve">, N., (2016), September. A needle in a haystack: What do twitter users say about </w:t>
      </w:r>
      <w:r w:rsidR="001C4D04">
        <w:t>software?</w:t>
      </w:r>
      <w:r>
        <w:t xml:space="preserve"> In 2016 IEEE 24th International Requirements Engineering Conference (RE) (pp. 96-105). IEEE. </w:t>
      </w:r>
    </w:p>
    <w:p w:rsidR="00485DD7" w:rsidRDefault="00485DD7" w:rsidP="00183BCE">
      <w:pPr>
        <w:pStyle w:val="Normal1"/>
        <w:spacing w:line="360" w:lineRule="auto"/>
        <w:jc w:val="both"/>
      </w:pPr>
      <w:proofErr w:type="spellStart"/>
      <w:r>
        <w:t>Hölbl</w:t>
      </w:r>
      <w:proofErr w:type="spellEnd"/>
      <w:r>
        <w:t xml:space="preserve">, M., </w:t>
      </w:r>
      <w:proofErr w:type="spellStart"/>
      <w:r>
        <w:t>Kompara</w:t>
      </w:r>
      <w:proofErr w:type="spellEnd"/>
      <w:r>
        <w:t xml:space="preserve">, M., </w:t>
      </w:r>
      <w:proofErr w:type="spellStart"/>
      <w:r>
        <w:t>Kamišalic</w:t>
      </w:r>
      <w:proofErr w:type="spellEnd"/>
      <w:r>
        <w:t xml:space="preserve">́, A. and </w:t>
      </w:r>
      <w:proofErr w:type="spellStart"/>
      <w:r>
        <w:t>Nemec</w:t>
      </w:r>
      <w:proofErr w:type="spellEnd"/>
      <w:r>
        <w:t xml:space="preserve"> </w:t>
      </w:r>
      <w:proofErr w:type="spellStart"/>
      <w:r>
        <w:t>Zlatolas</w:t>
      </w:r>
      <w:proofErr w:type="spellEnd"/>
      <w:r>
        <w:t xml:space="preserve">, L., (2018). A systematic review of the use of blockchain in healthcare. Symmetry, 10(10), p.470. </w:t>
      </w:r>
    </w:p>
    <w:p w:rsidR="00485DD7" w:rsidRDefault="00485DD7" w:rsidP="00183BCE">
      <w:pPr>
        <w:pStyle w:val="Normal1"/>
        <w:spacing w:line="360" w:lineRule="auto"/>
        <w:jc w:val="both"/>
      </w:pPr>
      <w:r>
        <w:t xml:space="preserve">Literat, I., </w:t>
      </w:r>
      <w:proofErr w:type="spellStart"/>
      <w:r>
        <w:t>Kligler-Vilenchik</w:t>
      </w:r>
      <w:proofErr w:type="spellEnd"/>
      <w:r>
        <w:t xml:space="preserve">, N., Brough, M. and Blum-Ross, A., (2018). </w:t>
      </w:r>
      <w:proofErr w:type="spellStart"/>
      <w:r>
        <w:t>Analyzing</w:t>
      </w:r>
      <w:proofErr w:type="spellEnd"/>
      <w:r>
        <w:t xml:space="preserve"> youth digital participation: Aims, actors, contexts and intensities. The Information Society, 34(4), pp.261-273. </w:t>
      </w:r>
    </w:p>
    <w:p w:rsidR="00485DD7" w:rsidRDefault="00485DD7" w:rsidP="00183BCE">
      <w:pPr>
        <w:pStyle w:val="Normal1"/>
        <w:spacing w:line="360" w:lineRule="auto"/>
        <w:jc w:val="both"/>
      </w:pPr>
      <w:r>
        <w:t xml:space="preserve">Mandel, J.C., </w:t>
      </w:r>
      <w:proofErr w:type="spellStart"/>
      <w:r>
        <w:t>Kreda</w:t>
      </w:r>
      <w:proofErr w:type="spellEnd"/>
      <w:r>
        <w:t xml:space="preserve">, D.A., Mandl, K.D., </w:t>
      </w:r>
      <w:proofErr w:type="spellStart"/>
      <w:r>
        <w:t>Kohane</w:t>
      </w:r>
      <w:proofErr w:type="spellEnd"/>
      <w:r>
        <w:t xml:space="preserve">, I.S. and </w:t>
      </w:r>
      <w:proofErr w:type="spellStart"/>
      <w:r>
        <w:t>Ramoni</w:t>
      </w:r>
      <w:proofErr w:type="spellEnd"/>
      <w:r>
        <w:t xml:space="preserve">, R.B., (2016). SMART on FHIR: a standards-based, interoperable apps platform for electronic health records. Journal of the American Medical Informatics Association, 23(5), pp.899-908. </w:t>
      </w:r>
    </w:p>
    <w:p w:rsidR="00485DD7" w:rsidRDefault="00485DD7" w:rsidP="00183BCE">
      <w:pPr>
        <w:pStyle w:val="Normal1"/>
        <w:spacing w:line="360" w:lineRule="auto"/>
        <w:jc w:val="both"/>
      </w:pPr>
      <w:r>
        <w:t xml:space="preserve">Martinez, F., (2019). Process excellence the key for digitalisation. Business Process Management Journal. </w:t>
      </w:r>
    </w:p>
    <w:p w:rsidR="00485DD7" w:rsidRDefault="00485DD7" w:rsidP="00183BCE">
      <w:pPr>
        <w:pStyle w:val="Normal1"/>
        <w:spacing w:line="360" w:lineRule="auto"/>
        <w:jc w:val="both"/>
      </w:pPr>
      <w:r>
        <w:t xml:space="preserve">Page | 9 </w:t>
      </w:r>
    </w:p>
    <w:p w:rsidR="00485DD7" w:rsidRDefault="00485DD7" w:rsidP="00183BCE">
      <w:pPr>
        <w:pStyle w:val="Normal1"/>
        <w:spacing w:line="360" w:lineRule="auto"/>
        <w:jc w:val="both"/>
      </w:pPr>
      <w:r>
        <w:t xml:space="preserve">the </w:t>
      </w:r>
      <w:r w:rsidR="001C4D04">
        <w:t>hype?</w:t>
      </w:r>
      <w:r>
        <w:t xml:space="preserve"> Jama, 321(23), pp.2281-2282. </w:t>
      </w:r>
    </w:p>
    <w:p w:rsidR="00485DD7" w:rsidRDefault="00485DD7" w:rsidP="00183BCE">
      <w:pPr>
        <w:pStyle w:val="Normal1"/>
        <w:spacing w:line="360" w:lineRule="auto"/>
        <w:jc w:val="both"/>
      </w:pPr>
      <w:r>
        <w:t>Webster, A. and Wyatt, S., (2020). Health, technology and society. Springer Singapore.</w:t>
      </w:r>
    </w:p>
    <w:p w:rsidR="00485DD7" w:rsidRDefault="00485DD7" w:rsidP="00183BCE">
      <w:pPr>
        <w:pStyle w:val="Normal1"/>
        <w:spacing w:line="360" w:lineRule="auto"/>
        <w:jc w:val="both"/>
      </w:pPr>
      <w:r>
        <w:t xml:space="preserve">Yu, K.H., Beam, A.L. and </w:t>
      </w:r>
      <w:proofErr w:type="spellStart"/>
      <w:r>
        <w:t>Kohane</w:t>
      </w:r>
      <w:proofErr w:type="spellEnd"/>
      <w:r>
        <w:t xml:space="preserve">, I.S., 2018. Artificial intelligence in healthcare. Nature </w:t>
      </w:r>
    </w:p>
    <w:p w:rsidR="00243463" w:rsidRDefault="00243463" w:rsidP="00183BCE">
      <w:pPr>
        <w:pStyle w:val="Normal1"/>
        <w:spacing w:line="360" w:lineRule="auto"/>
        <w:jc w:val="both"/>
      </w:pPr>
    </w:p>
    <w:p w:rsidR="00243463" w:rsidRDefault="00243463" w:rsidP="00183BCE">
      <w:pPr>
        <w:pStyle w:val="Normal1"/>
        <w:spacing w:line="360" w:lineRule="auto"/>
        <w:jc w:val="both"/>
      </w:pPr>
    </w:p>
    <w:p w:rsidR="00243463" w:rsidRDefault="00243463" w:rsidP="00183BCE">
      <w:pPr>
        <w:pStyle w:val="Normal1"/>
        <w:spacing w:line="360" w:lineRule="auto"/>
        <w:jc w:val="both"/>
      </w:pPr>
    </w:p>
    <w:p w:rsidR="00243463" w:rsidRDefault="00243463" w:rsidP="00183BCE">
      <w:pPr>
        <w:pStyle w:val="Normal1"/>
        <w:spacing w:line="360" w:lineRule="auto"/>
        <w:jc w:val="both"/>
      </w:pPr>
      <w:bookmarkStart w:id="8" w:name="_GoBack"/>
      <w:bookmarkEnd w:id="8"/>
    </w:p>
    <w:sectPr w:rsidR="00243463" w:rsidSect="002404D9">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8D4" w:rsidRDefault="009C78D4" w:rsidP="002404D9">
      <w:pPr>
        <w:spacing w:line="240" w:lineRule="auto"/>
      </w:pPr>
      <w:r>
        <w:separator/>
      </w:r>
    </w:p>
  </w:endnote>
  <w:endnote w:type="continuationSeparator" w:id="0">
    <w:p w:rsidR="009C78D4" w:rsidRDefault="009C78D4" w:rsidP="002404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6215157"/>
      <w:docPartObj>
        <w:docPartGallery w:val="Page Numbers (Bottom of Page)"/>
        <w:docPartUnique/>
      </w:docPartObj>
    </w:sdtPr>
    <w:sdtEndPr/>
    <w:sdtContent>
      <w:p w:rsidR="002404D9" w:rsidRDefault="002404D9">
        <w:pPr>
          <w:pStyle w:val="Footer"/>
          <w:jc w:val="right"/>
        </w:pPr>
        <w:r>
          <w:t xml:space="preserve">Page | </w:t>
        </w:r>
        <w:r w:rsidR="00990608">
          <w:fldChar w:fldCharType="begin"/>
        </w:r>
        <w:r w:rsidR="00990608">
          <w:instrText xml:space="preserve"> PAGE   \* MERGEFORMAT </w:instrText>
        </w:r>
        <w:r w:rsidR="00990608">
          <w:fldChar w:fldCharType="separate"/>
        </w:r>
        <w:r w:rsidR="00AE654C">
          <w:rPr>
            <w:noProof/>
          </w:rPr>
          <w:t>2</w:t>
        </w:r>
        <w:r w:rsidR="00990608">
          <w:rPr>
            <w:noProof/>
          </w:rPr>
          <w:fldChar w:fldCharType="end"/>
        </w:r>
        <w:r>
          <w:t xml:space="preserve"> </w:t>
        </w:r>
      </w:p>
    </w:sdtContent>
  </w:sdt>
  <w:p w:rsidR="002404D9" w:rsidRDefault="00240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8D4" w:rsidRDefault="009C78D4" w:rsidP="002404D9">
      <w:pPr>
        <w:spacing w:line="240" w:lineRule="auto"/>
      </w:pPr>
      <w:r>
        <w:separator/>
      </w:r>
    </w:p>
  </w:footnote>
  <w:footnote w:type="continuationSeparator" w:id="0">
    <w:p w:rsidR="009C78D4" w:rsidRDefault="009C78D4" w:rsidP="002404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D463F4"/>
    <w:multiLevelType w:val="hybridMultilevel"/>
    <w:tmpl w:val="8EFC00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63"/>
    <w:rsid w:val="00077980"/>
    <w:rsid w:val="000D3B26"/>
    <w:rsid w:val="00112AAC"/>
    <w:rsid w:val="00183BCE"/>
    <w:rsid w:val="001C4D04"/>
    <w:rsid w:val="002404D9"/>
    <w:rsid w:val="00243463"/>
    <w:rsid w:val="00291736"/>
    <w:rsid w:val="00297226"/>
    <w:rsid w:val="003608DD"/>
    <w:rsid w:val="00485DD7"/>
    <w:rsid w:val="00583361"/>
    <w:rsid w:val="006652F1"/>
    <w:rsid w:val="00771714"/>
    <w:rsid w:val="00990608"/>
    <w:rsid w:val="009A31E5"/>
    <w:rsid w:val="009B240B"/>
    <w:rsid w:val="009C78D4"/>
    <w:rsid w:val="00AA6379"/>
    <w:rsid w:val="00AD5541"/>
    <w:rsid w:val="00AE654C"/>
    <w:rsid w:val="00AF1252"/>
    <w:rsid w:val="00B44682"/>
    <w:rsid w:val="00C0700D"/>
    <w:rsid w:val="00C44020"/>
    <w:rsid w:val="00C56FC4"/>
    <w:rsid w:val="00CF1795"/>
    <w:rsid w:val="00D22EC3"/>
    <w:rsid w:val="00EE0158"/>
    <w:rsid w:val="00F716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9B93"/>
  <w15:docId w15:val="{A9350F6D-9383-EE45-8C9D-1D9A509E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020"/>
  </w:style>
  <w:style w:type="paragraph" w:styleId="Heading1">
    <w:name w:val="heading 1"/>
    <w:basedOn w:val="Normal1"/>
    <w:next w:val="Normal1"/>
    <w:autoRedefine/>
    <w:rsid w:val="00583361"/>
    <w:pPr>
      <w:keepNext/>
      <w:keepLines/>
      <w:spacing w:before="400" w:after="120" w:line="360" w:lineRule="auto"/>
      <w:jc w:val="both"/>
      <w:outlineLvl w:val="0"/>
    </w:pPr>
    <w:rPr>
      <w:b/>
      <w:szCs w:val="40"/>
    </w:rPr>
  </w:style>
  <w:style w:type="paragraph" w:styleId="Heading2">
    <w:name w:val="heading 2"/>
    <w:basedOn w:val="Normal1"/>
    <w:next w:val="Normal1"/>
    <w:autoRedefine/>
    <w:rsid w:val="00B44682"/>
    <w:pPr>
      <w:keepNext/>
      <w:keepLines/>
      <w:spacing w:before="360" w:after="120" w:line="360" w:lineRule="auto"/>
      <w:outlineLvl w:val="1"/>
    </w:pPr>
    <w:rPr>
      <w:b/>
      <w:szCs w:val="32"/>
    </w:rPr>
  </w:style>
  <w:style w:type="paragraph" w:styleId="Heading3">
    <w:name w:val="heading 3"/>
    <w:basedOn w:val="Normal1"/>
    <w:next w:val="Normal1"/>
    <w:rsid w:val="00243463"/>
    <w:pPr>
      <w:keepNext/>
      <w:keepLines/>
      <w:spacing w:before="320" w:after="80"/>
      <w:outlineLvl w:val="2"/>
    </w:pPr>
    <w:rPr>
      <w:color w:val="434343"/>
      <w:sz w:val="28"/>
      <w:szCs w:val="28"/>
    </w:rPr>
  </w:style>
  <w:style w:type="paragraph" w:styleId="Heading4">
    <w:name w:val="heading 4"/>
    <w:basedOn w:val="Normal1"/>
    <w:next w:val="Normal1"/>
    <w:rsid w:val="00243463"/>
    <w:pPr>
      <w:keepNext/>
      <w:keepLines/>
      <w:spacing w:before="280" w:after="80"/>
      <w:outlineLvl w:val="3"/>
    </w:pPr>
    <w:rPr>
      <w:color w:val="666666"/>
      <w:sz w:val="24"/>
      <w:szCs w:val="24"/>
    </w:rPr>
  </w:style>
  <w:style w:type="paragraph" w:styleId="Heading5">
    <w:name w:val="heading 5"/>
    <w:basedOn w:val="Normal1"/>
    <w:next w:val="Normal1"/>
    <w:rsid w:val="00243463"/>
    <w:pPr>
      <w:keepNext/>
      <w:keepLines/>
      <w:spacing w:before="240" w:after="80"/>
      <w:outlineLvl w:val="4"/>
    </w:pPr>
    <w:rPr>
      <w:color w:val="666666"/>
    </w:rPr>
  </w:style>
  <w:style w:type="paragraph" w:styleId="Heading6">
    <w:name w:val="heading 6"/>
    <w:basedOn w:val="Normal1"/>
    <w:next w:val="Normal1"/>
    <w:rsid w:val="002434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43463"/>
  </w:style>
  <w:style w:type="paragraph" w:styleId="Title">
    <w:name w:val="Title"/>
    <w:basedOn w:val="Normal1"/>
    <w:next w:val="Normal1"/>
    <w:rsid w:val="00243463"/>
    <w:pPr>
      <w:keepNext/>
      <w:keepLines/>
      <w:spacing w:after="60"/>
    </w:pPr>
    <w:rPr>
      <w:sz w:val="52"/>
      <w:szCs w:val="52"/>
    </w:rPr>
  </w:style>
  <w:style w:type="paragraph" w:styleId="Subtitle">
    <w:name w:val="Subtitle"/>
    <w:basedOn w:val="Normal1"/>
    <w:next w:val="Normal1"/>
    <w:rsid w:val="00243463"/>
    <w:pPr>
      <w:keepNext/>
      <w:keepLines/>
      <w:spacing w:after="320"/>
    </w:pPr>
    <w:rPr>
      <w:color w:val="666666"/>
      <w:sz w:val="30"/>
      <w:szCs w:val="30"/>
    </w:rPr>
  </w:style>
  <w:style w:type="paragraph" w:styleId="Header">
    <w:name w:val="header"/>
    <w:basedOn w:val="Normal"/>
    <w:link w:val="HeaderChar"/>
    <w:uiPriority w:val="99"/>
    <w:semiHidden/>
    <w:unhideWhenUsed/>
    <w:rsid w:val="002404D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404D9"/>
  </w:style>
  <w:style w:type="paragraph" w:styleId="Footer">
    <w:name w:val="footer"/>
    <w:basedOn w:val="Normal"/>
    <w:link w:val="FooterChar"/>
    <w:uiPriority w:val="99"/>
    <w:unhideWhenUsed/>
    <w:rsid w:val="002404D9"/>
    <w:pPr>
      <w:tabs>
        <w:tab w:val="center" w:pos="4513"/>
        <w:tab w:val="right" w:pos="9026"/>
      </w:tabs>
      <w:spacing w:line="240" w:lineRule="auto"/>
    </w:pPr>
  </w:style>
  <w:style w:type="character" w:customStyle="1" w:styleId="FooterChar">
    <w:name w:val="Footer Char"/>
    <w:basedOn w:val="DefaultParagraphFont"/>
    <w:link w:val="Footer"/>
    <w:uiPriority w:val="99"/>
    <w:rsid w:val="002404D9"/>
  </w:style>
  <w:style w:type="paragraph" w:styleId="TOCHeading">
    <w:name w:val="TOC Heading"/>
    <w:basedOn w:val="Heading1"/>
    <w:next w:val="Normal"/>
    <w:uiPriority w:val="39"/>
    <w:unhideWhenUsed/>
    <w:qFormat/>
    <w:rsid w:val="002404D9"/>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404D9"/>
    <w:pPr>
      <w:spacing w:after="100"/>
    </w:pPr>
  </w:style>
  <w:style w:type="paragraph" w:styleId="TOC2">
    <w:name w:val="toc 2"/>
    <w:basedOn w:val="Normal"/>
    <w:next w:val="Normal"/>
    <w:autoRedefine/>
    <w:uiPriority w:val="39"/>
    <w:unhideWhenUsed/>
    <w:rsid w:val="002404D9"/>
    <w:pPr>
      <w:spacing w:after="100"/>
      <w:ind w:left="220"/>
    </w:pPr>
  </w:style>
  <w:style w:type="character" w:styleId="Hyperlink">
    <w:name w:val="Hyperlink"/>
    <w:basedOn w:val="DefaultParagraphFont"/>
    <w:uiPriority w:val="99"/>
    <w:unhideWhenUsed/>
    <w:rsid w:val="002404D9"/>
    <w:rPr>
      <w:color w:val="0000FF" w:themeColor="hyperlink"/>
      <w:u w:val="single"/>
    </w:rPr>
  </w:style>
  <w:style w:type="paragraph" w:styleId="BalloonText">
    <w:name w:val="Balloon Text"/>
    <w:basedOn w:val="Normal"/>
    <w:link w:val="BalloonTextChar"/>
    <w:uiPriority w:val="99"/>
    <w:semiHidden/>
    <w:unhideWhenUsed/>
    <w:rsid w:val="002404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AA3CA-3D14-4E12-AC8B-CD6248C2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2741</Words>
  <Characters>15625</Characters>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2021-05-03T11:30:00Z</dcterms:created>
  <dcterms:modified xsi:type="dcterms:W3CDTF">2021-05-03T11:30:00Z</dcterms:modified>
</cp:coreProperties>
</file>