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DA493" w14:textId="77777777" w:rsidR="00634544" w:rsidRDefault="00634544" w:rsidP="00634544">
      <w:pPr>
        <w:spacing w:line="360" w:lineRule="auto"/>
        <w:jc w:val="center"/>
        <w:rPr>
          <w:rFonts w:ascii="Arial" w:hAnsi="Arial" w:cs="Arial"/>
          <w:sz w:val="22"/>
          <w:szCs w:val="22"/>
          <w:lang w:val="en-GB"/>
        </w:rPr>
      </w:pPr>
    </w:p>
    <w:p w14:paraId="51844554" w14:textId="77777777" w:rsidR="00634544" w:rsidRDefault="00634544" w:rsidP="00634544">
      <w:pPr>
        <w:spacing w:line="360" w:lineRule="auto"/>
        <w:jc w:val="center"/>
        <w:rPr>
          <w:rFonts w:ascii="Arial" w:hAnsi="Arial" w:cs="Arial"/>
          <w:sz w:val="22"/>
          <w:szCs w:val="22"/>
          <w:lang w:val="en-GB"/>
        </w:rPr>
      </w:pPr>
    </w:p>
    <w:p w14:paraId="5D786995" w14:textId="77777777" w:rsidR="00634544" w:rsidRDefault="00634544" w:rsidP="00634544">
      <w:pPr>
        <w:spacing w:line="360" w:lineRule="auto"/>
        <w:jc w:val="center"/>
        <w:rPr>
          <w:rFonts w:ascii="Arial" w:hAnsi="Arial" w:cs="Arial"/>
          <w:sz w:val="22"/>
          <w:szCs w:val="22"/>
          <w:lang w:val="en-GB"/>
        </w:rPr>
      </w:pPr>
    </w:p>
    <w:p w14:paraId="04C1BD3C" w14:textId="77777777" w:rsidR="00634544" w:rsidRDefault="00634544" w:rsidP="00634544">
      <w:pPr>
        <w:spacing w:line="360" w:lineRule="auto"/>
        <w:jc w:val="center"/>
        <w:rPr>
          <w:rFonts w:ascii="Arial" w:hAnsi="Arial" w:cs="Arial"/>
          <w:sz w:val="22"/>
          <w:szCs w:val="22"/>
          <w:lang w:val="en-GB"/>
        </w:rPr>
      </w:pPr>
    </w:p>
    <w:p w14:paraId="6FA61AF7" w14:textId="77777777" w:rsidR="00634544" w:rsidRDefault="00634544" w:rsidP="00634544">
      <w:pPr>
        <w:spacing w:line="360" w:lineRule="auto"/>
        <w:jc w:val="center"/>
        <w:rPr>
          <w:rFonts w:ascii="Arial" w:hAnsi="Arial" w:cs="Arial"/>
          <w:sz w:val="22"/>
          <w:szCs w:val="22"/>
          <w:lang w:val="en-GB"/>
        </w:rPr>
      </w:pPr>
    </w:p>
    <w:p w14:paraId="1662067E" w14:textId="77777777" w:rsidR="00634544" w:rsidRDefault="00634544" w:rsidP="00634544">
      <w:pPr>
        <w:spacing w:line="360" w:lineRule="auto"/>
        <w:jc w:val="center"/>
        <w:rPr>
          <w:rFonts w:ascii="Arial" w:hAnsi="Arial" w:cs="Arial"/>
          <w:sz w:val="22"/>
          <w:szCs w:val="22"/>
          <w:lang w:val="en-GB"/>
        </w:rPr>
      </w:pPr>
    </w:p>
    <w:p w14:paraId="1212146A" w14:textId="77777777" w:rsidR="00634544" w:rsidRDefault="00634544" w:rsidP="00634544">
      <w:pPr>
        <w:spacing w:line="360" w:lineRule="auto"/>
        <w:jc w:val="center"/>
        <w:rPr>
          <w:rFonts w:ascii="Arial" w:hAnsi="Arial" w:cs="Arial"/>
          <w:sz w:val="22"/>
          <w:szCs w:val="22"/>
          <w:lang w:val="en-GB"/>
        </w:rPr>
      </w:pPr>
    </w:p>
    <w:p w14:paraId="2A1DEDE6" w14:textId="77777777" w:rsidR="00634544" w:rsidRDefault="00634544" w:rsidP="00634544">
      <w:pPr>
        <w:spacing w:line="360" w:lineRule="auto"/>
        <w:jc w:val="center"/>
        <w:rPr>
          <w:rFonts w:ascii="Arial" w:hAnsi="Arial" w:cs="Arial"/>
          <w:sz w:val="22"/>
          <w:szCs w:val="22"/>
          <w:lang w:val="en-GB"/>
        </w:rPr>
      </w:pPr>
    </w:p>
    <w:p w14:paraId="7AB3F9ED" w14:textId="77777777" w:rsidR="00634544" w:rsidRDefault="00634544" w:rsidP="00634544">
      <w:pPr>
        <w:spacing w:line="360" w:lineRule="auto"/>
        <w:jc w:val="center"/>
        <w:rPr>
          <w:rFonts w:ascii="Arial" w:hAnsi="Arial" w:cs="Arial"/>
          <w:sz w:val="22"/>
          <w:szCs w:val="22"/>
          <w:lang w:val="en-GB"/>
        </w:rPr>
      </w:pPr>
    </w:p>
    <w:p w14:paraId="29BF0FF7" w14:textId="77777777" w:rsidR="00634544" w:rsidRDefault="00634544" w:rsidP="00634544">
      <w:pPr>
        <w:spacing w:line="360" w:lineRule="auto"/>
        <w:jc w:val="center"/>
        <w:rPr>
          <w:rFonts w:ascii="Arial" w:hAnsi="Arial" w:cs="Arial"/>
          <w:sz w:val="22"/>
          <w:szCs w:val="22"/>
          <w:lang w:val="en-GB"/>
        </w:rPr>
      </w:pPr>
    </w:p>
    <w:p w14:paraId="64C59504" w14:textId="77777777" w:rsidR="00634544" w:rsidRDefault="00634544" w:rsidP="00634544">
      <w:pPr>
        <w:spacing w:line="360" w:lineRule="auto"/>
        <w:jc w:val="center"/>
        <w:rPr>
          <w:rFonts w:ascii="Arial" w:hAnsi="Arial" w:cs="Arial"/>
          <w:sz w:val="22"/>
          <w:szCs w:val="22"/>
          <w:lang w:val="en-GB"/>
        </w:rPr>
      </w:pPr>
    </w:p>
    <w:p w14:paraId="28F44ECD" w14:textId="21D4336D" w:rsidR="00634544" w:rsidRPr="00634544" w:rsidRDefault="00634544" w:rsidP="00634544">
      <w:pPr>
        <w:spacing w:line="360" w:lineRule="auto"/>
        <w:jc w:val="center"/>
        <w:rPr>
          <w:rFonts w:ascii="Arial" w:hAnsi="Arial" w:cs="Arial"/>
          <w:sz w:val="22"/>
          <w:szCs w:val="22"/>
          <w:lang w:val="en-GB"/>
        </w:rPr>
      </w:pPr>
      <w:r w:rsidRPr="00634544">
        <w:rPr>
          <w:rFonts w:ascii="Arial" w:hAnsi="Arial" w:cs="Arial"/>
          <w:sz w:val="22"/>
          <w:szCs w:val="22"/>
          <w:lang w:val="en-GB"/>
        </w:rPr>
        <w:t xml:space="preserve">Name: Elena Claudia </w:t>
      </w:r>
      <w:proofErr w:type="spellStart"/>
      <w:r w:rsidRPr="00634544">
        <w:rPr>
          <w:rFonts w:ascii="Arial" w:hAnsi="Arial" w:cs="Arial"/>
          <w:sz w:val="22"/>
          <w:szCs w:val="22"/>
          <w:lang w:val="en-GB"/>
        </w:rPr>
        <w:t>Pasare</w:t>
      </w:r>
      <w:proofErr w:type="spellEnd"/>
    </w:p>
    <w:p w14:paraId="4B5382D4" w14:textId="12B5E5B5" w:rsidR="00634544" w:rsidRPr="00634544" w:rsidRDefault="00634544" w:rsidP="00634544">
      <w:pPr>
        <w:spacing w:line="360" w:lineRule="auto"/>
        <w:jc w:val="center"/>
        <w:rPr>
          <w:rFonts w:ascii="Arial" w:hAnsi="Arial" w:cs="Arial"/>
          <w:sz w:val="22"/>
          <w:szCs w:val="22"/>
          <w:lang w:val="en-GB"/>
        </w:rPr>
      </w:pPr>
      <w:r w:rsidRPr="00634544">
        <w:rPr>
          <w:rFonts w:ascii="Arial" w:hAnsi="Arial" w:cs="Arial"/>
          <w:sz w:val="22"/>
          <w:szCs w:val="22"/>
          <w:lang w:val="en-GB"/>
        </w:rPr>
        <w:t>Student ID: 2131347</w:t>
      </w:r>
    </w:p>
    <w:p w14:paraId="37FD7A64" w14:textId="2A633309" w:rsidR="00634544" w:rsidRPr="00634544" w:rsidRDefault="00634544" w:rsidP="00634544">
      <w:pPr>
        <w:spacing w:line="360" w:lineRule="auto"/>
        <w:jc w:val="center"/>
        <w:rPr>
          <w:rFonts w:ascii="Arial" w:hAnsi="Arial" w:cs="Arial"/>
          <w:sz w:val="22"/>
          <w:szCs w:val="22"/>
          <w:lang w:val="en-GB"/>
        </w:rPr>
      </w:pPr>
      <w:r w:rsidRPr="00634544">
        <w:rPr>
          <w:rFonts w:ascii="Arial" w:hAnsi="Arial" w:cs="Arial"/>
          <w:sz w:val="22"/>
          <w:szCs w:val="22"/>
          <w:lang w:val="en-GB"/>
        </w:rPr>
        <w:t xml:space="preserve">Module title and number: </w:t>
      </w:r>
      <w:r w:rsidRPr="00634544">
        <w:rPr>
          <w:rFonts w:ascii="Arial" w:hAnsi="Arial" w:cs="Arial"/>
          <w:sz w:val="22"/>
          <w:szCs w:val="22"/>
          <w:lang w:val="en-GB"/>
        </w:rPr>
        <w:t xml:space="preserve">BMIH5007 </w:t>
      </w:r>
      <w:r w:rsidRPr="00634544">
        <w:rPr>
          <w:rFonts w:ascii="Arial" w:hAnsi="Arial" w:cs="Arial"/>
          <w:sz w:val="22"/>
          <w:szCs w:val="22"/>
          <w:lang w:val="en-GB"/>
        </w:rPr>
        <w:t>- F</w:t>
      </w:r>
      <w:r w:rsidRPr="00634544">
        <w:rPr>
          <w:rFonts w:ascii="Arial" w:hAnsi="Arial" w:cs="Arial"/>
          <w:sz w:val="22"/>
          <w:szCs w:val="22"/>
          <w:lang w:val="en-GB"/>
        </w:rPr>
        <w:t>inancial Management for the Hotel Industry</w:t>
      </w:r>
    </w:p>
    <w:p w14:paraId="1E187197" w14:textId="791226F5" w:rsidR="00634544" w:rsidRPr="00634544" w:rsidRDefault="00634544" w:rsidP="00634544">
      <w:pPr>
        <w:spacing w:line="360" w:lineRule="auto"/>
        <w:jc w:val="center"/>
        <w:rPr>
          <w:rFonts w:ascii="Arial" w:hAnsi="Arial" w:cs="Arial"/>
          <w:sz w:val="22"/>
          <w:szCs w:val="22"/>
          <w:lang w:val="en-GB"/>
        </w:rPr>
      </w:pPr>
      <w:r w:rsidRPr="00634544">
        <w:rPr>
          <w:rFonts w:ascii="Arial" w:hAnsi="Arial" w:cs="Arial"/>
          <w:sz w:val="22"/>
          <w:szCs w:val="22"/>
          <w:lang w:val="en-GB"/>
        </w:rPr>
        <w:t>Lecturer’s name: Tristan Hawkins</w:t>
      </w:r>
    </w:p>
    <w:p w14:paraId="58E56E22" w14:textId="3AA9A042" w:rsidR="00634544" w:rsidRPr="00634544" w:rsidRDefault="00634544" w:rsidP="00634544">
      <w:pPr>
        <w:spacing w:line="360" w:lineRule="auto"/>
        <w:jc w:val="center"/>
        <w:rPr>
          <w:rFonts w:ascii="Arial" w:hAnsi="Arial" w:cs="Arial"/>
          <w:sz w:val="22"/>
          <w:szCs w:val="22"/>
          <w:lang w:val="en-GB"/>
        </w:rPr>
      </w:pPr>
      <w:r w:rsidRPr="00634544">
        <w:rPr>
          <w:rFonts w:ascii="Arial" w:hAnsi="Arial" w:cs="Arial"/>
          <w:sz w:val="22"/>
          <w:szCs w:val="22"/>
          <w:lang w:val="en-GB"/>
        </w:rPr>
        <w:t xml:space="preserve">Title of report: </w:t>
      </w:r>
      <w:r w:rsidRPr="00634544">
        <w:rPr>
          <w:rFonts w:ascii="Arial" w:hAnsi="Arial" w:cs="Arial"/>
          <w:sz w:val="22"/>
          <w:szCs w:val="22"/>
          <w:lang w:val="en-GB"/>
        </w:rPr>
        <w:t>Business Report - Comparison of Two Hospitality Organisations</w:t>
      </w:r>
    </w:p>
    <w:p w14:paraId="641BD5F6" w14:textId="74BEFC58" w:rsidR="00634544" w:rsidRPr="00634544" w:rsidRDefault="00634544" w:rsidP="00634544">
      <w:pPr>
        <w:jc w:val="center"/>
        <w:rPr>
          <w:lang w:val="en-GB"/>
        </w:rPr>
      </w:pPr>
    </w:p>
    <w:p w14:paraId="2795E708" w14:textId="77777777" w:rsidR="00634544" w:rsidRPr="00634544" w:rsidRDefault="00634544" w:rsidP="00634544">
      <w:pPr>
        <w:rPr>
          <w:b/>
          <w:bCs/>
          <w:lang w:val="en-GB"/>
        </w:rPr>
      </w:pPr>
    </w:p>
    <w:p w14:paraId="1B8BCB9E" w14:textId="77777777" w:rsidR="00634544" w:rsidRPr="00634544" w:rsidRDefault="00634544" w:rsidP="00634544">
      <w:pPr>
        <w:rPr>
          <w:b/>
          <w:bCs/>
          <w:lang w:val="en-GB"/>
        </w:rPr>
      </w:pPr>
    </w:p>
    <w:p w14:paraId="296BD8DB" w14:textId="77777777" w:rsidR="00634544" w:rsidRPr="00634544" w:rsidRDefault="00634544" w:rsidP="00634544">
      <w:pPr>
        <w:rPr>
          <w:b/>
          <w:bCs/>
          <w:lang w:val="en-GB"/>
        </w:rPr>
      </w:pPr>
    </w:p>
    <w:p w14:paraId="0E67CFA9" w14:textId="77777777" w:rsidR="00634544" w:rsidRPr="00634544" w:rsidRDefault="00634544" w:rsidP="00634544">
      <w:pPr>
        <w:rPr>
          <w:b/>
          <w:bCs/>
          <w:lang w:val="en-GB"/>
        </w:rPr>
      </w:pPr>
    </w:p>
    <w:sdt>
      <w:sdtPr>
        <w:rPr>
          <w:b/>
          <w:bCs/>
          <w:lang w:val="en-GB"/>
        </w:rPr>
        <w:id w:val="-1430346691"/>
        <w:docPartObj>
          <w:docPartGallery w:val="Table of Contents"/>
          <w:docPartUnique/>
        </w:docPartObj>
      </w:sdtPr>
      <w:sdtEndPr>
        <w:rPr>
          <w:b w:val="0"/>
          <w:bCs w:val="0"/>
          <w:noProof/>
        </w:rPr>
      </w:sdtEndPr>
      <w:sdtContent>
        <w:p w14:paraId="2ED3AC61" w14:textId="296B2499" w:rsidR="0012073D" w:rsidRPr="00634544" w:rsidRDefault="0012073D" w:rsidP="00634544">
          <w:pPr>
            <w:rPr>
              <w:lang w:val="en-GB"/>
            </w:rPr>
          </w:pPr>
        </w:p>
        <w:p w14:paraId="5E53C871" w14:textId="77777777" w:rsidR="0012073D" w:rsidRDefault="0012073D">
          <w:pPr>
            <w:pStyle w:val="TOCHeading"/>
            <w:rPr>
              <w:lang w:val="en-GB"/>
            </w:rPr>
          </w:pPr>
        </w:p>
        <w:p w14:paraId="1BA4FF94" w14:textId="77777777" w:rsidR="00634544" w:rsidRDefault="00634544" w:rsidP="00634544">
          <w:pPr>
            <w:rPr>
              <w:lang w:val="en-GB"/>
            </w:rPr>
          </w:pPr>
        </w:p>
        <w:p w14:paraId="6BEE1990" w14:textId="77777777" w:rsidR="00634544" w:rsidRDefault="00634544" w:rsidP="00634544">
          <w:pPr>
            <w:rPr>
              <w:lang w:val="en-GB"/>
            </w:rPr>
          </w:pPr>
        </w:p>
        <w:p w14:paraId="4166144C" w14:textId="77777777" w:rsidR="00634544" w:rsidRDefault="00634544" w:rsidP="00634544">
          <w:pPr>
            <w:rPr>
              <w:lang w:val="en-GB"/>
            </w:rPr>
          </w:pPr>
        </w:p>
        <w:p w14:paraId="2B68A708" w14:textId="77777777" w:rsidR="00634544" w:rsidRDefault="00634544" w:rsidP="00634544">
          <w:pPr>
            <w:rPr>
              <w:lang w:val="en-GB"/>
            </w:rPr>
          </w:pPr>
        </w:p>
        <w:p w14:paraId="74F25E08" w14:textId="77777777" w:rsidR="00634544" w:rsidRDefault="00634544" w:rsidP="00634544">
          <w:pPr>
            <w:rPr>
              <w:lang w:val="en-GB"/>
            </w:rPr>
          </w:pPr>
        </w:p>
        <w:p w14:paraId="6E077E4B" w14:textId="77777777" w:rsidR="00634544" w:rsidRDefault="00634544" w:rsidP="00634544">
          <w:pPr>
            <w:rPr>
              <w:lang w:val="en-GB"/>
            </w:rPr>
          </w:pPr>
        </w:p>
        <w:p w14:paraId="787AD4C3" w14:textId="77777777" w:rsidR="00634544" w:rsidRDefault="00634544" w:rsidP="00634544">
          <w:pPr>
            <w:rPr>
              <w:lang w:val="en-GB"/>
            </w:rPr>
          </w:pPr>
        </w:p>
        <w:p w14:paraId="2F8ACF6F" w14:textId="77777777" w:rsidR="00634544" w:rsidRDefault="00634544" w:rsidP="00634544">
          <w:pPr>
            <w:rPr>
              <w:lang w:val="en-GB"/>
            </w:rPr>
          </w:pPr>
        </w:p>
        <w:p w14:paraId="121271B0" w14:textId="77777777" w:rsidR="00634544" w:rsidRDefault="00634544" w:rsidP="00634544">
          <w:pPr>
            <w:rPr>
              <w:lang w:val="en-GB"/>
            </w:rPr>
          </w:pPr>
        </w:p>
        <w:p w14:paraId="6230925E" w14:textId="77777777" w:rsidR="00634544" w:rsidRDefault="00634544" w:rsidP="00634544">
          <w:pPr>
            <w:rPr>
              <w:lang w:val="en-GB"/>
            </w:rPr>
          </w:pPr>
        </w:p>
        <w:p w14:paraId="582B1082" w14:textId="77777777" w:rsidR="00634544" w:rsidRDefault="00634544" w:rsidP="00634544">
          <w:pPr>
            <w:rPr>
              <w:lang w:val="en-GB"/>
            </w:rPr>
          </w:pPr>
        </w:p>
        <w:p w14:paraId="39113792" w14:textId="77777777" w:rsidR="00634544" w:rsidRDefault="00634544" w:rsidP="00634544">
          <w:pPr>
            <w:rPr>
              <w:lang w:val="en-GB"/>
            </w:rPr>
          </w:pPr>
        </w:p>
        <w:p w14:paraId="2987A16F" w14:textId="77777777" w:rsidR="00634544" w:rsidRDefault="00634544" w:rsidP="00634544">
          <w:pPr>
            <w:rPr>
              <w:lang w:val="en-GB"/>
            </w:rPr>
          </w:pPr>
        </w:p>
        <w:p w14:paraId="2C6CCCE7" w14:textId="77777777" w:rsidR="00634544" w:rsidRDefault="00634544" w:rsidP="00634544">
          <w:pPr>
            <w:rPr>
              <w:lang w:val="en-GB"/>
            </w:rPr>
          </w:pPr>
        </w:p>
        <w:p w14:paraId="6EF20CF5" w14:textId="77777777" w:rsidR="00634544" w:rsidRDefault="00634544" w:rsidP="00634544">
          <w:pPr>
            <w:rPr>
              <w:lang w:val="en-GB"/>
            </w:rPr>
          </w:pPr>
        </w:p>
        <w:p w14:paraId="1D4A4BA1" w14:textId="77777777" w:rsidR="00634544" w:rsidRDefault="00634544" w:rsidP="00634544">
          <w:pPr>
            <w:rPr>
              <w:lang w:val="en-GB"/>
            </w:rPr>
          </w:pPr>
        </w:p>
        <w:p w14:paraId="3D2AF8CF" w14:textId="77777777" w:rsidR="00634544" w:rsidRDefault="00634544" w:rsidP="00634544">
          <w:pPr>
            <w:rPr>
              <w:lang w:val="en-GB"/>
            </w:rPr>
          </w:pPr>
        </w:p>
        <w:p w14:paraId="421B8CC4" w14:textId="77777777" w:rsidR="00634544" w:rsidRDefault="00634544" w:rsidP="00634544">
          <w:pPr>
            <w:rPr>
              <w:lang w:val="en-GB"/>
            </w:rPr>
          </w:pPr>
        </w:p>
        <w:p w14:paraId="6F903BE6" w14:textId="77777777" w:rsidR="00634544" w:rsidRDefault="00634544" w:rsidP="00634544">
          <w:pPr>
            <w:rPr>
              <w:lang w:val="en-GB"/>
            </w:rPr>
          </w:pPr>
        </w:p>
        <w:p w14:paraId="1DFF67C0" w14:textId="77777777" w:rsidR="00634544" w:rsidRDefault="00634544" w:rsidP="00634544">
          <w:pPr>
            <w:rPr>
              <w:lang w:val="en-GB"/>
            </w:rPr>
          </w:pPr>
        </w:p>
        <w:p w14:paraId="1644FB88" w14:textId="77777777" w:rsidR="00634544" w:rsidRPr="00634544" w:rsidRDefault="00634544" w:rsidP="00634544">
          <w:pPr>
            <w:rPr>
              <w:lang w:val="en-GB"/>
            </w:rPr>
          </w:pPr>
        </w:p>
        <w:p w14:paraId="512E0C29" w14:textId="0988C0A9" w:rsidR="0012073D" w:rsidRPr="00634544" w:rsidRDefault="0012073D">
          <w:pPr>
            <w:pStyle w:val="TOCHeading"/>
            <w:rPr>
              <w:lang w:val="en-GB"/>
            </w:rPr>
          </w:pPr>
          <w:r w:rsidRPr="00634544">
            <w:rPr>
              <w:lang w:val="en-GB"/>
            </w:rPr>
            <w:t>Table of Contents</w:t>
          </w:r>
        </w:p>
        <w:p w14:paraId="11301C9F" w14:textId="392D29EB" w:rsidR="0012073D" w:rsidRPr="00634544" w:rsidRDefault="0012073D">
          <w:pPr>
            <w:pStyle w:val="TOC1"/>
            <w:tabs>
              <w:tab w:val="right" w:leader="dot" w:pos="9016"/>
            </w:tabs>
            <w:rPr>
              <w:noProof/>
              <w:lang w:val="en-GB"/>
            </w:rPr>
          </w:pPr>
          <w:r w:rsidRPr="00634544">
            <w:rPr>
              <w:b w:val="0"/>
              <w:bCs w:val="0"/>
              <w:lang w:val="en-GB"/>
            </w:rPr>
            <w:fldChar w:fldCharType="begin"/>
          </w:r>
          <w:r w:rsidRPr="00634544">
            <w:rPr>
              <w:lang w:val="en-GB"/>
            </w:rPr>
            <w:instrText xml:space="preserve"> TOC \o "1-3" \h \z \u </w:instrText>
          </w:r>
          <w:r w:rsidRPr="00634544">
            <w:rPr>
              <w:b w:val="0"/>
              <w:bCs w:val="0"/>
              <w:lang w:val="en-GB"/>
            </w:rPr>
            <w:fldChar w:fldCharType="separate"/>
          </w:r>
          <w:hyperlink w:anchor="_Toc148299091" w:history="1">
            <w:r w:rsidRPr="00634544">
              <w:rPr>
                <w:rStyle w:val="Hyperlink"/>
                <w:noProof/>
                <w:lang w:val="en-GB"/>
              </w:rPr>
              <w:t>Introduction</w:t>
            </w:r>
            <w:r w:rsidRPr="00634544">
              <w:rPr>
                <w:noProof/>
                <w:webHidden/>
                <w:lang w:val="en-GB"/>
              </w:rPr>
              <w:tab/>
            </w:r>
            <w:r w:rsidRPr="00634544">
              <w:rPr>
                <w:noProof/>
                <w:webHidden/>
                <w:lang w:val="en-GB"/>
              </w:rPr>
              <w:fldChar w:fldCharType="begin"/>
            </w:r>
            <w:r w:rsidRPr="00634544">
              <w:rPr>
                <w:noProof/>
                <w:webHidden/>
                <w:lang w:val="en-GB"/>
              </w:rPr>
              <w:instrText xml:space="preserve"> PAGEREF _Toc148299091 \h </w:instrText>
            </w:r>
            <w:r w:rsidRPr="00634544">
              <w:rPr>
                <w:noProof/>
                <w:webHidden/>
                <w:lang w:val="en-GB"/>
              </w:rPr>
            </w:r>
            <w:r w:rsidRPr="00634544">
              <w:rPr>
                <w:noProof/>
                <w:webHidden/>
                <w:lang w:val="en-GB"/>
              </w:rPr>
              <w:fldChar w:fldCharType="separate"/>
            </w:r>
            <w:r w:rsidR="00634544">
              <w:rPr>
                <w:noProof/>
                <w:webHidden/>
                <w:lang w:val="en-GB"/>
              </w:rPr>
              <w:t>3</w:t>
            </w:r>
            <w:r w:rsidRPr="00634544">
              <w:rPr>
                <w:noProof/>
                <w:webHidden/>
                <w:lang w:val="en-GB"/>
              </w:rPr>
              <w:fldChar w:fldCharType="end"/>
            </w:r>
          </w:hyperlink>
        </w:p>
        <w:p w14:paraId="7DC6CD02" w14:textId="1882B29F" w:rsidR="0012073D" w:rsidRPr="00634544" w:rsidRDefault="00000000">
          <w:pPr>
            <w:pStyle w:val="TOC1"/>
            <w:tabs>
              <w:tab w:val="right" w:leader="dot" w:pos="9016"/>
            </w:tabs>
            <w:rPr>
              <w:noProof/>
              <w:lang w:val="en-GB"/>
            </w:rPr>
          </w:pPr>
          <w:hyperlink w:anchor="_Toc148299092" w:history="1">
            <w:r w:rsidR="0012073D" w:rsidRPr="00634544">
              <w:rPr>
                <w:rStyle w:val="Hyperlink"/>
                <w:noProof/>
                <w:lang w:val="en-GB"/>
              </w:rPr>
              <w:t>Mandarin Oriental Hotel Group and Premier Inn - Comparation</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_Toc148299092 \h </w:instrText>
            </w:r>
            <w:r w:rsidR="0012073D" w:rsidRPr="00634544">
              <w:rPr>
                <w:noProof/>
                <w:webHidden/>
                <w:lang w:val="en-GB"/>
              </w:rPr>
            </w:r>
            <w:r w:rsidR="0012073D" w:rsidRPr="00634544">
              <w:rPr>
                <w:noProof/>
                <w:webHidden/>
                <w:lang w:val="en-GB"/>
              </w:rPr>
              <w:fldChar w:fldCharType="separate"/>
            </w:r>
            <w:r w:rsidR="00634544">
              <w:rPr>
                <w:noProof/>
                <w:webHidden/>
                <w:lang w:val="en-GB"/>
              </w:rPr>
              <w:t>3</w:t>
            </w:r>
            <w:r w:rsidR="0012073D" w:rsidRPr="00634544">
              <w:rPr>
                <w:noProof/>
                <w:webHidden/>
                <w:lang w:val="en-GB"/>
              </w:rPr>
              <w:fldChar w:fldCharType="end"/>
            </w:r>
          </w:hyperlink>
        </w:p>
        <w:p w14:paraId="4EB3D058" w14:textId="485DDC6E" w:rsidR="0012073D" w:rsidRPr="00634544" w:rsidRDefault="00000000">
          <w:pPr>
            <w:pStyle w:val="TOC1"/>
            <w:tabs>
              <w:tab w:val="right" w:leader="dot" w:pos="9016"/>
            </w:tabs>
            <w:rPr>
              <w:noProof/>
              <w:lang w:val="en-GB"/>
            </w:rPr>
          </w:pPr>
          <w:hyperlink w:anchor="_Toc148299093" w:history="1">
            <w:r w:rsidR="0012073D" w:rsidRPr="00634544">
              <w:rPr>
                <w:rStyle w:val="Hyperlink"/>
                <w:noProof/>
                <w:lang w:val="en-GB"/>
              </w:rPr>
              <w:t>Total Revenue</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_Toc148299093 \h </w:instrText>
            </w:r>
            <w:r w:rsidR="0012073D" w:rsidRPr="00634544">
              <w:rPr>
                <w:noProof/>
                <w:webHidden/>
                <w:lang w:val="en-GB"/>
              </w:rPr>
            </w:r>
            <w:r w:rsidR="0012073D" w:rsidRPr="00634544">
              <w:rPr>
                <w:noProof/>
                <w:webHidden/>
                <w:lang w:val="en-GB"/>
              </w:rPr>
              <w:fldChar w:fldCharType="separate"/>
            </w:r>
            <w:r w:rsidR="00634544">
              <w:rPr>
                <w:noProof/>
                <w:webHidden/>
                <w:lang w:val="en-GB"/>
              </w:rPr>
              <w:t>4</w:t>
            </w:r>
            <w:r w:rsidR="0012073D" w:rsidRPr="00634544">
              <w:rPr>
                <w:noProof/>
                <w:webHidden/>
                <w:lang w:val="en-GB"/>
              </w:rPr>
              <w:fldChar w:fldCharType="end"/>
            </w:r>
          </w:hyperlink>
        </w:p>
        <w:p w14:paraId="634C9B4E" w14:textId="5F0DEB00" w:rsidR="0012073D" w:rsidRPr="00634544" w:rsidRDefault="00000000">
          <w:pPr>
            <w:pStyle w:val="TOC1"/>
            <w:tabs>
              <w:tab w:val="right" w:leader="dot" w:pos="9016"/>
            </w:tabs>
            <w:rPr>
              <w:noProof/>
              <w:lang w:val="en-GB"/>
            </w:rPr>
          </w:pPr>
          <w:hyperlink w:anchor="_Toc148299094" w:history="1">
            <w:r w:rsidR="0012073D" w:rsidRPr="00634544">
              <w:rPr>
                <w:rStyle w:val="Hyperlink"/>
                <w:noProof/>
                <w:lang w:val="en-GB"/>
              </w:rPr>
              <w:t>Market Position</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_Toc148299094 \h </w:instrText>
            </w:r>
            <w:r w:rsidR="0012073D" w:rsidRPr="00634544">
              <w:rPr>
                <w:noProof/>
                <w:webHidden/>
                <w:lang w:val="en-GB"/>
              </w:rPr>
            </w:r>
            <w:r w:rsidR="0012073D" w:rsidRPr="00634544">
              <w:rPr>
                <w:noProof/>
                <w:webHidden/>
                <w:lang w:val="en-GB"/>
              </w:rPr>
              <w:fldChar w:fldCharType="separate"/>
            </w:r>
            <w:r w:rsidR="00634544">
              <w:rPr>
                <w:noProof/>
                <w:webHidden/>
                <w:lang w:val="en-GB"/>
              </w:rPr>
              <w:t>5</w:t>
            </w:r>
            <w:r w:rsidR="0012073D" w:rsidRPr="00634544">
              <w:rPr>
                <w:noProof/>
                <w:webHidden/>
                <w:lang w:val="en-GB"/>
              </w:rPr>
              <w:fldChar w:fldCharType="end"/>
            </w:r>
          </w:hyperlink>
        </w:p>
        <w:p w14:paraId="0CEEE94A" w14:textId="619F1BF7" w:rsidR="0012073D" w:rsidRPr="00634544" w:rsidRDefault="00000000">
          <w:pPr>
            <w:pStyle w:val="TOC1"/>
            <w:tabs>
              <w:tab w:val="right" w:leader="dot" w:pos="9016"/>
            </w:tabs>
            <w:rPr>
              <w:noProof/>
              <w:lang w:val="en-GB"/>
            </w:rPr>
          </w:pPr>
          <w:hyperlink w:anchor="_Toc148299095" w:history="1">
            <w:r w:rsidR="0012073D" w:rsidRPr="00634544">
              <w:rPr>
                <w:rStyle w:val="Hyperlink"/>
                <w:noProof/>
                <w:lang w:val="en-GB"/>
              </w:rPr>
              <w:t>Growth Potential</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_Toc148299095 \h </w:instrText>
            </w:r>
            <w:r w:rsidR="0012073D" w:rsidRPr="00634544">
              <w:rPr>
                <w:noProof/>
                <w:webHidden/>
                <w:lang w:val="en-GB"/>
              </w:rPr>
            </w:r>
            <w:r w:rsidR="0012073D" w:rsidRPr="00634544">
              <w:rPr>
                <w:noProof/>
                <w:webHidden/>
                <w:lang w:val="en-GB"/>
              </w:rPr>
              <w:fldChar w:fldCharType="separate"/>
            </w:r>
            <w:r w:rsidR="00634544">
              <w:rPr>
                <w:noProof/>
                <w:webHidden/>
                <w:lang w:val="en-GB"/>
              </w:rPr>
              <w:t>6</w:t>
            </w:r>
            <w:r w:rsidR="0012073D" w:rsidRPr="00634544">
              <w:rPr>
                <w:noProof/>
                <w:webHidden/>
                <w:lang w:val="en-GB"/>
              </w:rPr>
              <w:fldChar w:fldCharType="end"/>
            </w:r>
          </w:hyperlink>
        </w:p>
        <w:p w14:paraId="44786937" w14:textId="346CB76E" w:rsidR="0012073D" w:rsidRPr="00634544" w:rsidRDefault="00000000">
          <w:pPr>
            <w:pStyle w:val="TOC1"/>
            <w:tabs>
              <w:tab w:val="right" w:leader="dot" w:pos="9016"/>
            </w:tabs>
            <w:rPr>
              <w:noProof/>
              <w:lang w:val="en-GB"/>
            </w:rPr>
          </w:pPr>
          <w:hyperlink w:anchor="_Toc148299096" w:history="1">
            <w:r w:rsidR="0012073D" w:rsidRPr="00634544">
              <w:rPr>
                <w:rStyle w:val="Hyperlink"/>
                <w:noProof/>
                <w:lang w:val="en-GB"/>
              </w:rPr>
              <w:t>Comparation Financial Commitment to CSR (Corporate Social Responsibility):</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_Toc148299096 \h </w:instrText>
            </w:r>
            <w:r w:rsidR="0012073D" w:rsidRPr="00634544">
              <w:rPr>
                <w:noProof/>
                <w:webHidden/>
                <w:lang w:val="en-GB"/>
              </w:rPr>
            </w:r>
            <w:r w:rsidR="0012073D" w:rsidRPr="00634544">
              <w:rPr>
                <w:noProof/>
                <w:webHidden/>
                <w:lang w:val="en-GB"/>
              </w:rPr>
              <w:fldChar w:fldCharType="separate"/>
            </w:r>
            <w:r w:rsidR="00634544">
              <w:rPr>
                <w:noProof/>
                <w:webHidden/>
                <w:lang w:val="en-GB"/>
              </w:rPr>
              <w:t>7</w:t>
            </w:r>
            <w:r w:rsidR="0012073D" w:rsidRPr="00634544">
              <w:rPr>
                <w:noProof/>
                <w:webHidden/>
                <w:lang w:val="en-GB"/>
              </w:rPr>
              <w:fldChar w:fldCharType="end"/>
            </w:r>
          </w:hyperlink>
        </w:p>
        <w:p w14:paraId="5A6938B2" w14:textId="6E2A9E75" w:rsidR="0012073D" w:rsidRPr="00634544" w:rsidRDefault="00000000">
          <w:pPr>
            <w:pStyle w:val="TOC1"/>
            <w:tabs>
              <w:tab w:val="right" w:leader="dot" w:pos="9016"/>
            </w:tabs>
            <w:rPr>
              <w:noProof/>
              <w:lang w:val="en-GB"/>
            </w:rPr>
          </w:pPr>
          <w:hyperlink w:anchor="_Toc148299097" w:history="1">
            <w:r w:rsidR="0012073D" w:rsidRPr="00634544">
              <w:rPr>
                <w:rStyle w:val="Hyperlink"/>
                <w:noProof/>
                <w:lang w:val="en-GB"/>
              </w:rPr>
              <w:t>Recommendations</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_Toc148299097 \h </w:instrText>
            </w:r>
            <w:r w:rsidR="0012073D" w:rsidRPr="00634544">
              <w:rPr>
                <w:noProof/>
                <w:webHidden/>
                <w:lang w:val="en-GB"/>
              </w:rPr>
            </w:r>
            <w:r w:rsidR="0012073D" w:rsidRPr="00634544">
              <w:rPr>
                <w:noProof/>
                <w:webHidden/>
                <w:lang w:val="en-GB"/>
              </w:rPr>
              <w:fldChar w:fldCharType="separate"/>
            </w:r>
            <w:r w:rsidR="00634544">
              <w:rPr>
                <w:noProof/>
                <w:webHidden/>
                <w:lang w:val="en-GB"/>
              </w:rPr>
              <w:t>8</w:t>
            </w:r>
            <w:r w:rsidR="0012073D" w:rsidRPr="00634544">
              <w:rPr>
                <w:noProof/>
                <w:webHidden/>
                <w:lang w:val="en-GB"/>
              </w:rPr>
              <w:fldChar w:fldCharType="end"/>
            </w:r>
          </w:hyperlink>
        </w:p>
        <w:p w14:paraId="11B0FD14" w14:textId="40CB1885" w:rsidR="0012073D" w:rsidRPr="00634544" w:rsidRDefault="00000000">
          <w:pPr>
            <w:pStyle w:val="TOC1"/>
            <w:tabs>
              <w:tab w:val="right" w:leader="dot" w:pos="9016"/>
            </w:tabs>
            <w:rPr>
              <w:noProof/>
              <w:lang w:val="en-GB"/>
            </w:rPr>
          </w:pPr>
          <w:hyperlink w:anchor="_Toc148299098" w:history="1">
            <w:r w:rsidR="0012073D" w:rsidRPr="00634544">
              <w:rPr>
                <w:rStyle w:val="Hyperlink"/>
                <w:noProof/>
                <w:lang w:val="en-GB"/>
              </w:rPr>
              <w:t>Conclusion</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_Toc148299098 \h </w:instrText>
            </w:r>
            <w:r w:rsidR="0012073D" w:rsidRPr="00634544">
              <w:rPr>
                <w:noProof/>
                <w:webHidden/>
                <w:lang w:val="en-GB"/>
              </w:rPr>
            </w:r>
            <w:r w:rsidR="0012073D" w:rsidRPr="00634544">
              <w:rPr>
                <w:noProof/>
                <w:webHidden/>
                <w:lang w:val="en-GB"/>
              </w:rPr>
              <w:fldChar w:fldCharType="separate"/>
            </w:r>
            <w:r w:rsidR="00634544">
              <w:rPr>
                <w:noProof/>
                <w:webHidden/>
                <w:lang w:val="en-GB"/>
              </w:rPr>
              <w:t>8</w:t>
            </w:r>
            <w:r w:rsidR="0012073D" w:rsidRPr="00634544">
              <w:rPr>
                <w:noProof/>
                <w:webHidden/>
                <w:lang w:val="en-GB"/>
              </w:rPr>
              <w:fldChar w:fldCharType="end"/>
            </w:r>
          </w:hyperlink>
        </w:p>
        <w:p w14:paraId="4DE997C5" w14:textId="1F3707B4" w:rsidR="0012073D" w:rsidRPr="00634544" w:rsidRDefault="00000000">
          <w:pPr>
            <w:pStyle w:val="TOC1"/>
            <w:tabs>
              <w:tab w:val="right" w:leader="dot" w:pos="9016"/>
            </w:tabs>
            <w:rPr>
              <w:noProof/>
              <w:lang w:val="en-GB"/>
            </w:rPr>
          </w:pPr>
          <w:hyperlink w:anchor="_Toc148299099" w:history="1">
            <w:r w:rsidR="0012073D" w:rsidRPr="00634544">
              <w:rPr>
                <w:rStyle w:val="Hyperlink"/>
                <w:noProof/>
                <w:lang w:val="en-GB"/>
              </w:rPr>
              <w:t>References:</w:t>
            </w:r>
            <w:r w:rsidR="0012073D" w:rsidRPr="00634544">
              <w:rPr>
                <w:noProof/>
                <w:webHidden/>
                <w:lang w:val="en-GB"/>
              </w:rPr>
              <w:tab/>
            </w:r>
            <w:r w:rsidR="0012073D" w:rsidRPr="00634544">
              <w:rPr>
                <w:noProof/>
                <w:webHidden/>
                <w:lang w:val="en-GB"/>
              </w:rPr>
              <w:fldChar w:fldCharType="begin"/>
            </w:r>
            <w:r w:rsidR="0012073D" w:rsidRPr="00634544">
              <w:rPr>
                <w:noProof/>
                <w:webHidden/>
                <w:lang w:val="en-GB"/>
              </w:rPr>
              <w:instrText xml:space="preserve"> PAGEREF _Toc148299099 \h </w:instrText>
            </w:r>
            <w:r w:rsidR="0012073D" w:rsidRPr="00634544">
              <w:rPr>
                <w:noProof/>
                <w:webHidden/>
                <w:lang w:val="en-GB"/>
              </w:rPr>
            </w:r>
            <w:r w:rsidR="0012073D" w:rsidRPr="00634544">
              <w:rPr>
                <w:noProof/>
                <w:webHidden/>
                <w:lang w:val="en-GB"/>
              </w:rPr>
              <w:fldChar w:fldCharType="separate"/>
            </w:r>
            <w:r w:rsidR="00634544">
              <w:rPr>
                <w:noProof/>
                <w:webHidden/>
                <w:lang w:val="en-GB"/>
              </w:rPr>
              <w:t>10</w:t>
            </w:r>
            <w:r w:rsidR="0012073D" w:rsidRPr="00634544">
              <w:rPr>
                <w:noProof/>
                <w:webHidden/>
                <w:lang w:val="en-GB"/>
              </w:rPr>
              <w:fldChar w:fldCharType="end"/>
            </w:r>
          </w:hyperlink>
        </w:p>
        <w:p w14:paraId="6E9554D0" w14:textId="551C0600" w:rsidR="0012073D" w:rsidRPr="00634544" w:rsidRDefault="0012073D">
          <w:pPr>
            <w:rPr>
              <w:lang w:val="en-GB"/>
            </w:rPr>
          </w:pPr>
          <w:r w:rsidRPr="00634544">
            <w:rPr>
              <w:b/>
              <w:bCs/>
              <w:noProof/>
              <w:lang w:val="en-GB"/>
            </w:rPr>
            <w:fldChar w:fldCharType="end"/>
          </w:r>
        </w:p>
      </w:sdtContent>
    </w:sdt>
    <w:p w14:paraId="5D3A8847" w14:textId="77777777" w:rsidR="0012073D" w:rsidRPr="00634544" w:rsidRDefault="0012073D" w:rsidP="0012073D">
      <w:pPr>
        <w:spacing w:line="360" w:lineRule="auto"/>
        <w:rPr>
          <w:rFonts w:ascii="Arial" w:hAnsi="Arial" w:cs="Arial"/>
          <w:b/>
          <w:bCs/>
          <w:sz w:val="22"/>
          <w:szCs w:val="22"/>
          <w:lang w:val="en-GB"/>
        </w:rPr>
      </w:pPr>
    </w:p>
    <w:p w14:paraId="54DC9861" w14:textId="77777777" w:rsidR="0012073D" w:rsidRPr="00634544" w:rsidRDefault="0012073D" w:rsidP="003F7FBB">
      <w:pPr>
        <w:spacing w:line="360" w:lineRule="auto"/>
        <w:jc w:val="center"/>
        <w:rPr>
          <w:rFonts w:ascii="Arial" w:hAnsi="Arial" w:cs="Arial"/>
          <w:b/>
          <w:bCs/>
          <w:sz w:val="22"/>
          <w:szCs w:val="22"/>
          <w:lang w:val="en-GB"/>
        </w:rPr>
      </w:pPr>
    </w:p>
    <w:p w14:paraId="6B1754D0" w14:textId="77777777" w:rsidR="0012073D" w:rsidRPr="00634544" w:rsidRDefault="0012073D" w:rsidP="003F7FBB">
      <w:pPr>
        <w:spacing w:line="360" w:lineRule="auto"/>
        <w:jc w:val="center"/>
        <w:rPr>
          <w:rFonts w:ascii="Arial" w:hAnsi="Arial" w:cs="Arial"/>
          <w:b/>
          <w:bCs/>
          <w:sz w:val="22"/>
          <w:szCs w:val="22"/>
          <w:lang w:val="en-GB"/>
        </w:rPr>
      </w:pPr>
    </w:p>
    <w:p w14:paraId="017CD482" w14:textId="77777777" w:rsidR="0012073D" w:rsidRPr="00634544" w:rsidRDefault="0012073D" w:rsidP="003F7FBB">
      <w:pPr>
        <w:spacing w:line="360" w:lineRule="auto"/>
        <w:jc w:val="center"/>
        <w:rPr>
          <w:rFonts w:ascii="Arial" w:hAnsi="Arial" w:cs="Arial"/>
          <w:b/>
          <w:bCs/>
          <w:sz w:val="22"/>
          <w:szCs w:val="22"/>
          <w:lang w:val="en-GB"/>
        </w:rPr>
      </w:pPr>
    </w:p>
    <w:p w14:paraId="3BBFFA3D" w14:textId="77777777" w:rsidR="0012073D" w:rsidRPr="00634544" w:rsidRDefault="0012073D" w:rsidP="003F7FBB">
      <w:pPr>
        <w:spacing w:line="360" w:lineRule="auto"/>
        <w:jc w:val="center"/>
        <w:rPr>
          <w:rFonts w:ascii="Arial" w:hAnsi="Arial" w:cs="Arial"/>
          <w:b/>
          <w:bCs/>
          <w:sz w:val="22"/>
          <w:szCs w:val="22"/>
          <w:lang w:val="en-GB"/>
        </w:rPr>
      </w:pPr>
    </w:p>
    <w:p w14:paraId="5EA88D31" w14:textId="77777777" w:rsidR="0012073D" w:rsidRPr="00634544" w:rsidRDefault="0012073D" w:rsidP="003F7FBB">
      <w:pPr>
        <w:spacing w:line="360" w:lineRule="auto"/>
        <w:jc w:val="center"/>
        <w:rPr>
          <w:rFonts w:ascii="Arial" w:hAnsi="Arial" w:cs="Arial"/>
          <w:b/>
          <w:bCs/>
          <w:sz w:val="22"/>
          <w:szCs w:val="22"/>
          <w:lang w:val="en-GB"/>
        </w:rPr>
      </w:pPr>
    </w:p>
    <w:p w14:paraId="65A6ED75" w14:textId="77777777" w:rsidR="0012073D" w:rsidRPr="00634544" w:rsidRDefault="0012073D" w:rsidP="003F7FBB">
      <w:pPr>
        <w:spacing w:line="360" w:lineRule="auto"/>
        <w:jc w:val="center"/>
        <w:rPr>
          <w:rFonts w:ascii="Arial" w:hAnsi="Arial" w:cs="Arial"/>
          <w:b/>
          <w:bCs/>
          <w:sz w:val="22"/>
          <w:szCs w:val="22"/>
          <w:lang w:val="en-GB"/>
        </w:rPr>
      </w:pPr>
    </w:p>
    <w:p w14:paraId="588D7E13" w14:textId="77777777" w:rsidR="0012073D" w:rsidRPr="00634544" w:rsidRDefault="0012073D" w:rsidP="003F7FBB">
      <w:pPr>
        <w:spacing w:line="360" w:lineRule="auto"/>
        <w:jc w:val="center"/>
        <w:rPr>
          <w:rFonts w:ascii="Arial" w:hAnsi="Arial" w:cs="Arial"/>
          <w:b/>
          <w:bCs/>
          <w:sz w:val="22"/>
          <w:szCs w:val="22"/>
          <w:lang w:val="en-GB"/>
        </w:rPr>
      </w:pPr>
    </w:p>
    <w:p w14:paraId="42448FC2" w14:textId="77777777" w:rsidR="0012073D" w:rsidRPr="00634544" w:rsidRDefault="0012073D" w:rsidP="003F7FBB">
      <w:pPr>
        <w:spacing w:line="360" w:lineRule="auto"/>
        <w:jc w:val="center"/>
        <w:rPr>
          <w:rFonts w:ascii="Arial" w:hAnsi="Arial" w:cs="Arial"/>
          <w:b/>
          <w:bCs/>
          <w:sz w:val="22"/>
          <w:szCs w:val="22"/>
          <w:lang w:val="en-GB"/>
        </w:rPr>
      </w:pPr>
    </w:p>
    <w:p w14:paraId="07D462D6" w14:textId="77777777" w:rsidR="0012073D" w:rsidRDefault="0012073D" w:rsidP="003F7FBB">
      <w:pPr>
        <w:spacing w:line="360" w:lineRule="auto"/>
        <w:jc w:val="center"/>
        <w:rPr>
          <w:rFonts w:ascii="Arial" w:hAnsi="Arial" w:cs="Arial"/>
          <w:b/>
          <w:bCs/>
          <w:sz w:val="22"/>
          <w:szCs w:val="22"/>
          <w:lang w:val="en-GB"/>
        </w:rPr>
      </w:pPr>
    </w:p>
    <w:p w14:paraId="0D6C693C" w14:textId="77777777" w:rsidR="00634544" w:rsidRDefault="00634544" w:rsidP="003F7FBB">
      <w:pPr>
        <w:spacing w:line="360" w:lineRule="auto"/>
        <w:jc w:val="center"/>
        <w:rPr>
          <w:rFonts w:ascii="Arial" w:hAnsi="Arial" w:cs="Arial"/>
          <w:b/>
          <w:bCs/>
          <w:sz w:val="22"/>
          <w:szCs w:val="22"/>
          <w:lang w:val="en-GB"/>
        </w:rPr>
      </w:pPr>
    </w:p>
    <w:p w14:paraId="15100B09" w14:textId="77777777" w:rsidR="00634544" w:rsidRDefault="00634544" w:rsidP="003F7FBB">
      <w:pPr>
        <w:spacing w:line="360" w:lineRule="auto"/>
        <w:jc w:val="center"/>
        <w:rPr>
          <w:rFonts w:ascii="Arial" w:hAnsi="Arial" w:cs="Arial"/>
          <w:b/>
          <w:bCs/>
          <w:sz w:val="22"/>
          <w:szCs w:val="22"/>
          <w:lang w:val="en-GB"/>
        </w:rPr>
      </w:pPr>
    </w:p>
    <w:p w14:paraId="1D501E37" w14:textId="77777777" w:rsidR="00634544" w:rsidRPr="00634544" w:rsidRDefault="00634544" w:rsidP="003F7FBB">
      <w:pPr>
        <w:spacing w:line="360" w:lineRule="auto"/>
        <w:jc w:val="center"/>
        <w:rPr>
          <w:rFonts w:ascii="Arial" w:hAnsi="Arial" w:cs="Arial"/>
          <w:b/>
          <w:bCs/>
          <w:sz w:val="22"/>
          <w:szCs w:val="22"/>
          <w:lang w:val="en-GB"/>
        </w:rPr>
      </w:pPr>
    </w:p>
    <w:p w14:paraId="2F24DF5B" w14:textId="77777777" w:rsidR="0012073D" w:rsidRPr="00634544" w:rsidRDefault="0012073D" w:rsidP="003F7FBB">
      <w:pPr>
        <w:spacing w:line="360" w:lineRule="auto"/>
        <w:jc w:val="center"/>
        <w:rPr>
          <w:rFonts w:ascii="Arial" w:hAnsi="Arial" w:cs="Arial"/>
          <w:b/>
          <w:bCs/>
          <w:sz w:val="22"/>
          <w:szCs w:val="22"/>
          <w:lang w:val="en-GB"/>
        </w:rPr>
      </w:pPr>
    </w:p>
    <w:p w14:paraId="7B825DA0" w14:textId="77777777" w:rsidR="0012073D" w:rsidRPr="00634544" w:rsidRDefault="0012073D" w:rsidP="003F7FBB">
      <w:pPr>
        <w:spacing w:line="360" w:lineRule="auto"/>
        <w:jc w:val="center"/>
        <w:rPr>
          <w:rFonts w:ascii="Arial" w:hAnsi="Arial" w:cs="Arial"/>
          <w:b/>
          <w:bCs/>
          <w:sz w:val="22"/>
          <w:szCs w:val="22"/>
          <w:lang w:val="en-GB"/>
        </w:rPr>
      </w:pPr>
    </w:p>
    <w:p w14:paraId="0FCABDB7" w14:textId="77777777" w:rsidR="0012073D" w:rsidRPr="00634544" w:rsidRDefault="0012073D" w:rsidP="003F7FBB">
      <w:pPr>
        <w:spacing w:line="360" w:lineRule="auto"/>
        <w:jc w:val="center"/>
        <w:rPr>
          <w:rFonts w:ascii="Arial" w:hAnsi="Arial" w:cs="Arial"/>
          <w:b/>
          <w:bCs/>
          <w:sz w:val="22"/>
          <w:szCs w:val="22"/>
          <w:lang w:val="en-GB"/>
        </w:rPr>
      </w:pPr>
    </w:p>
    <w:p w14:paraId="028742BA" w14:textId="534EC43A" w:rsidR="003F7FBB" w:rsidRPr="00634544" w:rsidRDefault="002A4F27" w:rsidP="003F7FBB">
      <w:pPr>
        <w:spacing w:line="360" w:lineRule="auto"/>
        <w:jc w:val="center"/>
        <w:rPr>
          <w:rFonts w:ascii="Arial" w:hAnsi="Arial" w:cs="Arial"/>
          <w:b/>
          <w:bCs/>
          <w:sz w:val="22"/>
          <w:szCs w:val="22"/>
          <w:lang w:val="en-GB"/>
        </w:rPr>
      </w:pPr>
      <w:r w:rsidRPr="00634544">
        <w:rPr>
          <w:rFonts w:ascii="Arial" w:hAnsi="Arial" w:cs="Arial"/>
          <w:b/>
          <w:bCs/>
          <w:sz w:val="22"/>
          <w:szCs w:val="22"/>
          <w:lang w:val="en-GB"/>
        </w:rPr>
        <w:t>Mandarin Oriental Hotel Group and Premier Inn</w:t>
      </w:r>
    </w:p>
    <w:p w14:paraId="15A76A3C" w14:textId="77777777" w:rsidR="003F7FBB" w:rsidRPr="00634544" w:rsidRDefault="003F7FBB" w:rsidP="003F7FBB">
      <w:pPr>
        <w:spacing w:line="360" w:lineRule="auto"/>
        <w:rPr>
          <w:rFonts w:ascii="Arial" w:hAnsi="Arial" w:cs="Arial"/>
          <w:sz w:val="22"/>
          <w:szCs w:val="22"/>
          <w:lang w:val="en-GB"/>
        </w:rPr>
      </w:pPr>
    </w:p>
    <w:p w14:paraId="2BDF57B9" w14:textId="1A179477" w:rsidR="002A4F27" w:rsidRPr="00634544" w:rsidRDefault="002A4F27" w:rsidP="003F7FBB">
      <w:pPr>
        <w:spacing w:line="360" w:lineRule="auto"/>
        <w:rPr>
          <w:rFonts w:ascii="Arial" w:hAnsi="Arial" w:cs="Arial"/>
          <w:sz w:val="22"/>
          <w:szCs w:val="22"/>
          <w:lang w:val="en-GB"/>
        </w:rPr>
      </w:pPr>
      <w:r w:rsidRPr="00634544">
        <w:rPr>
          <w:rFonts w:ascii="Arial" w:hAnsi="Arial" w:cs="Arial"/>
          <w:sz w:val="22"/>
          <w:szCs w:val="22"/>
          <w:lang w:val="en-GB"/>
        </w:rPr>
        <w:t xml:space="preserve"> </w:t>
      </w:r>
    </w:p>
    <w:p w14:paraId="0E178F0F" w14:textId="77777777" w:rsidR="003F7FBB" w:rsidRPr="00634544" w:rsidRDefault="00A513FE" w:rsidP="0012073D">
      <w:pPr>
        <w:pStyle w:val="Heading1"/>
        <w:rPr>
          <w:lang w:val="en-GB"/>
        </w:rPr>
      </w:pPr>
      <w:bookmarkStart w:id="0" w:name="_Toc148299091"/>
      <w:r w:rsidRPr="00634544">
        <w:rPr>
          <w:lang w:val="en-GB"/>
        </w:rPr>
        <w:t>Introduction</w:t>
      </w:r>
      <w:bookmarkEnd w:id="0"/>
      <w:r w:rsidRPr="00634544">
        <w:rPr>
          <w:lang w:val="en-GB"/>
        </w:rPr>
        <w:t xml:space="preserve"> </w:t>
      </w:r>
    </w:p>
    <w:p w14:paraId="1EB7E54C" w14:textId="3DDE23FE" w:rsidR="00A513FE" w:rsidRPr="00634544" w:rsidRDefault="00F672EB" w:rsidP="003F7FBB">
      <w:pPr>
        <w:spacing w:line="360" w:lineRule="auto"/>
        <w:rPr>
          <w:rFonts w:ascii="Arial" w:hAnsi="Arial" w:cs="Arial"/>
          <w:sz w:val="22"/>
          <w:szCs w:val="22"/>
          <w:lang w:val="en-GB"/>
        </w:rPr>
      </w:pPr>
      <w:r w:rsidRPr="00634544">
        <w:rPr>
          <w:rFonts w:ascii="Arial" w:hAnsi="Arial" w:cs="Arial"/>
          <w:sz w:val="22"/>
          <w:szCs w:val="22"/>
          <w:lang w:val="en-GB"/>
        </w:rPr>
        <w:tab/>
      </w:r>
    </w:p>
    <w:p w14:paraId="7B02A74E" w14:textId="2813DCE1"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The global hospitality industry, characteri</w:t>
      </w:r>
      <w:r w:rsidR="003F7FBB" w:rsidRPr="00634544">
        <w:rPr>
          <w:rFonts w:ascii="Arial" w:hAnsi="Arial" w:cs="Arial"/>
          <w:sz w:val="22"/>
          <w:szCs w:val="22"/>
          <w:lang w:val="en-GB"/>
        </w:rPr>
        <w:t>s</w:t>
      </w:r>
      <w:r w:rsidRPr="00634544">
        <w:rPr>
          <w:rFonts w:ascii="Arial" w:hAnsi="Arial" w:cs="Arial"/>
          <w:sz w:val="22"/>
          <w:szCs w:val="22"/>
          <w:lang w:val="en-GB"/>
        </w:rPr>
        <w:t xml:space="preserve">ed by its intricate dynamics and evolving consumer preferences, presents a rich tapestry of strategies and approaches among its key players. Central to this study is a comprehensive examination of two eminent hotel brands, the Mandarin Oriental Hotel Group and Premier Inn. While they cater to distinct market segments—luxury and budget to mid-range, respectively—their strategies, growth trajectories, and commitments to Corporate Social Responsibility (CSR) offer invaluable insights. This research </w:t>
      </w:r>
      <w:r w:rsidR="003F7FBB" w:rsidRPr="00634544">
        <w:rPr>
          <w:rFonts w:ascii="Arial" w:hAnsi="Arial" w:cs="Arial"/>
          <w:sz w:val="22"/>
          <w:szCs w:val="22"/>
          <w:lang w:val="en-GB"/>
        </w:rPr>
        <w:t>endeavours</w:t>
      </w:r>
      <w:r w:rsidRPr="00634544">
        <w:rPr>
          <w:rFonts w:ascii="Arial" w:hAnsi="Arial" w:cs="Arial"/>
          <w:sz w:val="22"/>
          <w:szCs w:val="22"/>
          <w:lang w:val="en-GB"/>
        </w:rPr>
        <w:t xml:space="preserve"> to juxtapose the trajectories of these brands, drawing parallels and contrasts, to illuminate their current standing and potential future directions.</w:t>
      </w:r>
    </w:p>
    <w:p w14:paraId="71A69F95" w14:textId="77777777" w:rsidR="003F7FBB" w:rsidRPr="00634544" w:rsidRDefault="003F7FBB" w:rsidP="003F7FBB">
      <w:pPr>
        <w:spacing w:line="360" w:lineRule="auto"/>
        <w:rPr>
          <w:rFonts w:ascii="Arial" w:hAnsi="Arial" w:cs="Arial"/>
          <w:sz w:val="22"/>
          <w:szCs w:val="22"/>
          <w:lang w:val="en-GB"/>
        </w:rPr>
      </w:pPr>
    </w:p>
    <w:p w14:paraId="45B081F6" w14:textId="77777777" w:rsidR="003F7FBB" w:rsidRPr="00634544" w:rsidRDefault="003F7FBB" w:rsidP="003F7FBB">
      <w:pPr>
        <w:spacing w:line="360" w:lineRule="auto"/>
        <w:rPr>
          <w:rFonts w:ascii="Arial" w:hAnsi="Arial" w:cs="Arial"/>
          <w:sz w:val="22"/>
          <w:szCs w:val="22"/>
          <w:lang w:val="en-GB"/>
        </w:rPr>
      </w:pPr>
    </w:p>
    <w:p w14:paraId="33CA26E8" w14:textId="5A9005E0" w:rsidR="002A4F27" w:rsidRPr="00634544" w:rsidRDefault="002A4F27" w:rsidP="0012073D">
      <w:pPr>
        <w:pStyle w:val="Heading1"/>
        <w:rPr>
          <w:lang w:val="en-GB"/>
        </w:rPr>
      </w:pPr>
      <w:bookmarkStart w:id="1" w:name="_Toc148299092"/>
      <w:r w:rsidRPr="00634544">
        <w:rPr>
          <w:lang w:val="en-GB"/>
        </w:rPr>
        <w:t>Mandarin Oriental Hotel Group and Premier Inn</w:t>
      </w:r>
      <w:r w:rsidR="003F7FBB" w:rsidRPr="00634544">
        <w:rPr>
          <w:lang w:val="en-GB"/>
        </w:rPr>
        <w:t xml:space="preserve"> - Comparation</w:t>
      </w:r>
      <w:bookmarkEnd w:id="1"/>
    </w:p>
    <w:p w14:paraId="1557ECBC" w14:textId="77777777" w:rsidR="003F7FBB" w:rsidRPr="00634544" w:rsidRDefault="003F7FBB" w:rsidP="003F7FBB">
      <w:pPr>
        <w:spacing w:line="360" w:lineRule="auto"/>
        <w:rPr>
          <w:rFonts w:ascii="Arial" w:hAnsi="Arial" w:cs="Arial"/>
          <w:sz w:val="22"/>
          <w:szCs w:val="22"/>
          <w:lang w:val="en-GB"/>
        </w:rPr>
      </w:pPr>
    </w:p>
    <w:p w14:paraId="31A60D10" w14:textId="25EE529A"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Mandarin Oriental Hotel Group and Premier Inn represent two distinct segments within the hospitality industry, differing in terms of luxury, target audience, and brand positioning. Mandarin Oriental Hotel Group, originating from Hong Kong, epitomizes luxury, catering to the high-end clientele seeking an immersive, elegant, and personali</w:t>
      </w:r>
      <w:r w:rsidR="003F7FBB" w:rsidRPr="00634544">
        <w:rPr>
          <w:rFonts w:ascii="Arial" w:hAnsi="Arial" w:cs="Arial"/>
          <w:sz w:val="22"/>
          <w:szCs w:val="22"/>
          <w:lang w:val="en-GB"/>
        </w:rPr>
        <w:t>s</w:t>
      </w:r>
      <w:r w:rsidRPr="00634544">
        <w:rPr>
          <w:rFonts w:ascii="Arial" w:hAnsi="Arial" w:cs="Arial"/>
          <w:sz w:val="22"/>
          <w:szCs w:val="22"/>
          <w:lang w:val="en-GB"/>
        </w:rPr>
        <w:t>ed hospitality experience (Mandarin Oriental, 2021). Its properties are often strategically located in prime urban destinations and exude opulence in design and service. The group's ethos, “Delighting every customer, every day”, is mirrored in its meticulous attention to detail, refined decor, and gourmet culinary offerings (Mandarin Oriental, 2021).</w:t>
      </w:r>
    </w:p>
    <w:p w14:paraId="4A4FFE7F" w14:textId="6770B385"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In contrast, Premier Inn, a British-born brand, champions the mid-range hotel segment. It aims to provide reliable, comfortable, and affordable accommodation, predominantly for </w:t>
      </w:r>
      <w:r w:rsidR="003F7FBB" w:rsidRPr="00634544">
        <w:rPr>
          <w:rFonts w:ascii="Arial" w:hAnsi="Arial" w:cs="Arial"/>
          <w:sz w:val="22"/>
          <w:szCs w:val="22"/>
          <w:lang w:val="en-GB"/>
        </w:rPr>
        <w:t>travellers</w:t>
      </w:r>
      <w:r w:rsidRPr="00634544">
        <w:rPr>
          <w:rFonts w:ascii="Arial" w:hAnsi="Arial" w:cs="Arial"/>
          <w:sz w:val="22"/>
          <w:szCs w:val="22"/>
          <w:lang w:val="en-GB"/>
        </w:rPr>
        <w:t xml:space="preserve"> who prioriti</w:t>
      </w:r>
      <w:r w:rsidR="003F7FBB" w:rsidRPr="00634544">
        <w:rPr>
          <w:rFonts w:ascii="Arial" w:hAnsi="Arial" w:cs="Arial"/>
          <w:sz w:val="22"/>
          <w:szCs w:val="22"/>
          <w:lang w:val="en-GB"/>
        </w:rPr>
        <w:t>s</w:t>
      </w:r>
      <w:r w:rsidRPr="00634544">
        <w:rPr>
          <w:rFonts w:ascii="Arial" w:hAnsi="Arial" w:cs="Arial"/>
          <w:sz w:val="22"/>
          <w:szCs w:val="22"/>
          <w:lang w:val="en-GB"/>
        </w:rPr>
        <w:t>e functionality and value for money (Whitbread, 2021). Premier Inn's commitment to "a good night's sleep" is underlined by its no-frills, standardi</w:t>
      </w:r>
      <w:r w:rsidR="003F7FBB" w:rsidRPr="00634544">
        <w:rPr>
          <w:rFonts w:ascii="Arial" w:hAnsi="Arial" w:cs="Arial"/>
          <w:sz w:val="22"/>
          <w:szCs w:val="22"/>
          <w:lang w:val="en-GB"/>
        </w:rPr>
        <w:t>s</w:t>
      </w:r>
      <w:r w:rsidRPr="00634544">
        <w:rPr>
          <w:rFonts w:ascii="Arial" w:hAnsi="Arial" w:cs="Arial"/>
          <w:sz w:val="22"/>
          <w:szCs w:val="22"/>
          <w:lang w:val="en-GB"/>
        </w:rPr>
        <w:t>ed rooms and services, combined with convenient locations (Whitbread, 2021).</w:t>
      </w:r>
    </w:p>
    <w:p w14:paraId="79E32640" w14:textId="1CB58BF3" w:rsidR="00A513FE" w:rsidRPr="00634544" w:rsidRDefault="00A513FE" w:rsidP="003F7FBB">
      <w:pPr>
        <w:spacing w:line="360" w:lineRule="auto"/>
        <w:rPr>
          <w:rFonts w:ascii="Arial" w:hAnsi="Arial" w:cs="Arial"/>
          <w:sz w:val="22"/>
          <w:szCs w:val="22"/>
          <w:lang w:val="en-GB"/>
        </w:rPr>
      </w:pPr>
      <w:r w:rsidRPr="00634544">
        <w:rPr>
          <w:rFonts w:ascii="Arial" w:hAnsi="Arial" w:cs="Arial"/>
          <w:sz w:val="22"/>
          <w:szCs w:val="22"/>
          <w:lang w:val="en-GB"/>
        </w:rPr>
        <w:t xml:space="preserve">In essence, while Mandarin Oriental offers a bespoke, luxury experience designed for those seeking extravagance, Premier Inn provides an efficient, straightforward stay tailored for the budget-conscious </w:t>
      </w:r>
      <w:r w:rsidR="003F7FBB" w:rsidRPr="00634544">
        <w:rPr>
          <w:rFonts w:ascii="Arial" w:hAnsi="Arial" w:cs="Arial"/>
          <w:sz w:val="22"/>
          <w:szCs w:val="22"/>
          <w:lang w:val="en-GB"/>
        </w:rPr>
        <w:t>traveller</w:t>
      </w:r>
      <w:r w:rsidRPr="00634544">
        <w:rPr>
          <w:rFonts w:ascii="Arial" w:hAnsi="Arial" w:cs="Arial"/>
          <w:sz w:val="22"/>
          <w:szCs w:val="22"/>
          <w:lang w:val="en-GB"/>
        </w:rPr>
        <w:t>. These contrasts highlight the vast diversity within the hospitality landscape.</w:t>
      </w:r>
    </w:p>
    <w:p w14:paraId="1320EFD0" w14:textId="77777777" w:rsidR="002A4F27" w:rsidRPr="00634544" w:rsidRDefault="002A4F27" w:rsidP="003F7FBB">
      <w:pPr>
        <w:spacing w:line="360" w:lineRule="auto"/>
        <w:rPr>
          <w:rFonts w:ascii="Arial" w:hAnsi="Arial" w:cs="Arial"/>
          <w:sz w:val="22"/>
          <w:szCs w:val="22"/>
          <w:lang w:val="en-GB"/>
        </w:rPr>
      </w:pPr>
    </w:p>
    <w:p w14:paraId="296E9F77" w14:textId="77777777" w:rsidR="00416198" w:rsidRPr="00634544" w:rsidRDefault="00416198" w:rsidP="003F7FBB">
      <w:pPr>
        <w:spacing w:line="360" w:lineRule="auto"/>
        <w:rPr>
          <w:rFonts w:ascii="Arial" w:hAnsi="Arial" w:cs="Arial"/>
          <w:sz w:val="22"/>
          <w:szCs w:val="22"/>
          <w:lang w:val="en-GB"/>
        </w:rPr>
      </w:pPr>
    </w:p>
    <w:p w14:paraId="53763BDD" w14:textId="77777777" w:rsidR="00416198" w:rsidRPr="00634544" w:rsidRDefault="00416198" w:rsidP="003F7FBB">
      <w:pPr>
        <w:spacing w:line="360" w:lineRule="auto"/>
        <w:rPr>
          <w:rFonts w:ascii="Arial" w:hAnsi="Arial" w:cs="Arial"/>
          <w:sz w:val="22"/>
          <w:szCs w:val="22"/>
          <w:lang w:val="en-GB"/>
        </w:rPr>
      </w:pPr>
    </w:p>
    <w:p w14:paraId="7169ACE0" w14:textId="3ADF7750" w:rsidR="002A4F27" w:rsidRPr="00634544" w:rsidRDefault="002A4F27" w:rsidP="0012073D">
      <w:pPr>
        <w:pStyle w:val="Heading1"/>
        <w:rPr>
          <w:lang w:val="en-GB"/>
        </w:rPr>
      </w:pPr>
      <w:bookmarkStart w:id="2" w:name="_Toc148299093"/>
      <w:r w:rsidRPr="00634544">
        <w:rPr>
          <w:lang w:val="en-GB"/>
        </w:rPr>
        <w:t>Total Revenue</w:t>
      </w:r>
      <w:bookmarkEnd w:id="2"/>
    </w:p>
    <w:p w14:paraId="78114797" w14:textId="77777777" w:rsidR="003F7FBB" w:rsidRPr="00634544" w:rsidRDefault="003F7FBB" w:rsidP="003F7FBB">
      <w:pPr>
        <w:spacing w:line="360" w:lineRule="auto"/>
        <w:rPr>
          <w:rFonts w:ascii="Arial" w:hAnsi="Arial" w:cs="Arial"/>
          <w:sz w:val="22"/>
          <w:szCs w:val="22"/>
          <w:lang w:val="en-GB"/>
        </w:rPr>
      </w:pPr>
    </w:p>
    <w:p w14:paraId="3A315860" w14:textId="77777777" w:rsidR="003F7FBB"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Mandarin Oriental Hotel Group: </w:t>
      </w:r>
    </w:p>
    <w:p w14:paraId="6195422C" w14:textId="655965ED" w:rsidR="00A513FE" w:rsidRPr="00634544" w:rsidRDefault="00A513FE" w:rsidP="00416198">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Mandarin Oriental's revenue is primarily driven by its luxury hotels and residences, spanning key urban </w:t>
      </w:r>
      <w:r w:rsidR="003F7FBB" w:rsidRPr="00634544">
        <w:rPr>
          <w:rFonts w:ascii="Arial" w:hAnsi="Arial" w:cs="Arial"/>
          <w:sz w:val="22"/>
          <w:szCs w:val="22"/>
          <w:lang w:val="en-GB"/>
        </w:rPr>
        <w:t>centres</w:t>
      </w:r>
      <w:r w:rsidRPr="00634544">
        <w:rPr>
          <w:rFonts w:ascii="Arial" w:hAnsi="Arial" w:cs="Arial"/>
          <w:sz w:val="22"/>
          <w:szCs w:val="22"/>
          <w:lang w:val="en-GB"/>
        </w:rPr>
        <w:t xml:space="preserve"> and leisure destinations worldwide. In addition to room revenues, significant income is generated from gourmet restaurants, spas, and other upscale amenities found within their properties. Their global brand and reputation allow them to command premium prices, which contributes to their revenue stream (Mandarin Oriental, 2021). Historically, the group has observed revenue growth due to strategic expansions in markets like Europe and the Americas, coupled with a consistent emphasis on luxury experiences.</w:t>
      </w:r>
      <w:r w:rsidR="00416198" w:rsidRPr="00634544">
        <w:rPr>
          <w:rFonts w:ascii="Arial" w:hAnsi="Arial" w:cs="Arial"/>
          <w:sz w:val="22"/>
          <w:szCs w:val="22"/>
          <w:lang w:val="en-GB"/>
        </w:rPr>
        <w:t xml:space="preserve"> The total revenue registered by the company in 2022 was reported at $0.45B, an increase compared to $0.31B in 2021, as seen in the diagram 1, below. (Companies Market Cap, 2023)</w:t>
      </w:r>
    </w:p>
    <w:p w14:paraId="36188659" w14:textId="77777777"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However, like most in the hospitality sector, Mandarin Oriental faced challenges with the onset of the COVID-19 pandemic, which led to a decline in international travel and thus, a reduction in their revenue (Mandarin Oriental, 2021).</w:t>
      </w:r>
    </w:p>
    <w:p w14:paraId="6B134BCD" w14:textId="271D13D5" w:rsidR="003F7FBB" w:rsidRPr="00634544" w:rsidRDefault="003F7FBB" w:rsidP="003F7FBB">
      <w:pPr>
        <w:spacing w:line="360" w:lineRule="auto"/>
        <w:ind w:firstLine="720"/>
        <w:rPr>
          <w:rFonts w:ascii="Arial" w:hAnsi="Arial" w:cs="Arial"/>
          <w:sz w:val="22"/>
          <w:szCs w:val="22"/>
          <w:lang w:val="en-GB"/>
        </w:rPr>
      </w:pPr>
    </w:p>
    <w:p w14:paraId="76FD998E" w14:textId="77777777" w:rsidR="00416198" w:rsidRPr="00634544" w:rsidRDefault="00416198" w:rsidP="003F7FBB">
      <w:pPr>
        <w:spacing w:line="360" w:lineRule="auto"/>
        <w:ind w:firstLine="720"/>
        <w:rPr>
          <w:rFonts w:ascii="Arial" w:hAnsi="Arial" w:cs="Arial"/>
          <w:sz w:val="22"/>
          <w:szCs w:val="22"/>
          <w:lang w:val="en-GB"/>
        </w:rPr>
      </w:pPr>
    </w:p>
    <w:p w14:paraId="53DC5832" w14:textId="57117724" w:rsidR="00416198" w:rsidRPr="00634544" w:rsidRDefault="00416198" w:rsidP="00416198">
      <w:pPr>
        <w:spacing w:line="360" w:lineRule="auto"/>
        <w:ind w:firstLine="720"/>
        <w:jc w:val="center"/>
        <w:rPr>
          <w:rFonts w:ascii="Arial" w:hAnsi="Arial" w:cs="Arial"/>
          <w:sz w:val="22"/>
          <w:szCs w:val="22"/>
          <w:lang w:val="en-GB"/>
        </w:rPr>
      </w:pPr>
      <w:r w:rsidRPr="00634544">
        <w:rPr>
          <w:rFonts w:ascii="Arial" w:hAnsi="Arial" w:cs="Arial"/>
          <w:noProof/>
          <w:sz w:val="22"/>
          <w:szCs w:val="22"/>
          <w:lang w:val="en-GB"/>
        </w:rPr>
        <w:drawing>
          <wp:inline distT="0" distB="0" distL="0" distR="0" wp14:anchorId="541478CB" wp14:editId="488B46F1">
            <wp:extent cx="5333707" cy="2378583"/>
            <wp:effectExtent l="0" t="0" r="635" b="0"/>
            <wp:docPr id="899407105" name="Picture 1" descr="A graph on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07105" name="Picture 1" descr="A graph on a screen&#10;&#10;Description automatically generated"/>
                    <pic:cNvPicPr/>
                  </pic:nvPicPr>
                  <pic:blipFill rotWithShape="1">
                    <a:blip r:embed="rId6" cstate="print">
                      <a:extLst>
                        <a:ext uri="{28A0092B-C50C-407E-A947-70E740481C1C}">
                          <a14:useLocalDpi xmlns:a14="http://schemas.microsoft.com/office/drawing/2010/main" val="0"/>
                        </a:ext>
                      </a:extLst>
                    </a:blip>
                    <a:srcRect l="2865" t="16366" r="4032" b="17199"/>
                    <a:stretch/>
                  </pic:blipFill>
                  <pic:spPr bwMode="auto">
                    <a:xfrm>
                      <a:off x="0" y="0"/>
                      <a:ext cx="5336185" cy="2379688"/>
                    </a:xfrm>
                    <a:prstGeom prst="rect">
                      <a:avLst/>
                    </a:prstGeom>
                    <a:ln>
                      <a:noFill/>
                    </a:ln>
                    <a:extLst>
                      <a:ext uri="{53640926-AAD7-44D8-BBD7-CCE9431645EC}">
                        <a14:shadowObscured xmlns:a14="http://schemas.microsoft.com/office/drawing/2010/main"/>
                      </a:ext>
                    </a:extLst>
                  </pic:spPr>
                </pic:pic>
              </a:graphicData>
            </a:graphic>
          </wp:inline>
        </w:drawing>
      </w:r>
    </w:p>
    <w:p w14:paraId="5C1B390A" w14:textId="6A86F140" w:rsidR="00416198" w:rsidRPr="00634544" w:rsidRDefault="00416198" w:rsidP="00416198">
      <w:pPr>
        <w:spacing w:line="360" w:lineRule="auto"/>
        <w:ind w:firstLine="720"/>
        <w:jc w:val="center"/>
        <w:rPr>
          <w:rFonts w:ascii="Arial" w:hAnsi="Arial" w:cs="Arial"/>
          <w:sz w:val="22"/>
          <w:szCs w:val="22"/>
          <w:lang w:val="en-GB"/>
        </w:rPr>
      </w:pPr>
      <w:r w:rsidRPr="00634544">
        <w:rPr>
          <w:rFonts w:ascii="Arial" w:hAnsi="Arial" w:cs="Arial"/>
          <w:sz w:val="22"/>
          <w:szCs w:val="22"/>
          <w:lang w:val="en-GB"/>
        </w:rPr>
        <w:t>Diagram 1. Revenue history for Mandarin Oriental (Companies Market Cap, 2023)</w:t>
      </w:r>
    </w:p>
    <w:p w14:paraId="1751DEDD" w14:textId="77777777" w:rsidR="00416198" w:rsidRPr="00634544" w:rsidRDefault="00416198" w:rsidP="003F7FBB">
      <w:pPr>
        <w:spacing w:line="360" w:lineRule="auto"/>
        <w:ind w:firstLine="720"/>
        <w:rPr>
          <w:rFonts w:ascii="Arial" w:hAnsi="Arial" w:cs="Arial"/>
          <w:sz w:val="22"/>
          <w:szCs w:val="22"/>
          <w:lang w:val="en-GB"/>
        </w:rPr>
      </w:pPr>
    </w:p>
    <w:p w14:paraId="2BEAED64" w14:textId="31A80EF0" w:rsidR="003F7FBB"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Premier Inn:</w:t>
      </w:r>
    </w:p>
    <w:p w14:paraId="65E6E18A" w14:textId="1122C30E"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Premier Inn, owned by Whitbread PLC, garners its revenue chiefly from the mid-market hotel segment, targeting both business and leisure </w:t>
      </w:r>
      <w:r w:rsidR="003F7FBB" w:rsidRPr="00634544">
        <w:rPr>
          <w:rFonts w:ascii="Arial" w:hAnsi="Arial" w:cs="Arial"/>
          <w:sz w:val="22"/>
          <w:szCs w:val="22"/>
          <w:lang w:val="en-GB"/>
        </w:rPr>
        <w:t>travellers</w:t>
      </w:r>
      <w:r w:rsidRPr="00634544">
        <w:rPr>
          <w:rFonts w:ascii="Arial" w:hAnsi="Arial" w:cs="Arial"/>
          <w:sz w:val="22"/>
          <w:szCs w:val="22"/>
          <w:lang w:val="en-GB"/>
        </w:rPr>
        <w:t xml:space="preserve">. While room revenue </w:t>
      </w:r>
      <w:r w:rsidRPr="00634544">
        <w:rPr>
          <w:rFonts w:ascii="Arial" w:hAnsi="Arial" w:cs="Arial"/>
          <w:sz w:val="22"/>
          <w:szCs w:val="22"/>
          <w:lang w:val="en-GB"/>
        </w:rPr>
        <w:lastRenderedPageBreak/>
        <w:t>forms the backbone of their earnings, they also benefit from onsite restaurants and partnerships, such as with Costa Coffee in some locations. Premier Inn's strategy has often focused on volume, with a vast number of rooms across numerous properties, ensuring wide reach and occupancy (Whitbread, 2021). Their expansion into Germany and other markets had indicated an upward revenue trend.</w:t>
      </w:r>
      <w:r w:rsidR="00416198" w:rsidRPr="00634544">
        <w:rPr>
          <w:rFonts w:ascii="Arial" w:hAnsi="Arial" w:cs="Arial"/>
          <w:sz w:val="22"/>
          <w:szCs w:val="22"/>
          <w:lang w:val="en-GB"/>
        </w:rPr>
        <w:t xml:space="preserve"> According to Statista (2023), the revenue reported of Whitbread worldwide for 2022/2023 include e an 1,895.1 million GBP in Accommodation and 730.1 million GBP in Beverage and other, as seen in the Diagram 2 below. </w:t>
      </w:r>
    </w:p>
    <w:p w14:paraId="656769D6" w14:textId="77777777"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The COVID-19 pandemic similarly impacted Premier Inn, with a drop in occupancy rates and consequent decline in revenue. However, their diversified portfolio, including short-term stay options, might have cushioned the blow to some extent (Whitbread, 2021).</w:t>
      </w:r>
    </w:p>
    <w:p w14:paraId="1E8B10A3" w14:textId="77777777" w:rsidR="00416198" w:rsidRPr="00634544" w:rsidRDefault="00416198" w:rsidP="003F7FBB">
      <w:pPr>
        <w:spacing w:line="360" w:lineRule="auto"/>
        <w:rPr>
          <w:rFonts w:ascii="Arial" w:hAnsi="Arial" w:cs="Arial"/>
          <w:sz w:val="22"/>
          <w:szCs w:val="22"/>
          <w:lang w:val="en-GB"/>
        </w:rPr>
      </w:pPr>
    </w:p>
    <w:p w14:paraId="1CBD1FB2" w14:textId="217F1392" w:rsidR="00416198" w:rsidRPr="00634544" w:rsidRDefault="00416198" w:rsidP="00416198">
      <w:pPr>
        <w:spacing w:line="360" w:lineRule="auto"/>
        <w:jc w:val="center"/>
        <w:rPr>
          <w:rFonts w:ascii="Arial" w:hAnsi="Arial" w:cs="Arial"/>
          <w:sz w:val="22"/>
          <w:szCs w:val="22"/>
          <w:lang w:val="en-GB"/>
        </w:rPr>
      </w:pPr>
      <w:r w:rsidRPr="00634544">
        <w:rPr>
          <w:rFonts w:ascii="Arial" w:hAnsi="Arial" w:cs="Arial"/>
          <w:noProof/>
          <w:sz w:val="22"/>
          <w:szCs w:val="22"/>
          <w:lang w:val="en-GB"/>
        </w:rPr>
        <w:drawing>
          <wp:inline distT="0" distB="0" distL="0" distR="0" wp14:anchorId="231E9B10" wp14:editId="708C50D9">
            <wp:extent cx="4375230" cy="2534285"/>
            <wp:effectExtent l="0" t="0" r="6350" b="5715"/>
            <wp:docPr id="18142314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31495" name="Picture 2"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9411" t="31718" r="37052" b="18663"/>
                    <a:stretch/>
                  </pic:blipFill>
                  <pic:spPr bwMode="auto">
                    <a:xfrm>
                      <a:off x="0" y="0"/>
                      <a:ext cx="4395032" cy="2545755"/>
                    </a:xfrm>
                    <a:prstGeom prst="rect">
                      <a:avLst/>
                    </a:prstGeom>
                    <a:ln>
                      <a:noFill/>
                    </a:ln>
                    <a:extLst>
                      <a:ext uri="{53640926-AAD7-44D8-BBD7-CCE9431645EC}">
                        <a14:shadowObscured xmlns:a14="http://schemas.microsoft.com/office/drawing/2010/main"/>
                      </a:ext>
                    </a:extLst>
                  </pic:spPr>
                </pic:pic>
              </a:graphicData>
            </a:graphic>
          </wp:inline>
        </w:drawing>
      </w:r>
    </w:p>
    <w:p w14:paraId="040FE07B" w14:textId="206DBB4B" w:rsidR="00416198" w:rsidRPr="00634544" w:rsidRDefault="00416198" w:rsidP="00416198">
      <w:pPr>
        <w:spacing w:line="360" w:lineRule="auto"/>
        <w:jc w:val="center"/>
        <w:rPr>
          <w:rFonts w:ascii="Arial" w:hAnsi="Arial" w:cs="Arial"/>
          <w:sz w:val="22"/>
          <w:szCs w:val="22"/>
          <w:lang w:val="en-GB"/>
        </w:rPr>
      </w:pPr>
      <w:r w:rsidRPr="00634544">
        <w:rPr>
          <w:rFonts w:ascii="Arial" w:hAnsi="Arial" w:cs="Arial"/>
          <w:sz w:val="22"/>
          <w:szCs w:val="22"/>
          <w:lang w:val="en-GB"/>
        </w:rPr>
        <w:t>Diagram 2. Revenue of Whitbread worldwide from 2019/2021 to 2022/2012, by segment (Statista, 2023)</w:t>
      </w:r>
    </w:p>
    <w:p w14:paraId="140F7DB0" w14:textId="77777777" w:rsidR="00416198" w:rsidRPr="00634544" w:rsidRDefault="00416198" w:rsidP="003F7FBB">
      <w:pPr>
        <w:spacing w:line="360" w:lineRule="auto"/>
        <w:rPr>
          <w:rFonts w:ascii="Arial" w:hAnsi="Arial" w:cs="Arial"/>
          <w:sz w:val="22"/>
          <w:szCs w:val="22"/>
          <w:lang w:val="en-GB"/>
        </w:rPr>
      </w:pPr>
    </w:p>
    <w:p w14:paraId="00581ADF" w14:textId="77777777" w:rsidR="00416198" w:rsidRPr="00634544" w:rsidRDefault="00416198" w:rsidP="003F7FBB">
      <w:pPr>
        <w:spacing w:line="360" w:lineRule="auto"/>
        <w:rPr>
          <w:rFonts w:ascii="Arial" w:hAnsi="Arial" w:cs="Arial"/>
          <w:sz w:val="22"/>
          <w:szCs w:val="22"/>
          <w:lang w:val="en-GB"/>
        </w:rPr>
      </w:pPr>
    </w:p>
    <w:p w14:paraId="7E1A136B" w14:textId="2CB6EABD" w:rsidR="002A4F27" w:rsidRPr="00634544" w:rsidRDefault="002A4F27" w:rsidP="0012073D">
      <w:pPr>
        <w:pStyle w:val="Heading1"/>
        <w:rPr>
          <w:lang w:val="en-GB"/>
        </w:rPr>
      </w:pPr>
      <w:bookmarkStart w:id="3" w:name="_Toc148299094"/>
      <w:r w:rsidRPr="00634544">
        <w:rPr>
          <w:lang w:val="en-GB"/>
        </w:rPr>
        <w:t>Market Position</w:t>
      </w:r>
      <w:bookmarkEnd w:id="3"/>
    </w:p>
    <w:p w14:paraId="2DFECC23" w14:textId="77777777" w:rsidR="003F7FBB" w:rsidRPr="00634544" w:rsidRDefault="003F7FBB" w:rsidP="003F7FBB">
      <w:pPr>
        <w:spacing w:line="360" w:lineRule="auto"/>
        <w:rPr>
          <w:rFonts w:ascii="Arial" w:hAnsi="Arial" w:cs="Arial"/>
          <w:sz w:val="22"/>
          <w:szCs w:val="22"/>
          <w:lang w:val="en-GB"/>
        </w:rPr>
      </w:pPr>
    </w:p>
    <w:p w14:paraId="0F5EF791" w14:textId="77777777"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The distinct market positioning of both Mandarin Oriental Hotel Group and Premier Inn within the hospitality arena is influenced by their brand ethos, target demographics, and strategic aspirations.</w:t>
      </w:r>
    </w:p>
    <w:p w14:paraId="494C3E48" w14:textId="3EBA22F5"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Mandarin Oriental Hotel Group: Recogni</w:t>
      </w:r>
      <w:r w:rsidR="003F7FBB" w:rsidRPr="00634544">
        <w:rPr>
          <w:rFonts w:ascii="Arial" w:hAnsi="Arial" w:cs="Arial"/>
          <w:sz w:val="22"/>
          <w:szCs w:val="22"/>
          <w:lang w:val="en-GB"/>
        </w:rPr>
        <w:t>s</w:t>
      </w:r>
      <w:r w:rsidRPr="00634544">
        <w:rPr>
          <w:rFonts w:ascii="Arial" w:hAnsi="Arial" w:cs="Arial"/>
          <w:sz w:val="22"/>
          <w:szCs w:val="22"/>
          <w:lang w:val="en-GB"/>
        </w:rPr>
        <w:t xml:space="preserve">ed globally for its luxurious offerings, Mandarin Oriental caters to the premium segment of the hospitality market. With properties often located in iconic destinations and urban hubs, the group has successfully attracted a clientele consisting of affluent </w:t>
      </w:r>
      <w:r w:rsidR="003F7FBB" w:rsidRPr="00634544">
        <w:rPr>
          <w:rFonts w:ascii="Arial" w:hAnsi="Arial" w:cs="Arial"/>
          <w:sz w:val="22"/>
          <w:szCs w:val="22"/>
          <w:lang w:val="en-GB"/>
        </w:rPr>
        <w:t>travellers</w:t>
      </w:r>
      <w:r w:rsidRPr="00634544">
        <w:rPr>
          <w:rFonts w:ascii="Arial" w:hAnsi="Arial" w:cs="Arial"/>
          <w:sz w:val="22"/>
          <w:szCs w:val="22"/>
          <w:lang w:val="en-GB"/>
        </w:rPr>
        <w:t xml:space="preserve">, business magnates, and celebrities (Jones, 2019). The brand has consistently emphasized its oriental heritage and commitment to refined </w:t>
      </w:r>
      <w:r w:rsidRPr="00634544">
        <w:rPr>
          <w:rFonts w:ascii="Arial" w:hAnsi="Arial" w:cs="Arial"/>
          <w:sz w:val="22"/>
          <w:szCs w:val="22"/>
          <w:lang w:val="en-GB"/>
        </w:rPr>
        <w:lastRenderedPageBreak/>
        <w:t>luxury, which has fostered its image of elegance and exclusivity (Smith &amp; Tang, 2020). While their global footprint might be smaller than other luxury behemoths, Mandarin Oriental's robust brand perception has often led to loyal patronage and top-tier rates.</w:t>
      </w:r>
    </w:p>
    <w:p w14:paraId="383E5DD1" w14:textId="77777777" w:rsidR="003F7FBB" w:rsidRPr="00634544" w:rsidRDefault="003F7FBB" w:rsidP="003F7FBB">
      <w:pPr>
        <w:spacing w:line="360" w:lineRule="auto"/>
        <w:rPr>
          <w:rFonts w:ascii="Arial" w:hAnsi="Arial" w:cs="Arial"/>
          <w:sz w:val="22"/>
          <w:szCs w:val="22"/>
          <w:lang w:val="en-GB"/>
        </w:rPr>
      </w:pPr>
    </w:p>
    <w:p w14:paraId="0CFE2A60" w14:textId="052D5C66" w:rsidR="00A513FE" w:rsidRPr="00634544" w:rsidRDefault="00A513FE"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Premier Inn: Operating in the budget to mid-tier sector, Premier Inn has a contrasting positioning. The brand, ubiquitous especially in the UK, resonates with a wide spectrum of </w:t>
      </w:r>
      <w:r w:rsidR="003F7FBB" w:rsidRPr="00634544">
        <w:rPr>
          <w:rFonts w:ascii="Arial" w:hAnsi="Arial" w:cs="Arial"/>
          <w:sz w:val="22"/>
          <w:szCs w:val="22"/>
          <w:lang w:val="en-GB"/>
        </w:rPr>
        <w:t>travellers</w:t>
      </w:r>
      <w:r w:rsidRPr="00634544">
        <w:rPr>
          <w:rFonts w:ascii="Arial" w:hAnsi="Arial" w:cs="Arial"/>
          <w:sz w:val="22"/>
          <w:szCs w:val="22"/>
          <w:lang w:val="en-GB"/>
        </w:rPr>
        <w:t xml:space="preserve"> ranging from business professionals to families on holiday (Johnson, 2018). Their brand strength lies in their promise of dependable quality at competitive prices. As Harris &amp; Brown (2019) note, Premier Inn's strategic expansion and commitment to consistency have allowed them to carve out a substantial market share in their segment, particularly in the UK. Their success is also attributed to a well-curated balance between affordability and comfort.</w:t>
      </w:r>
    </w:p>
    <w:p w14:paraId="28458C50" w14:textId="77777777" w:rsidR="003F7FBB" w:rsidRPr="00634544" w:rsidRDefault="003F7FBB" w:rsidP="003F7FBB">
      <w:pPr>
        <w:spacing w:line="360" w:lineRule="auto"/>
        <w:rPr>
          <w:rFonts w:ascii="Arial" w:hAnsi="Arial" w:cs="Arial"/>
          <w:sz w:val="22"/>
          <w:szCs w:val="22"/>
          <w:lang w:val="en-GB"/>
        </w:rPr>
      </w:pPr>
    </w:p>
    <w:p w14:paraId="2370EE61" w14:textId="77777777" w:rsidR="00416198" w:rsidRPr="00634544" w:rsidRDefault="00416198" w:rsidP="003F7FBB">
      <w:pPr>
        <w:spacing w:line="360" w:lineRule="auto"/>
        <w:rPr>
          <w:rFonts w:ascii="Arial" w:hAnsi="Arial" w:cs="Arial"/>
          <w:sz w:val="22"/>
          <w:szCs w:val="22"/>
          <w:lang w:val="en-GB"/>
        </w:rPr>
      </w:pPr>
    </w:p>
    <w:p w14:paraId="4967EE6D" w14:textId="3677AD71" w:rsidR="002A4F27" w:rsidRPr="00634544" w:rsidRDefault="002A4F27" w:rsidP="0012073D">
      <w:pPr>
        <w:pStyle w:val="Heading1"/>
        <w:rPr>
          <w:lang w:val="en-GB"/>
        </w:rPr>
      </w:pPr>
      <w:bookmarkStart w:id="4" w:name="_Toc148299095"/>
      <w:r w:rsidRPr="00634544">
        <w:rPr>
          <w:lang w:val="en-GB"/>
        </w:rPr>
        <w:t>Growth Potential</w:t>
      </w:r>
      <w:bookmarkEnd w:id="4"/>
    </w:p>
    <w:p w14:paraId="10216618" w14:textId="77777777" w:rsidR="00F672EB" w:rsidRPr="00634544" w:rsidRDefault="00F672EB" w:rsidP="003F7FBB">
      <w:pPr>
        <w:spacing w:line="360" w:lineRule="auto"/>
        <w:rPr>
          <w:rFonts w:ascii="Arial" w:hAnsi="Arial" w:cs="Arial"/>
          <w:sz w:val="22"/>
          <w:szCs w:val="22"/>
          <w:lang w:val="en-GB"/>
        </w:rPr>
      </w:pPr>
    </w:p>
    <w:p w14:paraId="7A26AED5" w14:textId="77777777"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The growth potential of both Mandarin Oriental Hotel Group and Premier Inn is influenced by their existing strategies, market opportunities, and inherent challenges tied to their respective segments.</w:t>
      </w:r>
    </w:p>
    <w:p w14:paraId="390E210F" w14:textId="61A7A84F"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Mandarin Oriental Hotel Group: Operating in the luxury hospitality segment, Mandarin Oriental possesses significant growth potential, especially in emerging luxury markets. As economies like China, India, and parts of Southeast Asia continue to witness a rise in high-net-worth individuals, the demand for luxury accommodations in these regions is likely to expand (Pine &amp; Gilmore, 2020). Mandarin Oriental's strategy of curating locali</w:t>
      </w:r>
      <w:r w:rsidR="003F7FBB" w:rsidRPr="00634544">
        <w:rPr>
          <w:rFonts w:ascii="Arial" w:hAnsi="Arial" w:cs="Arial"/>
          <w:sz w:val="22"/>
          <w:szCs w:val="22"/>
          <w:lang w:val="en-GB"/>
        </w:rPr>
        <w:t>s</w:t>
      </w:r>
      <w:r w:rsidRPr="00634544">
        <w:rPr>
          <w:rFonts w:ascii="Arial" w:hAnsi="Arial" w:cs="Arial"/>
          <w:sz w:val="22"/>
          <w:szCs w:val="22"/>
          <w:lang w:val="en-GB"/>
        </w:rPr>
        <w:t>ed luxury experiences could be a winning formula in such markets. Additionally, the group's venture into branded residences offers a fresh avenue for growth, blending the realms of luxury real estate and hospitality (Williams, 2019). However, barriers include intense competition from other luxury hoteliers and the vulnerability of the luxury market to global economic downturns. It's essential for Mandarin Oriental to continually innovate and maintain its prestigious brand image in this competitive space (Miller, 2021).</w:t>
      </w:r>
    </w:p>
    <w:p w14:paraId="087E0FF7" w14:textId="77777777" w:rsidR="003F7FBB" w:rsidRPr="00634544" w:rsidRDefault="003F7FBB" w:rsidP="003F7FBB">
      <w:pPr>
        <w:spacing w:line="360" w:lineRule="auto"/>
        <w:rPr>
          <w:rFonts w:ascii="Arial" w:hAnsi="Arial" w:cs="Arial"/>
          <w:sz w:val="22"/>
          <w:szCs w:val="22"/>
          <w:lang w:val="en-GB"/>
        </w:rPr>
      </w:pPr>
    </w:p>
    <w:p w14:paraId="6E1703B4" w14:textId="6186B942"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Premier Inn: Premier Inn's growth potential lies in its ability to tap into the vast mid-segment market. Its recent expansions, notably into Germany, demonstrate an appetite to capture a larger European market share (Whitbread, 2021). Emerging markets, undergoing rapid urbanization, could also offer potential growth avenues. Premier Inn's model of consistent, affordable quality is universally appealing, which can be scaled efficiently. Nonetheless, challenges include market saturation in specific regions and the need to adapt </w:t>
      </w:r>
      <w:r w:rsidRPr="00634544">
        <w:rPr>
          <w:rFonts w:ascii="Arial" w:hAnsi="Arial" w:cs="Arial"/>
          <w:sz w:val="22"/>
          <w:szCs w:val="22"/>
          <w:lang w:val="en-GB"/>
        </w:rPr>
        <w:lastRenderedPageBreak/>
        <w:t>to varying consumer preferences across cultures. Additionally, the rise of alternative accommodations like Airbnb presents competition in offering unique, value-driven stays (O'Neill &amp; Ouyang, 2016).</w:t>
      </w:r>
    </w:p>
    <w:p w14:paraId="47C3825A" w14:textId="77777777" w:rsidR="00F672EB" w:rsidRPr="00634544" w:rsidRDefault="00F672EB" w:rsidP="003F7FBB">
      <w:pPr>
        <w:spacing w:line="360" w:lineRule="auto"/>
        <w:rPr>
          <w:rFonts w:ascii="Arial" w:hAnsi="Arial" w:cs="Arial"/>
          <w:sz w:val="22"/>
          <w:szCs w:val="22"/>
          <w:lang w:val="en-GB"/>
        </w:rPr>
      </w:pPr>
    </w:p>
    <w:p w14:paraId="578F208F" w14:textId="77777777" w:rsidR="003F7FBB" w:rsidRPr="00634544" w:rsidRDefault="003F7FBB" w:rsidP="003F7FBB">
      <w:pPr>
        <w:spacing w:line="360" w:lineRule="auto"/>
        <w:rPr>
          <w:rFonts w:ascii="Arial" w:hAnsi="Arial" w:cs="Arial"/>
          <w:sz w:val="22"/>
          <w:szCs w:val="22"/>
          <w:lang w:val="en-GB"/>
        </w:rPr>
      </w:pPr>
    </w:p>
    <w:p w14:paraId="33329D7F" w14:textId="6FBB56D8" w:rsidR="002A4F27" w:rsidRPr="00634544" w:rsidRDefault="003F7FBB" w:rsidP="0012073D">
      <w:pPr>
        <w:pStyle w:val="Heading1"/>
        <w:rPr>
          <w:lang w:val="en-GB"/>
        </w:rPr>
      </w:pPr>
      <w:bookmarkStart w:id="5" w:name="_Toc148299096"/>
      <w:r w:rsidRPr="00634544">
        <w:rPr>
          <w:lang w:val="en-GB"/>
        </w:rPr>
        <w:t>Comparation</w:t>
      </w:r>
      <w:r w:rsidR="00A513FE" w:rsidRPr="00634544">
        <w:rPr>
          <w:lang w:val="en-GB"/>
        </w:rPr>
        <w:t xml:space="preserve"> </w:t>
      </w:r>
      <w:r w:rsidR="002A4F27" w:rsidRPr="00634544">
        <w:rPr>
          <w:lang w:val="en-GB"/>
        </w:rPr>
        <w:t>Financial Commitment to CSR (Corporate Social Responsibility):</w:t>
      </w:r>
      <w:bookmarkEnd w:id="5"/>
      <w:r w:rsidR="002A4F27" w:rsidRPr="00634544">
        <w:rPr>
          <w:lang w:val="en-GB"/>
        </w:rPr>
        <w:t xml:space="preserve"> </w:t>
      </w:r>
    </w:p>
    <w:p w14:paraId="7A9ABC50" w14:textId="77777777" w:rsidR="00F672EB" w:rsidRPr="00634544" w:rsidRDefault="00F672EB" w:rsidP="003F7FBB">
      <w:pPr>
        <w:spacing w:line="360" w:lineRule="auto"/>
        <w:rPr>
          <w:rFonts w:ascii="Arial" w:hAnsi="Arial" w:cs="Arial"/>
          <w:sz w:val="22"/>
          <w:szCs w:val="22"/>
          <w:lang w:val="en-GB"/>
        </w:rPr>
      </w:pPr>
    </w:p>
    <w:p w14:paraId="340DE0D1" w14:textId="6DA1613A"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Corporate Social Responsibility (CSR) has become a pivotal aspect of the modern hospitality industry, and understanding the financial commitment of organi</w:t>
      </w:r>
      <w:r w:rsidR="003F7FBB" w:rsidRPr="00634544">
        <w:rPr>
          <w:rFonts w:ascii="Arial" w:hAnsi="Arial" w:cs="Arial"/>
          <w:sz w:val="22"/>
          <w:szCs w:val="22"/>
          <w:lang w:val="en-GB"/>
        </w:rPr>
        <w:t>s</w:t>
      </w:r>
      <w:r w:rsidRPr="00634544">
        <w:rPr>
          <w:rFonts w:ascii="Arial" w:hAnsi="Arial" w:cs="Arial"/>
          <w:sz w:val="22"/>
          <w:szCs w:val="22"/>
          <w:lang w:val="en-GB"/>
        </w:rPr>
        <w:t>ations towards these initiatives offers insight into their long-term strategic approach.</w:t>
      </w:r>
    </w:p>
    <w:p w14:paraId="13767716" w14:textId="3C21F859"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Mandarin Oriental Hotel Group: Mandarin Oriental places significant emphasis on sustainability and ethical practices. Their 'Sustainable Luxury Vision 2020', laid down ambitious targets in areas of environmental impact and social responsibility (Mandarin Oriental, 2019). The group has shown financial commitment by investing in energy-efficient infrastructures and sustainable sourcing. Additionally, their 'Fan of MO' initiative emphasized partnerships with local artisans, indicating a commitment to community engagement. Furthermore, Mandarin Oriental has endorsed ethical business practices by supporting human rights and fair </w:t>
      </w:r>
      <w:r w:rsidR="003F7FBB" w:rsidRPr="00634544">
        <w:rPr>
          <w:rFonts w:ascii="Arial" w:hAnsi="Arial" w:cs="Arial"/>
          <w:sz w:val="22"/>
          <w:szCs w:val="22"/>
          <w:lang w:val="en-GB"/>
        </w:rPr>
        <w:t>labour</w:t>
      </w:r>
      <w:r w:rsidRPr="00634544">
        <w:rPr>
          <w:rFonts w:ascii="Arial" w:hAnsi="Arial" w:cs="Arial"/>
          <w:sz w:val="22"/>
          <w:szCs w:val="22"/>
          <w:lang w:val="en-GB"/>
        </w:rPr>
        <w:t xml:space="preserve"> practices, as reflected in their supplier and employment policies. While exact financial figures can be extracted from their annual reports, the strategic direction points to a significant resource allocation for CSR </w:t>
      </w:r>
      <w:r w:rsidR="003F7FBB" w:rsidRPr="00634544">
        <w:rPr>
          <w:rFonts w:ascii="Arial" w:hAnsi="Arial" w:cs="Arial"/>
          <w:sz w:val="22"/>
          <w:szCs w:val="22"/>
          <w:lang w:val="en-GB"/>
        </w:rPr>
        <w:t>endeavours</w:t>
      </w:r>
      <w:r w:rsidRPr="00634544">
        <w:rPr>
          <w:rFonts w:ascii="Arial" w:hAnsi="Arial" w:cs="Arial"/>
          <w:sz w:val="22"/>
          <w:szCs w:val="22"/>
          <w:lang w:val="en-GB"/>
        </w:rPr>
        <w:t xml:space="preserve"> (Green &amp; </w:t>
      </w:r>
      <w:proofErr w:type="spellStart"/>
      <w:r w:rsidRPr="00634544">
        <w:rPr>
          <w:rFonts w:ascii="Arial" w:hAnsi="Arial" w:cs="Arial"/>
          <w:sz w:val="22"/>
          <w:szCs w:val="22"/>
          <w:lang w:val="en-GB"/>
        </w:rPr>
        <w:t>Chien</w:t>
      </w:r>
      <w:proofErr w:type="spellEnd"/>
      <w:r w:rsidRPr="00634544">
        <w:rPr>
          <w:rFonts w:ascii="Arial" w:hAnsi="Arial" w:cs="Arial"/>
          <w:sz w:val="22"/>
          <w:szCs w:val="22"/>
          <w:lang w:val="en-GB"/>
        </w:rPr>
        <w:t>, 2020).</w:t>
      </w:r>
    </w:p>
    <w:p w14:paraId="2D82B1AA" w14:textId="77777777" w:rsidR="003F7FBB" w:rsidRPr="00634544" w:rsidRDefault="003F7FBB" w:rsidP="003F7FBB">
      <w:pPr>
        <w:spacing w:line="360" w:lineRule="auto"/>
        <w:rPr>
          <w:rFonts w:ascii="Arial" w:hAnsi="Arial" w:cs="Arial"/>
          <w:sz w:val="22"/>
          <w:szCs w:val="22"/>
          <w:lang w:val="en-GB"/>
        </w:rPr>
      </w:pPr>
    </w:p>
    <w:p w14:paraId="42C35392" w14:textId="48F30139"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Premier Inn: Premier Inn, under the umbrella of Whitbread, showcases a strong dedication to CSR with its 'Force for Good' sustainability program. The brand has set specific targets, including becoming net-zero carbon by 2040, which implies substantial financial commitments in areas like renewable energy and waste reduction (Whitbread, 2021). Their 'Whitbread Investing in Skills &amp; Employment' (WISE) program demonstrates their engagement with communities, ensuring job opportunities for those facing barriers to employment. Ethically, Premier Inn is committed to transparent reporting, fair wages, and combating modern slavery, underlining their holistic approach to CSR (Reynolds &amp; </w:t>
      </w:r>
      <w:proofErr w:type="spellStart"/>
      <w:r w:rsidRPr="00634544">
        <w:rPr>
          <w:rFonts w:ascii="Arial" w:hAnsi="Arial" w:cs="Arial"/>
          <w:sz w:val="22"/>
          <w:szCs w:val="22"/>
          <w:lang w:val="en-GB"/>
        </w:rPr>
        <w:t>Yuthas</w:t>
      </w:r>
      <w:proofErr w:type="spellEnd"/>
      <w:r w:rsidRPr="00634544">
        <w:rPr>
          <w:rFonts w:ascii="Arial" w:hAnsi="Arial" w:cs="Arial"/>
          <w:sz w:val="22"/>
          <w:szCs w:val="22"/>
          <w:lang w:val="en-GB"/>
        </w:rPr>
        <w:t>, 2019).</w:t>
      </w:r>
    </w:p>
    <w:p w14:paraId="2B1B40AF" w14:textId="5D8799FE" w:rsidR="003F7FBB" w:rsidRPr="00634544" w:rsidRDefault="003F7FBB" w:rsidP="003F7FBB">
      <w:pPr>
        <w:spacing w:line="360" w:lineRule="auto"/>
        <w:rPr>
          <w:rFonts w:ascii="Arial" w:hAnsi="Arial" w:cs="Arial"/>
          <w:sz w:val="22"/>
          <w:szCs w:val="22"/>
          <w:lang w:val="en-GB"/>
        </w:rPr>
      </w:pPr>
    </w:p>
    <w:p w14:paraId="047941BC" w14:textId="77777777" w:rsidR="003F7FBB" w:rsidRPr="00634544" w:rsidRDefault="003F7FBB" w:rsidP="003F7FBB">
      <w:pPr>
        <w:spacing w:line="360" w:lineRule="auto"/>
        <w:rPr>
          <w:rFonts w:ascii="Arial" w:hAnsi="Arial" w:cs="Arial"/>
          <w:sz w:val="22"/>
          <w:szCs w:val="22"/>
          <w:lang w:val="en-GB"/>
        </w:rPr>
      </w:pPr>
    </w:p>
    <w:p w14:paraId="230903ED" w14:textId="77777777" w:rsidR="0012073D" w:rsidRPr="00634544" w:rsidRDefault="0012073D" w:rsidP="003F7FBB">
      <w:pPr>
        <w:spacing w:line="360" w:lineRule="auto"/>
        <w:rPr>
          <w:rFonts w:ascii="Arial" w:hAnsi="Arial" w:cs="Arial"/>
          <w:sz w:val="22"/>
          <w:szCs w:val="22"/>
          <w:lang w:val="en-GB"/>
        </w:rPr>
      </w:pPr>
    </w:p>
    <w:p w14:paraId="3A69D80D" w14:textId="602B2EE7" w:rsidR="00F672EB" w:rsidRPr="00634544" w:rsidRDefault="00F672EB" w:rsidP="0012073D">
      <w:pPr>
        <w:pStyle w:val="Heading1"/>
        <w:rPr>
          <w:lang w:val="en-GB"/>
        </w:rPr>
      </w:pPr>
      <w:bookmarkStart w:id="6" w:name="_Toc148299097"/>
      <w:r w:rsidRPr="00634544">
        <w:rPr>
          <w:lang w:val="en-GB"/>
        </w:rPr>
        <w:lastRenderedPageBreak/>
        <w:t>Recommendations</w:t>
      </w:r>
      <w:bookmarkEnd w:id="6"/>
    </w:p>
    <w:p w14:paraId="0E940908" w14:textId="77777777" w:rsidR="003F7FBB" w:rsidRPr="00634544" w:rsidRDefault="003F7FBB" w:rsidP="003F7FBB">
      <w:pPr>
        <w:spacing w:line="360" w:lineRule="auto"/>
        <w:rPr>
          <w:rFonts w:ascii="Arial" w:hAnsi="Arial" w:cs="Arial"/>
          <w:sz w:val="22"/>
          <w:szCs w:val="22"/>
          <w:lang w:val="en-GB"/>
        </w:rPr>
      </w:pPr>
    </w:p>
    <w:p w14:paraId="099242B1" w14:textId="3F96DBF0"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Mandarin Oriental Hotel Group: Recommendation: Diversify Portfolio with Boutique Experiences in Emerging Markets Based on the growth potential assessment, it's evident that Mandarin Oriental can tap into the emerging luxury markets of Asia and parts of Southeast Asia. However, instead of only focusing on large-scale luxury establishments, it's recommended they also consider boutique luxury experiences that immerse guests in local culture and heritage. Such experiences have seen rising demand among discerning </w:t>
      </w:r>
      <w:r w:rsidR="003F7FBB" w:rsidRPr="00634544">
        <w:rPr>
          <w:rFonts w:ascii="Arial" w:hAnsi="Arial" w:cs="Arial"/>
          <w:sz w:val="22"/>
          <w:szCs w:val="22"/>
          <w:lang w:val="en-GB"/>
        </w:rPr>
        <w:t>travellers</w:t>
      </w:r>
      <w:r w:rsidRPr="00634544">
        <w:rPr>
          <w:rFonts w:ascii="Arial" w:hAnsi="Arial" w:cs="Arial"/>
          <w:sz w:val="22"/>
          <w:szCs w:val="22"/>
          <w:lang w:val="en-GB"/>
        </w:rPr>
        <w:t xml:space="preserve"> seeking authenticity (Pine &amp; Gilmore, 2020). This approach would not only cater to a growing niche but also leverage Mandarin Oriental's strength in curating locali</w:t>
      </w:r>
      <w:r w:rsidR="003F7FBB" w:rsidRPr="00634544">
        <w:rPr>
          <w:rFonts w:ascii="Arial" w:hAnsi="Arial" w:cs="Arial"/>
          <w:sz w:val="22"/>
          <w:szCs w:val="22"/>
          <w:lang w:val="en-GB"/>
        </w:rPr>
        <w:t>s</w:t>
      </w:r>
      <w:r w:rsidRPr="00634544">
        <w:rPr>
          <w:rFonts w:ascii="Arial" w:hAnsi="Arial" w:cs="Arial"/>
          <w:sz w:val="22"/>
          <w:szCs w:val="22"/>
          <w:lang w:val="en-GB"/>
        </w:rPr>
        <w:t>ed luxury experiences.</w:t>
      </w:r>
    </w:p>
    <w:p w14:paraId="4B153D38" w14:textId="5E032C13"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Evidence: Research indicates that luxury </w:t>
      </w:r>
      <w:r w:rsidR="003F7FBB" w:rsidRPr="00634544">
        <w:rPr>
          <w:rFonts w:ascii="Arial" w:hAnsi="Arial" w:cs="Arial"/>
          <w:sz w:val="22"/>
          <w:szCs w:val="22"/>
          <w:lang w:val="en-GB"/>
        </w:rPr>
        <w:t>travellers</w:t>
      </w:r>
      <w:r w:rsidRPr="00634544">
        <w:rPr>
          <w:rFonts w:ascii="Arial" w:hAnsi="Arial" w:cs="Arial"/>
          <w:sz w:val="22"/>
          <w:szCs w:val="22"/>
          <w:lang w:val="en-GB"/>
        </w:rPr>
        <w:t xml:space="preserve"> are increasingly seeking unique, authentic experiences. For instance, Pine &amp; Gilmore (2020) emphasize the shift towards the "experience economy," where premium consumers are willing to pay a higher price for memorable and unique experiences.</w:t>
      </w:r>
    </w:p>
    <w:p w14:paraId="41EBED8E" w14:textId="77777777" w:rsidR="003F7FBB" w:rsidRPr="00634544" w:rsidRDefault="003F7FBB" w:rsidP="003F7FBB">
      <w:pPr>
        <w:spacing w:line="360" w:lineRule="auto"/>
        <w:ind w:firstLine="720"/>
        <w:rPr>
          <w:rFonts w:ascii="Arial" w:hAnsi="Arial" w:cs="Arial"/>
          <w:sz w:val="22"/>
          <w:szCs w:val="22"/>
          <w:lang w:val="en-GB"/>
        </w:rPr>
      </w:pPr>
    </w:p>
    <w:p w14:paraId="08DA5AAC" w14:textId="6D60D92B"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Premier Inn: Recommendation: Implement Technology-Driven Solutions for Enhanced Guest Experience Given Premier Inn's massive footprint, especially in the UK, there's an opportunity to further streamline operations and enhance guest experiences using technology. From AI-powered chatbots addressing guest queries to data analytics predicting booking trends and optimi</w:t>
      </w:r>
      <w:r w:rsidR="003F7FBB" w:rsidRPr="00634544">
        <w:rPr>
          <w:rFonts w:ascii="Arial" w:hAnsi="Arial" w:cs="Arial"/>
          <w:sz w:val="22"/>
          <w:szCs w:val="22"/>
          <w:lang w:val="en-GB"/>
        </w:rPr>
        <w:t>s</w:t>
      </w:r>
      <w:r w:rsidRPr="00634544">
        <w:rPr>
          <w:rFonts w:ascii="Arial" w:hAnsi="Arial" w:cs="Arial"/>
          <w:sz w:val="22"/>
          <w:szCs w:val="22"/>
          <w:lang w:val="en-GB"/>
        </w:rPr>
        <w:t>ing pricing, Premier Inn can reduce operational costs while enhancing guest satisfaction. Outsourcing tech solutions might be a viable option, allowing the brand to tap into cutting-edge solutions without significant overheads (O'Neill &amp; Ouyang, 2016).</w:t>
      </w:r>
    </w:p>
    <w:p w14:paraId="3BD53D58" w14:textId="77777777"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Evidence: The hospitality sector has increasingly adopted technology to improve efficiency and guest experiences. As O'Neill &amp; Ouyang (2016) outline, the rise of alternative accommodations like Airbnb has spurred traditional hotels to innovate, and technology-driven solutions present a promising avenue. Given Premier Inn's volume-driven model, even incremental improvements in efficiency or guest experience can have significant revenue implications.</w:t>
      </w:r>
    </w:p>
    <w:p w14:paraId="6CC2D7FA" w14:textId="77777777" w:rsidR="00F672EB" w:rsidRPr="00634544" w:rsidRDefault="00F672EB" w:rsidP="003F7FBB">
      <w:pPr>
        <w:spacing w:line="360" w:lineRule="auto"/>
        <w:rPr>
          <w:rFonts w:ascii="Arial" w:hAnsi="Arial" w:cs="Arial"/>
          <w:sz w:val="22"/>
          <w:szCs w:val="22"/>
          <w:lang w:val="en-GB"/>
        </w:rPr>
      </w:pPr>
    </w:p>
    <w:p w14:paraId="448F6591" w14:textId="77777777" w:rsidR="00416198" w:rsidRPr="00634544" w:rsidRDefault="00416198" w:rsidP="003F7FBB">
      <w:pPr>
        <w:spacing w:line="360" w:lineRule="auto"/>
        <w:rPr>
          <w:rFonts w:ascii="Arial" w:hAnsi="Arial" w:cs="Arial"/>
          <w:sz w:val="22"/>
          <w:szCs w:val="22"/>
          <w:lang w:val="en-GB"/>
        </w:rPr>
      </w:pPr>
    </w:p>
    <w:p w14:paraId="21EB8C61" w14:textId="6107FBE3" w:rsidR="002A4F27" w:rsidRPr="00634544" w:rsidRDefault="00A513FE" w:rsidP="0012073D">
      <w:pPr>
        <w:pStyle w:val="Heading1"/>
        <w:rPr>
          <w:lang w:val="en-GB"/>
        </w:rPr>
      </w:pPr>
      <w:bookmarkStart w:id="7" w:name="_Toc148299098"/>
      <w:r w:rsidRPr="00634544">
        <w:rPr>
          <w:lang w:val="en-GB"/>
        </w:rPr>
        <w:t>Conclusion</w:t>
      </w:r>
      <w:bookmarkEnd w:id="7"/>
    </w:p>
    <w:p w14:paraId="2679F10F" w14:textId="77777777" w:rsidR="003F7FBB" w:rsidRPr="00634544" w:rsidRDefault="003F7FBB" w:rsidP="003F7FBB">
      <w:pPr>
        <w:spacing w:line="360" w:lineRule="auto"/>
        <w:ind w:firstLine="720"/>
        <w:rPr>
          <w:rFonts w:ascii="Arial" w:hAnsi="Arial" w:cs="Arial"/>
          <w:sz w:val="22"/>
          <w:szCs w:val="22"/>
          <w:lang w:val="en-GB"/>
        </w:rPr>
      </w:pPr>
    </w:p>
    <w:p w14:paraId="781168B9" w14:textId="1B19CBA6" w:rsidR="00F672EB" w:rsidRPr="00634544" w:rsidRDefault="00F672EB" w:rsidP="003F7FBB">
      <w:pPr>
        <w:spacing w:line="360" w:lineRule="auto"/>
        <w:ind w:firstLine="720"/>
        <w:rPr>
          <w:rFonts w:ascii="Arial" w:hAnsi="Arial" w:cs="Arial"/>
          <w:sz w:val="22"/>
          <w:szCs w:val="22"/>
          <w:lang w:val="en-GB"/>
        </w:rPr>
      </w:pPr>
      <w:r w:rsidRPr="00634544">
        <w:rPr>
          <w:rFonts w:ascii="Arial" w:hAnsi="Arial" w:cs="Arial"/>
          <w:sz w:val="22"/>
          <w:szCs w:val="22"/>
          <w:lang w:val="en-GB"/>
        </w:rPr>
        <w:t xml:space="preserve">In the ever-evolving domain of the hospitality industry, the contrasting trajectories of the Mandarin Oriental Hotel Group and Premier Inn serve as exemplary studies of strategic </w:t>
      </w:r>
      <w:r w:rsidRPr="00634544">
        <w:rPr>
          <w:rFonts w:ascii="Arial" w:hAnsi="Arial" w:cs="Arial"/>
          <w:sz w:val="22"/>
          <w:szCs w:val="22"/>
          <w:lang w:val="en-GB"/>
        </w:rPr>
        <w:lastRenderedPageBreak/>
        <w:t>positioning and adaptability. From the luxury-driven, localized experiences of Mandarin Oriental to Premier Inn's mass appeal rooted in consistent quality, both organi</w:t>
      </w:r>
      <w:r w:rsidR="003F7FBB" w:rsidRPr="00634544">
        <w:rPr>
          <w:rFonts w:ascii="Arial" w:hAnsi="Arial" w:cs="Arial"/>
          <w:sz w:val="22"/>
          <w:szCs w:val="22"/>
          <w:lang w:val="en-GB"/>
        </w:rPr>
        <w:t>s</w:t>
      </w:r>
      <w:r w:rsidRPr="00634544">
        <w:rPr>
          <w:rFonts w:ascii="Arial" w:hAnsi="Arial" w:cs="Arial"/>
          <w:sz w:val="22"/>
          <w:szCs w:val="22"/>
          <w:lang w:val="en-GB"/>
        </w:rPr>
        <w:t>ations have carved distinct niches in a fiercely competitive landscape. Their divergent approaches to growth potential and Corporate Social Responsibility further underscore the industry's vastness and the myriad strategies that can lead to success. While the future is replete with challenges and uncertainties, both brands' demonstrated adaptability and commitment suggest promising trajectories. This research, in juxtaposing these two giants, not only highlights the diversity of the hospitality sector but also underscores the importance of continual evolution in response to shifting global dynamics and consumer preferences.</w:t>
      </w:r>
    </w:p>
    <w:p w14:paraId="24CE7E44" w14:textId="77777777" w:rsidR="003F7FBB" w:rsidRPr="00634544" w:rsidRDefault="003F7FBB" w:rsidP="003F7FBB">
      <w:pPr>
        <w:spacing w:line="360" w:lineRule="auto"/>
        <w:rPr>
          <w:rFonts w:ascii="Arial" w:hAnsi="Arial" w:cs="Arial"/>
          <w:sz w:val="22"/>
          <w:szCs w:val="22"/>
          <w:lang w:val="en-GB"/>
        </w:rPr>
      </w:pPr>
    </w:p>
    <w:p w14:paraId="36F58F42" w14:textId="77777777" w:rsidR="003F7FBB" w:rsidRPr="00634544" w:rsidRDefault="003F7FBB" w:rsidP="003F7FBB">
      <w:pPr>
        <w:spacing w:line="360" w:lineRule="auto"/>
        <w:rPr>
          <w:rFonts w:ascii="Arial" w:hAnsi="Arial" w:cs="Arial"/>
          <w:sz w:val="22"/>
          <w:szCs w:val="22"/>
          <w:lang w:val="en-GB"/>
        </w:rPr>
      </w:pPr>
    </w:p>
    <w:p w14:paraId="737F63ED" w14:textId="77777777" w:rsidR="0012073D" w:rsidRPr="00634544" w:rsidRDefault="0012073D" w:rsidP="003F7FBB">
      <w:pPr>
        <w:spacing w:line="360" w:lineRule="auto"/>
        <w:rPr>
          <w:rFonts w:ascii="Arial" w:hAnsi="Arial" w:cs="Arial"/>
          <w:sz w:val="22"/>
          <w:szCs w:val="22"/>
          <w:lang w:val="en-GB"/>
        </w:rPr>
      </w:pPr>
    </w:p>
    <w:p w14:paraId="46079AC1" w14:textId="77777777" w:rsidR="0012073D" w:rsidRPr="00634544" w:rsidRDefault="0012073D" w:rsidP="003F7FBB">
      <w:pPr>
        <w:spacing w:line="360" w:lineRule="auto"/>
        <w:rPr>
          <w:rFonts w:ascii="Arial" w:hAnsi="Arial" w:cs="Arial"/>
          <w:sz w:val="22"/>
          <w:szCs w:val="22"/>
          <w:lang w:val="en-GB"/>
        </w:rPr>
      </w:pPr>
    </w:p>
    <w:p w14:paraId="2E1A3CB9" w14:textId="77777777" w:rsidR="0012073D" w:rsidRPr="00634544" w:rsidRDefault="0012073D" w:rsidP="003F7FBB">
      <w:pPr>
        <w:spacing w:line="360" w:lineRule="auto"/>
        <w:rPr>
          <w:rFonts w:ascii="Arial" w:hAnsi="Arial" w:cs="Arial"/>
          <w:sz w:val="22"/>
          <w:szCs w:val="22"/>
          <w:lang w:val="en-GB"/>
        </w:rPr>
      </w:pPr>
    </w:p>
    <w:p w14:paraId="530A6676" w14:textId="77777777" w:rsidR="0012073D" w:rsidRPr="00634544" w:rsidRDefault="0012073D" w:rsidP="003F7FBB">
      <w:pPr>
        <w:spacing w:line="360" w:lineRule="auto"/>
        <w:rPr>
          <w:rFonts w:ascii="Arial" w:hAnsi="Arial" w:cs="Arial"/>
          <w:sz w:val="22"/>
          <w:szCs w:val="22"/>
          <w:lang w:val="en-GB"/>
        </w:rPr>
      </w:pPr>
    </w:p>
    <w:p w14:paraId="7AC74E51" w14:textId="77777777" w:rsidR="0012073D" w:rsidRPr="00634544" w:rsidRDefault="0012073D" w:rsidP="003F7FBB">
      <w:pPr>
        <w:spacing w:line="360" w:lineRule="auto"/>
        <w:rPr>
          <w:rFonts w:ascii="Arial" w:hAnsi="Arial" w:cs="Arial"/>
          <w:sz w:val="22"/>
          <w:szCs w:val="22"/>
          <w:lang w:val="en-GB"/>
        </w:rPr>
      </w:pPr>
    </w:p>
    <w:p w14:paraId="6899C91E" w14:textId="77777777" w:rsidR="0012073D" w:rsidRPr="00634544" w:rsidRDefault="0012073D" w:rsidP="003F7FBB">
      <w:pPr>
        <w:spacing w:line="360" w:lineRule="auto"/>
        <w:rPr>
          <w:rFonts w:ascii="Arial" w:hAnsi="Arial" w:cs="Arial"/>
          <w:sz w:val="22"/>
          <w:szCs w:val="22"/>
          <w:lang w:val="en-GB"/>
        </w:rPr>
      </w:pPr>
    </w:p>
    <w:p w14:paraId="2678B883" w14:textId="77777777" w:rsidR="0012073D" w:rsidRPr="00634544" w:rsidRDefault="0012073D" w:rsidP="003F7FBB">
      <w:pPr>
        <w:spacing w:line="360" w:lineRule="auto"/>
        <w:rPr>
          <w:rFonts w:ascii="Arial" w:hAnsi="Arial" w:cs="Arial"/>
          <w:sz w:val="22"/>
          <w:szCs w:val="22"/>
          <w:lang w:val="en-GB"/>
        </w:rPr>
      </w:pPr>
    </w:p>
    <w:p w14:paraId="630C08CE" w14:textId="77777777" w:rsidR="0012073D" w:rsidRPr="00634544" w:rsidRDefault="0012073D" w:rsidP="003F7FBB">
      <w:pPr>
        <w:spacing w:line="360" w:lineRule="auto"/>
        <w:rPr>
          <w:rFonts w:ascii="Arial" w:hAnsi="Arial" w:cs="Arial"/>
          <w:sz w:val="22"/>
          <w:szCs w:val="22"/>
          <w:lang w:val="en-GB"/>
        </w:rPr>
      </w:pPr>
    </w:p>
    <w:p w14:paraId="19FCFB82" w14:textId="77777777" w:rsidR="0012073D" w:rsidRPr="00634544" w:rsidRDefault="0012073D" w:rsidP="003F7FBB">
      <w:pPr>
        <w:spacing w:line="360" w:lineRule="auto"/>
        <w:rPr>
          <w:rFonts w:ascii="Arial" w:hAnsi="Arial" w:cs="Arial"/>
          <w:sz w:val="22"/>
          <w:szCs w:val="22"/>
          <w:lang w:val="en-GB"/>
        </w:rPr>
      </w:pPr>
    </w:p>
    <w:p w14:paraId="2D9F9F72" w14:textId="77777777" w:rsidR="0012073D" w:rsidRPr="00634544" w:rsidRDefault="0012073D" w:rsidP="003F7FBB">
      <w:pPr>
        <w:spacing w:line="360" w:lineRule="auto"/>
        <w:rPr>
          <w:rFonts w:ascii="Arial" w:hAnsi="Arial" w:cs="Arial"/>
          <w:sz w:val="22"/>
          <w:szCs w:val="22"/>
          <w:lang w:val="en-GB"/>
        </w:rPr>
      </w:pPr>
    </w:p>
    <w:p w14:paraId="2EF11E46" w14:textId="77777777" w:rsidR="0012073D" w:rsidRPr="00634544" w:rsidRDefault="0012073D" w:rsidP="003F7FBB">
      <w:pPr>
        <w:spacing w:line="360" w:lineRule="auto"/>
        <w:rPr>
          <w:rFonts w:ascii="Arial" w:hAnsi="Arial" w:cs="Arial"/>
          <w:sz w:val="22"/>
          <w:szCs w:val="22"/>
          <w:lang w:val="en-GB"/>
        </w:rPr>
      </w:pPr>
    </w:p>
    <w:p w14:paraId="2848E4E1" w14:textId="77777777" w:rsidR="0012073D" w:rsidRPr="00634544" w:rsidRDefault="0012073D" w:rsidP="003F7FBB">
      <w:pPr>
        <w:spacing w:line="360" w:lineRule="auto"/>
        <w:rPr>
          <w:rFonts w:ascii="Arial" w:hAnsi="Arial" w:cs="Arial"/>
          <w:sz w:val="22"/>
          <w:szCs w:val="22"/>
          <w:lang w:val="en-GB"/>
        </w:rPr>
      </w:pPr>
    </w:p>
    <w:p w14:paraId="7181B7AD" w14:textId="77777777" w:rsidR="0012073D" w:rsidRPr="00634544" w:rsidRDefault="0012073D" w:rsidP="003F7FBB">
      <w:pPr>
        <w:spacing w:line="360" w:lineRule="auto"/>
        <w:rPr>
          <w:rFonts w:ascii="Arial" w:hAnsi="Arial" w:cs="Arial"/>
          <w:sz w:val="22"/>
          <w:szCs w:val="22"/>
          <w:lang w:val="en-GB"/>
        </w:rPr>
      </w:pPr>
    </w:p>
    <w:p w14:paraId="2B5A4C36" w14:textId="77777777" w:rsidR="0012073D" w:rsidRPr="00634544" w:rsidRDefault="0012073D" w:rsidP="003F7FBB">
      <w:pPr>
        <w:spacing w:line="360" w:lineRule="auto"/>
        <w:rPr>
          <w:rFonts w:ascii="Arial" w:hAnsi="Arial" w:cs="Arial"/>
          <w:sz w:val="22"/>
          <w:szCs w:val="22"/>
          <w:lang w:val="en-GB"/>
        </w:rPr>
      </w:pPr>
    </w:p>
    <w:p w14:paraId="753F7626" w14:textId="77777777" w:rsidR="0012073D" w:rsidRPr="00634544" w:rsidRDefault="0012073D" w:rsidP="003F7FBB">
      <w:pPr>
        <w:spacing w:line="360" w:lineRule="auto"/>
        <w:rPr>
          <w:rFonts w:ascii="Arial" w:hAnsi="Arial" w:cs="Arial"/>
          <w:sz w:val="22"/>
          <w:szCs w:val="22"/>
          <w:lang w:val="en-GB"/>
        </w:rPr>
      </w:pPr>
    </w:p>
    <w:p w14:paraId="27193260" w14:textId="77777777" w:rsidR="0012073D" w:rsidRPr="00634544" w:rsidRDefault="0012073D" w:rsidP="003F7FBB">
      <w:pPr>
        <w:spacing w:line="360" w:lineRule="auto"/>
        <w:rPr>
          <w:rFonts w:ascii="Arial" w:hAnsi="Arial" w:cs="Arial"/>
          <w:sz w:val="22"/>
          <w:szCs w:val="22"/>
          <w:lang w:val="en-GB"/>
        </w:rPr>
      </w:pPr>
    </w:p>
    <w:p w14:paraId="1485A742" w14:textId="77777777" w:rsidR="0012073D" w:rsidRPr="00634544" w:rsidRDefault="0012073D" w:rsidP="003F7FBB">
      <w:pPr>
        <w:spacing w:line="360" w:lineRule="auto"/>
        <w:rPr>
          <w:rFonts w:ascii="Arial" w:hAnsi="Arial" w:cs="Arial"/>
          <w:sz w:val="22"/>
          <w:szCs w:val="22"/>
          <w:lang w:val="en-GB"/>
        </w:rPr>
      </w:pPr>
    </w:p>
    <w:p w14:paraId="2F6E0883" w14:textId="77777777" w:rsidR="0012073D" w:rsidRPr="00634544" w:rsidRDefault="0012073D" w:rsidP="003F7FBB">
      <w:pPr>
        <w:spacing w:line="360" w:lineRule="auto"/>
        <w:rPr>
          <w:rFonts w:ascii="Arial" w:hAnsi="Arial" w:cs="Arial"/>
          <w:sz w:val="22"/>
          <w:szCs w:val="22"/>
          <w:lang w:val="en-GB"/>
        </w:rPr>
      </w:pPr>
    </w:p>
    <w:p w14:paraId="3714002E" w14:textId="77777777" w:rsidR="0012073D" w:rsidRPr="00634544" w:rsidRDefault="0012073D" w:rsidP="003F7FBB">
      <w:pPr>
        <w:spacing w:line="360" w:lineRule="auto"/>
        <w:rPr>
          <w:rFonts w:ascii="Arial" w:hAnsi="Arial" w:cs="Arial"/>
          <w:sz w:val="22"/>
          <w:szCs w:val="22"/>
          <w:lang w:val="en-GB"/>
        </w:rPr>
      </w:pPr>
    </w:p>
    <w:p w14:paraId="6175618F" w14:textId="77777777" w:rsidR="0012073D" w:rsidRPr="00634544" w:rsidRDefault="0012073D" w:rsidP="003F7FBB">
      <w:pPr>
        <w:spacing w:line="360" w:lineRule="auto"/>
        <w:rPr>
          <w:rFonts w:ascii="Arial" w:hAnsi="Arial" w:cs="Arial"/>
          <w:sz w:val="22"/>
          <w:szCs w:val="22"/>
          <w:lang w:val="en-GB"/>
        </w:rPr>
      </w:pPr>
    </w:p>
    <w:p w14:paraId="1B001EC5" w14:textId="77777777" w:rsidR="0012073D" w:rsidRPr="00634544" w:rsidRDefault="0012073D" w:rsidP="003F7FBB">
      <w:pPr>
        <w:spacing w:line="360" w:lineRule="auto"/>
        <w:rPr>
          <w:rFonts w:ascii="Arial" w:hAnsi="Arial" w:cs="Arial"/>
          <w:sz w:val="22"/>
          <w:szCs w:val="22"/>
          <w:lang w:val="en-GB"/>
        </w:rPr>
      </w:pPr>
    </w:p>
    <w:p w14:paraId="6D9C46AD" w14:textId="77777777" w:rsidR="0012073D" w:rsidRPr="00634544" w:rsidRDefault="0012073D" w:rsidP="003F7FBB">
      <w:pPr>
        <w:spacing w:line="360" w:lineRule="auto"/>
        <w:rPr>
          <w:rFonts w:ascii="Arial" w:hAnsi="Arial" w:cs="Arial"/>
          <w:sz w:val="22"/>
          <w:szCs w:val="22"/>
          <w:lang w:val="en-GB"/>
        </w:rPr>
      </w:pPr>
    </w:p>
    <w:p w14:paraId="67A26066" w14:textId="77777777" w:rsidR="0012073D" w:rsidRPr="00634544" w:rsidRDefault="0012073D" w:rsidP="003F7FBB">
      <w:pPr>
        <w:spacing w:line="360" w:lineRule="auto"/>
        <w:rPr>
          <w:rFonts w:ascii="Arial" w:hAnsi="Arial" w:cs="Arial"/>
          <w:sz w:val="22"/>
          <w:szCs w:val="22"/>
          <w:lang w:val="en-GB"/>
        </w:rPr>
      </w:pPr>
    </w:p>
    <w:p w14:paraId="060F4079" w14:textId="77777777" w:rsidR="0012073D" w:rsidRPr="00634544" w:rsidRDefault="0012073D" w:rsidP="003F7FBB">
      <w:pPr>
        <w:spacing w:line="360" w:lineRule="auto"/>
        <w:rPr>
          <w:rFonts w:ascii="Arial" w:hAnsi="Arial" w:cs="Arial"/>
          <w:sz w:val="22"/>
          <w:szCs w:val="22"/>
          <w:lang w:val="en-GB"/>
        </w:rPr>
      </w:pPr>
    </w:p>
    <w:p w14:paraId="0538A4FF" w14:textId="77777777" w:rsidR="003F7FBB" w:rsidRPr="00634544" w:rsidRDefault="003F7FBB" w:rsidP="0012073D">
      <w:pPr>
        <w:pStyle w:val="Heading1"/>
        <w:rPr>
          <w:lang w:val="en-GB"/>
        </w:rPr>
      </w:pPr>
      <w:bookmarkStart w:id="8" w:name="_Toc148299099"/>
      <w:r w:rsidRPr="00634544">
        <w:rPr>
          <w:lang w:val="en-GB"/>
        </w:rPr>
        <w:lastRenderedPageBreak/>
        <w:t>References:</w:t>
      </w:r>
      <w:bookmarkEnd w:id="8"/>
    </w:p>
    <w:p w14:paraId="5F9045B5" w14:textId="77777777" w:rsidR="00416198" w:rsidRPr="00634544" w:rsidRDefault="00416198" w:rsidP="003F7FBB">
      <w:pPr>
        <w:spacing w:line="360" w:lineRule="auto"/>
        <w:rPr>
          <w:rFonts w:ascii="Arial" w:hAnsi="Arial" w:cs="Arial"/>
          <w:sz w:val="22"/>
          <w:szCs w:val="22"/>
          <w:lang w:val="en-GB"/>
        </w:rPr>
      </w:pPr>
    </w:p>
    <w:p w14:paraId="1F9A2BB5" w14:textId="0A03DC74" w:rsidR="003F7FBB" w:rsidRPr="00634544" w:rsidRDefault="00416198" w:rsidP="003F7FBB">
      <w:pPr>
        <w:spacing w:line="360" w:lineRule="auto"/>
        <w:rPr>
          <w:rFonts w:ascii="Arial" w:hAnsi="Arial" w:cs="Arial"/>
          <w:sz w:val="22"/>
          <w:szCs w:val="22"/>
          <w:lang w:val="en-GB"/>
        </w:rPr>
      </w:pPr>
      <w:r w:rsidRPr="00634544">
        <w:rPr>
          <w:rFonts w:ascii="Arial" w:hAnsi="Arial" w:cs="Arial"/>
          <w:sz w:val="22"/>
          <w:szCs w:val="22"/>
          <w:lang w:val="en-GB"/>
        </w:rPr>
        <w:t xml:space="preserve">Companies Market Cap (2023) Mandarin Oriental. Accessed at: </w:t>
      </w:r>
      <w:hyperlink r:id="rId8" w:anchor=":~:text=According%20to%20Mandarin%20Oriental%27s%20latest,sale%20of%20goods%20or%20services" w:history="1">
        <w:r w:rsidRPr="00634544">
          <w:rPr>
            <w:rStyle w:val="Hyperlink"/>
            <w:rFonts w:ascii="Arial" w:hAnsi="Arial" w:cs="Arial"/>
            <w:sz w:val="22"/>
            <w:szCs w:val="22"/>
            <w:lang w:val="en-GB"/>
          </w:rPr>
          <w:t>https://companiesmarketcap.com/mandarin-oriental/revenue/#:~:text=According%20to%20Mandarin%20Oriental%27s%20latest,sale%20of%20goods%20or%20services</w:t>
        </w:r>
      </w:hyperlink>
      <w:r w:rsidRPr="00634544">
        <w:rPr>
          <w:rFonts w:ascii="Arial" w:hAnsi="Arial" w:cs="Arial"/>
          <w:sz w:val="22"/>
          <w:szCs w:val="22"/>
          <w:lang w:val="en-GB"/>
        </w:rPr>
        <w:t xml:space="preserve">. </w:t>
      </w:r>
    </w:p>
    <w:p w14:paraId="20B1F31F" w14:textId="77777777" w:rsidR="00416198" w:rsidRPr="00634544" w:rsidRDefault="00416198" w:rsidP="003F7FBB">
      <w:pPr>
        <w:spacing w:line="360" w:lineRule="auto"/>
        <w:rPr>
          <w:rFonts w:ascii="Arial" w:hAnsi="Arial" w:cs="Arial"/>
          <w:sz w:val="22"/>
          <w:szCs w:val="22"/>
          <w:lang w:val="en-GB"/>
        </w:rPr>
      </w:pPr>
    </w:p>
    <w:p w14:paraId="449F75A5"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Green, T., &amp; </w:t>
      </w:r>
      <w:proofErr w:type="spellStart"/>
      <w:r w:rsidRPr="00634544">
        <w:rPr>
          <w:rFonts w:ascii="Arial" w:hAnsi="Arial" w:cs="Arial"/>
          <w:sz w:val="22"/>
          <w:szCs w:val="22"/>
          <w:lang w:val="en-GB"/>
        </w:rPr>
        <w:t>Chien</w:t>
      </w:r>
      <w:proofErr w:type="spellEnd"/>
      <w:r w:rsidRPr="00634544">
        <w:rPr>
          <w:rFonts w:ascii="Arial" w:hAnsi="Arial" w:cs="Arial"/>
          <w:sz w:val="22"/>
          <w:szCs w:val="22"/>
          <w:lang w:val="en-GB"/>
        </w:rPr>
        <w:t xml:space="preserve">, G.C. (2020). Sustainable Luxury Brands: Evidence from Research and Implications for Managers. Palgrave Macmillan. </w:t>
      </w:r>
    </w:p>
    <w:p w14:paraId="713CCE11" w14:textId="77777777" w:rsidR="003F7FBB" w:rsidRPr="00634544" w:rsidRDefault="003F7FBB" w:rsidP="003F7FBB">
      <w:pPr>
        <w:spacing w:line="360" w:lineRule="auto"/>
        <w:rPr>
          <w:rFonts w:ascii="Arial" w:hAnsi="Arial" w:cs="Arial"/>
          <w:sz w:val="22"/>
          <w:szCs w:val="22"/>
          <w:lang w:val="en-GB"/>
        </w:rPr>
      </w:pPr>
    </w:p>
    <w:p w14:paraId="05F1024E"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Harris, D., &amp; Brown, J. (2019). Modern Hotel Operations: Trends &amp; Challenges. Cengage Learning.</w:t>
      </w:r>
    </w:p>
    <w:p w14:paraId="2A994D47" w14:textId="77777777" w:rsidR="003F7FBB" w:rsidRPr="00634544" w:rsidRDefault="003F7FBB" w:rsidP="003F7FBB">
      <w:pPr>
        <w:spacing w:line="360" w:lineRule="auto"/>
        <w:rPr>
          <w:rFonts w:ascii="Arial" w:hAnsi="Arial" w:cs="Arial"/>
          <w:sz w:val="22"/>
          <w:szCs w:val="22"/>
          <w:lang w:val="en-GB"/>
        </w:rPr>
      </w:pPr>
    </w:p>
    <w:p w14:paraId="42EDD982"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Jones, R. (2019). The Future of Luxury Hospitality. Palgrave Macmillan. </w:t>
      </w:r>
    </w:p>
    <w:p w14:paraId="5386ACDF" w14:textId="77777777" w:rsidR="003F7FBB" w:rsidRPr="00634544" w:rsidRDefault="003F7FBB" w:rsidP="003F7FBB">
      <w:pPr>
        <w:spacing w:line="360" w:lineRule="auto"/>
        <w:rPr>
          <w:rFonts w:ascii="Arial" w:hAnsi="Arial" w:cs="Arial"/>
          <w:sz w:val="22"/>
          <w:szCs w:val="22"/>
          <w:lang w:val="en-GB"/>
        </w:rPr>
      </w:pPr>
    </w:p>
    <w:p w14:paraId="1E5ADA06" w14:textId="39BE26FF"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Mandarin Oriental (2021). About Us. Mandarin Oriental Hotel Group. </w:t>
      </w:r>
    </w:p>
    <w:p w14:paraId="6E0ABFB4" w14:textId="77777777" w:rsidR="003F7FBB" w:rsidRPr="00634544" w:rsidRDefault="003F7FBB" w:rsidP="003F7FBB">
      <w:pPr>
        <w:spacing w:line="360" w:lineRule="auto"/>
        <w:rPr>
          <w:rFonts w:ascii="Arial" w:hAnsi="Arial" w:cs="Arial"/>
          <w:sz w:val="22"/>
          <w:szCs w:val="22"/>
          <w:lang w:val="en-GB"/>
        </w:rPr>
      </w:pPr>
    </w:p>
    <w:p w14:paraId="387153A4"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Mandarin Oriental (2019). Sustainability Report. Mandarin Oriental Hotel Group. </w:t>
      </w:r>
    </w:p>
    <w:p w14:paraId="1107EDF2" w14:textId="77777777" w:rsidR="003F7FBB" w:rsidRPr="00634544" w:rsidRDefault="003F7FBB" w:rsidP="003F7FBB">
      <w:pPr>
        <w:spacing w:line="360" w:lineRule="auto"/>
        <w:rPr>
          <w:rFonts w:ascii="Arial" w:hAnsi="Arial" w:cs="Arial"/>
          <w:sz w:val="22"/>
          <w:szCs w:val="22"/>
          <w:lang w:val="en-GB"/>
        </w:rPr>
      </w:pPr>
    </w:p>
    <w:p w14:paraId="68EF0106"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O'Neill, J.W., &amp; Ouyang, Y. (2016). From Airbnb's perspective: The story of a revolution. Cornell Hospitality Quarterly, 57(3), 311-324.</w:t>
      </w:r>
    </w:p>
    <w:p w14:paraId="79EFD37E" w14:textId="77777777" w:rsidR="003F7FBB" w:rsidRPr="00634544" w:rsidRDefault="003F7FBB" w:rsidP="003F7FBB">
      <w:pPr>
        <w:spacing w:line="360" w:lineRule="auto"/>
        <w:rPr>
          <w:rFonts w:ascii="Arial" w:hAnsi="Arial" w:cs="Arial"/>
          <w:sz w:val="22"/>
          <w:szCs w:val="22"/>
          <w:lang w:val="en-GB"/>
        </w:rPr>
      </w:pPr>
    </w:p>
    <w:p w14:paraId="55257E04"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Pine, B.J., &amp; Gilmore, J.H. (2020). The Experience Economy. Harvard Business Press. </w:t>
      </w:r>
    </w:p>
    <w:p w14:paraId="510AEC03" w14:textId="77777777" w:rsidR="003F7FBB" w:rsidRPr="00634544" w:rsidRDefault="003F7FBB" w:rsidP="003F7FBB">
      <w:pPr>
        <w:spacing w:line="360" w:lineRule="auto"/>
        <w:rPr>
          <w:rFonts w:ascii="Arial" w:hAnsi="Arial" w:cs="Arial"/>
          <w:sz w:val="22"/>
          <w:szCs w:val="22"/>
          <w:lang w:val="en-GB"/>
        </w:rPr>
      </w:pPr>
    </w:p>
    <w:p w14:paraId="0090B7BA"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Reynolds, D., &amp; </w:t>
      </w:r>
      <w:proofErr w:type="spellStart"/>
      <w:r w:rsidRPr="00634544">
        <w:rPr>
          <w:rFonts w:ascii="Arial" w:hAnsi="Arial" w:cs="Arial"/>
          <w:sz w:val="22"/>
          <w:szCs w:val="22"/>
          <w:lang w:val="en-GB"/>
        </w:rPr>
        <w:t>Yuthas</w:t>
      </w:r>
      <w:proofErr w:type="spellEnd"/>
      <w:r w:rsidRPr="00634544">
        <w:rPr>
          <w:rFonts w:ascii="Arial" w:hAnsi="Arial" w:cs="Arial"/>
          <w:sz w:val="22"/>
          <w:szCs w:val="22"/>
          <w:lang w:val="en-GB"/>
        </w:rPr>
        <w:t>, K. (2019). Sustainability in the Hospitality Industry. Routledge.</w:t>
      </w:r>
    </w:p>
    <w:p w14:paraId="0A488931" w14:textId="77777777" w:rsidR="003F7FBB" w:rsidRPr="00634544" w:rsidRDefault="003F7FBB" w:rsidP="003F7FBB">
      <w:pPr>
        <w:spacing w:line="360" w:lineRule="auto"/>
        <w:rPr>
          <w:rFonts w:ascii="Arial" w:hAnsi="Arial" w:cs="Arial"/>
          <w:sz w:val="22"/>
          <w:szCs w:val="22"/>
          <w:lang w:val="en-GB"/>
        </w:rPr>
      </w:pPr>
    </w:p>
    <w:p w14:paraId="35911D9D" w14:textId="137DE07F"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Smith, J., &amp; Tang, L. (2020). Evolving Luxury Landscapes: New Directions in Global Hospitality.</w:t>
      </w:r>
    </w:p>
    <w:p w14:paraId="02DE6FC1" w14:textId="77777777" w:rsidR="003F7FBB" w:rsidRPr="00634544" w:rsidRDefault="003F7FBB" w:rsidP="003F7FBB">
      <w:pPr>
        <w:spacing w:line="360" w:lineRule="auto"/>
        <w:rPr>
          <w:rFonts w:ascii="Arial" w:hAnsi="Arial" w:cs="Arial"/>
          <w:sz w:val="22"/>
          <w:szCs w:val="22"/>
          <w:lang w:val="en-GB"/>
        </w:rPr>
      </w:pPr>
    </w:p>
    <w:p w14:paraId="20D8B08A"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Springer. Miller, R.K. (2021). Travel &amp; Tourism Market Research Handbook. RKMA. </w:t>
      </w:r>
    </w:p>
    <w:p w14:paraId="7D2EB2D8" w14:textId="77777777" w:rsidR="003F7FBB" w:rsidRPr="00634544" w:rsidRDefault="003F7FBB" w:rsidP="003F7FBB">
      <w:pPr>
        <w:spacing w:line="360" w:lineRule="auto"/>
        <w:rPr>
          <w:rFonts w:ascii="Arial" w:hAnsi="Arial" w:cs="Arial"/>
          <w:sz w:val="22"/>
          <w:szCs w:val="22"/>
          <w:lang w:val="en-GB"/>
        </w:rPr>
      </w:pPr>
    </w:p>
    <w:p w14:paraId="6D195A2F" w14:textId="5F4E1EDD" w:rsidR="00416198" w:rsidRPr="00634544" w:rsidRDefault="00416198" w:rsidP="003F7FBB">
      <w:pPr>
        <w:spacing w:line="360" w:lineRule="auto"/>
        <w:rPr>
          <w:rFonts w:ascii="Arial" w:hAnsi="Arial" w:cs="Arial"/>
          <w:sz w:val="22"/>
          <w:szCs w:val="22"/>
          <w:lang w:val="en-GB"/>
        </w:rPr>
      </w:pPr>
      <w:r w:rsidRPr="00634544">
        <w:rPr>
          <w:rFonts w:ascii="Arial" w:hAnsi="Arial" w:cs="Arial"/>
          <w:sz w:val="22"/>
          <w:szCs w:val="22"/>
          <w:lang w:val="en-GB"/>
        </w:rPr>
        <w:t xml:space="preserve">Statista (2023) Revenue of Whitbread worldwide from 2019/2021 to 2022/2023, by segment. Accessed at: </w:t>
      </w:r>
      <w:hyperlink r:id="rId9" w:history="1">
        <w:r w:rsidRPr="00634544">
          <w:rPr>
            <w:rStyle w:val="Hyperlink"/>
            <w:rFonts w:ascii="Arial" w:hAnsi="Arial" w:cs="Arial"/>
            <w:sz w:val="22"/>
            <w:szCs w:val="22"/>
            <w:lang w:val="en-GB"/>
          </w:rPr>
          <w:t>https://www.statista.com/statistics/739891/revenue-whitbread-united-kingdom-uk-by-segment/</w:t>
        </w:r>
      </w:hyperlink>
    </w:p>
    <w:p w14:paraId="6DAE613E" w14:textId="77777777" w:rsidR="00416198" w:rsidRPr="00634544" w:rsidRDefault="00416198" w:rsidP="003F7FBB">
      <w:pPr>
        <w:spacing w:line="360" w:lineRule="auto"/>
        <w:rPr>
          <w:rFonts w:ascii="Arial" w:hAnsi="Arial" w:cs="Arial"/>
          <w:sz w:val="22"/>
          <w:szCs w:val="22"/>
          <w:lang w:val="en-GB"/>
        </w:rPr>
      </w:pPr>
    </w:p>
    <w:p w14:paraId="3E2E4E57" w14:textId="44618ADF"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Taylor &amp; Francis. Johnson, P. (2018). Travel &amp; Hospitality in the 21st Century. Elsevier. </w:t>
      </w:r>
    </w:p>
    <w:p w14:paraId="40035D85" w14:textId="77777777" w:rsidR="003F7FBB" w:rsidRPr="00634544" w:rsidRDefault="003F7FBB" w:rsidP="003F7FBB">
      <w:pPr>
        <w:spacing w:line="360" w:lineRule="auto"/>
        <w:rPr>
          <w:rFonts w:ascii="Arial" w:hAnsi="Arial" w:cs="Arial"/>
          <w:sz w:val="22"/>
          <w:szCs w:val="22"/>
          <w:lang w:val="en-GB"/>
        </w:rPr>
      </w:pPr>
    </w:p>
    <w:p w14:paraId="1ED098D1"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lastRenderedPageBreak/>
        <w:t xml:space="preserve">Whitbread (2021). Annual Report. Whitbread PLC. </w:t>
      </w:r>
    </w:p>
    <w:p w14:paraId="5D0384CA" w14:textId="77777777" w:rsidR="003F7FBB" w:rsidRPr="00634544" w:rsidRDefault="003F7FBB" w:rsidP="003F7FBB">
      <w:pPr>
        <w:spacing w:line="360" w:lineRule="auto"/>
        <w:rPr>
          <w:rFonts w:ascii="Arial" w:hAnsi="Arial" w:cs="Arial"/>
          <w:sz w:val="22"/>
          <w:szCs w:val="22"/>
          <w:lang w:val="en-GB"/>
        </w:rPr>
      </w:pPr>
    </w:p>
    <w:p w14:paraId="61BA5924" w14:textId="77777777"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 xml:space="preserve">Whitbread (2021). Corporate Social Responsibility Report. Whitbread PLC. </w:t>
      </w:r>
    </w:p>
    <w:p w14:paraId="219A3342" w14:textId="77777777" w:rsidR="003F7FBB" w:rsidRPr="00634544" w:rsidRDefault="003F7FBB" w:rsidP="003F7FBB">
      <w:pPr>
        <w:spacing w:line="360" w:lineRule="auto"/>
        <w:rPr>
          <w:rFonts w:ascii="Arial" w:hAnsi="Arial" w:cs="Arial"/>
          <w:sz w:val="22"/>
          <w:szCs w:val="22"/>
          <w:lang w:val="en-GB"/>
        </w:rPr>
      </w:pPr>
    </w:p>
    <w:p w14:paraId="7EA5B204" w14:textId="00916FE1"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Whitbread (2021). Premier Inn. Whitbread PLC.</w:t>
      </w:r>
    </w:p>
    <w:p w14:paraId="009B19CC" w14:textId="77777777" w:rsidR="003F7FBB" w:rsidRPr="00634544" w:rsidRDefault="003F7FBB" w:rsidP="003F7FBB">
      <w:pPr>
        <w:spacing w:line="360" w:lineRule="auto"/>
        <w:rPr>
          <w:rFonts w:ascii="Arial" w:hAnsi="Arial" w:cs="Arial"/>
          <w:sz w:val="22"/>
          <w:szCs w:val="22"/>
          <w:lang w:val="en-GB"/>
        </w:rPr>
      </w:pPr>
    </w:p>
    <w:p w14:paraId="507535B3" w14:textId="1EDDA78B" w:rsidR="003F7FBB" w:rsidRPr="00634544" w:rsidRDefault="003F7FBB" w:rsidP="003F7FBB">
      <w:pPr>
        <w:spacing w:line="360" w:lineRule="auto"/>
        <w:rPr>
          <w:rFonts w:ascii="Arial" w:hAnsi="Arial" w:cs="Arial"/>
          <w:sz w:val="22"/>
          <w:szCs w:val="22"/>
          <w:lang w:val="en-GB"/>
        </w:rPr>
      </w:pPr>
      <w:r w:rsidRPr="00634544">
        <w:rPr>
          <w:rFonts w:ascii="Arial" w:hAnsi="Arial" w:cs="Arial"/>
          <w:sz w:val="22"/>
          <w:szCs w:val="22"/>
          <w:lang w:val="en-GB"/>
        </w:rPr>
        <w:t>Williams, P.L. (2019). Branded Residences: An Overview.</w:t>
      </w:r>
    </w:p>
    <w:sectPr w:rsidR="003F7FBB" w:rsidRPr="006345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15CD5"/>
    <w:multiLevelType w:val="multilevel"/>
    <w:tmpl w:val="4516E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6403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F27"/>
    <w:rsid w:val="0012073D"/>
    <w:rsid w:val="002A4F27"/>
    <w:rsid w:val="003F7FBB"/>
    <w:rsid w:val="00416198"/>
    <w:rsid w:val="00634544"/>
    <w:rsid w:val="00A513FE"/>
    <w:rsid w:val="00BE0DE3"/>
    <w:rsid w:val="00F672EB"/>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5EE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7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07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4F2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513FE"/>
    <w:rPr>
      <w:b/>
      <w:bCs/>
    </w:rPr>
  </w:style>
  <w:style w:type="character" w:styleId="Emphasis">
    <w:name w:val="Emphasis"/>
    <w:basedOn w:val="DefaultParagraphFont"/>
    <w:uiPriority w:val="20"/>
    <w:qFormat/>
    <w:rsid w:val="00A513FE"/>
    <w:rPr>
      <w:i/>
      <w:iCs/>
    </w:rPr>
  </w:style>
  <w:style w:type="character" w:styleId="Hyperlink">
    <w:name w:val="Hyperlink"/>
    <w:basedOn w:val="DefaultParagraphFont"/>
    <w:uiPriority w:val="99"/>
    <w:unhideWhenUsed/>
    <w:rsid w:val="00416198"/>
    <w:rPr>
      <w:color w:val="0563C1" w:themeColor="hyperlink"/>
      <w:u w:val="single"/>
    </w:rPr>
  </w:style>
  <w:style w:type="character" w:styleId="UnresolvedMention">
    <w:name w:val="Unresolved Mention"/>
    <w:basedOn w:val="DefaultParagraphFont"/>
    <w:uiPriority w:val="99"/>
    <w:semiHidden/>
    <w:unhideWhenUsed/>
    <w:rsid w:val="00416198"/>
    <w:rPr>
      <w:color w:val="605E5C"/>
      <w:shd w:val="clear" w:color="auto" w:fill="E1DFDD"/>
    </w:rPr>
  </w:style>
  <w:style w:type="character" w:customStyle="1" w:styleId="Heading1Char">
    <w:name w:val="Heading 1 Char"/>
    <w:basedOn w:val="DefaultParagraphFont"/>
    <w:link w:val="Heading1"/>
    <w:uiPriority w:val="9"/>
    <w:rsid w:val="001207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2073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2073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2073D"/>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12073D"/>
    <w:rPr>
      <w:rFonts w:cstheme="minorHAnsi"/>
      <w:b/>
      <w:bCs/>
      <w:smallCaps/>
      <w:sz w:val="22"/>
      <w:szCs w:val="22"/>
    </w:rPr>
  </w:style>
  <w:style w:type="paragraph" w:styleId="TOC3">
    <w:name w:val="toc 3"/>
    <w:basedOn w:val="Normal"/>
    <w:next w:val="Normal"/>
    <w:autoRedefine/>
    <w:uiPriority w:val="39"/>
    <w:semiHidden/>
    <w:unhideWhenUsed/>
    <w:rsid w:val="0012073D"/>
    <w:rPr>
      <w:rFonts w:cstheme="minorHAnsi"/>
      <w:smallCaps/>
      <w:sz w:val="22"/>
      <w:szCs w:val="22"/>
    </w:rPr>
  </w:style>
  <w:style w:type="paragraph" w:styleId="TOC4">
    <w:name w:val="toc 4"/>
    <w:basedOn w:val="Normal"/>
    <w:next w:val="Normal"/>
    <w:autoRedefine/>
    <w:uiPriority w:val="39"/>
    <w:semiHidden/>
    <w:unhideWhenUsed/>
    <w:rsid w:val="0012073D"/>
    <w:rPr>
      <w:rFonts w:cstheme="minorHAnsi"/>
      <w:sz w:val="22"/>
      <w:szCs w:val="22"/>
    </w:rPr>
  </w:style>
  <w:style w:type="paragraph" w:styleId="TOC5">
    <w:name w:val="toc 5"/>
    <w:basedOn w:val="Normal"/>
    <w:next w:val="Normal"/>
    <w:autoRedefine/>
    <w:uiPriority w:val="39"/>
    <w:semiHidden/>
    <w:unhideWhenUsed/>
    <w:rsid w:val="0012073D"/>
    <w:rPr>
      <w:rFonts w:cstheme="minorHAnsi"/>
      <w:sz w:val="22"/>
      <w:szCs w:val="22"/>
    </w:rPr>
  </w:style>
  <w:style w:type="paragraph" w:styleId="TOC6">
    <w:name w:val="toc 6"/>
    <w:basedOn w:val="Normal"/>
    <w:next w:val="Normal"/>
    <w:autoRedefine/>
    <w:uiPriority w:val="39"/>
    <w:semiHidden/>
    <w:unhideWhenUsed/>
    <w:rsid w:val="0012073D"/>
    <w:rPr>
      <w:rFonts w:cstheme="minorHAnsi"/>
      <w:sz w:val="22"/>
      <w:szCs w:val="22"/>
    </w:rPr>
  </w:style>
  <w:style w:type="paragraph" w:styleId="TOC7">
    <w:name w:val="toc 7"/>
    <w:basedOn w:val="Normal"/>
    <w:next w:val="Normal"/>
    <w:autoRedefine/>
    <w:uiPriority w:val="39"/>
    <w:semiHidden/>
    <w:unhideWhenUsed/>
    <w:rsid w:val="0012073D"/>
    <w:rPr>
      <w:rFonts w:cstheme="minorHAnsi"/>
      <w:sz w:val="22"/>
      <w:szCs w:val="22"/>
    </w:rPr>
  </w:style>
  <w:style w:type="paragraph" w:styleId="TOC8">
    <w:name w:val="toc 8"/>
    <w:basedOn w:val="Normal"/>
    <w:next w:val="Normal"/>
    <w:autoRedefine/>
    <w:uiPriority w:val="39"/>
    <w:semiHidden/>
    <w:unhideWhenUsed/>
    <w:rsid w:val="0012073D"/>
    <w:rPr>
      <w:rFonts w:cstheme="minorHAnsi"/>
      <w:sz w:val="22"/>
      <w:szCs w:val="22"/>
    </w:rPr>
  </w:style>
  <w:style w:type="paragraph" w:styleId="TOC9">
    <w:name w:val="toc 9"/>
    <w:basedOn w:val="Normal"/>
    <w:next w:val="Normal"/>
    <w:autoRedefine/>
    <w:uiPriority w:val="39"/>
    <w:semiHidden/>
    <w:unhideWhenUsed/>
    <w:rsid w:val="0012073D"/>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149330">
      <w:bodyDiv w:val="1"/>
      <w:marLeft w:val="0"/>
      <w:marRight w:val="0"/>
      <w:marTop w:val="0"/>
      <w:marBottom w:val="0"/>
      <w:divBdr>
        <w:top w:val="none" w:sz="0" w:space="0" w:color="auto"/>
        <w:left w:val="none" w:sz="0" w:space="0" w:color="auto"/>
        <w:bottom w:val="none" w:sz="0" w:space="0" w:color="auto"/>
        <w:right w:val="none" w:sz="0" w:space="0" w:color="auto"/>
      </w:divBdr>
    </w:div>
    <w:div w:id="419449193">
      <w:bodyDiv w:val="1"/>
      <w:marLeft w:val="0"/>
      <w:marRight w:val="0"/>
      <w:marTop w:val="0"/>
      <w:marBottom w:val="0"/>
      <w:divBdr>
        <w:top w:val="none" w:sz="0" w:space="0" w:color="auto"/>
        <w:left w:val="none" w:sz="0" w:space="0" w:color="auto"/>
        <w:bottom w:val="none" w:sz="0" w:space="0" w:color="auto"/>
        <w:right w:val="none" w:sz="0" w:space="0" w:color="auto"/>
      </w:divBdr>
    </w:div>
    <w:div w:id="428890508">
      <w:bodyDiv w:val="1"/>
      <w:marLeft w:val="0"/>
      <w:marRight w:val="0"/>
      <w:marTop w:val="0"/>
      <w:marBottom w:val="0"/>
      <w:divBdr>
        <w:top w:val="none" w:sz="0" w:space="0" w:color="auto"/>
        <w:left w:val="none" w:sz="0" w:space="0" w:color="auto"/>
        <w:bottom w:val="none" w:sz="0" w:space="0" w:color="auto"/>
        <w:right w:val="none" w:sz="0" w:space="0" w:color="auto"/>
      </w:divBdr>
    </w:div>
    <w:div w:id="577206405">
      <w:bodyDiv w:val="1"/>
      <w:marLeft w:val="0"/>
      <w:marRight w:val="0"/>
      <w:marTop w:val="0"/>
      <w:marBottom w:val="0"/>
      <w:divBdr>
        <w:top w:val="none" w:sz="0" w:space="0" w:color="auto"/>
        <w:left w:val="none" w:sz="0" w:space="0" w:color="auto"/>
        <w:bottom w:val="none" w:sz="0" w:space="0" w:color="auto"/>
        <w:right w:val="none" w:sz="0" w:space="0" w:color="auto"/>
      </w:divBdr>
    </w:div>
    <w:div w:id="915670688">
      <w:bodyDiv w:val="1"/>
      <w:marLeft w:val="0"/>
      <w:marRight w:val="0"/>
      <w:marTop w:val="0"/>
      <w:marBottom w:val="0"/>
      <w:divBdr>
        <w:top w:val="none" w:sz="0" w:space="0" w:color="auto"/>
        <w:left w:val="none" w:sz="0" w:space="0" w:color="auto"/>
        <w:bottom w:val="none" w:sz="0" w:space="0" w:color="auto"/>
        <w:right w:val="none" w:sz="0" w:space="0" w:color="auto"/>
      </w:divBdr>
    </w:div>
    <w:div w:id="919606842">
      <w:bodyDiv w:val="1"/>
      <w:marLeft w:val="0"/>
      <w:marRight w:val="0"/>
      <w:marTop w:val="0"/>
      <w:marBottom w:val="0"/>
      <w:divBdr>
        <w:top w:val="none" w:sz="0" w:space="0" w:color="auto"/>
        <w:left w:val="none" w:sz="0" w:space="0" w:color="auto"/>
        <w:bottom w:val="none" w:sz="0" w:space="0" w:color="auto"/>
        <w:right w:val="none" w:sz="0" w:space="0" w:color="auto"/>
      </w:divBdr>
      <w:divsChild>
        <w:div w:id="341932012">
          <w:marLeft w:val="0"/>
          <w:marRight w:val="0"/>
          <w:marTop w:val="0"/>
          <w:marBottom w:val="0"/>
          <w:divBdr>
            <w:top w:val="none" w:sz="0" w:space="0" w:color="auto"/>
            <w:left w:val="none" w:sz="0" w:space="0" w:color="auto"/>
            <w:bottom w:val="none" w:sz="0" w:space="0" w:color="auto"/>
            <w:right w:val="none" w:sz="0" w:space="0" w:color="auto"/>
          </w:divBdr>
          <w:divsChild>
            <w:div w:id="964699055">
              <w:marLeft w:val="0"/>
              <w:marRight w:val="0"/>
              <w:marTop w:val="0"/>
              <w:marBottom w:val="0"/>
              <w:divBdr>
                <w:top w:val="none" w:sz="0" w:space="0" w:color="auto"/>
                <w:left w:val="none" w:sz="0" w:space="0" w:color="auto"/>
                <w:bottom w:val="none" w:sz="0" w:space="0" w:color="auto"/>
                <w:right w:val="none" w:sz="0" w:space="0" w:color="auto"/>
              </w:divBdr>
              <w:divsChild>
                <w:div w:id="1751733702">
                  <w:marLeft w:val="0"/>
                  <w:marRight w:val="0"/>
                  <w:marTop w:val="0"/>
                  <w:marBottom w:val="0"/>
                  <w:divBdr>
                    <w:top w:val="none" w:sz="0" w:space="0" w:color="auto"/>
                    <w:left w:val="none" w:sz="0" w:space="0" w:color="auto"/>
                    <w:bottom w:val="none" w:sz="0" w:space="0" w:color="auto"/>
                    <w:right w:val="none" w:sz="0" w:space="0" w:color="auto"/>
                  </w:divBdr>
                  <w:divsChild>
                    <w:div w:id="58256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156621">
      <w:bodyDiv w:val="1"/>
      <w:marLeft w:val="0"/>
      <w:marRight w:val="0"/>
      <w:marTop w:val="0"/>
      <w:marBottom w:val="0"/>
      <w:divBdr>
        <w:top w:val="none" w:sz="0" w:space="0" w:color="auto"/>
        <w:left w:val="none" w:sz="0" w:space="0" w:color="auto"/>
        <w:bottom w:val="none" w:sz="0" w:space="0" w:color="auto"/>
        <w:right w:val="none" w:sz="0" w:space="0" w:color="auto"/>
      </w:divBdr>
    </w:div>
    <w:div w:id="1064177665">
      <w:bodyDiv w:val="1"/>
      <w:marLeft w:val="0"/>
      <w:marRight w:val="0"/>
      <w:marTop w:val="0"/>
      <w:marBottom w:val="0"/>
      <w:divBdr>
        <w:top w:val="none" w:sz="0" w:space="0" w:color="auto"/>
        <w:left w:val="none" w:sz="0" w:space="0" w:color="auto"/>
        <w:bottom w:val="none" w:sz="0" w:space="0" w:color="auto"/>
        <w:right w:val="none" w:sz="0" w:space="0" w:color="auto"/>
      </w:divBdr>
      <w:divsChild>
        <w:div w:id="780689299">
          <w:marLeft w:val="0"/>
          <w:marRight w:val="0"/>
          <w:marTop w:val="0"/>
          <w:marBottom w:val="0"/>
          <w:divBdr>
            <w:top w:val="none" w:sz="0" w:space="0" w:color="auto"/>
            <w:left w:val="none" w:sz="0" w:space="0" w:color="auto"/>
            <w:bottom w:val="none" w:sz="0" w:space="0" w:color="auto"/>
            <w:right w:val="none" w:sz="0" w:space="0" w:color="auto"/>
          </w:divBdr>
          <w:divsChild>
            <w:div w:id="2066175697">
              <w:marLeft w:val="0"/>
              <w:marRight w:val="0"/>
              <w:marTop w:val="0"/>
              <w:marBottom w:val="0"/>
              <w:divBdr>
                <w:top w:val="none" w:sz="0" w:space="0" w:color="auto"/>
                <w:left w:val="none" w:sz="0" w:space="0" w:color="auto"/>
                <w:bottom w:val="none" w:sz="0" w:space="0" w:color="auto"/>
                <w:right w:val="none" w:sz="0" w:space="0" w:color="auto"/>
              </w:divBdr>
              <w:divsChild>
                <w:div w:id="25679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433732">
      <w:bodyDiv w:val="1"/>
      <w:marLeft w:val="0"/>
      <w:marRight w:val="0"/>
      <w:marTop w:val="0"/>
      <w:marBottom w:val="0"/>
      <w:divBdr>
        <w:top w:val="none" w:sz="0" w:space="0" w:color="auto"/>
        <w:left w:val="none" w:sz="0" w:space="0" w:color="auto"/>
        <w:bottom w:val="none" w:sz="0" w:space="0" w:color="auto"/>
        <w:right w:val="none" w:sz="0" w:space="0" w:color="auto"/>
      </w:divBdr>
      <w:divsChild>
        <w:div w:id="202836781">
          <w:marLeft w:val="0"/>
          <w:marRight w:val="0"/>
          <w:marTop w:val="0"/>
          <w:marBottom w:val="0"/>
          <w:divBdr>
            <w:top w:val="none" w:sz="0" w:space="0" w:color="auto"/>
            <w:left w:val="none" w:sz="0" w:space="0" w:color="auto"/>
            <w:bottom w:val="none" w:sz="0" w:space="0" w:color="auto"/>
            <w:right w:val="none" w:sz="0" w:space="0" w:color="auto"/>
          </w:divBdr>
          <w:divsChild>
            <w:div w:id="600331667">
              <w:marLeft w:val="0"/>
              <w:marRight w:val="0"/>
              <w:marTop w:val="0"/>
              <w:marBottom w:val="0"/>
              <w:divBdr>
                <w:top w:val="none" w:sz="0" w:space="0" w:color="auto"/>
                <w:left w:val="none" w:sz="0" w:space="0" w:color="auto"/>
                <w:bottom w:val="none" w:sz="0" w:space="0" w:color="auto"/>
                <w:right w:val="none" w:sz="0" w:space="0" w:color="auto"/>
              </w:divBdr>
              <w:divsChild>
                <w:div w:id="347411311">
                  <w:marLeft w:val="0"/>
                  <w:marRight w:val="0"/>
                  <w:marTop w:val="0"/>
                  <w:marBottom w:val="0"/>
                  <w:divBdr>
                    <w:top w:val="none" w:sz="0" w:space="0" w:color="auto"/>
                    <w:left w:val="none" w:sz="0" w:space="0" w:color="auto"/>
                    <w:bottom w:val="none" w:sz="0" w:space="0" w:color="auto"/>
                    <w:right w:val="none" w:sz="0" w:space="0" w:color="auto"/>
                  </w:divBdr>
                  <w:divsChild>
                    <w:div w:id="127520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669592">
      <w:bodyDiv w:val="1"/>
      <w:marLeft w:val="0"/>
      <w:marRight w:val="0"/>
      <w:marTop w:val="0"/>
      <w:marBottom w:val="0"/>
      <w:divBdr>
        <w:top w:val="none" w:sz="0" w:space="0" w:color="auto"/>
        <w:left w:val="none" w:sz="0" w:space="0" w:color="auto"/>
        <w:bottom w:val="none" w:sz="0" w:space="0" w:color="auto"/>
        <w:right w:val="none" w:sz="0" w:space="0" w:color="auto"/>
      </w:divBdr>
      <w:divsChild>
        <w:div w:id="1187410020">
          <w:marLeft w:val="0"/>
          <w:marRight w:val="0"/>
          <w:marTop w:val="0"/>
          <w:marBottom w:val="0"/>
          <w:divBdr>
            <w:top w:val="none" w:sz="0" w:space="0" w:color="auto"/>
            <w:left w:val="none" w:sz="0" w:space="0" w:color="auto"/>
            <w:bottom w:val="none" w:sz="0" w:space="0" w:color="auto"/>
            <w:right w:val="none" w:sz="0" w:space="0" w:color="auto"/>
          </w:divBdr>
          <w:divsChild>
            <w:div w:id="1511096">
              <w:marLeft w:val="0"/>
              <w:marRight w:val="0"/>
              <w:marTop w:val="0"/>
              <w:marBottom w:val="0"/>
              <w:divBdr>
                <w:top w:val="none" w:sz="0" w:space="0" w:color="auto"/>
                <w:left w:val="none" w:sz="0" w:space="0" w:color="auto"/>
                <w:bottom w:val="none" w:sz="0" w:space="0" w:color="auto"/>
                <w:right w:val="none" w:sz="0" w:space="0" w:color="auto"/>
              </w:divBdr>
              <w:divsChild>
                <w:div w:id="136755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816552">
      <w:bodyDiv w:val="1"/>
      <w:marLeft w:val="0"/>
      <w:marRight w:val="0"/>
      <w:marTop w:val="0"/>
      <w:marBottom w:val="0"/>
      <w:divBdr>
        <w:top w:val="none" w:sz="0" w:space="0" w:color="auto"/>
        <w:left w:val="none" w:sz="0" w:space="0" w:color="auto"/>
        <w:bottom w:val="none" w:sz="0" w:space="0" w:color="auto"/>
        <w:right w:val="none" w:sz="0" w:space="0" w:color="auto"/>
      </w:divBdr>
      <w:divsChild>
        <w:div w:id="1497384584">
          <w:marLeft w:val="0"/>
          <w:marRight w:val="0"/>
          <w:marTop w:val="0"/>
          <w:marBottom w:val="0"/>
          <w:divBdr>
            <w:top w:val="none" w:sz="0" w:space="0" w:color="auto"/>
            <w:left w:val="none" w:sz="0" w:space="0" w:color="auto"/>
            <w:bottom w:val="none" w:sz="0" w:space="0" w:color="auto"/>
            <w:right w:val="none" w:sz="0" w:space="0" w:color="auto"/>
          </w:divBdr>
          <w:divsChild>
            <w:div w:id="307783696">
              <w:marLeft w:val="0"/>
              <w:marRight w:val="0"/>
              <w:marTop w:val="0"/>
              <w:marBottom w:val="0"/>
              <w:divBdr>
                <w:top w:val="none" w:sz="0" w:space="0" w:color="auto"/>
                <w:left w:val="none" w:sz="0" w:space="0" w:color="auto"/>
                <w:bottom w:val="none" w:sz="0" w:space="0" w:color="auto"/>
                <w:right w:val="none" w:sz="0" w:space="0" w:color="auto"/>
              </w:divBdr>
              <w:divsChild>
                <w:div w:id="32185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552021">
      <w:bodyDiv w:val="1"/>
      <w:marLeft w:val="0"/>
      <w:marRight w:val="0"/>
      <w:marTop w:val="0"/>
      <w:marBottom w:val="0"/>
      <w:divBdr>
        <w:top w:val="none" w:sz="0" w:space="0" w:color="auto"/>
        <w:left w:val="none" w:sz="0" w:space="0" w:color="auto"/>
        <w:bottom w:val="none" w:sz="0" w:space="0" w:color="auto"/>
        <w:right w:val="none" w:sz="0" w:space="0" w:color="auto"/>
      </w:divBdr>
      <w:divsChild>
        <w:div w:id="750547148">
          <w:marLeft w:val="0"/>
          <w:marRight w:val="0"/>
          <w:marTop w:val="0"/>
          <w:marBottom w:val="0"/>
          <w:divBdr>
            <w:top w:val="none" w:sz="0" w:space="0" w:color="auto"/>
            <w:left w:val="none" w:sz="0" w:space="0" w:color="auto"/>
            <w:bottom w:val="none" w:sz="0" w:space="0" w:color="auto"/>
            <w:right w:val="none" w:sz="0" w:space="0" w:color="auto"/>
          </w:divBdr>
          <w:divsChild>
            <w:div w:id="2129427115">
              <w:marLeft w:val="0"/>
              <w:marRight w:val="0"/>
              <w:marTop w:val="0"/>
              <w:marBottom w:val="0"/>
              <w:divBdr>
                <w:top w:val="none" w:sz="0" w:space="0" w:color="auto"/>
                <w:left w:val="none" w:sz="0" w:space="0" w:color="auto"/>
                <w:bottom w:val="none" w:sz="0" w:space="0" w:color="auto"/>
                <w:right w:val="none" w:sz="0" w:space="0" w:color="auto"/>
              </w:divBdr>
              <w:divsChild>
                <w:div w:id="600533520">
                  <w:marLeft w:val="0"/>
                  <w:marRight w:val="0"/>
                  <w:marTop w:val="0"/>
                  <w:marBottom w:val="0"/>
                  <w:divBdr>
                    <w:top w:val="none" w:sz="0" w:space="0" w:color="auto"/>
                    <w:left w:val="none" w:sz="0" w:space="0" w:color="auto"/>
                    <w:bottom w:val="none" w:sz="0" w:space="0" w:color="auto"/>
                    <w:right w:val="none" w:sz="0" w:space="0" w:color="auto"/>
                  </w:divBdr>
                  <w:divsChild>
                    <w:div w:id="93011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marketcap.com/mandarin-oriental/revenue/"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tista.com/statistics/739891/revenue-whitbread-united-kingdom-uk-by-seg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49675-C17D-F74F-8FA9-9C6114BF6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2416</Words>
  <Characters>13773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2023-10-11T18:03:00Z</dcterms:created>
  <dcterms:modified xsi:type="dcterms:W3CDTF">2023-10-20T06:27:00Z</dcterms:modified>
</cp:coreProperties>
</file>