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C884C" w14:textId="77777777" w:rsidR="002B224C" w:rsidRPr="00CE1FCA" w:rsidRDefault="002B224C" w:rsidP="002B224C">
      <w:pPr>
        <w:spacing w:after="200" w:line="360" w:lineRule="auto"/>
        <w:ind w:left="426" w:right="272"/>
        <w:jc w:val="center"/>
        <w:rPr>
          <w:rFonts w:ascii="Arial" w:hAnsi="Arial" w:cs="Arial"/>
          <w:b/>
          <w:bCs/>
          <w:sz w:val="24"/>
          <w:szCs w:val="24"/>
          <w:u w:val="single"/>
        </w:rPr>
      </w:pPr>
    </w:p>
    <w:p w14:paraId="3D55A90C" w14:textId="77777777" w:rsidR="002B224C" w:rsidRPr="00CE1FCA" w:rsidRDefault="002B224C" w:rsidP="002B224C">
      <w:pPr>
        <w:spacing w:after="200" w:line="360" w:lineRule="auto"/>
        <w:ind w:left="426" w:right="272"/>
        <w:jc w:val="center"/>
        <w:rPr>
          <w:rFonts w:ascii="Arial" w:hAnsi="Arial" w:cs="Arial"/>
          <w:b/>
          <w:bCs/>
          <w:sz w:val="24"/>
          <w:szCs w:val="24"/>
          <w:u w:val="single"/>
        </w:rPr>
      </w:pPr>
    </w:p>
    <w:p w14:paraId="1A42F83F" w14:textId="77777777" w:rsidR="002B224C" w:rsidRPr="00CE1FCA" w:rsidRDefault="002B224C" w:rsidP="002B224C">
      <w:pPr>
        <w:spacing w:after="200" w:line="360" w:lineRule="auto"/>
        <w:ind w:left="426" w:right="272"/>
        <w:jc w:val="center"/>
        <w:rPr>
          <w:rFonts w:ascii="Arial" w:hAnsi="Arial" w:cs="Arial"/>
          <w:b/>
          <w:bCs/>
          <w:sz w:val="24"/>
          <w:szCs w:val="24"/>
          <w:u w:val="single"/>
        </w:rPr>
      </w:pPr>
    </w:p>
    <w:p w14:paraId="163A35EC" w14:textId="77777777" w:rsidR="002B224C" w:rsidRPr="00CE1FCA" w:rsidRDefault="002B224C" w:rsidP="002B224C">
      <w:pPr>
        <w:spacing w:after="200" w:line="360" w:lineRule="auto"/>
        <w:ind w:left="426" w:right="272"/>
        <w:jc w:val="center"/>
        <w:rPr>
          <w:rFonts w:ascii="Arial" w:hAnsi="Arial" w:cs="Arial"/>
          <w:b/>
          <w:bCs/>
          <w:sz w:val="24"/>
          <w:szCs w:val="24"/>
          <w:u w:val="single"/>
        </w:rPr>
      </w:pPr>
    </w:p>
    <w:p w14:paraId="52335894" w14:textId="77777777" w:rsidR="002B224C" w:rsidRPr="00CE1FCA" w:rsidRDefault="002B224C" w:rsidP="002B224C">
      <w:pPr>
        <w:spacing w:after="200" w:line="360" w:lineRule="auto"/>
        <w:ind w:left="426" w:right="272"/>
        <w:jc w:val="center"/>
        <w:rPr>
          <w:rFonts w:ascii="Arial" w:hAnsi="Arial" w:cs="Arial"/>
          <w:b/>
          <w:bCs/>
          <w:sz w:val="24"/>
          <w:szCs w:val="24"/>
          <w:u w:val="single"/>
        </w:rPr>
      </w:pPr>
    </w:p>
    <w:p w14:paraId="16DA084D" w14:textId="77777777" w:rsidR="002B224C" w:rsidRPr="00CE1FCA" w:rsidRDefault="002B224C" w:rsidP="002B224C">
      <w:pPr>
        <w:spacing w:after="200" w:line="360" w:lineRule="auto"/>
        <w:ind w:left="426" w:right="272"/>
        <w:jc w:val="center"/>
        <w:rPr>
          <w:rFonts w:ascii="Arial" w:hAnsi="Arial" w:cs="Arial"/>
          <w:b/>
          <w:bCs/>
          <w:sz w:val="24"/>
          <w:szCs w:val="24"/>
          <w:u w:val="single"/>
        </w:rPr>
      </w:pPr>
    </w:p>
    <w:p w14:paraId="457D1FFB" w14:textId="77777777" w:rsidR="002B224C" w:rsidRPr="00CE1FCA" w:rsidRDefault="002B224C" w:rsidP="002B224C">
      <w:pPr>
        <w:spacing w:after="200" w:line="360" w:lineRule="auto"/>
        <w:ind w:left="426" w:right="272"/>
        <w:jc w:val="center"/>
        <w:rPr>
          <w:rFonts w:ascii="Arial" w:hAnsi="Arial" w:cs="Arial"/>
          <w:b/>
          <w:bCs/>
          <w:sz w:val="24"/>
          <w:szCs w:val="24"/>
          <w:u w:val="single"/>
        </w:rPr>
      </w:pPr>
    </w:p>
    <w:p w14:paraId="6C40A7E3" w14:textId="77777777" w:rsidR="002B224C" w:rsidRDefault="002B224C" w:rsidP="002B224C">
      <w:pPr>
        <w:spacing w:after="200" w:line="360" w:lineRule="auto"/>
        <w:ind w:left="426" w:right="272"/>
        <w:jc w:val="center"/>
        <w:rPr>
          <w:rFonts w:ascii="Arial" w:hAnsi="Arial" w:cs="Arial"/>
          <w:b/>
          <w:bCs/>
          <w:sz w:val="24"/>
          <w:szCs w:val="24"/>
        </w:rPr>
      </w:pPr>
      <w:r w:rsidRPr="00B84D18">
        <w:rPr>
          <w:rFonts w:ascii="Arial" w:hAnsi="Arial" w:cs="Arial"/>
          <w:b/>
          <w:bCs/>
          <w:sz w:val="24"/>
          <w:szCs w:val="24"/>
        </w:rPr>
        <w:t>Master of Business Administration</w:t>
      </w:r>
    </w:p>
    <w:p w14:paraId="0775A927" w14:textId="77777777" w:rsidR="002B224C" w:rsidRDefault="002B224C" w:rsidP="002B224C">
      <w:pPr>
        <w:spacing w:after="200" w:line="360" w:lineRule="auto"/>
        <w:ind w:left="426" w:right="272"/>
        <w:jc w:val="center"/>
        <w:rPr>
          <w:rFonts w:ascii="Arial" w:hAnsi="Arial" w:cs="Arial"/>
          <w:b/>
          <w:bCs/>
          <w:sz w:val="24"/>
          <w:szCs w:val="24"/>
        </w:rPr>
      </w:pPr>
      <w:r w:rsidRPr="00B84D18">
        <w:rPr>
          <w:rFonts w:ascii="Arial" w:hAnsi="Arial" w:cs="Arial"/>
          <w:b/>
          <w:bCs/>
          <w:sz w:val="24"/>
          <w:szCs w:val="24"/>
        </w:rPr>
        <w:t>Human Capital Management</w:t>
      </w:r>
      <w:r>
        <w:rPr>
          <w:rFonts w:ascii="Arial" w:hAnsi="Arial" w:cs="Arial"/>
          <w:b/>
          <w:bCs/>
          <w:sz w:val="24"/>
          <w:szCs w:val="24"/>
        </w:rPr>
        <w:t xml:space="preserve"> </w:t>
      </w:r>
      <w:r w:rsidRPr="00B84D18">
        <w:rPr>
          <w:rFonts w:ascii="Arial" w:hAnsi="Arial" w:cs="Arial"/>
          <w:b/>
          <w:bCs/>
          <w:sz w:val="24"/>
          <w:szCs w:val="24"/>
        </w:rPr>
        <w:t>LCMB7023</w:t>
      </w:r>
    </w:p>
    <w:p w14:paraId="47E6F00B" w14:textId="77777777" w:rsidR="002B224C" w:rsidRDefault="002B224C" w:rsidP="002B224C">
      <w:pPr>
        <w:spacing w:after="200" w:line="360" w:lineRule="auto"/>
        <w:ind w:left="426" w:right="272"/>
        <w:jc w:val="center"/>
        <w:rPr>
          <w:rFonts w:ascii="Arial" w:hAnsi="Arial" w:cs="Arial"/>
          <w:b/>
          <w:bCs/>
          <w:sz w:val="24"/>
          <w:szCs w:val="24"/>
        </w:rPr>
      </w:pPr>
      <w:r w:rsidRPr="00B84D18">
        <w:rPr>
          <w:rFonts w:ascii="Arial" w:hAnsi="Arial" w:cs="Arial"/>
          <w:b/>
          <w:bCs/>
          <w:sz w:val="24"/>
          <w:szCs w:val="24"/>
        </w:rPr>
        <w:t>Assessment component 1:</w:t>
      </w:r>
      <w:r>
        <w:rPr>
          <w:rFonts w:ascii="Arial" w:hAnsi="Arial" w:cs="Arial"/>
          <w:b/>
          <w:bCs/>
          <w:sz w:val="24"/>
          <w:szCs w:val="24"/>
        </w:rPr>
        <w:t xml:space="preserve"> </w:t>
      </w:r>
      <w:r w:rsidRPr="00B84D18">
        <w:rPr>
          <w:rFonts w:ascii="Arial" w:hAnsi="Arial" w:cs="Arial"/>
          <w:b/>
          <w:bCs/>
          <w:sz w:val="24"/>
          <w:szCs w:val="24"/>
        </w:rPr>
        <w:t>Individual report</w:t>
      </w:r>
    </w:p>
    <w:p w14:paraId="0193BCA7" w14:textId="2AC4AE43" w:rsidR="002B224C" w:rsidRDefault="002B224C" w:rsidP="002B224C">
      <w:pPr>
        <w:spacing w:after="200" w:line="360" w:lineRule="auto"/>
        <w:ind w:left="426" w:right="272"/>
        <w:jc w:val="center"/>
        <w:rPr>
          <w:rFonts w:ascii="Arial" w:hAnsi="Arial" w:cs="Arial"/>
          <w:b/>
          <w:bCs/>
          <w:sz w:val="24"/>
          <w:szCs w:val="24"/>
        </w:rPr>
      </w:pPr>
      <w:r>
        <w:rPr>
          <w:rFonts w:ascii="Arial" w:hAnsi="Arial" w:cs="Arial"/>
          <w:b/>
          <w:bCs/>
          <w:sz w:val="24"/>
          <w:szCs w:val="24"/>
        </w:rPr>
        <w:t>Student Name:</w:t>
      </w:r>
      <w:r w:rsidR="00EA53A5">
        <w:rPr>
          <w:rFonts w:ascii="Arial" w:hAnsi="Arial" w:cs="Arial"/>
          <w:b/>
          <w:bCs/>
          <w:sz w:val="24"/>
          <w:szCs w:val="24"/>
        </w:rPr>
        <w:t xml:space="preserve"> </w:t>
      </w:r>
      <w:r w:rsidR="0009040C" w:rsidRPr="0009040C">
        <w:rPr>
          <w:rFonts w:ascii="Arial" w:hAnsi="Arial" w:cs="Arial"/>
          <w:b/>
          <w:bCs/>
          <w:sz w:val="24"/>
          <w:szCs w:val="24"/>
        </w:rPr>
        <w:t xml:space="preserve">Payal </w:t>
      </w:r>
      <w:r w:rsidR="0009040C">
        <w:rPr>
          <w:rFonts w:ascii="Arial" w:hAnsi="Arial" w:cs="Arial"/>
          <w:b/>
          <w:bCs/>
          <w:sz w:val="24"/>
          <w:szCs w:val="24"/>
        </w:rPr>
        <w:t>O</w:t>
      </w:r>
      <w:r w:rsidR="0009040C" w:rsidRPr="0009040C">
        <w:rPr>
          <w:rFonts w:ascii="Arial" w:hAnsi="Arial" w:cs="Arial"/>
          <w:b/>
          <w:bCs/>
          <w:sz w:val="24"/>
          <w:szCs w:val="24"/>
        </w:rPr>
        <w:t>dedra</w:t>
      </w:r>
    </w:p>
    <w:p w14:paraId="1BB9004D" w14:textId="66D3D8EF" w:rsidR="002B224C" w:rsidRPr="00CE1FCA" w:rsidRDefault="002B224C" w:rsidP="002B224C">
      <w:pPr>
        <w:spacing w:after="200" w:line="360" w:lineRule="auto"/>
        <w:ind w:left="426" w:right="272"/>
        <w:jc w:val="center"/>
        <w:rPr>
          <w:rFonts w:ascii="Arial" w:hAnsi="Arial" w:cs="Arial"/>
          <w:b/>
          <w:bCs/>
          <w:sz w:val="24"/>
          <w:szCs w:val="24"/>
        </w:rPr>
      </w:pPr>
      <w:r>
        <w:rPr>
          <w:rFonts w:ascii="Arial" w:hAnsi="Arial" w:cs="Arial"/>
          <w:b/>
          <w:bCs/>
          <w:sz w:val="24"/>
          <w:szCs w:val="24"/>
        </w:rPr>
        <w:t>Student ID:</w:t>
      </w:r>
      <w:r w:rsidR="00F75BF3">
        <w:rPr>
          <w:rFonts w:ascii="Arial" w:hAnsi="Arial" w:cs="Arial"/>
          <w:b/>
          <w:bCs/>
          <w:sz w:val="24"/>
          <w:szCs w:val="24"/>
        </w:rPr>
        <w:t xml:space="preserve"> </w:t>
      </w:r>
      <w:r w:rsidR="00F75BF3" w:rsidRPr="00F75BF3">
        <w:rPr>
          <w:rFonts w:ascii="Arial" w:hAnsi="Arial" w:cs="Arial"/>
          <w:b/>
          <w:bCs/>
          <w:sz w:val="24"/>
          <w:szCs w:val="24"/>
        </w:rPr>
        <w:t>2439521</w:t>
      </w:r>
    </w:p>
    <w:p w14:paraId="234D5534" w14:textId="77777777" w:rsidR="002B224C" w:rsidRDefault="002B224C" w:rsidP="002B224C">
      <w:pPr>
        <w:spacing w:after="200" w:line="360" w:lineRule="auto"/>
        <w:ind w:left="426" w:right="272"/>
        <w:jc w:val="center"/>
        <w:rPr>
          <w:rFonts w:ascii="Arial" w:hAnsi="Arial" w:cs="Arial"/>
          <w:b/>
          <w:sz w:val="24"/>
          <w:szCs w:val="24"/>
        </w:rPr>
      </w:pPr>
      <w:r w:rsidRPr="00B84D18">
        <w:rPr>
          <w:rFonts w:ascii="Arial" w:hAnsi="Arial" w:cs="Arial"/>
          <w:b/>
          <w:sz w:val="24"/>
          <w:szCs w:val="24"/>
        </w:rPr>
        <w:t>Word Count: 2727</w:t>
      </w:r>
    </w:p>
    <w:p w14:paraId="68CA78F4" w14:textId="77777777" w:rsidR="002B224C" w:rsidRPr="00B84D18" w:rsidRDefault="002B224C" w:rsidP="002B224C">
      <w:pPr>
        <w:spacing w:after="200" w:line="360" w:lineRule="auto"/>
        <w:ind w:left="426" w:right="272"/>
        <w:jc w:val="center"/>
        <w:rPr>
          <w:rFonts w:ascii="Arial" w:hAnsi="Arial" w:cs="Arial"/>
          <w:b/>
          <w:sz w:val="24"/>
          <w:szCs w:val="24"/>
        </w:rPr>
      </w:pPr>
      <w:r>
        <w:rPr>
          <w:rFonts w:ascii="Arial" w:hAnsi="Arial" w:cs="Arial"/>
          <w:b/>
          <w:sz w:val="24"/>
          <w:szCs w:val="24"/>
        </w:rPr>
        <w:t>October 9</w:t>
      </w:r>
      <w:r w:rsidRPr="00B84D18">
        <w:rPr>
          <w:rFonts w:ascii="Arial" w:hAnsi="Arial" w:cs="Arial"/>
          <w:b/>
          <w:sz w:val="24"/>
          <w:szCs w:val="24"/>
          <w:vertAlign w:val="superscript"/>
        </w:rPr>
        <w:t>th</w:t>
      </w:r>
      <w:r>
        <w:rPr>
          <w:rFonts w:ascii="Arial" w:hAnsi="Arial" w:cs="Arial"/>
          <w:b/>
          <w:sz w:val="24"/>
          <w:szCs w:val="24"/>
        </w:rPr>
        <w:t xml:space="preserve"> 2025</w:t>
      </w:r>
    </w:p>
    <w:p w14:paraId="3A8F0EA8" w14:textId="77777777" w:rsidR="002B224C" w:rsidRPr="00CE1FCA" w:rsidRDefault="002B224C" w:rsidP="002B224C">
      <w:pPr>
        <w:spacing w:after="160" w:line="360" w:lineRule="auto"/>
        <w:rPr>
          <w:rFonts w:ascii="Arial" w:hAnsi="Arial" w:cs="Arial"/>
          <w:sz w:val="24"/>
          <w:szCs w:val="24"/>
        </w:rPr>
      </w:pPr>
      <w:r w:rsidRPr="00CE1FCA">
        <w:rPr>
          <w:rFonts w:ascii="Arial" w:hAnsi="Arial" w:cs="Arial"/>
          <w:sz w:val="24"/>
          <w:szCs w:val="24"/>
        </w:rPr>
        <w:br w:type="page"/>
      </w:r>
    </w:p>
    <w:sdt>
      <w:sdtPr>
        <w:rPr>
          <w:rFonts w:ascii="Arial" w:eastAsia="Times New Roman" w:hAnsi="Arial" w:cs="Arial"/>
          <w:color w:val="auto"/>
          <w:sz w:val="24"/>
          <w:szCs w:val="24"/>
          <w:lang w:val="en-GB" w:eastAsia="en-GB"/>
        </w:rPr>
        <w:id w:val="-1852173249"/>
        <w:docPartObj>
          <w:docPartGallery w:val="Table of Contents"/>
          <w:docPartUnique/>
        </w:docPartObj>
      </w:sdtPr>
      <w:sdtEndPr>
        <w:rPr>
          <w:b/>
          <w:bCs/>
          <w:noProof/>
        </w:rPr>
      </w:sdtEndPr>
      <w:sdtContent>
        <w:p w14:paraId="1D32154E" w14:textId="77777777" w:rsidR="002B224C" w:rsidRPr="00CE1FCA" w:rsidRDefault="002B224C" w:rsidP="00CE0CAB">
          <w:pPr>
            <w:pStyle w:val="TOCHeading"/>
            <w:spacing w:line="360" w:lineRule="auto"/>
            <w:jc w:val="both"/>
            <w:rPr>
              <w:rFonts w:ascii="Arial" w:hAnsi="Arial" w:cs="Arial"/>
              <w:b/>
              <w:color w:val="000000" w:themeColor="text1"/>
              <w:sz w:val="24"/>
              <w:szCs w:val="24"/>
            </w:rPr>
          </w:pPr>
          <w:r w:rsidRPr="00CE1FCA">
            <w:rPr>
              <w:rFonts w:ascii="Arial" w:hAnsi="Arial" w:cs="Arial"/>
              <w:b/>
              <w:color w:val="000000" w:themeColor="text1"/>
              <w:sz w:val="24"/>
              <w:szCs w:val="24"/>
            </w:rPr>
            <w:t>Table of Contents</w:t>
          </w:r>
        </w:p>
        <w:p w14:paraId="256815BF" w14:textId="77777777" w:rsidR="002B224C" w:rsidRPr="00400BBD" w:rsidRDefault="002B224C" w:rsidP="002B224C">
          <w:pPr>
            <w:pStyle w:val="TOC1"/>
            <w:tabs>
              <w:tab w:val="right" w:leader="dot" w:pos="9800"/>
            </w:tabs>
            <w:spacing w:line="360" w:lineRule="auto"/>
            <w:rPr>
              <w:rFonts w:ascii="Arial" w:eastAsiaTheme="minorEastAsia" w:hAnsi="Arial" w:cs="Arial"/>
              <w:noProof/>
              <w:sz w:val="24"/>
              <w:szCs w:val="24"/>
              <w:lang w:val="en-IN" w:eastAsia="en-IN"/>
            </w:rPr>
          </w:pPr>
          <w:r w:rsidRPr="00400BBD">
            <w:rPr>
              <w:rFonts w:ascii="Arial" w:hAnsi="Arial" w:cs="Arial"/>
              <w:sz w:val="24"/>
              <w:szCs w:val="24"/>
            </w:rPr>
            <w:fldChar w:fldCharType="begin"/>
          </w:r>
          <w:r w:rsidRPr="00400BBD">
            <w:rPr>
              <w:rFonts w:ascii="Arial" w:hAnsi="Arial" w:cs="Arial"/>
              <w:sz w:val="24"/>
              <w:szCs w:val="24"/>
            </w:rPr>
            <w:instrText xml:space="preserve"> TOC \o "1-3" \h \z \u </w:instrText>
          </w:r>
          <w:r w:rsidRPr="00400BBD">
            <w:rPr>
              <w:rFonts w:ascii="Arial" w:hAnsi="Arial" w:cs="Arial"/>
              <w:sz w:val="24"/>
              <w:szCs w:val="24"/>
            </w:rPr>
            <w:fldChar w:fldCharType="separate"/>
          </w:r>
          <w:hyperlink w:anchor="_Toc210926852" w:history="1">
            <w:r w:rsidRPr="00400BBD">
              <w:rPr>
                <w:rStyle w:val="Hyperlink"/>
                <w:rFonts w:ascii="Arial" w:hAnsi="Arial" w:cs="Arial"/>
                <w:noProof/>
                <w:sz w:val="24"/>
                <w:szCs w:val="24"/>
              </w:rPr>
              <w:t>Introduction</w:t>
            </w:r>
            <w:r w:rsidRPr="00400BBD">
              <w:rPr>
                <w:rFonts w:ascii="Arial" w:hAnsi="Arial" w:cs="Arial"/>
                <w:noProof/>
                <w:webHidden/>
                <w:sz w:val="24"/>
                <w:szCs w:val="24"/>
              </w:rPr>
              <w:tab/>
            </w:r>
            <w:r w:rsidRPr="00400BBD">
              <w:rPr>
                <w:rFonts w:ascii="Arial" w:hAnsi="Arial" w:cs="Arial"/>
                <w:noProof/>
                <w:webHidden/>
                <w:sz w:val="24"/>
                <w:szCs w:val="24"/>
              </w:rPr>
              <w:fldChar w:fldCharType="begin"/>
            </w:r>
            <w:r w:rsidRPr="00400BBD">
              <w:rPr>
                <w:rFonts w:ascii="Arial" w:hAnsi="Arial" w:cs="Arial"/>
                <w:noProof/>
                <w:webHidden/>
                <w:sz w:val="24"/>
                <w:szCs w:val="24"/>
              </w:rPr>
              <w:instrText xml:space="preserve"> PAGEREF _Toc210926852 \h </w:instrText>
            </w:r>
            <w:r w:rsidRPr="00400BBD">
              <w:rPr>
                <w:rFonts w:ascii="Arial" w:hAnsi="Arial" w:cs="Arial"/>
                <w:noProof/>
                <w:webHidden/>
                <w:sz w:val="24"/>
                <w:szCs w:val="24"/>
              </w:rPr>
            </w:r>
            <w:r w:rsidRPr="00400BBD">
              <w:rPr>
                <w:rFonts w:ascii="Arial" w:hAnsi="Arial" w:cs="Arial"/>
                <w:noProof/>
                <w:webHidden/>
                <w:sz w:val="24"/>
                <w:szCs w:val="24"/>
              </w:rPr>
              <w:fldChar w:fldCharType="separate"/>
            </w:r>
            <w:r w:rsidRPr="00400BBD">
              <w:rPr>
                <w:rFonts w:ascii="Arial" w:hAnsi="Arial" w:cs="Arial"/>
                <w:noProof/>
                <w:webHidden/>
                <w:sz w:val="24"/>
                <w:szCs w:val="24"/>
              </w:rPr>
              <w:t>3</w:t>
            </w:r>
            <w:r w:rsidRPr="00400BBD">
              <w:rPr>
                <w:rFonts w:ascii="Arial" w:hAnsi="Arial" w:cs="Arial"/>
                <w:noProof/>
                <w:webHidden/>
                <w:sz w:val="24"/>
                <w:szCs w:val="24"/>
              </w:rPr>
              <w:fldChar w:fldCharType="end"/>
            </w:r>
          </w:hyperlink>
        </w:p>
        <w:p w14:paraId="25171402" w14:textId="77777777" w:rsidR="002B224C" w:rsidRPr="00400BBD" w:rsidRDefault="002B224C" w:rsidP="002B224C">
          <w:pPr>
            <w:pStyle w:val="TOC1"/>
            <w:tabs>
              <w:tab w:val="right" w:leader="dot" w:pos="9800"/>
            </w:tabs>
            <w:spacing w:line="360" w:lineRule="auto"/>
            <w:rPr>
              <w:rFonts w:ascii="Arial" w:eastAsiaTheme="minorEastAsia" w:hAnsi="Arial" w:cs="Arial"/>
              <w:noProof/>
              <w:sz w:val="24"/>
              <w:szCs w:val="24"/>
              <w:lang w:val="en-IN" w:eastAsia="en-IN"/>
            </w:rPr>
          </w:pPr>
          <w:hyperlink w:anchor="_Toc210926853" w:history="1">
            <w:r w:rsidRPr="00400BBD">
              <w:rPr>
                <w:rStyle w:val="Hyperlink"/>
                <w:rFonts w:ascii="Arial" w:hAnsi="Arial" w:cs="Arial"/>
                <w:noProof/>
                <w:sz w:val="24"/>
                <w:szCs w:val="24"/>
              </w:rPr>
              <w:t>1. Reshaping Labour Markets by Technological Advancements (AI, Automation, Digital Platforms) and their Implications on HRM and IHRM Strategies</w:t>
            </w:r>
            <w:r w:rsidRPr="00400BBD">
              <w:rPr>
                <w:rFonts w:ascii="Arial" w:hAnsi="Arial" w:cs="Arial"/>
                <w:noProof/>
                <w:webHidden/>
                <w:sz w:val="24"/>
                <w:szCs w:val="24"/>
              </w:rPr>
              <w:tab/>
            </w:r>
            <w:r w:rsidRPr="00400BBD">
              <w:rPr>
                <w:rFonts w:ascii="Arial" w:hAnsi="Arial" w:cs="Arial"/>
                <w:noProof/>
                <w:webHidden/>
                <w:sz w:val="24"/>
                <w:szCs w:val="24"/>
              </w:rPr>
              <w:fldChar w:fldCharType="begin"/>
            </w:r>
            <w:r w:rsidRPr="00400BBD">
              <w:rPr>
                <w:rFonts w:ascii="Arial" w:hAnsi="Arial" w:cs="Arial"/>
                <w:noProof/>
                <w:webHidden/>
                <w:sz w:val="24"/>
                <w:szCs w:val="24"/>
              </w:rPr>
              <w:instrText xml:space="preserve"> PAGEREF _Toc210926853 \h </w:instrText>
            </w:r>
            <w:r w:rsidRPr="00400BBD">
              <w:rPr>
                <w:rFonts w:ascii="Arial" w:hAnsi="Arial" w:cs="Arial"/>
                <w:noProof/>
                <w:webHidden/>
                <w:sz w:val="24"/>
                <w:szCs w:val="24"/>
              </w:rPr>
            </w:r>
            <w:r w:rsidRPr="00400BBD">
              <w:rPr>
                <w:rFonts w:ascii="Arial" w:hAnsi="Arial" w:cs="Arial"/>
                <w:noProof/>
                <w:webHidden/>
                <w:sz w:val="24"/>
                <w:szCs w:val="24"/>
              </w:rPr>
              <w:fldChar w:fldCharType="separate"/>
            </w:r>
            <w:r w:rsidRPr="00400BBD">
              <w:rPr>
                <w:rFonts w:ascii="Arial" w:hAnsi="Arial" w:cs="Arial"/>
                <w:noProof/>
                <w:webHidden/>
                <w:sz w:val="24"/>
                <w:szCs w:val="24"/>
              </w:rPr>
              <w:t>3</w:t>
            </w:r>
            <w:r w:rsidRPr="00400BBD">
              <w:rPr>
                <w:rFonts w:ascii="Arial" w:hAnsi="Arial" w:cs="Arial"/>
                <w:noProof/>
                <w:webHidden/>
                <w:sz w:val="24"/>
                <w:szCs w:val="24"/>
              </w:rPr>
              <w:fldChar w:fldCharType="end"/>
            </w:r>
          </w:hyperlink>
        </w:p>
        <w:p w14:paraId="01675F7B" w14:textId="77777777" w:rsidR="002B224C" w:rsidRPr="00400BBD" w:rsidRDefault="002B224C" w:rsidP="002B224C">
          <w:pPr>
            <w:pStyle w:val="TOC1"/>
            <w:tabs>
              <w:tab w:val="right" w:leader="dot" w:pos="9800"/>
            </w:tabs>
            <w:spacing w:line="360" w:lineRule="auto"/>
            <w:rPr>
              <w:rFonts w:ascii="Arial" w:eastAsiaTheme="minorEastAsia" w:hAnsi="Arial" w:cs="Arial"/>
              <w:noProof/>
              <w:sz w:val="24"/>
              <w:szCs w:val="24"/>
              <w:lang w:val="en-IN" w:eastAsia="en-IN"/>
            </w:rPr>
          </w:pPr>
          <w:hyperlink w:anchor="_Toc210926854" w:history="1">
            <w:r w:rsidRPr="00400BBD">
              <w:rPr>
                <w:rStyle w:val="Hyperlink"/>
                <w:rFonts w:ascii="Arial" w:hAnsi="Arial" w:cs="Arial"/>
                <w:noProof/>
                <w:sz w:val="24"/>
                <w:szCs w:val="24"/>
              </w:rPr>
              <w:t xml:space="preserve">2. Key Demographic and Geopolitical Factors Influencing Employment Markets and Challenges towards HR Professionals </w:t>
            </w:r>
            <w:r w:rsidRPr="00400BBD">
              <w:rPr>
                <w:rFonts w:ascii="Arial" w:hAnsi="Arial" w:cs="Arial"/>
                <w:noProof/>
                <w:webHidden/>
                <w:sz w:val="24"/>
                <w:szCs w:val="24"/>
              </w:rPr>
              <w:tab/>
            </w:r>
            <w:r w:rsidRPr="00400BBD">
              <w:rPr>
                <w:rFonts w:ascii="Arial" w:hAnsi="Arial" w:cs="Arial"/>
                <w:noProof/>
                <w:webHidden/>
                <w:sz w:val="24"/>
                <w:szCs w:val="24"/>
              </w:rPr>
              <w:fldChar w:fldCharType="begin"/>
            </w:r>
            <w:r w:rsidRPr="00400BBD">
              <w:rPr>
                <w:rFonts w:ascii="Arial" w:hAnsi="Arial" w:cs="Arial"/>
                <w:noProof/>
                <w:webHidden/>
                <w:sz w:val="24"/>
                <w:szCs w:val="24"/>
              </w:rPr>
              <w:instrText xml:space="preserve"> PAGEREF _Toc210926854 \h </w:instrText>
            </w:r>
            <w:r w:rsidRPr="00400BBD">
              <w:rPr>
                <w:rFonts w:ascii="Arial" w:hAnsi="Arial" w:cs="Arial"/>
                <w:noProof/>
                <w:webHidden/>
                <w:sz w:val="24"/>
                <w:szCs w:val="24"/>
              </w:rPr>
            </w:r>
            <w:r w:rsidRPr="00400BBD">
              <w:rPr>
                <w:rFonts w:ascii="Arial" w:hAnsi="Arial" w:cs="Arial"/>
                <w:noProof/>
                <w:webHidden/>
                <w:sz w:val="24"/>
                <w:szCs w:val="24"/>
              </w:rPr>
              <w:fldChar w:fldCharType="separate"/>
            </w:r>
            <w:r w:rsidRPr="00400BBD">
              <w:rPr>
                <w:rFonts w:ascii="Arial" w:hAnsi="Arial" w:cs="Arial"/>
                <w:noProof/>
                <w:webHidden/>
                <w:sz w:val="24"/>
                <w:szCs w:val="24"/>
              </w:rPr>
              <w:t>5</w:t>
            </w:r>
            <w:r w:rsidRPr="00400BBD">
              <w:rPr>
                <w:rFonts w:ascii="Arial" w:hAnsi="Arial" w:cs="Arial"/>
                <w:noProof/>
                <w:webHidden/>
                <w:sz w:val="24"/>
                <w:szCs w:val="24"/>
              </w:rPr>
              <w:fldChar w:fldCharType="end"/>
            </w:r>
          </w:hyperlink>
        </w:p>
        <w:p w14:paraId="75C6A17C" w14:textId="77777777" w:rsidR="002B224C" w:rsidRPr="00400BBD" w:rsidRDefault="002B224C" w:rsidP="002B224C">
          <w:pPr>
            <w:pStyle w:val="TOC1"/>
            <w:tabs>
              <w:tab w:val="right" w:leader="dot" w:pos="9800"/>
            </w:tabs>
            <w:spacing w:line="360" w:lineRule="auto"/>
            <w:rPr>
              <w:rFonts w:ascii="Arial" w:eastAsiaTheme="minorEastAsia" w:hAnsi="Arial" w:cs="Arial"/>
              <w:noProof/>
              <w:sz w:val="24"/>
              <w:szCs w:val="24"/>
              <w:lang w:val="en-IN" w:eastAsia="en-IN"/>
            </w:rPr>
          </w:pPr>
          <w:hyperlink w:anchor="_Toc210926855" w:history="1">
            <w:r w:rsidRPr="00400BBD">
              <w:rPr>
                <w:rStyle w:val="Hyperlink"/>
                <w:rFonts w:ascii="Arial" w:hAnsi="Arial" w:cs="Arial"/>
                <w:noProof/>
                <w:sz w:val="24"/>
                <w:szCs w:val="24"/>
              </w:rPr>
              <w:t xml:space="preserve">3. Addressing Persistent Skills Gaps, Talent Shortages in Critical Sectors (e.g., tech, hospitality, healthcare) through Strategic HRM </w:t>
            </w:r>
            <w:r w:rsidRPr="00400BBD">
              <w:rPr>
                <w:rFonts w:ascii="Arial" w:hAnsi="Arial" w:cs="Arial"/>
                <w:noProof/>
                <w:webHidden/>
                <w:sz w:val="24"/>
                <w:szCs w:val="24"/>
              </w:rPr>
              <w:tab/>
            </w:r>
            <w:r w:rsidRPr="00400BBD">
              <w:rPr>
                <w:rFonts w:ascii="Arial" w:hAnsi="Arial" w:cs="Arial"/>
                <w:noProof/>
                <w:webHidden/>
                <w:sz w:val="24"/>
                <w:szCs w:val="24"/>
              </w:rPr>
              <w:fldChar w:fldCharType="begin"/>
            </w:r>
            <w:r w:rsidRPr="00400BBD">
              <w:rPr>
                <w:rFonts w:ascii="Arial" w:hAnsi="Arial" w:cs="Arial"/>
                <w:noProof/>
                <w:webHidden/>
                <w:sz w:val="24"/>
                <w:szCs w:val="24"/>
              </w:rPr>
              <w:instrText xml:space="preserve"> PAGEREF _Toc210926855 \h </w:instrText>
            </w:r>
            <w:r w:rsidRPr="00400BBD">
              <w:rPr>
                <w:rFonts w:ascii="Arial" w:hAnsi="Arial" w:cs="Arial"/>
                <w:noProof/>
                <w:webHidden/>
                <w:sz w:val="24"/>
                <w:szCs w:val="24"/>
              </w:rPr>
            </w:r>
            <w:r w:rsidRPr="00400BBD">
              <w:rPr>
                <w:rFonts w:ascii="Arial" w:hAnsi="Arial" w:cs="Arial"/>
                <w:noProof/>
                <w:webHidden/>
                <w:sz w:val="24"/>
                <w:szCs w:val="24"/>
              </w:rPr>
              <w:fldChar w:fldCharType="separate"/>
            </w:r>
            <w:r w:rsidRPr="00400BBD">
              <w:rPr>
                <w:rFonts w:ascii="Arial" w:hAnsi="Arial" w:cs="Arial"/>
                <w:noProof/>
                <w:webHidden/>
                <w:sz w:val="24"/>
                <w:szCs w:val="24"/>
              </w:rPr>
              <w:t>8</w:t>
            </w:r>
            <w:r w:rsidRPr="00400BBD">
              <w:rPr>
                <w:rFonts w:ascii="Arial" w:hAnsi="Arial" w:cs="Arial"/>
                <w:noProof/>
                <w:webHidden/>
                <w:sz w:val="24"/>
                <w:szCs w:val="24"/>
              </w:rPr>
              <w:fldChar w:fldCharType="end"/>
            </w:r>
          </w:hyperlink>
        </w:p>
        <w:p w14:paraId="602E0DE7" w14:textId="77777777" w:rsidR="002B224C" w:rsidRPr="00400BBD" w:rsidRDefault="002B224C" w:rsidP="002B224C">
          <w:pPr>
            <w:pStyle w:val="TOC1"/>
            <w:tabs>
              <w:tab w:val="right" w:leader="dot" w:pos="9800"/>
            </w:tabs>
            <w:spacing w:line="360" w:lineRule="auto"/>
            <w:rPr>
              <w:rFonts w:ascii="Arial" w:eastAsiaTheme="minorEastAsia" w:hAnsi="Arial" w:cs="Arial"/>
              <w:noProof/>
              <w:sz w:val="24"/>
              <w:szCs w:val="24"/>
              <w:lang w:val="en-IN" w:eastAsia="en-IN"/>
            </w:rPr>
          </w:pPr>
          <w:hyperlink w:anchor="_Toc210926856" w:history="1">
            <w:r w:rsidRPr="00400BBD">
              <w:rPr>
                <w:rStyle w:val="Hyperlink"/>
                <w:rFonts w:ascii="Arial" w:hAnsi="Arial" w:cs="Arial"/>
                <w:noProof/>
                <w:sz w:val="24"/>
                <w:szCs w:val="24"/>
              </w:rPr>
              <w:t xml:space="preserve">4. Reflective Report on Current Capabilities and Preparedness to Enter Labour Market </w:t>
            </w:r>
            <w:r w:rsidRPr="00400BBD">
              <w:rPr>
                <w:rFonts w:ascii="Arial" w:hAnsi="Arial" w:cs="Arial"/>
                <w:noProof/>
                <w:webHidden/>
                <w:sz w:val="24"/>
                <w:szCs w:val="24"/>
              </w:rPr>
              <w:tab/>
            </w:r>
            <w:r w:rsidRPr="00400BBD">
              <w:rPr>
                <w:rFonts w:ascii="Arial" w:hAnsi="Arial" w:cs="Arial"/>
                <w:noProof/>
                <w:webHidden/>
                <w:sz w:val="24"/>
                <w:szCs w:val="24"/>
              </w:rPr>
              <w:fldChar w:fldCharType="begin"/>
            </w:r>
            <w:r w:rsidRPr="00400BBD">
              <w:rPr>
                <w:rFonts w:ascii="Arial" w:hAnsi="Arial" w:cs="Arial"/>
                <w:noProof/>
                <w:webHidden/>
                <w:sz w:val="24"/>
                <w:szCs w:val="24"/>
              </w:rPr>
              <w:instrText xml:space="preserve"> PAGEREF _Toc210926856 \h </w:instrText>
            </w:r>
            <w:r w:rsidRPr="00400BBD">
              <w:rPr>
                <w:rFonts w:ascii="Arial" w:hAnsi="Arial" w:cs="Arial"/>
                <w:noProof/>
                <w:webHidden/>
                <w:sz w:val="24"/>
                <w:szCs w:val="24"/>
              </w:rPr>
            </w:r>
            <w:r w:rsidRPr="00400BBD">
              <w:rPr>
                <w:rFonts w:ascii="Arial" w:hAnsi="Arial" w:cs="Arial"/>
                <w:noProof/>
                <w:webHidden/>
                <w:sz w:val="24"/>
                <w:szCs w:val="24"/>
              </w:rPr>
              <w:fldChar w:fldCharType="separate"/>
            </w:r>
            <w:r w:rsidRPr="00400BBD">
              <w:rPr>
                <w:rFonts w:ascii="Arial" w:hAnsi="Arial" w:cs="Arial"/>
                <w:noProof/>
                <w:webHidden/>
                <w:sz w:val="24"/>
                <w:szCs w:val="24"/>
              </w:rPr>
              <w:t>9</w:t>
            </w:r>
            <w:r w:rsidRPr="00400BBD">
              <w:rPr>
                <w:rFonts w:ascii="Arial" w:hAnsi="Arial" w:cs="Arial"/>
                <w:noProof/>
                <w:webHidden/>
                <w:sz w:val="24"/>
                <w:szCs w:val="24"/>
              </w:rPr>
              <w:fldChar w:fldCharType="end"/>
            </w:r>
          </w:hyperlink>
        </w:p>
        <w:p w14:paraId="61D84609" w14:textId="77777777" w:rsidR="002B224C" w:rsidRPr="00400BBD" w:rsidRDefault="002B224C" w:rsidP="002B224C">
          <w:pPr>
            <w:pStyle w:val="TOC1"/>
            <w:tabs>
              <w:tab w:val="right" w:leader="dot" w:pos="9800"/>
            </w:tabs>
            <w:spacing w:line="360" w:lineRule="auto"/>
            <w:rPr>
              <w:rFonts w:ascii="Arial" w:eastAsiaTheme="minorEastAsia" w:hAnsi="Arial" w:cs="Arial"/>
              <w:noProof/>
              <w:sz w:val="24"/>
              <w:szCs w:val="24"/>
              <w:lang w:val="en-IN" w:eastAsia="en-IN"/>
            </w:rPr>
          </w:pPr>
          <w:hyperlink w:anchor="_Toc210926857" w:history="1">
            <w:r w:rsidRPr="00400BBD">
              <w:rPr>
                <w:rStyle w:val="Hyperlink"/>
                <w:rFonts w:ascii="Arial" w:hAnsi="Arial" w:cs="Arial"/>
                <w:noProof/>
                <w:sz w:val="24"/>
                <w:szCs w:val="24"/>
                <w:lang w:val="en-IN" w:eastAsia="en-IN"/>
              </w:rPr>
              <w:t>Conclusion</w:t>
            </w:r>
            <w:r w:rsidRPr="00400BBD">
              <w:rPr>
                <w:rFonts w:ascii="Arial" w:hAnsi="Arial" w:cs="Arial"/>
                <w:noProof/>
                <w:webHidden/>
                <w:sz w:val="24"/>
                <w:szCs w:val="24"/>
              </w:rPr>
              <w:tab/>
            </w:r>
            <w:r w:rsidRPr="00400BBD">
              <w:rPr>
                <w:rFonts w:ascii="Arial" w:hAnsi="Arial" w:cs="Arial"/>
                <w:noProof/>
                <w:webHidden/>
                <w:sz w:val="24"/>
                <w:szCs w:val="24"/>
              </w:rPr>
              <w:fldChar w:fldCharType="begin"/>
            </w:r>
            <w:r w:rsidRPr="00400BBD">
              <w:rPr>
                <w:rFonts w:ascii="Arial" w:hAnsi="Arial" w:cs="Arial"/>
                <w:noProof/>
                <w:webHidden/>
                <w:sz w:val="24"/>
                <w:szCs w:val="24"/>
              </w:rPr>
              <w:instrText xml:space="preserve"> PAGEREF _Toc210926857 \h </w:instrText>
            </w:r>
            <w:r w:rsidRPr="00400BBD">
              <w:rPr>
                <w:rFonts w:ascii="Arial" w:hAnsi="Arial" w:cs="Arial"/>
                <w:noProof/>
                <w:webHidden/>
                <w:sz w:val="24"/>
                <w:szCs w:val="24"/>
              </w:rPr>
            </w:r>
            <w:r w:rsidRPr="00400BBD">
              <w:rPr>
                <w:rFonts w:ascii="Arial" w:hAnsi="Arial" w:cs="Arial"/>
                <w:noProof/>
                <w:webHidden/>
                <w:sz w:val="24"/>
                <w:szCs w:val="24"/>
              </w:rPr>
              <w:fldChar w:fldCharType="separate"/>
            </w:r>
            <w:r w:rsidRPr="00400BBD">
              <w:rPr>
                <w:rFonts w:ascii="Arial" w:hAnsi="Arial" w:cs="Arial"/>
                <w:noProof/>
                <w:webHidden/>
                <w:sz w:val="24"/>
                <w:szCs w:val="24"/>
              </w:rPr>
              <w:t>13</w:t>
            </w:r>
            <w:r w:rsidRPr="00400BBD">
              <w:rPr>
                <w:rFonts w:ascii="Arial" w:hAnsi="Arial" w:cs="Arial"/>
                <w:noProof/>
                <w:webHidden/>
                <w:sz w:val="24"/>
                <w:szCs w:val="24"/>
              </w:rPr>
              <w:fldChar w:fldCharType="end"/>
            </w:r>
          </w:hyperlink>
        </w:p>
        <w:p w14:paraId="4103AF6C" w14:textId="77777777" w:rsidR="002B224C" w:rsidRPr="00400BBD" w:rsidRDefault="002B224C" w:rsidP="002B224C">
          <w:pPr>
            <w:pStyle w:val="TOC1"/>
            <w:tabs>
              <w:tab w:val="right" w:leader="dot" w:pos="9800"/>
            </w:tabs>
            <w:spacing w:line="360" w:lineRule="auto"/>
            <w:rPr>
              <w:rFonts w:ascii="Arial" w:eastAsiaTheme="minorEastAsia" w:hAnsi="Arial" w:cs="Arial"/>
              <w:noProof/>
              <w:sz w:val="24"/>
              <w:szCs w:val="24"/>
              <w:lang w:val="en-IN" w:eastAsia="en-IN"/>
            </w:rPr>
          </w:pPr>
          <w:hyperlink w:anchor="_Toc210926858" w:history="1">
            <w:r w:rsidRPr="00400BBD">
              <w:rPr>
                <w:rStyle w:val="Hyperlink"/>
                <w:rFonts w:ascii="Arial" w:hAnsi="Arial" w:cs="Arial"/>
                <w:noProof/>
                <w:sz w:val="24"/>
                <w:szCs w:val="24"/>
                <w:lang w:val="en-IN" w:eastAsia="en-IN"/>
              </w:rPr>
              <w:t xml:space="preserve">References </w:t>
            </w:r>
            <w:r w:rsidRPr="00400BBD">
              <w:rPr>
                <w:rFonts w:ascii="Arial" w:hAnsi="Arial" w:cs="Arial"/>
                <w:noProof/>
                <w:webHidden/>
                <w:sz w:val="24"/>
                <w:szCs w:val="24"/>
              </w:rPr>
              <w:tab/>
            </w:r>
            <w:r w:rsidRPr="00400BBD">
              <w:rPr>
                <w:rFonts w:ascii="Arial" w:hAnsi="Arial" w:cs="Arial"/>
                <w:noProof/>
                <w:webHidden/>
                <w:sz w:val="24"/>
                <w:szCs w:val="24"/>
              </w:rPr>
              <w:fldChar w:fldCharType="begin"/>
            </w:r>
            <w:r w:rsidRPr="00400BBD">
              <w:rPr>
                <w:rFonts w:ascii="Arial" w:hAnsi="Arial" w:cs="Arial"/>
                <w:noProof/>
                <w:webHidden/>
                <w:sz w:val="24"/>
                <w:szCs w:val="24"/>
              </w:rPr>
              <w:instrText xml:space="preserve"> PAGEREF _Toc210926858 \h </w:instrText>
            </w:r>
            <w:r w:rsidRPr="00400BBD">
              <w:rPr>
                <w:rFonts w:ascii="Arial" w:hAnsi="Arial" w:cs="Arial"/>
                <w:noProof/>
                <w:webHidden/>
                <w:sz w:val="24"/>
                <w:szCs w:val="24"/>
              </w:rPr>
            </w:r>
            <w:r w:rsidRPr="00400BBD">
              <w:rPr>
                <w:rFonts w:ascii="Arial" w:hAnsi="Arial" w:cs="Arial"/>
                <w:noProof/>
                <w:webHidden/>
                <w:sz w:val="24"/>
                <w:szCs w:val="24"/>
              </w:rPr>
              <w:fldChar w:fldCharType="separate"/>
            </w:r>
            <w:r w:rsidRPr="00400BBD">
              <w:rPr>
                <w:rFonts w:ascii="Arial" w:hAnsi="Arial" w:cs="Arial"/>
                <w:noProof/>
                <w:webHidden/>
                <w:sz w:val="24"/>
                <w:szCs w:val="24"/>
              </w:rPr>
              <w:t>14</w:t>
            </w:r>
            <w:r w:rsidRPr="00400BBD">
              <w:rPr>
                <w:rFonts w:ascii="Arial" w:hAnsi="Arial" w:cs="Arial"/>
                <w:noProof/>
                <w:webHidden/>
                <w:sz w:val="24"/>
                <w:szCs w:val="24"/>
              </w:rPr>
              <w:fldChar w:fldCharType="end"/>
            </w:r>
          </w:hyperlink>
        </w:p>
        <w:p w14:paraId="456D8824" w14:textId="77777777" w:rsidR="002B224C" w:rsidRPr="00CE1FCA" w:rsidRDefault="002B224C" w:rsidP="002B224C">
          <w:pPr>
            <w:spacing w:line="360" w:lineRule="auto"/>
            <w:rPr>
              <w:rFonts w:ascii="Arial" w:hAnsi="Arial" w:cs="Arial"/>
              <w:sz w:val="24"/>
              <w:szCs w:val="24"/>
            </w:rPr>
          </w:pPr>
          <w:r w:rsidRPr="00400BBD">
            <w:rPr>
              <w:rFonts w:ascii="Arial" w:hAnsi="Arial" w:cs="Arial"/>
              <w:b/>
              <w:bCs/>
              <w:noProof/>
              <w:sz w:val="24"/>
              <w:szCs w:val="24"/>
            </w:rPr>
            <w:fldChar w:fldCharType="end"/>
          </w:r>
        </w:p>
      </w:sdtContent>
    </w:sdt>
    <w:p w14:paraId="160CB8FA" w14:textId="77777777" w:rsidR="002B224C" w:rsidRDefault="002B224C" w:rsidP="002B224C">
      <w:pPr>
        <w:spacing w:after="200" w:line="360" w:lineRule="auto"/>
        <w:ind w:left="426" w:right="272"/>
        <w:jc w:val="center"/>
        <w:rPr>
          <w:rFonts w:ascii="Arial" w:hAnsi="Arial" w:cs="Arial"/>
          <w:sz w:val="24"/>
          <w:szCs w:val="24"/>
        </w:rPr>
      </w:pPr>
    </w:p>
    <w:p w14:paraId="19791151" w14:textId="77777777" w:rsidR="00CE45FF" w:rsidRDefault="00CE45FF" w:rsidP="002B224C">
      <w:pPr>
        <w:spacing w:after="200" w:line="360" w:lineRule="auto"/>
        <w:ind w:left="426" w:right="272"/>
        <w:jc w:val="center"/>
        <w:rPr>
          <w:rFonts w:ascii="Arial" w:hAnsi="Arial" w:cs="Arial"/>
          <w:sz w:val="24"/>
          <w:szCs w:val="24"/>
        </w:rPr>
      </w:pPr>
    </w:p>
    <w:p w14:paraId="33AE656D" w14:textId="77777777" w:rsidR="00CE45FF" w:rsidRDefault="00CE45FF" w:rsidP="002B224C">
      <w:pPr>
        <w:spacing w:after="200" w:line="360" w:lineRule="auto"/>
        <w:ind w:left="426" w:right="272"/>
        <w:jc w:val="center"/>
        <w:rPr>
          <w:rFonts w:ascii="Arial" w:hAnsi="Arial" w:cs="Arial"/>
          <w:sz w:val="24"/>
          <w:szCs w:val="24"/>
        </w:rPr>
      </w:pPr>
    </w:p>
    <w:p w14:paraId="3CD6F06A" w14:textId="77777777" w:rsidR="00CE45FF" w:rsidRDefault="00CE45FF" w:rsidP="002B224C">
      <w:pPr>
        <w:spacing w:after="200" w:line="360" w:lineRule="auto"/>
        <w:ind w:left="426" w:right="272"/>
        <w:jc w:val="center"/>
        <w:rPr>
          <w:rFonts w:ascii="Arial" w:hAnsi="Arial" w:cs="Arial"/>
          <w:sz w:val="24"/>
          <w:szCs w:val="24"/>
        </w:rPr>
      </w:pPr>
    </w:p>
    <w:p w14:paraId="411FEAC9" w14:textId="77777777" w:rsidR="00CE45FF" w:rsidRDefault="00CE45FF" w:rsidP="002B224C">
      <w:pPr>
        <w:spacing w:after="200" w:line="360" w:lineRule="auto"/>
        <w:ind w:left="426" w:right="272"/>
        <w:jc w:val="center"/>
        <w:rPr>
          <w:rFonts w:ascii="Arial" w:hAnsi="Arial" w:cs="Arial"/>
          <w:sz w:val="24"/>
          <w:szCs w:val="24"/>
        </w:rPr>
      </w:pPr>
    </w:p>
    <w:p w14:paraId="3C152776" w14:textId="77777777" w:rsidR="00CE45FF" w:rsidRDefault="00CE45FF" w:rsidP="002B224C">
      <w:pPr>
        <w:spacing w:after="200" w:line="360" w:lineRule="auto"/>
        <w:ind w:left="426" w:right="272"/>
        <w:jc w:val="center"/>
        <w:rPr>
          <w:rFonts w:ascii="Arial" w:hAnsi="Arial" w:cs="Arial"/>
          <w:sz w:val="24"/>
          <w:szCs w:val="24"/>
        </w:rPr>
      </w:pPr>
    </w:p>
    <w:p w14:paraId="762CF0B6" w14:textId="77777777" w:rsidR="00CE45FF" w:rsidRDefault="00CE45FF" w:rsidP="002B224C">
      <w:pPr>
        <w:spacing w:after="200" w:line="360" w:lineRule="auto"/>
        <w:ind w:left="426" w:right="272"/>
        <w:jc w:val="center"/>
        <w:rPr>
          <w:rFonts w:ascii="Arial" w:hAnsi="Arial" w:cs="Arial"/>
          <w:sz w:val="24"/>
          <w:szCs w:val="24"/>
        </w:rPr>
      </w:pPr>
    </w:p>
    <w:p w14:paraId="6B53D32D" w14:textId="77777777" w:rsidR="00CE45FF" w:rsidRDefault="00CE45FF" w:rsidP="002B224C">
      <w:pPr>
        <w:spacing w:after="200" w:line="360" w:lineRule="auto"/>
        <w:ind w:left="426" w:right="272"/>
        <w:jc w:val="center"/>
        <w:rPr>
          <w:rFonts w:ascii="Arial" w:hAnsi="Arial" w:cs="Arial"/>
          <w:sz w:val="24"/>
          <w:szCs w:val="24"/>
        </w:rPr>
      </w:pPr>
    </w:p>
    <w:p w14:paraId="44EC663E" w14:textId="77777777" w:rsidR="00CE45FF" w:rsidRDefault="00CE45FF" w:rsidP="002B224C">
      <w:pPr>
        <w:spacing w:after="200" w:line="360" w:lineRule="auto"/>
        <w:ind w:left="426" w:right="272"/>
        <w:jc w:val="center"/>
        <w:rPr>
          <w:rFonts w:ascii="Arial" w:hAnsi="Arial" w:cs="Arial"/>
          <w:sz w:val="24"/>
          <w:szCs w:val="24"/>
        </w:rPr>
      </w:pPr>
    </w:p>
    <w:p w14:paraId="143A4AA4" w14:textId="77777777" w:rsidR="00CE45FF" w:rsidRDefault="00CE45FF" w:rsidP="002B224C">
      <w:pPr>
        <w:spacing w:after="200" w:line="360" w:lineRule="auto"/>
        <w:ind w:left="426" w:right="272"/>
        <w:jc w:val="center"/>
        <w:rPr>
          <w:rFonts w:ascii="Arial" w:hAnsi="Arial" w:cs="Arial"/>
          <w:sz w:val="24"/>
          <w:szCs w:val="24"/>
        </w:rPr>
      </w:pPr>
    </w:p>
    <w:p w14:paraId="4E1CF5C2" w14:textId="77777777" w:rsidR="00CE45FF" w:rsidRDefault="00CE45FF" w:rsidP="002B224C">
      <w:pPr>
        <w:spacing w:after="200" w:line="360" w:lineRule="auto"/>
        <w:ind w:left="426" w:right="272"/>
        <w:jc w:val="center"/>
        <w:rPr>
          <w:rFonts w:ascii="Arial" w:hAnsi="Arial" w:cs="Arial"/>
          <w:sz w:val="24"/>
          <w:szCs w:val="24"/>
        </w:rPr>
      </w:pPr>
    </w:p>
    <w:p w14:paraId="0255CE74" w14:textId="77777777" w:rsidR="00CE45FF" w:rsidRDefault="00CE45FF" w:rsidP="00CE0CAB">
      <w:pPr>
        <w:pStyle w:val="Heading1"/>
        <w:rPr>
          <w:sz w:val="24"/>
          <w:szCs w:val="24"/>
        </w:rPr>
      </w:pPr>
      <w:bookmarkStart w:id="0" w:name="_Toc210926852"/>
    </w:p>
    <w:p w14:paraId="6D9DCA08" w14:textId="75BA2CCE" w:rsidR="002B224C" w:rsidRPr="00CE0CAB" w:rsidRDefault="002B224C" w:rsidP="00CE0CAB">
      <w:pPr>
        <w:pStyle w:val="Heading1"/>
        <w:rPr>
          <w:rFonts w:cs="Arial"/>
          <w:sz w:val="24"/>
          <w:szCs w:val="24"/>
        </w:rPr>
      </w:pPr>
      <w:r w:rsidRPr="00CE0CAB">
        <w:rPr>
          <w:sz w:val="24"/>
          <w:szCs w:val="24"/>
        </w:rPr>
        <w:t>Introduction</w:t>
      </w:r>
      <w:bookmarkEnd w:id="0"/>
    </w:p>
    <w:p w14:paraId="595C970F" w14:textId="77777777" w:rsidR="002B224C" w:rsidRPr="00CE1FCA" w:rsidRDefault="002B224C" w:rsidP="002B224C">
      <w:pPr>
        <w:spacing w:line="360" w:lineRule="auto"/>
        <w:jc w:val="both"/>
        <w:rPr>
          <w:rFonts w:ascii="Arial" w:hAnsi="Arial" w:cs="Arial"/>
          <w:sz w:val="24"/>
          <w:szCs w:val="24"/>
        </w:rPr>
      </w:pPr>
      <w:r>
        <w:rPr>
          <w:rFonts w:ascii="Arial" w:hAnsi="Arial" w:cs="Arial"/>
          <w:sz w:val="24"/>
          <w:szCs w:val="24"/>
        </w:rPr>
        <w:t xml:space="preserve">The present report aims to evaluate impacts of technological advancements on reshaping labour markets as well as on HRM and IHRM strategies. The report also describes the demographic as well as geopolitical factors influencing labour markets. The present report also addresses the skill gap and talent shortage in key sectors (healthcare sector, technological sector and hospitality sector). Lastly, the report has outlined the reflective report on self-ability and self-competence to enter in the labour market. </w:t>
      </w:r>
    </w:p>
    <w:p w14:paraId="501BED18" w14:textId="77777777" w:rsidR="002B224C" w:rsidRPr="00CE1FCA" w:rsidRDefault="002B224C" w:rsidP="002B224C">
      <w:pPr>
        <w:pStyle w:val="Heading1"/>
        <w:rPr>
          <w:rFonts w:cs="Arial"/>
          <w:sz w:val="24"/>
          <w:szCs w:val="24"/>
        </w:rPr>
      </w:pPr>
      <w:bookmarkStart w:id="1" w:name="_Toc210926853"/>
      <w:r w:rsidRPr="00CE1FCA">
        <w:rPr>
          <w:rFonts w:cs="Arial"/>
          <w:sz w:val="24"/>
          <w:szCs w:val="24"/>
        </w:rPr>
        <w:t>1. Reshaping Labour Markets by Technological Advancements (AI, Automation, Digital Platforms) and their Implications on HRM and IHRM Strategies</w:t>
      </w:r>
      <w:bookmarkEnd w:id="1"/>
      <w:r w:rsidRPr="00CE1FCA">
        <w:rPr>
          <w:rFonts w:cs="Arial"/>
          <w:sz w:val="24"/>
          <w:szCs w:val="24"/>
        </w:rPr>
        <w:t xml:space="preserve"> </w:t>
      </w:r>
    </w:p>
    <w:p w14:paraId="5A6398F8" w14:textId="77777777" w:rsidR="002B224C" w:rsidRPr="00CE1FCA" w:rsidRDefault="002B224C" w:rsidP="002B224C">
      <w:pPr>
        <w:spacing w:line="360" w:lineRule="auto"/>
        <w:jc w:val="both"/>
        <w:rPr>
          <w:rFonts w:ascii="Arial" w:hAnsi="Arial" w:cs="Arial"/>
          <w:b/>
          <w:sz w:val="24"/>
          <w:szCs w:val="24"/>
        </w:rPr>
      </w:pPr>
      <w:r w:rsidRPr="00CE1FCA">
        <w:rPr>
          <w:rFonts w:ascii="Arial" w:hAnsi="Arial" w:cs="Arial"/>
          <w:b/>
          <w:sz w:val="24"/>
          <w:szCs w:val="24"/>
        </w:rPr>
        <w:t xml:space="preserve">Impacts of Digital Platforms </w:t>
      </w:r>
    </w:p>
    <w:p w14:paraId="39F04779" w14:textId="77777777" w:rsidR="002B224C" w:rsidRPr="00CE1FCA" w:rsidRDefault="002B224C" w:rsidP="002B224C">
      <w:pPr>
        <w:pStyle w:val="NormalWeb"/>
        <w:spacing w:line="360" w:lineRule="auto"/>
        <w:jc w:val="both"/>
        <w:rPr>
          <w:rFonts w:ascii="Arial" w:hAnsi="Arial" w:cs="Arial"/>
        </w:rPr>
      </w:pPr>
      <w:r w:rsidRPr="00CE1FCA">
        <w:rPr>
          <w:rFonts w:ascii="Arial" w:hAnsi="Arial" w:cs="Arial"/>
        </w:rPr>
        <w:t xml:space="preserve">The advanced technologies, including AI, automation processes, and various digital platforms, have reshaped the structure as well as dynamics of global labour markets. Referring to Figure 1, it is seen that labour workers include core workers as well as peripheral workers. Core workers are employed based on a standard contract. On the contrary, peripheral workers are employed on the basis of a short-term contract (Week 2 HRM Lecture Note). Following the traditional method, the companies relied heavily on the core labourers, including permanent and full-time employees (Cárdenas Villanueva, 2021). They were the backbone of the organizations before the technological advancement paradigm. The technology-driven flexibility, including the availability of various free digital platforms for communication, has changed the entire scenario of labour markets. Secondary and peripheral labour markets are being expanded, which include part-timers, freelancers, self-employed professionals, and agency workers. </w:t>
      </w:r>
    </w:p>
    <w:p w14:paraId="51F2BD94" w14:textId="77777777" w:rsidR="002B224C" w:rsidRPr="00CE1FCA" w:rsidRDefault="002B224C" w:rsidP="002B224C">
      <w:pPr>
        <w:pStyle w:val="NormalWeb"/>
        <w:spacing w:line="360" w:lineRule="auto"/>
        <w:jc w:val="center"/>
        <w:rPr>
          <w:rFonts w:ascii="Arial" w:hAnsi="Arial" w:cs="Arial"/>
        </w:rPr>
      </w:pPr>
      <w:r w:rsidRPr="00CE1FCA">
        <w:rPr>
          <w:rFonts w:ascii="Arial" w:hAnsi="Arial" w:cs="Arial"/>
          <w:noProof/>
        </w:rPr>
        <w:lastRenderedPageBreak/>
        <w:drawing>
          <wp:anchor distT="0" distB="0" distL="114300" distR="114300" simplePos="0" relativeHeight="251658240" behindDoc="0" locked="0" layoutInCell="1" allowOverlap="1" wp14:anchorId="7A9E2702" wp14:editId="22EF5846">
            <wp:simplePos x="0" y="0"/>
            <wp:positionH relativeFrom="column">
              <wp:posOffset>806450</wp:posOffset>
            </wp:positionH>
            <wp:positionV relativeFrom="paragraph">
              <wp:posOffset>0</wp:posOffset>
            </wp:positionV>
            <wp:extent cx="4229690" cy="2591162"/>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229690" cy="2591162"/>
                    </a:xfrm>
                    <a:prstGeom prst="rect">
                      <a:avLst/>
                    </a:prstGeom>
                  </pic:spPr>
                </pic:pic>
              </a:graphicData>
            </a:graphic>
            <wp14:sizeRelH relativeFrom="page">
              <wp14:pctWidth>0</wp14:pctWidth>
            </wp14:sizeRelH>
            <wp14:sizeRelV relativeFrom="page">
              <wp14:pctHeight>0</wp14:pctHeight>
            </wp14:sizeRelV>
          </wp:anchor>
        </w:drawing>
      </w:r>
    </w:p>
    <w:p w14:paraId="2F550A4C" w14:textId="77777777" w:rsidR="00CE45FF" w:rsidRDefault="00CE45FF" w:rsidP="002B224C">
      <w:pPr>
        <w:pStyle w:val="NormalWeb"/>
        <w:spacing w:line="360" w:lineRule="auto"/>
        <w:jc w:val="center"/>
        <w:rPr>
          <w:rFonts w:ascii="Arial" w:hAnsi="Arial" w:cs="Arial"/>
          <w:b/>
        </w:rPr>
      </w:pPr>
    </w:p>
    <w:p w14:paraId="722CE6F3" w14:textId="77777777" w:rsidR="00CE45FF" w:rsidRDefault="00CE45FF" w:rsidP="002B224C">
      <w:pPr>
        <w:pStyle w:val="NormalWeb"/>
        <w:spacing w:line="360" w:lineRule="auto"/>
        <w:jc w:val="center"/>
        <w:rPr>
          <w:rFonts w:ascii="Arial" w:hAnsi="Arial" w:cs="Arial"/>
          <w:b/>
        </w:rPr>
      </w:pPr>
    </w:p>
    <w:p w14:paraId="3505EDA4" w14:textId="77777777" w:rsidR="00CE45FF" w:rsidRDefault="00CE45FF" w:rsidP="002B224C">
      <w:pPr>
        <w:pStyle w:val="NormalWeb"/>
        <w:spacing w:line="360" w:lineRule="auto"/>
        <w:jc w:val="center"/>
        <w:rPr>
          <w:rFonts w:ascii="Arial" w:hAnsi="Arial" w:cs="Arial"/>
          <w:b/>
        </w:rPr>
      </w:pPr>
    </w:p>
    <w:p w14:paraId="594A36A3" w14:textId="77777777" w:rsidR="00CE45FF" w:rsidRDefault="00CE45FF" w:rsidP="002B224C">
      <w:pPr>
        <w:pStyle w:val="NormalWeb"/>
        <w:spacing w:line="360" w:lineRule="auto"/>
        <w:jc w:val="center"/>
        <w:rPr>
          <w:rFonts w:ascii="Arial" w:hAnsi="Arial" w:cs="Arial"/>
          <w:b/>
        </w:rPr>
      </w:pPr>
    </w:p>
    <w:p w14:paraId="33484D97" w14:textId="77777777" w:rsidR="00CE45FF" w:rsidRDefault="00CE45FF" w:rsidP="002B224C">
      <w:pPr>
        <w:pStyle w:val="NormalWeb"/>
        <w:spacing w:line="360" w:lineRule="auto"/>
        <w:jc w:val="center"/>
        <w:rPr>
          <w:rFonts w:ascii="Arial" w:hAnsi="Arial" w:cs="Arial"/>
          <w:b/>
        </w:rPr>
      </w:pPr>
    </w:p>
    <w:p w14:paraId="50B07D43" w14:textId="77777777" w:rsidR="00CE45FF" w:rsidRDefault="00CE45FF" w:rsidP="002B224C">
      <w:pPr>
        <w:pStyle w:val="NormalWeb"/>
        <w:spacing w:line="360" w:lineRule="auto"/>
        <w:jc w:val="center"/>
        <w:rPr>
          <w:rFonts w:ascii="Arial" w:hAnsi="Arial" w:cs="Arial"/>
          <w:b/>
        </w:rPr>
      </w:pPr>
    </w:p>
    <w:p w14:paraId="685FC1B0" w14:textId="77D565D4" w:rsidR="002B224C" w:rsidRPr="00CE1FCA" w:rsidRDefault="002B224C" w:rsidP="002B224C">
      <w:pPr>
        <w:pStyle w:val="NormalWeb"/>
        <w:spacing w:line="360" w:lineRule="auto"/>
        <w:jc w:val="center"/>
        <w:rPr>
          <w:rFonts w:ascii="Arial" w:hAnsi="Arial" w:cs="Arial"/>
          <w:b/>
        </w:rPr>
      </w:pPr>
      <w:r w:rsidRPr="00CE1FCA">
        <w:rPr>
          <w:rFonts w:ascii="Arial" w:hAnsi="Arial" w:cs="Arial"/>
          <w:b/>
        </w:rPr>
        <w:t>Figure 1: Core Primary Labour Markets and Secondary Labour Markets</w:t>
      </w:r>
    </w:p>
    <w:p w14:paraId="3C965E7F" w14:textId="77777777" w:rsidR="002B224C" w:rsidRPr="00CE1FCA" w:rsidRDefault="002B224C" w:rsidP="002B224C">
      <w:pPr>
        <w:pStyle w:val="NormalWeb"/>
        <w:spacing w:line="360" w:lineRule="auto"/>
        <w:jc w:val="center"/>
        <w:rPr>
          <w:rFonts w:ascii="Arial" w:hAnsi="Arial" w:cs="Arial"/>
        </w:rPr>
      </w:pPr>
      <w:r w:rsidRPr="00CE1FCA">
        <w:rPr>
          <w:rFonts w:ascii="Arial" w:hAnsi="Arial" w:cs="Arial"/>
        </w:rPr>
        <w:t>(Source: Week 2 Lecture Note, adopted from Leopold, 2002)</w:t>
      </w:r>
    </w:p>
    <w:p w14:paraId="6FB3F4A4" w14:textId="77777777" w:rsidR="002B224C" w:rsidRPr="00CE1FCA" w:rsidRDefault="002B224C" w:rsidP="002B224C">
      <w:pPr>
        <w:pStyle w:val="NormalWeb"/>
        <w:spacing w:line="360" w:lineRule="auto"/>
        <w:jc w:val="both"/>
        <w:rPr>
          <w:rFonts w:ascii="Arial" w:hAnsi="Arial" w:cs="Arial"/>
        </w:rPr>
      </w:pPr>
      <w:r w:rsidRPr="00CE1FCA">
        <w:rPr>
          <w:rFonts w:ascii="Arial" w:hAnsi="Arial" w:cs="Arial"/>
        </w:rPr>
        <w:t xml:space="preserve">Introduction of digital platforms, including Upwork, Fiverr, and LinkedIn, has enhanced the gig economy and flexible and on-demand workforce. According to Deloitte 2023 report, 72% businesses are replying on gig workers (Celestin, 2024). The line between employment and self-employment has been blurred by proposing "secondary" or "peripheral zones" in the labour market. HRM ("Human Resource Management") and IHRM ("International Human Resource Management") both are looking at hybrid-structured employment models after this technology-driven transformation. Digital platforms made inclusion and diversity easy in the labour market. </w:t>
      </w:r>
    </w:p>
    <w:p w14:paraId="65BD34DB" w14:textId="77777777" w:rsidR="002B224C" w:rsidRPr="00CE1FCA" w:rsidRDefault="002B224C" w:rsidP="002B224C">
      <w:pPr>
        <w:pStyle w:val="NormalWeb"/>
        <w:spacing w:line="360" w:lineRule="auto"/>
        <w:jc w:val="both"/>
        <w:rPr>
          <w:rFonts w:ascii="Arial" w:hAnsi="Arial" w:cs="Arial"/>
          <w:b/>
        </w:rPr>
      </w:pPr>
      <w:r w:rsidRPr="00CE1FCA">
        <w:rPr>
          <w:rFonts w:ascii="Arial" w:hAnsi="Arial" w:cs="Arial"/>
          <w:b/>
        </w:rPr>
        <w:t xml:space="preserve">Impacts of AI and Automation Process </w:t>
      </w:r>
    </w:p>
    <w:p w14:paraId="7A6F27A4" w14:textId="77777777" w:rsidR="00CE45FF" w:rsidRDefault="002B224C" w:rsidP="002B224C">
      <w:pPr>
        <w:pStyle w:val="NormalWeb"/>
        <w:spacing w:line="360" w:lineRule="auto"/>
        <w:jc w:val="both"/>
        <w:rPr>
          <w:rFonts w:ascii="Arial" w:hAnsi="Arial" w:cs="Arial"/>
        </w:rPr>
      </w:pPr>
      <w:r w:rsidRPr="00CE1FCA">
        <w:rPr>
          <w:rFonts w:ascii="Arial" w:hAnsi="Arial" w:cs="Arial"/>
        </w:rPr>
        <w:t xml:space="preserve">Introduction of AI and automation processes in the labour market is reshaping the nature of tasks in administrative, customer service, and manufacturing departments. The advanced technology has replaced the traditional method of repetitive and routine tasks with an agile workforce strategy. The hybrid-structured workforce design is reinforced. Employment patterns have shifted from core to peripheral due to the availability of digital platforms (Rodon </w:t>
      </w:r>
      <w:proofErr w:type="spellStart"/>
      <w:r w:rsidRPr="00CE1FCA">
        <w:rPr>
          <w:rFonts w:ascii="Arial" w:hAnsi="Arial" w:cs="Arial"/>
        </w:rPr>
        <w:t>Modol</w:t>
      </w:r>
      <w:proofErr w:type="spellEnd"/>
      <w:r w:rsidRPr="00CE1FCA">
        <w:rPr>
          <w:rFonts w:ascii="Arial" w:hAnsi="Arial" w:cs="Arial"/>
        </w:rPr>
        <w:t xml:space="preserve"> and Eaton, 2021). Hence, companies are adapting with data analytics, different software development, and cybersecurity to manage peripheral employees (freelancers, subcontractors) over the digital platform. </w:t>
      </w:r>
    </w:p>
    <w:p w14:paraId="2311DF2C" w14:textId="414E7870" w:rsidR="002B224C" w:rsidRPr="00CE45FF" w:rsidRDefault="002B224C" w:rsidP="002B224C">
      <w:pPr>
        <w:pStyle w:val="NormalWeb"/>
        <w:spacing w:line="360" w:lineRule="auto"/>
        <w:jc w:val="both"/>
        <w:rPr>
          <w:rFonts w:ascii="Arial" w:hAnsi="Arial" w:cs="Arial"/>
        </w:rPr>
      </w:pPr>
      <w:r w:rsidRPr="00CE1FCA">
        <w:rPr>
          <w:rFonts w:ascii="Arial" w:hAnsi="Arial" w:cs="Arial"/>
          <w:b/>
        </w:rPr>
        <w:lastRenderedPageBreak/>
        <w:t xml:space="preserve">Impacts on HRM and IHRM </w:t>
      </w:r>
    </w:p>
    <w:p w14:paraId="7FAB5A98" w14:textId="77777777" w:rsidR="002B224C" w:rsidRPr="00CE1FCA" w:rsidRDefault="002B224C" w:rsidP="002B224C">
      <w:pPr>
        <w:pStyle w:val="NormalWeb"/>
        <w:spacing w:line="360" w:lineRule="auto"/>
        <w:jc w:val="both"/>
        <w:rPr>
          <w:rFonts w:ascii="Arial" w:hAnsi="Arial" w:cs="Arial"/>
        </w:rPr>
      </w:pPr>
      <w:r w:rsidRPr="00CE1FCA">
        <w:rPr>
          <w:rFonts w:ascii="Arial" w:hAnsi="Arial" w:cs="Arial"/>
        </w:rPr>
        <w:t>Technological advancements increase talent mobility across the globe. Remote work and the presence of digital communication tools help companies to recruit international employees without having physical offices. IHRM needs to align global e-recruitment, managing a cross-cultural team with diverse labour laws (Kolhe and Bhat, 2024).  HRM strategies are also aligned to recruit employees from diverse cultures and successfully adopt an inclusive and hybrid-structure workforce due to technological advancement. However, several issues, including job security, inequality, and ethical practice of employees, have been addressed by HRM and IHRM both, after including peripheral labour markets (</w:t>
      </w:r>
      <w:proofErr w:type="spellStart"/>
      <w:r w:rsidRPr="00CE1FCA">
        <w:rPr>
          <w:rFonts w:ascii="Arial" w:hAnsi="Arial" w:cs="Arial"/>
        </w:rPr>
        <w:t>Ererdi</w:t>
      </w:r>
      <w:proofErr w:type="spellEnd"/>
      <w:r w:rsidRPr="00CE1FCA">
        <w:rPr>
          <w:rFonts w:ascii="Arial" w:hAnsi="Arial" w:cs="Arial"/>
        </w:rPr>
        <w:t xml:space="preserve"> et al., 2022). Thus, HRM and IHRM strategies need to focus on the legal aspect while creating their policies. </w:t>
      </w:r>
    </w:p>
    <w:p w14:paraId="6BBF8196" w14:textId="77777777" w:rsidR="002B224C" w:rsidRPr="00CE1FCA" w:rsidRDefault="002B224C" w:rsidP="002B224C">
      <w:pPr>
        <w:pStyle w:val="Heading1"/>
        <w:rPr>
          <w:rFonts w:cs="Arial"/>
          <w:sz w:val="24"/>
          <w:szCs w:val="24"/>
        </w:rPr>
      </w:pPr>
      <w:bookmarkStart w:id="2" w:name="_Toc210926854"/>
      <w:r w:rsidRPr="00CE1FCA">
        <w:rPr>
          <w:rFonts w:cs="Arial"/>
          <w:sz w:val="24"/>
          <w:szCs w:val="24"/>
        </w:rPr>
        <w:t>2. Key Demographic and Geo</w:t>
      </w:r>
      <w:r>
        <w:rPr>
          <w:rFonts w:cs="Arial"/>
          <w:sz w:val="24"/>
          <w:szCs w:val="24"/>
        </w:rPr>
        <w:t>politi</w:t>
      </w:r>
      <w:r w:rsidRPr="00CE1FCA">
        <w:rPr>
          <w:rFonts w:cs="Arial"/>
          <w:sz w:val="24"/>
          <w:szCs w:val="24"/>
        </w:rPr>
        <w:t xml:space="preserve">cal Factors Influencing Employment Markets and Challenges towards HR Professionals </w:t>
      </w:r>
      <w:bookmarkEnd w:id="2"/>
    </w:p>
    <w:p w14:paraId="2CDB47D0" w14:textId="77777777" w:rsidR="002B224C" w:rsidRPr="00CE1FCA" w:rsidRDefault="002B224C" w:rsidP="002B224C">
      <w:pPr>
        <w:pStyle w:val="NormalWeb"/>
        <w:spacing w:line="360" w:lineRule="auto"/>
        <w:jc w:val="both"/>
        <w:rPr>
          <w:rFonts w:ascii="Arial" w:hAnsi="Arial" w:cs="Arial"/>
        </w:rPr>
      </w:pPr>
      <w:r w:rsidRPr="00CE1FCA">
        <w:rPr>
          <w:rFonts w:ascii="Arial" w:hAnsi="Arial" w:cs="Arial"/>
        </w:rPr>
        <w:t>Various demographic and geo</w:t>
      </w:r>
      <w:r>
        <w:rPr>
          <w:rFonts w:ascii="Arial" w:hAnsi="Arial" w:cs="Arial"/>
        </w:rPr>
        <w:t>political</w:t>
      </w:r>
      <w:r w:rsidRPr="00CE1FCA">
        <w:rPr>
          <w:rFonts w:ascii="Arial" w:hAnsi="Arial" w:cs="Arial"/>
        </w:rPr>
        <w:t xml:space="preserve"> factors play a crucial role in structuring employee markets and influencing HR practices in the international business environment. According to the Week 6 lecture note, HR managers need to adapt to challenges regarding cross-border employee management, as workplace diversity increases. </w:t>
      </w:r>
    </w:p>
    <w:p w14:paraId="735EB4D3" w14:textId="77777777" w:rsidR="002B224C" w:rsidRPr="00CE1FCA" w:rsidRDefault="002B224C" w:rsidP="002B224C">
      <w:pPr>
        <w:pStyle w:val="NormalWeb"/>
        <w:spacing w:line="360" w:lineRule="auto"/>
        <w:jc w:val="both"/>
        <w:rPr>
          <w:rFonts w:ascii="Arial" w:hAnsi="Arial" w:cs="Arial"/>
          <w:b/>
        </w:rPr>
      </w:pPr>
      <w:r w:rsidRPr="00CE1FCA">
        <w:rPr>
          <w:rFonts w:ascii="Arial" w:hAnsi="Arial" w:cs="Arial"/>
          <w:b/>
        </w:rPr>
        <w:t xml:space="preserve">Demographic Factors </w:t>
      </w:r>
    </w:p>
    <w:p w14:paraId="134C00AF" w14:textId="77777777" w:rsidR="002B224C" w:rsidRDefault="002B224C" w:rsidP="002B224C">
      <w:pPr>
        <w:pStyle w:val="NormalWeb"/>
        <w:spacing w:line="360" w:lineRule="auto"/>
        <w:jc w:val="both"/>
        <w:rPr>
          <w:rFonts w:ascii="Arial" w:hAnsi="Arial" w:cs="Arial"/>
        </w:rPr>
      </w:pPr>
      <w:r w:rsidRPr="00CE1FCA">
        <w:rPr>
          <w:rFonts w:ascii="Arial" w:hAnsi="Arial" w:cs="Arial"/>
        </w:rPr>
        <w:t xml:space="preserve">The significant demographic factor is the ageing population, which highly affects labour markets. As the life expectancy is increasing and the birth rate is decreasing, the number of older workers is more than the number of young talents (Case and Deaton, 2021). This ageing trend causes skill shortages. It also compels the HR managers to retain experienced employees through designing flexible work arrangements and retirement policies. In addition, HR professionals also need to integrate workforce management, as the organizations need to balance technological proficiency and the values of Generation X, Millennials, and Generation Z employees. </w:t>
      </w:r>
    </w:p>
    <w:p w14:paraId="65C30121" w14:textId="77777777" w:rsidR="002B224C" w:rsidRDefault="002B224C" w:rsidP="002B224C">
      <w:pPr>
        <w:pStyle w:val="NormalWeb"/>
        <w:spacing w:line="360" w:lineRule="auto"/>
        <w:jc w:val="center"/>
        <w:rPr>
          <w:rFonts w:ascii="Arial" w:hAnsi="Arial" w:cs="Arial"/>
        </w:rPr>
      </w:pPr>
      <w:r w:rsidRPr="00835072">
        <w:rPr>
          <w:rFonts w:ascii="Arial" w:hAnsi="Arial" w:cs="Arial"/>
          <w:noProof/>
        </w:rPr>
        <w:lastRenderedPageBreak/>
        <w:drawing>
          <wp:inline distT="0" distB="0" distL="0" distR="0" wp14:anchorId="0BF3E3D0" wp14:editId="26775837">
            <wp:extent cx="5067300" cy="2741301"/>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80025" cy="2748185"/>
                    </a:xfrm>
                    <a:prstGeom prst="rect">
                      <a:avLst/>
                    </a:prstGeom>
                  </pic:spPr>
                </pic:pic>
              </a:graphicData>
            </a:graphic>
          </wp:inline>
        </w:drawing>
      </w:r>
    </w:p>
    <w:p w14:paraId="050F3ABD" w14:textId="77777777" w:rsidR="002B224C" w:rsidRDefault="002B224C" w:rsidP="002B224C">
      <w:pPr>
        <w:pStyle w:val="NormalWeb"/>
        <w:spacing w:line="360" w:lineRule="auto"/>
        <w:jc w:val="center"/>
        <w:rPr>
          <w:rFonts w:ascii="Arial" w:hAnsi="Arial" w:cs="Arial"/>
          <w:b/>
        </w:rPr>
      </w:pPr>
      <w:r>
        <w:rPr>
          <w:rFonts w:ascii="Arial" w:hAnsi="Arial" w:cs="Arial"/>
          <w:b/>
        </w:rPr>
        <w:t>Figure 2: % workforce over age of 50</w:t>
      </w:r>
    </w:p>
    <w:p w14:paraId="344D1FC8" w14:textId="77777777" w:rsidR="002B224C" w:rsidRPr="00385CA0" w:rsidRDefault="002B224C" w:rsidP="002B224C">
      <w:pPr>
        <w:pStyle w:val="NormalWeb"/>
        <w:spacing w:line="360" w:lineRule="auto"/>
        <w:jc w:val="center"/>
        <w:rPr>
          <w:rFonts w:ascii="Arial" w:hAnsi="Arial" w:cs="Arial"/>
        </w:rPr>
      </w:pPr>
      <w:r>
        <w:rPr>
          <w:rFonts w:ascii="Arial" w:hAnsi="Arial" w:cs="Arial"/>
        </w:rPr>
        <w:t>(Source: Gray, 2024)</w:t>
      </w:r>
    </w:p>
    <w:p w14:paraId="0DC8FB33" w14:textId="77777777" w:rsidR="002B224C" w:rsidRPr="00CE1FCA" w:rsidRDefault="002B224C" w:rsidP="002B224C">
      <w:pPr>
        <w:pStyle w:val="NormalWeb"/>
        <w:spacing w:line="360" w:lineRule="auto"/>
        <w:jc w:val="both"/>
        <w:rPr>
          <w:rFonts w:ascii="Arial" w:hAnsi="Arial" w:cs="Arial"/>
        </w:rPr>
      </w:pPr>
      <w:r w:rsidRPr="00CE1FCA">
        <w:rPr>
          <w:rFonts w:ascii="Arial" w:hAnsi="Arial" w:cs="Arial"/>
        </w:rPr>
        <w:t xml:space="preserve">Another demographic factor includes workforce mobility and migration, which also structures the labour markets. It is seen that talent is increasingly mobile due to globalization and improved digital communication (Miao, 2021). The week's lecture note draws on "Demographic and Working Abroad," which highlights the importance of intercultural training, preparation, and expatriate support. Organizations often avoid structured pre-departure programs to reduce to last-minute briefings. </w:t>
      </w:r>
    </w:p>
    <w:p w14:paraId="72598833" w14:textId="77777777" w:rsidR="002B224C" w:rsidRPr="00CE1FCA" w:rsidRDefault="002B224C" w:rsidP="002B224C">
      <w:pPr>
        <w:pStyle w:val="NormalWeb"/>
        <w:spacing w:line="360" w:lineRule="auto"/>
        <w:jc w:val="both"/>
        <w:rPr>
          <w:rFonts w:ascii="Arial" w:hAnsi="Arial" w:cs="Arial"/>
        </w:rPr>
      </w:pPr>
      <w:r w:rsidRPr="00CE1FCA">
        <w:rPr>
          <w:rFonts w:ascii="Arial" w:hAnsi="Arial" w:cs="Arial"/>
        </w:rPr>
        <w:t xml:space="preserve">Another demographic factor in the recent labour market is the increased number of female employees, which has reshaped the workplace as more diverse and inclusive in nature (Miao, 2021). It became quite difficult for the organizations to fit gender equality, work-life balance, and inclusivity under one single frame. It causes changes in policies, including flexible work mode, parental leave, and development in leadership. </w:t>
      </w:r>
    </w:p>
    <w:p w14:paraId="6FCB00F7" w14:textId="77777777" w:rsidR="002B224C" w:rsidRPr="00CE1FCA" w:rsidRDefault="002B224C" w:rsidP="002B224C">
      <w:pPr>
        <w:pStyle w:val="NormalWeb"/>
        <w:spacing w:line="360" w:lineRule="auto"/>
        <w:jc w:val="both"/>
        <w:rPr>
          <w:rFonts w:ascii="Arial" w:hAnsi="Arial" w:cs="Arial"/>
          <w:b/>
        </w:rPr>
      </w:pPr>
      <w:r w:rsidRPr="00CE1FCA">
        <w:rPr>
          <w:rFonts w:ascii="Arial" w:hAnsi="Arial" w:cs="Arial"/>
          <w:b/>
        </w:rPr>
        <w:t>Geo</w:t>
      </w:r>
      <w:r>
        <w:rPr>
          <w:rFonts w:ascii="Arial" w:hAnsi="Arial" w:cs="Arial"/>
          <w:b/>
        </w:rPr>
        <w:t>political</w:t>
      </w:r>
      <w:r w:rsidRPr="00CE1FCA">
        <w:rPr>
          <w:rFonts w:ascii="Arial" w:hAnsi="Arial" w:cs="Arial"/>
          <w:b/>
        </w:rPr>
        <w:t xml:space="preserve"> Factors </w:t>
      </w:r>
    </w:p>
    <w:p w14:paraId="59F0E80F" w14:textId="77777777" w:rsidR="002B224C" w:rsidRPr="00CE45FF" w:rsidRDefault="002B224C" w:rsidP="002B224C">
      <w:pPr>
        <w:pStyle w:val="NormalWeb"/>
        <w:spacing w:line="360" w:lineRule="auto"/>
        <w:jc w:val="both"/>
        <w:rPr>
          <w:rFonts w:ascii="Arial" w:hAnsi="Arial" w:cs="Arial"/>
          <w:lang w:val="en-GB"/>
        </w:rPr>
      </w:pPr>
      <w:r w:rsidRPr="00CE45FF">
        <w:rPr>
          <w:rFonts w:ascii="Arial" w:hAnsi="Arial" w:cs="Arial"/>
          <w:lang w:val="en-GB"/>
        </w:rPr>
        <w:t>Evidence suggest that companies are adapting global operations more due to geopolitical instability. For example, Bain &amp; Company survey in 2024 has found that “</w:t>
      </w:r>
      <w:r w:rsidRPr="00CE45FF">
        <w:rPr>
          <w:rFonts w:ascii="Arial" w:hAnsi="Arial" w:cs="Arial"/>
          <w:bCs/>
          <w:lang w:val="en-GB"/>
        </w:rPr>
        <w:t>81%</w:t>
      </w:r>
      <w:r w:rsidRPr="00CE45FF">
        <w:rPr>
          <w:rFonts w:ascii="Arial" w:hAnsi="Arial" w:cs="Arial"/>
          <w:lang w:val="en-GB"/>
        </w:rPr>
        <w:t xml:space="preserve"> of CEOs/COOs now plan to bring supply chains closer to home (reshoring or near-shoring), up from </w:t>
      </w:r>
      <w:r w:rsidRPr="00CE45FF">
        <w:rPr>
          <w:rFonts w:ascii="Arial" w:hAnsi="Arial" w:cs="Arial"/>
          <w:bCs/>
          <w:lang w:val="en-GB"/>
        </w:rPr>
        <w:t>63%</w:t>
      </w:r>
      <w:r w:rsidRPr="00CE45FF">
        <w:rPr>
          <w:rFonts w:ascii="Arial" w:hAnsi="Arial" w:cs="Arial"/>
          <w:lang w:val="en-GB"/>
        </w:rPr>
        <w:t xml:space="preserve"> in 2022, and some 64% are implementing split-shoring or near-</w:t>
      </w:r>
      <w:r w:rsidRPr="00CE45FF">
        <w:rPr>
          <w:rFonts w:ascii="Arial" w:hAnsi="Arial" w:cs="Arial"/>
          <w:lang w:val="en-GB"/>
        </w:rPr>
        <w:lastRenderedPageBreak/>
        <w:t>shoring moves” (Bain, 2024). At the time of reducing exposure to geopolitical risk, OECD-</w:t>
      </w:r>
      <w:proofErr w:type="spellStart"/>
      <w:r w:rsidRPr="00CE45FF">
        <w:rPr>
          <w:rFonts w:ascii="Arial" w:hAnsi="Arial" w:cs="Arial"/>
          <w:lang w:val="en-GB"/>
        </w:rPr>
        <w:t>modeling</w:t>
      </w:r>
      <w:proofErr w:type="spellEnd"/>
      <w:r w:rsidRPr="00CE45FF">
        <w:rPr>
          <w:rFonts w:ascii="Arial" w:hAnsi="Arial" w:cs="Arial"/>
          <w:lang w:val="en-GB"/>
        </w:rPr>
        <w:t xml:space="preserve"> warns that aggressive reshoring could shrink global trade by ~18% and reduce GDP in affected countries by up to ~12% (Foster, 202). SAP’s withdrawal from Russia under sanctions provides a case study of how global HR must manage workforce relocation, safety, severance and cross-border cultural transitions under crisis in corporate practice (Schulte, 2025). </w:t>
      </w:r>
    </w:p>
    <w:p w14:paraId="0A0369AF" w14:textId="77777777" w:rsidR="002B224C" w:rsidRPr="00CE45FF" w:rsidRDefault="002B224C" w:rsidP="002B224C">
      <w:pPr>
        <w:pStyle w:val="NormalWeb"/>
        <w:spacing w:line="360" w:lineRule="auto"/>
        <w:jc w:val="center"/>
        <w:rPr>
          <w:rFonts w:ascii="Arial" w:hAnsi="Arial" w:cs="Arial"/>
          <w:lang w:val="en-GB"/>
        </w:rPr>
      </w:pPr>
      <w:r w:rsidRPr="00CE45FF">
        <w:rPr>
          <w:rFonts w:ascii="Arial" w:hAnsi="Arial" w:cs="Arial"/>
          <w:noProof/>
          <w:lang w:val="en-GB"/>
        </w:rPr>
        <w:drawing>
          <wp:inline distT="0" distB="0" distL="0" distR="0" wp14:anchorId="4B7FEB8E" wp14:editId="057C7B8F">
            <wp:extent cx="4572000" cy="30384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5456" b="11688"/>
                    <a:stretch/>
                  </pic:blipFill>
                  <pic:spPr bwMode="auto">
                    <a:xfrm>
                      <a:off x="0" y="0"/>
                      <a:ext cx="4572000" cy="3038475"/>
                    </a:xfrm>
                    <a:prstGeom prst="rect">
                      <a:avLst/>
                    </a:prstGeom>
                    <a:noFill/>
                    <a:ln>
                      <a:noFill/>
                    </a:ln>
                    <a:extLst>
                      <a:ext uri="{53640926-AAD7-44D8-BBD7-CCE9431645EC}">
                        <a14:shadowObscured xmlns:a14="http://schemas.microsoft.com/office/drawing/2010/main"/>
                      </a:ext>
                    </a:extLst>
                  </pic:spPr>
                </pic:pic>
              </a:graphicData>
            </a:graphic>
          </wp:inline>
        </w:drawing>
      </w:r>
    </w:p>
    <w:p w14:paraId="3FFA1712" w14:textId="77777777" w:rsidR="002B224C" w:rsidRPr="00CE45FF" w:rsidRDefault="002B224C" w:rsidP="002B224C">
      <w:pPr>
        <w:pStyle w:val="NormalWeb"/>
        <w:spacing w:line="360" w:lineRule="auto"/>
        <w:jc w:val="center"/>
        <w:rPr>
          <w:rFonts w:ascii="Arial" w:hAnsi="Arial" w:cs="Arial"/>
          <w:b/>
          <w:lang w:val="en-GB"/>
        </w:rPr>
      </w:pPr>
      <w:r w:rsidRPr="00CE45FF">
        <w:rPr>
          <w:rFonts w:ascii="Arial" w:hAnsi="Arial" w:cs="Arial"/>
          <w:b/>
          <w:lang w:val="en-GB"/>
        </w:rPr>
        <w:t>Figure 3: Global Trade and Geopolitical Reality\</w:t>
      </w:r>
    </w:p>
    <w:p w14:paraId="7853E5BA" w14:textId="77777777" w:rsidR="002B224C" w:rsidRPr="00CE45FF" w:rsidRDefault="002B224C" w:rsidP="002B224C">
      <w:pPr>
        <w:pStyle w:val="NormalWeb"/>
        <w:spacing w:line="360" w:lineRule="auto"/>
        <w:jc w:val="center"/>
        <w:rPr>
          <w:rFonts w:ascii="Arial" w:hAnsi="Arial" w:cs="Arial"/>
          <w:lang w:val="en-GB"/>
        </w:rPr>
      </w:pPr>
      <w:r w:rsidRPr="00CE45FF">
        <w:rPr>
          <w:rFonts w:ascii="Arial" w:hAnsi="Arial" w:cs="Arial"/>
          <w:lang w:val="en-GB"/>
        </w:rPr>
        <w:t>(Deloitte Insights, 2024)</w:t>
      </w:r>
    </w:p>
    <w:p w14:paraId="45A108C1" w14:textId="77777777" w:rsidR="002B224C" w:rsidRPr="00CE45FF" w:rsidRDefault="002B224C" w:rsidP="002B224C">
      <w:pPr>
        <w:pStyle w:val="NormalWeb"/>
        <w:spacing w:line="360" w:lineRule="auto"/>
        <w:jc w:val="both"/>
        <w:rPr>
          <w:rFonts w:ascii="Arial" w:hAnsi="Arial" w:cs="Arial"/>
          <w:lang w:val="en-GB"/>
        </w:rPr>
      </w:pPr>
      <w:r w:rsidRPr="00CE45FF">
        <w:rPr>
          <w:rFonts w:ascii="Arial" w:hAnsi="Arial" w:cs="Arial"/>
          <w:lang w:val="en-GB"/>
        </w:rPr>
        <w:t xml:space="preserve">According to Deloitte Insights (2024), </w:t>
      </w:r>
      <w:r w:rsidRPr="00CE45FF">
        <w:rPr>
          <w:rFonts w:ascii="Arial" w:hAnsi="Arial" w:cs="Arial"/>
          <w:bCs/>
          <w:lang w:val="en-GB"/>
        </w:rPr>
        <w:t>OECD Digital Services Trade Restrictiveness Index (2022)</w:t>
      </w:r>
      <w:r w:rsidRPr="00CE45FF">
        <w:rPr>
          <w:rFonts w:ascii="Arial" w:hAnsi="Arial" w:cs="Arial"/>
          <w:lang w:val="en-GB"/>
        </w:rPr>
        <w:t xml:space="preserve"> indicates that </w:t>
      </w:r>
      <w:r w:rsidRPr="00CE45FF">
        <w:rPr>
          <w:rFonts w:ascii="Arial" w:hAnsi="Arial" w:cs="Arial"/>
          <w:bCs/>
          <w:lang w:val="en-GB"/>
        </w:rPr>
        <w:t>58% of digital trade barriers</w:t>
      </w:r>
      <w:r w:rsidRPr="00CE45FF">
        <w:rPr>
          <w:rFonts w:ascii="Arial" w:hAnsi="Arial" w:cs="Arial"/>
          <w:lang w:val="en-GB"/>
        </w:rPr>
        <w:t xml:space="preserve"> are linked to </w:t>
      </w:r>
      <w:r w:rsidRPr="00CE45FF">
        <w:rPr>
          <w:rFonts w:ascii="Arial" w:hAnsi="Arial" w:cs="Arial"/>
          <w:bCs/>
          <w:lang w:val="en-GB"/>
        </w:rPr>
        <w:t>infrastructure and connectivity issues</w:t>
      </w:r>
      <w:r w:rsidRPr="00CE45FF">
        <w:rPr>
          <w:rFonts w:ascii="Arial" w:hAnsi="Arial" w:cs="Arial"/>
          <w:lang w:val="en-GB"/>
        </w:rPr>
        <w:t xml:space="preserve">, followed by </w:t>
      </w:r>
      <w:r w:rsidRPr="00CE45FF">
        <w:rPr>
          <w:rFonts w:ascii="Arial" w:hAnsi="Arial" w:cs="Arial"/>
          <w:bCs/>
          <w:lang w:val="en-GB"/>
        </w:rPr>
        <w:t>electronic transactions (18%)</w:t>
      </w:r>
      <w:r w:rsidRPr="00CE45FF">
        <w:rPr>
          <w:rFonts w:ascii="Arial" w:hAnsi="Arial" w:cs="Arial"/>
          <w:lang w:val="en-GB"/>
        </w:rPr>
        <w:t xml:space="preserve">, </w:t>
      </w:r>
      <w:r w:rsidRPr="00CE45FF">
        <w:rPr>
          <w:rFonts w:ascii="Arial" w:hAnsi="Arial" w:cs="Arial"/>
          <w:bCs/>
          <w:lang w:val="en-GB"/>
        </w:rPr>
        <w:t>payment systems (14%)</w:t>
      </w:r>
      <w:r w:rsidRPr="00CE45FF">
        <w:rPr>
          <w:rFonts w:ascii="Arial" w:hAnsi="Arial" w:cs="Arial"/>
          <w:lang w:val="en-GB"/>
        </w:rPr>
        <w:t xml:space="preserve">, and </w:t>
      </w:r>
      <w:r w:rsidRPr="00CE45FF">
        <w:rPr>
          <w:rFonts w:ascii="Arial" w:hAnsi="Arial" w:cs="Arial"/>
          <w:bCs/>
          <w:lang w:val="en-GB"/>
        </w:rPr>
        <w:t xml:space="preserve">intellectual property rights (6%). </w:t>
      </w:r>
    </w:p>
    <w:p w14:paraId="4DD9BB70" w14:textId="77777777" w:rsidR="002B224C" w:rsidRPr="00CE1FCA" w:rsidRDefault="002B224C" w:rsidP="002B224C">
      <w:pPr>
        <w:pStyle w:val="NormalWeb"/>
        <w:spacing w:line="360" w:lineRule="auto"/>
        <w:jc w:val="both"/>
        <w:rPr>
          <w:rFonts w:ascii="Arial" w:hAnsi="Arial" w:cs="Arial"/>
        </w:rPr>
      </w:pPr>
      <w:r w:rsidRPr="00CE45FF">
        <w:rPr>
          <w:rFonts w:ascii="Arial" w:hAnsi="Arial" w:cs="Arial"/>
          <w:lang w:val="en-GB"/>
        </w:rPr>
        <w:t>These strategies help the companies in maintaining their continuity. However, overreliance on reshoring or abrupt relocation can also lead to tremendous cost, negative employer brand, stakeholder relationship and regulatory complexity. From Resource-based view, companies need to build internal capacity for flexibility, risk management and mobility.</w:t>
      </w:r>
      <w:r>
        <w:rPr>
          <w:rFonts w:ascii="Arial" w:hAnsi="Arial" w:cs="Arial"/>
          <w:lang w:val="en-GB"/>
        </w:rPr>
        <w:t xml:space="preserve"> </w:t>
      </w:r>
      <w:r w:rsidRPr="00F576A7">
        <w:rPr>
          <w:rFonts w:ascii="Arial" w:hAnsi="Arial" w:cs="Arial"/>
          <w:lang w:val="en-GB"/>
        </w:rPr>
        <w:t xml:space="preserve"> </w:t>
      </w:r>
    </w:p>
    <w:p w14:paraId="34F8A409" w14:textId="77777777" w:rsidR="002B224C" w:rsidRDefault="002B224C" w:rsidP="002B224C">
      <w:pPr>
        <w:pStyle w:val="Heading1"/>
        <w:rPr>
          <w:rFonts w:cs="Arial"/>
          <w:sz w:val="24"/>
          <w:szCs w:val="24"/>
        </w:rPr>
      </w:pPr>
      <w:bookmarkStart w:id="3" w:name="_Toc210926855"/>
      <w:r w:rsidRPr="00CE1FCA">
        <w:rPr>
          <w:rFonts w:cs="Arial"/>
          <w:sz w:val="24"/>
          <w:szCs w:val="24"/>
        </w:rPr>
        <w:lastRenderedPageBreak/>
        <w:t xml:space="preserve">3. Addressing Persistent Skills Gaps, Talent Shortages in Critical Sectors (e.g., tech, hospitality, healthcare) through Strategic HRM </w:t>
      </w:r>
      <w:bookmarkEnd w:id="3"/>
    </w:p>
    <w:p w14:paraId="41B9B9C6" w14:textId="77777777" w:rsidR="002B224C" w:rsidRPr="00385CA0" w:rsidRDefault="002B224C" w:rsidP="002B224C">
      <w:pPr>
        <w:spacing w:line="360" w:lineRule="auto"/>
        <w:rPr>
          <w:rFonts w:ascii="Arial" w:hAnsi="Arial" w:cs="Arial"/>
          <w:b/>
          <w:sz w:val="24"/>
          <w:szCs w:val="24"/>
        </w:rPr>
      </w:pPr>
      <w:r>
        <w:rPr>
          <w:rFonts w:ascii="Arial" w:hAnsi="Arial" w:cs="Arial"/>
          <w:b/>
          <w:sz w:val="24"/>
          <w:szCs w:val="24"/>
        </w:rPr>
        <w:t>Challenges in Critical Sectors (Technological sector, healthcare sector, hospitality sector)</w:t>
      </w:r>
    </w:p>
    <w:p w14:paraId="0D18A5DE" w14:textId="77777777" w:rsidR="002B224C" w:rsidRDefault="002B224C" w:rsidP="002B224C">
      <w:pPr>
        <w:spacing w:line="360" w:lineRule="auto"/>
        <w:jc w:val="both"/>
        <w:rPr>
          <w:rFonts w:ascii="Arial" w:hAnsi="Arial" w:cs="Arial"/>
          <w:sz w:val="24"/>
          <w:szCs w:val="24"/>
        </w:rPr>
      </w:pPr>
      <w:r w:rsidRPr="00CE1FCA">
        <w:rPr>
          <w:rFonts w:ascii="Arial" w:hAnsi="Arial" w:cs="Arial"/>
          <w:sz w:val="24"/>
          <w:szCs w:val="24"/>
        </w:rPr>
        <w:t xml:space="preserve">In critical sectors including technology, healthcare, and the hospitality sector, the biggest issue is persistent talent shortages and skill gaps. Here, SHRM ("strategic human resource management") plays a major role in bridging the gap between these two by including workforce planning, learning, and talent management into HR strategies. In the technology sector, digital transformation and automation have created a high demand for professional and high-skilled employees in data analytics, AI, software engineering, and cybersecurity (Sharef et al., 2024). However, the technological change is sometimes very fast, which cannot match the pace of the training programs. </w:t>
      </w:r>
    </w:p>
    <w:p w14:paraId="059FED53" w14:textId="77777777" w:rsidR="002B224C" w:rsidRPr="00385CA0" w:rsidRDefault="002B224C" w:rsidP="002B224C">
      <w:pPr>
        <w:spacing w:line="360" w:lineRule="auto"/>
        <w:jc w:val="both"/>
        <w:rPr>
          <w:rFonts w:ascii="Arial" w:hAnsi="Arial" w:cs="Arial"/>
          <w:b/>
          <w:sz w:val="24"/>
          <w:szCs w:val="24"/>
        </w:rPr>
      </w:pPr>
      <w:r w:rsidRPr="00385CA0">
        <w:rPr>
          <w:rFonts w:ascii="Arial" w:hAnsi="Arial" w:cs="Arial"/>
          <w:b/>
          <w:sz w:val="24"/>
          <w:szCs w:val="24"/>
        </w:rPr>
        <w:t xml:space="preserve">Strategic HRM in Technological Sector to Address Challenges </w:t>
      </w:r>
    </w:p>
    <w:p w14:paraId="63603B0E" w14:textId="77777777" w:rsidR="002B224C" w:rsidRDefault="002B224C" w:rsidP="002B224C">
      <w:pPr>
        <w:spacing w:line="360" w:lineRule="auto"/>
        <w:jc w:val="both"/>
        <w:rPr>
          <w:rFonts w:ascii="Arial" w:hAnsi="Arial" w:cs="Arial"/>
          <w:sz w:val="24"/>
          <w:szCs w:val="24"/>
        </w:rPr>
      </w:pPr>
      <w:r w:rsidRPr="00CE1FCA">
        <w:rPr>
          <w:rFonts w:ascii="Arial" w:hAnsi="Arial" w:cs="Arial"/>
          <w:sz w:val="24"/>
          <w:szCs w:val="24"/>
        </w:rPr>
        <w:t xml:space="preserve">This major challenge can be addressed through proactive talent forecasting and workforce analytics, which help in identifying the emerging skillset. Organizations are also leaning towards collaboration with universities and online learning platforms to match the skillset. As an instance, British Telecom has launched "My Campus Personalized Learning,” an internal digital learning platform to upgrade their workforce skill (Plc, 2024). Recruitment from diverse and international cultures falls under a flexible hybrid-structured work model, which also helps to recruit skilled employees to meet organizational demands. </w:t>
      </w:r>
    </w:p>
    <w:p w14:paraId="7DC660DF" w14:textId="77777777" w:rsidR="002B224C" w:rsidRPr="00385CA0" w:rsidRDefault="002B224C" w:rsidP="002B224C">
      <w:pPr>
        <w:spacing w:line="360" w:lineRule="auto"/>
        <w:jc w:val="both"/>
        <w:rPr>
          <w:rFonts w:ascii="Arial" w:hAnsi="Arial" w:cs="Arial"/>
          <w:b/>
          <w:sz w:val="24"/>
          <w:szCs w:val="24"/>
        </w:rPr>
      </w:pPr>
      <w:r w:rsidRPr="00385CA0">
        <w:rPr>
          <w:rFonts w:ascii="Arial" w:hAnsi="Arial" w:cs="Arial"/>
          <w:b/>
          <w:sz w:val="24"/>
          <w:szCs w:val="24"/>
        </w:rPr>
        <w:t xml:space="preserve">Strategic HRM in Healthcare Sector to Address Challenges </w:t>
      </w:r>
    </w:p>
    <w:p w14:paraId="3E7F5495" w14:textId="77777777" w:rsidR="002B224C" w:rsidRDefault="002B224C" w:rsidP="002B224C">
      <w:pPr>
        <w:spacing w:line="360" w:lineRule="auto"/>
        <w:jc w:val="both"/>
        <w:rPr>
          <w:rFonts w:ascii="Arial" w:hAnsi="Arial" w:cs="Arial"/>
          <w:sz w:val="24"/>
          <w:szCs w:val="24"/>
        </w:rPr>
      </w:pPr>
      <w:r>
        <w:rPr>
          <w:rFonts w:ascii="Arial" w:hAnsi="Arial" w:cs="Arial"/>
          <w:sz w:val="24"/>
          <w:szCs w:val="24"/>
        </w:rPr>
        <w:t>The</w:t>
      </w:r>
      <w:r w:rsidRPr="00CE1FCA">
        <w:rPr>
          <w:rFonts w:ascii="Arial" w:hAnsi="Arial" w:cs="Arial"/>
          <w:sz w:val="24"/>
          <w:szCs w:val="24"/>
        </w:rPr>
        <w:t xml:space="preserve"> healthcare sector, another critical sector, is facing challenges related to ageing populations, employee burnout, and international mobility. After the COVID-19 pandemic, the healthcare sector has recognized a big issue of a shortage of nurses, health professionals, and surgeons. SHRM approaches can also be applied here to talent retention, leadership development, and increasing employee well-being. HR professionals in the healthcare sector need to implement a competency-based recruitment method to enhance engagement and reduce turnover. IHRM strategies also need to facilitate ethical recruitment across borders. The adoption of telemedicine and digital health solutions also increases the need for technical skills in healthcare professionals. </w:t>
      </w:r>
    </w:p>
    <w:p w14:paraId="35DC9E7D" w14:textId="77777777" w:rsidR="002B224C" w:rsidRPr="00385CA0" w:rsidRDefault="002B224C" w:rsidP="002B224C">
      <w:pPr>
        <w:spacing w:line="360" w:lineRule="auto"/>
        <w:jc w:val="both"/>
        <w:rPr>
          <w:rFonts w:ascii="Arial" w:hAnsi="Arial" w:cs="Arial"/>
          <w:b/>
          <w:sz w:val="24"/>
          <w:szCs w:val="24"/>
        </w:rPr>
      </w:pPr>
      <w:r w:rsidRPr="00385CA0">
        <w:rPr>
          <w:rFonts w:ascii="Arial" w:hAnsi="Arial" w:cs="Arial"/>
          <w:b/>
          <w:sz w:val="24"/>
          <w:szCs w:val="24"/>
        </w:rPr>
        <w:t xml:space="preserve">Strategic HRM in Hospitality Sector to Address Challenges </w:t>
      </w:r>
    </w:p>
    <w:p w14:paraId="6BB8EA63" w14:textId="77777777" w:rsidR="002B224C" w:rsidRDefault="002B224C" w:rsidP="002B224C">
      <w:pPr>
        <w:spacing w:line="360" w:lineRule="auto"/>
        <w:jc w:val="both"/>
        <w:rPr>
          <w:rFonts w:ascii="Arial" w:hAnsi="Arial" w:cs="Arial"/>
          <w:sz w:val="24"/>
          <w:szCs w:val="24"/>
        </w:rPr>
      </w:pPr>
      <w:r w:rsidRPr="00CE1FCA">
        <w:rPr>
          <w:rFonts w:ascii="Arial" w:hAnsi="Arial" w:cs="Arial"/>
          <w:sz w:val="24"/>
          <w:szCs w:val="24"/>
        </w:rPr>
        <w:lastRenderedPageBreak/>
        <w:t xml:space="preserve">The hospitality sector is another crucial sector that is facing talent shortages due to high turnover rates, limited career opportunities, and high seasonal demands. After the Covid-19 pandemic, this sector's need has increasingly focused on customer-centric employees with a high adaptability skillset (Ahmed and Wasim, 2023). SHRM can be applied to address this challenge through enhancing the employer branding, the inclusive nature of leadership, and providing work-life balance. This sector also needs to invest in skill-development programs, cross-functional training programs, and vocational partnerships, which help in developing a sustainable talent pipeline. Moreover, the adoption of digital tools helps here in workforce scheduling, customer data management, predictive staffing methods, and recruiting younger and tech-savvy employees. </w:t>
      </w:r>
    </w:p>
    <w:p w14:paraId="3004D505" w14:textId="77777777" w:rsidR="002B224C" w:rsidRPr="00CE45FF" w:rsidRDefault="002B224C" w:rsidP="002B224C">
      <w:pPr>
        <w:spacing w:line="360" w:lineRule="auto"/>
        <w:jc w:val="both"/>
        <w:rPr>
          <w:rFonts w:ascii="Arial" w:hAnsi="Arial" w:cs="Arial"/>
          <w:b/>
          <w:sz w:val="24"/>
          <w:szCs w:val="24"/>
        </w:rPr>
      </w:pPr>
      <w:r w:rsidRPr="00CE45FF">
        <w:rPr>
          <w:rFonts w:ascii="Arial" w:hAnsi="Arial" w:cs="Arial"/>
          <w:b/>
          <w:sz w:val="24"/>
          <w:szCs w:val="24"/>
        </w:rPr>
        <w:t>Comparative Evaluation and Synthesis</w:t>
      </w:r>
    </w:p>
    <w:p w14:paraId="446D00CD" w14:textId="48AED4CB" w:rsidR="002B224C" w:rsidRPr="00336185" w:rsidRDefault="002B224C" w:rsidP="002B224C">
      <w:pPr>
        <w:spacing w:line="360" w:lineRule="auto"/>
        <w:jc w:val="both"/>
        <w:rPr>
          <w:rFonts w:ascii="Arial" w:hAnsi="Arial" w:cs="Arial"/>
          <w:sz w:val="24"/>
          <w:szCs w:val="24"/>
        </w:rPr>
      </w:pPr>
      <w:r w:rsidRPr="00CE45FF">
        <w:rPr>
          <w:rFonts w:ascii="Arial" w:hAnsi="Arial" w:cs="Arial"/>
          <w:sz w:val="24"/>
          <w:szCs w:val="24"/>
        </w:rPr>
        <w:t>According to perspectives from Resource-based view and human-capital theory, the most sustainable strategies include investment on developing human capital internally. This can develop knowledge-based resources which cannot be easily replicated by the competitors. These strategies include skill-development, continuous learning and inclusive leadership to develop long-term workforce resilience across all critical sectors.</w:t>
      </w:r>
      <w:r>
        <w:rPr>
          <w:rFonts w:ascii="Arial" w:hAnsi="Arial" w:cs="Arial"/>
          <w:sz w:val="24"/>
          <w:szCs w:val="24"/>
        </w:rPr>
        <w:t xml:space="preserve"> </w:t>
      </w:r>
    </w:p>
    <w:p w14:paraId="24C4861A" w14:textId="77777777" w:rsidR="002B224C" w:rsidRPr="008429EB" w:rsidRDefault="002B224C" w:rsidP="002B224C">
      <w:pPr>
        <w:pStyle w:val="Heading1"/>
        <w:rPr>
          <w:rFonts w:cs="Arial"/>
          <w:sz w:val="24"/>
          <w:szCs w:val="24"/>
        </w:rPr>
      </w:pPr>
      <w:bookmarkStart w:id="4" w:name="_Toc210926856"/>
      <w:r w:rsidRPr="00CE1FCA">
        <w:rPr>
          <w:rFonts w:cs="Arial"/>
          <w:sz w:val="24"/>
          <w:szCs w:val="24"/>
        </w:rPr>
        <w:t xml:space="preserve">4. Reflective Report on Current Capabilities and Preparedness to Enter Labour Market </w:t>
      </w:r>
      <w:bookmarkEnd w:id="4"/>
    </w:p>
    <w:p w14:paraId="22594DD1" w14:textId="77777777" w:rsidR="002B224C" w:rsidRPr="00CE1FCA" w:rsidRDefault="002B224C" w:rsidP="002B224C">
      <w:pPr>
        <w:spacing w:line="360" w:lineRule="auto"/>
        <w:jc w:val="both"/>
        <w:rPr>
          <w:rFonts w:ascii="Arial" w:hAnsi="Arial" w:cs="Arial"/>
          <w:sz w:val="24"/>
          <w:szCs w:val="24"/>
        </w:rPr>
      </w:pPr>
      <w:r w:rsidRPr="00CE1FCA">
        <w:rPr>
          <w:rFonts w:ascii="Arial" w:hAnsi="Arial" w:cs="Arial"/>
          <w:sz w:val="24"/>
          <w:szCs w:val="24"/>
        </w:rPr>
        <w:t xml:space="preserve">Today's technology-driven emerging market compels employees to gain skills in operating in international contexts effectively. The modern workplace of any crucial sector, including the healthcare sector, technology sector, and hospitality sector, needs cultural awareness, digital skills, and the ability to continuously adapt in employees. As organizations are going beyond borders through technology, the communication skills, leadership skills, and teamwork mindset need to be present in the workforce. The present reflective report aims to analyse my current abilities in the above-mentioned aspects, to draw on my current learning activities and professional experiences by identifying strengths and weaknesses. </w:t>
      </w:r>
    </w:p>
    <w:p w14:paraId="570B1182" w14:textId="77777777" w:rsidR="002B224C" w:rsidRPr="00CE1FCA" w:rsidRDefault="002B224C" w:rsidP="002B224C">
      <w:pPr>
        <w:spacing w:line="360" w:lineRule="auto"/>
        <w:jc w:val="both"/>
        <w:rPr>
          <w:rFonts w:ascii="Arial" w:hAnsi="Arial" w:cs="Arial"/>
          <w:b/>
          <w:sz w:val="24"/>
          <w:szCs w:val="24"/>
        </w:rPr>
      </w:pPr>
      <w:r w:rsidRPr="00CE1FCA">
        <w:rPr>
          <w:rFonts w:ascii="Arial" w:hAnsi="Arial" w:cs="Arial"/>
          <w:b/>
          <w:sz w:val="24"/>
          <w:szCs w:val="24"/>
        </w:rPr>
        <w:t xml:space="preserve">Working in a Global Context </w:t>
      </w:r>
    </w:p>
    <w:p w14:paraId="5EAB861C" w14:textId="77777777" w:rsidR="002B224C" w:rsidRPr="00CE1FCA" w:rsidRDefault="002B224C" w:rsidP="002B224C">
      <w:pPr>
        <w:spacing w:line="360" w:lineRule="auto"/>
        <w:jc w:val="both"/>
        <w:rPr>
          <w:rFonts w:ascii="Arial" w:hAnsi="Arial" w:cs="Arial"/>
          <w:sz w:val="24"/>
          <w:szCs w:val="24"/>
        </w:rPr>
      </w:pPr>
      <w:r w:rsidRPr="00CE1FCA">
        <w:rPr>
          <w:rFonts w:ascii="Arial" w:hAnsi="Arial" w:cs="Arial"/>
          <w:sz w:val="24"/>
          <w:szCs w:val="24"/>
        </w:rPr>
        <w:t xml:space="preserve">Globalization has reshaped the entire team function by including diversity and inclusion. During my academic period for this course, I needed to communicate with students from different countries, including the UK, India, and Nigeria. International communication has </w:t>
      </w:r>
      <w:r w:rsidRPr="00CE1FCA">
        <w:rPr>
          <w:rFonts w:ascii="Arial" w:hAnsi="Arial" w:cs="Arial"/>
          <w:sz w:val="24"/>
          <w:szCs w:val="24"/>
        </w:rPr>
        <w:lastRenderedPageBreak/>
        <w:t xml:space="preserve">enhanced my cultural diversity and also made me able to adapt to multicultural, demanding communication styles. </w:t>
      </w:r>
    </w:p>
    <w:p w14:paraId="7544D0DC" w14:textId="77777777" w:rsidR="002B224C" w:rsidRPr="00CE1FCA" w:rsidRDefault="002B224C" w:rsidP="002B224C">
      <w:pPr>
        <w:spacing w:line="360" w:lineRule="auto"/>
        <w:jc w:val="center"/>
        <w:rPr>
          <w:rFonts w:ascii="Arial" w:hAnsi="Arial" w:cs="Arial"/>
          <w:sz w:val="24"/>
          <w:szCs w:val="24"/>
        </w:rPr>
      </w:pPr>
      <w:r w:rsidRPr="00CE1FCA">
        <w:rPr>
          <w:rFonts w:ascii="Arial" w:hAnsi="Arial" w:cs="Arial"/>
          <w:noProof/>
          <w:sz w:val="24"/>
          <w:szCs w:val="24"/>
        </w:rPr>
        <w:drawing>
          <wp:inline distT="0" distB="0" distL="0" distR="0" wp14:anchorId="139CCFAE" wp14:editId="01D7F891">
            <wp:extent cx="3524603" cy="3695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1361" cy="3702786"/>
                    </a:xfrm>
                    <a:prstGeom prst="rect">
                      <a:avLst/>
                    </a:prstGeom>
                    <a:noFill/>
                  </pic:spPr>
                </pic:pic>
              </a:graphicData>
            </a:graphic>
          </wp:inline>
        </w:drawing>
      </w:r>
    </w:p>
    <w:p w14:paraId="6C0D8F51" w14:textId="77777777" w:rsidR="002B224C" w:rsidRPr="00CE1FCA" w:rsidRDefault="002B224C" w:rsidP="002B224C">
      <w:pPr>
        <w:spacing w:line="360" w:lineRule="auto"/>
        <w:jc w:val="center"/>
        <w:rPr>
          <w:rFonts w:ascii="Arial" w:hAnsi="Arial" w:cs="Arial"/>
          <w:b/>
          <w:sz w:val="24"/>
          <w:szCs w:val="24"/>
        </w:rPr>
      </w:pPr>
      <w:r w:rsidRPr="00CE1FCA">
        <w:rPr>
          <w:rFonts w:ascii="Arial" w:hAnsi="Arial" w:cs="Arial"/>
          <w:b/>
          <w:sz w:val="24"/>
          <w:szCs w:val="24"/>
        </w:rPr>
        <w:t xml:space="preserve">Figure </w:t>
      </w:r>
      <w:r>
        <w:rPr>
          <w:rFonts w:ascii="Arial" w:hAnsi="Arial" w:cs="Arial"/>
          <w:b/>
          <w:sz w:val="24"/>
          <w:szCs w:val="24"/>
        </w:rPr>
        <w:t>4</w:t>
      </w:r>
      <w:r w:rsidRPr="00CE1FCA">
        <w:rPr>
          <w:rFonts w:ascii="Arial" w:hAnsi="Arial" w:cs="Arial"/>
          <w:b/>
          <w:sz w:val="24"/>
          <w:szCs w:val="24"/>
        </w:rPr>
        <w:t>: Hofstede’s Cultural Dimension Theory</w:t>
      </w:r>
    </w:p>
    <w:p w14:paraId="5F3FF8F4" w14:textId="77777777" w:rsidR="002B224C" w:rsidRPr="00CE1FCA" w:rsidRDefault="002B224C" w:rsidP="002B224C">
      <w:pPr>
        <w:spacing w:line="360" w:lineRule="auto"/>
        <w:jc w:val="center"/>
        <w:rPr>
          <w:rFonts w:ascii="Arial" w:hAnsi="Arial" w:cs="Arial"/>
          <w:sz w:val="24"/>
          <w:szCs w:val="24"/>
        </w:rPr>
      </w:pPr>
      <w:r w:rsidRPr="00CE1FCA">
        <w:rPr>
          <w:rFonts w:ascii="Arial" w:hAnsi="Arial" w:cs="Arial"/>
          <w:sz w:val="24"/>
          <w:szCs w:val="24"/>
        </w:rPr>
        <w:t xml:space="preserve">(Source: </w:t>
      </w:r>
      <w:proofErr w:type="spellStart"/>
      <w:r w:rsidRPr="00CE1FCA">
        <w:rPr>
          <w:rFonts w:ascii="Arial" w:hAnsi="Arial" w:cs="Arial"/>
          <w:sz w:val="24"/>
          <w:szCs w:val="24"/>
        </w:rPr>
        <w:t>Vizmonte</w:t>
      </w:r>
      <w:proofErr w:type="spellEnd"/>
      <w:r w:rsidRPr="00CE1FCA">
        <w:rPr>
          <w:rFonts w:ascii="Arial" w:hAnsi="Arial" w:cs="Arial"/>
          <w:sz w:val="24"/>
          <w:szCs w:val="24"/>
        </w:rPr>
        <w:t xml:space="preserve"> and </w:t>
      </w:r>
      <w:proofErr w:type="spellStart"/>
      <w:r w:rsidRPr="00CE1FCA">
        <w:rPr>
          <w:rFonts w:ascii="Arial" w:hAnsi="Arial" w:cs="Arial"/>
          <w:sz w:val="24"/>
          <w:szCs w:val="24"/>
        </w:rPr>
        <w:t>Ligot</w:t>
      </w:r>
      <w:proofErr w:type="spellEnd"/>
      <w:r w:rsidRPr="00CE1FCA">
        <w:rPr>
          <w:rFonts w:ascii="Arial" w:hAnsi="Arial" w:cs="Arial"/>
          <w:sz w:val="24"/>
          <w:szCs w:val="24"/>
        </w:rPr>
        <w:t>, 2024)</w:t>
      </w:r>
    </w:p>
    <w:p w14:paraId="343EA373" w14:textId="77777777" w:rsidR="002B224C" w:rsidRPr="00CE1FCA" w:rsidRDefault="002B224C" w:rsidP="002B224C">
      <w:pPr>
        <w:spacing w:line="360" w:lineRule="auto"/>
        <w:jc w:val="both"/>
        <w:rPr>
          <w:rFonts w:ascii="Arial" w:hAnsi="Arial" w:cs="Arial"/>
          <w:sz w:val="24"/>
          <w:szCs w:val="24"/>
        </w:rPr>
      </w:pPr>
      <w:r w:rsidRPr="00CE1FCA">
        <w:rPr>
          <w:rFonts w:ascii="Arial" w:hAnsi="Arial" w:cs="Arial"/>
          <w:sz w:val="24"/>
          <w:szCs w:val="24"/>
        </w:rPr>
        <w:t xml:space="preserve">According to Hofstede's "cultural dimension theory," understanding the difference between collectivism, uncertainty, and power distance helps in developing respectful and productive cross-cultural communication (Ouyang et al., 2025). I have identified my key strength here as "cultural sensitivity." I listen to people actively and try to understand the different perspectives. However, my major weakness here is depending heavily on direct communication, which hindered me from gaining indirect communication skills. Therefore, I will focus on improving my intercultural competence through studying the "global communication framework" and participating in cross-cultural workshops. </w:t>
      </w:r>
    </w:p>
    <w:p w14:paraId="62114173" w14:textId="77777777" w:rsidR="002B224C" w:rsidRPr="00CE1FCA" w:rsidRDefault="002B224C" w:rsidP="002B224C">
      <w:pPr>
        <w:spacing w:before="100" w:beforeAutospacing="1" w:after="100" w:afterAutospacing="1" w:line="360" w:lineRule="auto"/>
        <w:jc w:val="both"/>
        <w:rPr>
          <w:rFonts w:ascii="Arial" w:hAnsi="Arial" w:cs="Arial"/>
          <w:b/>
          <w:sz w:val="24"/>
          <w:szCs w:val="24"/>
          <w:lang w:val="en-IN" w:eastAsia="en-IN"/>
        </w:rPr>
      </w:pPr>
      <w:r w:rsidRPr="00CE1FCA">
        <w:rPr>
          <w:rFonts w:ascii="Arial" w:hAnsi="Arial" w:cs="Arial"/>
          <w:b/>
          <w:sz w:val="24"/>
          <w:szCs w:val="24"/>
          <w:lang w:val="en-IN" w:eastAsia="en-IN"/>
        </w:rPr>
        <w:t>Advanced Technology and Digital Adaptability</w:t>
      </w:r>
    </w:p>
    <w:p w14:paraId="4B08CE57" w14:textId="77777777" w:rsidR="002B224C" w:rsidRPr="00CE1FCA" w:rsidRDefault="002B224C" w:rsidP="002B224C">
      <w:pPr>
        <w:spacing w:before="100" w:beforeAutospacing="1" w:after="100" w:afterAutospacing="1" w:line="360" w:lineRule="auto"/>
        <w:jc w:val="both"/>
        <w:rPr>
          <w:rFonts w:ascii="Arial" w:hAnsi="Arial" w:cs="Arial"/>
          <w:sz w:val="24"/>
          <w:szCs w:val="24"/>
          <w:lang w:val="en-IN" w:eastAsia="en-IN"/>
        </w:rPr>
      </w:pPr>
      <w:r w:rsidRPr="00CE1FCA">
        <w:rPr>
          <w:rFonts w:ascii="Arial" w:hAnsi="Arial" w:cs="Arial"/>
          <w:sz w:val="24"/>
          <w:szCs w:val="24"/>
          <w:lang w:val="en-IN" w:eastAsia="en-IN"/>
        </w:rPr>
        <w:t>For the modern workforce, technological competence with knowledge of digital tools is essential for global collaboration. For completing my group activities, I communicated with my cross-border classmates over Microsoft Teams, Google Workspace, and Trello, digital collaboration tools. I have gained experience in digital literacy as well as time-</w:t>
      </w:r>
      <w:r w:rsidRPr="00CE1FCA">
        <w:rPr>
          <w:rFonts w:ascii="Arial" w:hAnsi="Arial" w:cs="Arial"/>
          <w:sz w:val="24"/>
          <w:szCs w:val="24"/>
          <w:lang w:val="en-IN" w:eastAsia="en-IN"/>
        </w:rPr>
        <w:lastRenderedPageBreak/>
        <w:t xml:space="preserve">management skills to perform any task in a remote setting. I have identified my key strength as my willingness to experiment with advanced technologies. I have experimented with several AI tools and Grammar-guiding tools to take on tasks and improve my writing skills. For a business project, I have experimented with digital data visualization tools, which also enhanced my analytical skills. However, my major weakness was to experiment with more complex data analytics tools, including Power BI and Tableau. To overcome this weakness, I have planned to engage myself in self-directed learning through completing online certifications on different emerging platforms, including Coursera, LinkedIn, and others. According to Kolb's "experimental learning theory," knowledge can be best acquired through reflecting and experimenting (Ahmed Mustafa et al., 2022). Therefore, I have aimed to gain knowledge in complex digital tools actively. </w:t>
      </w:r>
    </w:p>
    <w:p w14:paraId="2BE0B939" w14:textId="77777777" w:rsidR="002B224C" w:rsidRPr="00CE1FCA" w:rsidRDefault="002B224C" w:rsidP="002B224C">
      <w:pPr>
        <w:spacing w:before="100" w:beforeAutospacing="1" w:after="100" w:afterAutospacing="1" w:line="360" w:lineRule="auto"/>
        <w:jc w:val="both"/>
        <w:rPr>
          <w:rFonts w:ascii="Arial" w:hAnsi="Arial" w:cs="Arial"/>
          <w:b/>
          <w:bCs/>
          <w:sz w:val="24"/>
          <w:szCs w:val="24"/>
          <w:lang w:val="en-IN" w:eastAsia="en-IN"/>
        </w:rPr>
      </w:pPr>
      <w:r w:rsidRPr="00CE1FCA">
        <w:rPr>
          <w:rFonts w:ascii="Arial" w:hAnsi="Arial" w:cs="Arial"/>
          <w:b/>
          <w:bCs/>
          <w:sz w:val="24"/>
          <w:szCs w:val="24"/>
          <w:lang w:val="en-IN" w:eastAsia="en-IN"/>
        </w:rPr>
        <w:t xml:space="preserve">Communication Skills </w:t>
      </w:r>
    </w:p>
    <w:p w14:paraId="672E7C79" w14:textId="77777777" w:rsidR="002B224C" w:rsidRPr="00CE1FCA" w:rsidRDefault="002B224C" w:rsidP="002B224C">
      <w:pPr>
        <w:spacing w:before="100" w:beforeAutospacing="1" w:after="100" w:afterAutospacing="1" w:line="360" w:lineRule="auto"/>
        <w:jc w:val="both"/>
        <w:rPr>
          <w:rFonts w:ascii="Arial" w:hAnsi="Arial" w:cs="Arial"/>
          <w:bCs/>
          <w:sz w:val="24"/>
          <w:szCs w:val="24"/>
          <w:lang w:val="en-IN" w:eastAsia="en-IN"/>
        </w:rPr>
      </w:pPr>
      <w:r w:rsidRPr="00CE1FCA">
        <w:rPr>
          <w:rFonts w:ascii="Arial" w:hAnsi="Arial" w:cs="Arial"/>
          <w:bCs/>
          <w:sz w:val="24"/>
          <w:szCs w:val="24"/>
          <w:lang w:val="en-IN" w:eastAsia="en-IN"/>
        </w:rPr>
        <w:t xml:space="preserve">In global collaboration, effective communication is a key factor. Throughout my academic term for this course, I have been assigned various academic presentations and peer discussions in classroom settings. These tasks require not only effective communication but also include structured feedback. I have identified my key strength in written communication, where I have made structured arguments to support my words with evidence. This strength has benefited me in writing professional reports. However, I have identified that my verbal communication skills are still very weak. I have confronted challenges of communicating over different time zones and uncertainty without interrupting others in an online seminar. Referring to this experience, I identified the importance of developing assertiveness and public-speaking skills for developing effective verbal communication. Therefore, I have planned to join several digital discussion forums and professional skill-development sessions to increase my engagement skills, which promote assertiveness. Moreover, I will use constructive feedback from my peers and professors to reflect on them positively in my future communication strategy in an international context. </w:t>
      </w:r>
    </w:p>
    <w:p w14:paraId="7D6A13B5" w14:textId="77777777" w:rsidR="002B224C" w:rsidRPr="00CE1FCA" w:rsidRDefault="002B224C" w:rsidP="002B224C">
      <w:pPr>
        <w:spacing w:line="360" w:lineRule="auto"/>
        <w:jc w:val="both"/>
        <w:rPr>
          <w:rFonts w:ascii="Arial" w:hAnsi="Arial" w:cs="Arial"/>
          <w:b/>
          <w:sz w:val="24"/>
          <w:szCs w:val="24"/>
          <w:lang w:val="en-IN" w:eastAsia="en-IN"/>
        </w:rPr>
      </w:pPr>
      <w:r w:rsidRPr="00CE1FCA">
        <w:rPr>
          <w:rFonts w:ascii="Arial" w:hAnsi="Arial" w:cs="Arial"/>
          <w:b/>
          <w:sz w:val="24"/>
          <w:szCs w:val="24"/>
          <w:lang w:val="en-IN" w:eastAsia="en-IN"/>
        </w:rPr>
        <w:t xml:space="preserve">Teamwork and Collaboration </w:t>
      </w:r>
    </w:p>
    <w:p w14:paraId="6982FA37" w14:textId="77777777" w:rsidR="002B224C" w:rsidRPr="00CE1FCA" w:rsidRDefault="002B224C" w:rsidP="002B224C">
      <w:pPr>
        <w:spacing w:line="360" w:lineRule="auto"/>
        <w:jc w:val="both"/>
        <w:rPr>
          <w:rFonts w:ascii="Arial" w:hAnsi="Arial" w:cs="Arial"/>
          <w:sz w:val="24"/>
          <w:szCs w:val="24"/>
          <w:lang w:eastAsia="en-IN"/>
        </w:rPr>
      </w:pPr>
      <w:r w:rsidRPr="00CE1FCA">
        <w:rPr>
          <w:rFonts w:ascii="Arial" w:hAnsi="Arial" w:cs="Arial"/>
          <w:sz w:val="24"/>
          <w:szCs w:val="24"/>
          <w:lang w:eastAsia="en-IN"/>
        </w:rPr>
        <w:t xml:space="preserve">The process of global teamwork also has the aspect of aligning work among different points of view and working styles. Group projects into which I engaged myself have </w:t>
      </w:r>
      <w:r w:rsidRPr="00CE1FCA">
        <w:rPr>
          <w:rFonts w:ascii="Arial" w:hAnsi="Arial" w:cs="Arial"/>
          <w:sz w:val="24"/>
          <w:szCs w:val="24"/>
          <w:lang w:eastAsia="en-IN"/>
        </w:rPr>
        <w:lastRenderedPageBreak/>
        <w:t xml:space="preserve">allowed me to learn the value of collaboration, negotiation, and flexibility. I usually play the role of a mediator and balance the participation and conflict resolution. This is in line with the team role theory presented by Belbin in his team roles, as my capabilities are aligned with several of the team roles, namely, the Team Worker role and the </w:t>
      </w:r>
      <w:proofErr w:type="gramStart"/>
      <w:r w:rsidRPr="00CE1FCA">
        <w:rPr>
          <w:rFonts w:ascii="Arial" w:hAnsi="Arial" w:cs="Arial"/>
          <w:sz w:val="24"/>
          <w:szCs w:val="24"/>
          <w:lang w:eastAsia="en-IN"/>
        </w:rPr>
        <w:t>Coordinator</w:t>
      </w:r>
      <w:proofErr w:type="gramEnd"/>
      <w:r w:rsidRPr="00CE1FCA">
        <w:rPr>
          <w:rFonts w:ascii="Arial" w:hAnsi="Arial" w:cs="Arial"/>
          <w:sz w:val="24"/>
          <w:szCs w:val="24"/>
          <w:lang w:eastAsia="en-IN"/>
        </w:rPr>
        <w:t xml:space="preserve"> role, including the preoccupations with harmony and alignment of goals (Silo, 2021). However, there are occasions when I fail to delegate work efficiently, and instead, more work is always available to meet the deadlines. This may cause stress and inefficiency in the team. To overcome this lapse, I will work on building trust and delegation by having better expectations and sharing accountability in teams. These interpersonal skills will also be refined when I engage in simulated team exercises, as well as leadership workshops.</w:t>
      </w:r>
    </w:p>
    <w:p w14:paraId="60C60CBC" w14:textId="77777777" w:rsidR="002B224C" w:rsidRPr="00CE1FCA" w:rsidRDefault="002B224C" w:rsidP="002B224C">
      <w:pPr>
        <w:spacing w:line="360" w:lineRule="auto"/>
        <w:jc w:val="both"/>
        <w:rPr>
          <w:rFonts w:ascii="Arial" w:hAnsi="Arial" w:cs="Arial"/>
          <w:b/>
          <w:sz w:val="24"/>
          <w:szCs w:val="24"/>
          <w:lang w:val="en-IN" w:eastAsia="en-IN"/>
        </w:rPr>
      </w:pPr>
      <w:r w:rsidRPr="00CE1FCA">
        <w:rPr>
          <w:rFonts w:ascii="Arial" w:hAnsi="Arial" w:cs="Arial"/>
          <w:b/>
          <w:sz w:val="24"/>
          <w:szCs w:val="24"/>
          <w:lang w:val="en-IN" w:eastAsia="en-IN"/>
        </w:rPr>
        <w:t xml:space="preserve">Leadership </w:t>
      </w:r>
    </w:p>
    <w:p w14:paraId="28E372B2" w14:textId="77777777" w:rsidR="002B224C" w:rsidRPr="00CE1FCA" w:rsidRDefault="002B224C" w:rsidP="002B224C">
      <w:pPr>
        <w:spacing w:line="360" w:lineRule="auto"/>
        <w:jc w:val="both"/>
        <w:rPr>
          <w:rFonts w:ascii="Arial" w:hAnsi="Arial" w:cs="Arial"/>
          <w:sz w:val="24"/>
          <w:szCs w:val="24"/>
          <w:lang w:val="en-IN" w:eastAsia="en-IN"/>
        </w:rPr>
      </w:pPr>
      <w:r w:rsidRPr="00CE1FCA">
        <w:rPr>
          <w:rFonts w:ascii="Arial" w:hAnsi="Arial" w:cs="Arial"/>
          <w:sz w:val="24"/>
          <w:szCs w:val="24"/>
          <w:lang w:eastAsia="en-IN"/>
        </w:rPr>
        <w:t>Being a leader in an international and digital environment is a process that needs emotional intelligence, inclusivity, and the ability to inspire others. My informal leadership has been mostly through group-assigned duties, attending group therapy where I had to instruct via group discussions. I believe my leadership approach is collaborative and supportive, which can be explained by the emotional intelligence framework proposed by Goleman (2011), according to which empathy and social awareness are the primary principles (Pellitteri, 2021). My most significant strength is that I am capable of motivating and supporting team members to introduce new ideas and make their distinctive contributions to them. Nevertheless, sometimes I cannot make decisions under pressure, especially when I am dealing with group members whose visions seem to be incompatible. To broaden this ability, I will be undertaking to improve my situational leadership expertise through learning how to adjust my plan to the maturity and requirements of the team.</w:t>
      </w:r>
    </w:p>
    <w:p w14:paraId="38B3EDCE" w14:textId="77777777" w:rsidR="002B224C" w:rsidRPr="00CE1FCA" w:rsidRDefault="002B224C" w:rsidP="002B224C">
      <w:pPr>
        <w:spacing w:line="360" w:lineRule="auto"/>
        <w:jc w:val="both"/>
        <w:rPr>
          <w:rFonts w:ascii="Arial" w:hAnsi="Arial" w:cs="Arial"/>
          <w:b/>
          <w:sz w:val="24"/>
          <w:szCs w:val="24"/>
          <w:lang w:val="en-IN" w:eastAsia="en-IN"/>
        </w:rPr>
      </w:pPr>
      <w:r w:rsidRPr="00CE1FCA">
        <w:rPr>
          <w:rFonts w:ascii="Arial" w:hAnsi="Arial" w:cs="Arial"/>
          <w:b/>
          <w:sz w:val="24"/>
          <w:szCs w:val="24"/>
          <w:lang w:val="en-IN" w:eastAsia="en-IN"/>
        </w:rPr>
        <w:t xml:space="preserve">Leveraging strengths and weaknesses </w:t>
      </w:r>
    </w:p>
    <w:p w14:paraId="69B6DB30" w14:textId="77777777" w:rsidR="002B224C" w:rsidRPr="00CE1FCA" w:rsidRDefault="002B224C" w:rsidP="002B224C">
      <w:pPr>
        <w:spacing w:line="360" w:lineRule="auto"/>
        <w:jc w:val="both"/>
        <w:rPr>
          <w:rFonts w:ascii="Arial" w:hAnsi="Arial" w:cs="Arial"/>
          <w:sz w:val="24"/>
          <w:szCs w:val="24"/>
          <w:lang w:eastAsia="en-IN"/>
        </w:rPr>
      </w:pPr>
      <w:r w:rsidRPr="00CE1FCA">
        <w:rPr>
          <w:rFonts w:ascii="Arial" w:hAnsi="Arial" w:cs="Arial"/>
          <w:sz w:val="24"/>
          <w:szCs w:val="24"/>
          <w:lang w:eastAsia="en-IN"/>
        </w:rPr>
        <w:t xml:space="preserve">In order to capitalize on my definitions, I will assume roles that involve cultural joint efforts, utilize digital solutions, and have the ability to communicate in written form. To give an example, I will use the volunteers of international academic committees or online professional networks, which will provide me with a chance to use my cross-cultural and technological competencies in real life. Among the weaknesses, I would work on building confidence when using verbal communication, building greater technological proficiency, and decision-making in stressful situations. This growth will be achieved through </w:t>
      </w:r>
      <w:r w:rsidRPr="00CE1FCA">
        <w:rPr>
          <w:rFonts w:ascii="Arial" w:hAnsi="Arial" w:cs="Arial"/>
          <w:sz w:val="24"/>
          <w:szCs w:val="24"/>
          <w:lang w:eastAsia="en-IN"/>
        </w:rPr>
        <w:lastRenderedPageBreak/>
        <w:t xml:space="preserve">structured learning plans, professional mentorship, and attending international conferences. My personal strength is goal-based learning, where I have set clear objectives and I continuously measure myself in a systematic way up to that objective. However, my inconsistency is sometimes a problem because of academic and other personal commitments. To prevent this, I will embrace time-blocking and reflection techniques that can result in frequent indulgences of learning processes. </w:t>
      </w:r>
    </w:p>
    <w:p w14:paraId="2703BB19" w14:textId="77777777" w:rsidR="002B224C" w:rsidRPr="00CE1FCA" w:rsidRDefault="002B224C" w:rsidP="002B224C">
      <w:pPr>
        <w:pStyle w:val="Heading1"/>
        <w:rPr>
          <w:lang w:val="en-IN" w:eastAsia="en-IN"/>
        </w:rPr>
      </w:pPr>
      <w:bookmarkStart w:id="5" w:name="_Toc210926857"/>
      <w:r w:rsidRPr="00CE1FCA">
        <w:rPr>
          <w:lang w:val="en-IN" w:eastAsia="en-IN"/>
        </w:rPr>
        <w:t>Conclusion</w:t>
      </w:r>
      <w:bookmarkEnd w:id="5"/>
      <w:r w:rsidRPr="00CE1FCA">
        <w:rPr>
          <w:lang w:val="en-IN" w:eastAsia="en-IN"/>
        </w:rPr>
        <w:t xml:space="preserve"> </w:t>
      </w:r>
    </w:p>
    <w:p w14:paraId="552D6ED2" w14:textId="77777777" w:rsidR="002B224C" w:rsidRPr="00CE1FCA" w:rsidRDefault="002B224C" w:rsidP="002B224C">
      <w:pPr>
        <w:spacing w:line="360" w:lineRule="auto"/>
        <w:jc w:val="both"/>
        <w:rPr>
          <w:rFonts w:ascii="Arial" w:hAnsi="Arial" w:cs="Arial"/>
          <w:sz w:val="24"/>
          <w:szCs w:val="24"/>
          <w:lang w:val="en-IN" w:eastAsia="en-IN"/>
        </w:rPr>
      </w:pPr>
      <w:r w:rsidRPr="00CE1FCA">
        <w:rPr>
          <w:rFonts w:ascii="Arial" w:hAnsi="Arial" w:cs="Arial"/>
          <w:sz w:val="24"/>
          <w:szCs w:val="24"/>
          <w:lang w:val="en-IN" w:eastAsia="en-IN"/>
        </w:rPr>
        <w:t xml:space="preserve">The current </w:t>
      </w:r>
      <w:r>
        <w:rPr>
          <w:rFonts w:ascii="Arial" w:hAnsi="Arial" w:cs="Arial"/>
          <w:sz w:val="24"/>
          <w:szCs w:val="24"/>
          <w:lang w:val="en-IN" w:eastAsia="en-IN"/>
        </w:rPr>
        <w:t xml:space="preserve">report has explored the demographic and geopolitical challenges in critical sectors and discussed technological advancements and their challenges. Implications of these challenges on HRM and IHRM are also described. Lastly, the </w:t>
      </w:r>
      <w:r w:rsidRPr="00CE1FCA">
        <w:rPr>
          <w:rFonts w:ascii="Arial" w:hAnsi="Arial" w:cs="Arial"/>
          <w:sz w:val="24"/>
          <w:szCs w:val="24"/>
          <w:lang w:val="en-IN" w:eastAsia="en-IN"/>
        </w:rPr>
        <w:t xml:space="preserve">reflective analysis has highlighted my ability and performance in today's globalized workplace, which demands continuous adaptation. </w:t>
      </w:r>
    </w:p>
    <w:p w14:paraId="4B0145BB" w14:textId="77777777" w:rsidR="002B224C" w:rsidRPr="00CE1FCA" w:rsidRDefault="002B224C" w:rsidP="002B224C">
      <w:pPr>
        <w:spacing w:after="160" w:line="360" w:lineRule="auto"/>
        <w:rPr>
          <w:rFonts w:ascii="Arial" w:hAnsi="Arial" w:cs="Arial"/>
          <w:sz w:val="24"/>
          <w:szCs w:val="24"/>
          <w:lang w:val="en-IN" w:eastAsia="en-IN"/>
        </w:rPr>
      </w:pPr>
      <w:r w:rsidRPr="00CE1FCA">
        <w:rPr>
          <w:rFonts w:ascii="Arial" w:hAnsi="Arial" w:cs="Arial"/>
          <w:sz w:val="24"/>
          <w:szCs w:val="24"/>
          <w:lang w:val="en-IN" w:eastAsia="en-IN"/>
        </w:rPr>
        <w:br w:type="page"/>
      </w:r>
    </w:p>
    <w:p w14:paraId="0ADCEFCD" w14:textId="77777777" w:rsidR="002B224C" w:rsidRPr="00400BBD" w:rsidRDefault="002B224C" w:rsidP="002B224C">
      <w:pPr>
        <w:pStyle w:val="Heading1"/>
        <w:rPr>
          <w:lang w:val="en-IN" w:eastAsia="en-IN"/>
        </w:rPr>
      </w:pPr>
      <w:bookmarkStart w:id="6" w:name="_Toc210926858"/>
      <w:r w:rsidRPr="00400BBD">
        <w:lastRenderedPageBreak/>
        <w:t>References</w:t>
      </w:r>
      <w:r w:rsidRPr="00CE1FCA">
        <w:rPr>
          <w:lang w:val="en-IN" w:eastAsia="en-IN"/>
        </w:rPr>
        <w:t xml:space="preserve"> </w:t>
      </w:r>
      <w:bookmarkEnd w:id="6"/>
    </w:p>
    <w:p w14:paraId="58E84F48"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Ahmad, S. and Wasim, S. (2023) ‘AGILE methodology in healthcare and medical practices: a narrative review’, </w:t>
      </w:r>
      <w:r w:rsidRPr="00400BBD">
        <w:rPr>
          <w:rFonts w:ascii="Arial" w:hAnsi="Arial" w:cs="Arial"/>
          <w:i/>
          <w:iCs/>
          <w:sz w:val="24"/>
          <w:szCs w:val="24"/>
          <w:lang w:val="en-IN" w:eastAsia="en-IN"/>
        </w:rPr>
        <w:t>Scholars International Journal of Traditional and Complementary Medicine</w:t>
      </w:r>
      <w:r w:rsidRPr="00400BBD">
        <w:rPr>
          <w:rFonts w:ascii="Arial" w:hAnsi="Arial" w:cs="Arial"/>
          <w:sz w:val="24"/>
          <w:szCs w:val="24"/>
          <w:lang w:val="en-IN" w:eastAsia="en-IN"/>
        </w:rPr>
        <w:t xml:space="preserve">, 6(8), pp.129–133. Available at: </w:t>
      </w:r>
      <w:hyperlink r:id="rId12" w:tgtFrame="_new" w:history="1">
        <w:r w:rsidRPr="00400BBD">
          <w:rPr>
            <w:rStyle w:val="Hyperlink"/>
            <w:rFonts w:ascii="Arial" w:hAnsi="Arial" w:cs="Arial"/>
            <w:sz w:val="24"/>
            <w:szCs w:val="24"/>
            <w:lang w:val="en-IN" w:eastAsia="en-IN"/>
          </w:rPr>
          <w:t>https://saudijournals.com/media/articles/SIJTCM_68_129-133.pdf</w:t>
        </w:r>
      </w:hyperlink>
      <w:r w:rsidRPr="00400BBD">
        <w:rPr>
          <w:rFonts w:ascii="Arial" w:hAnsi="Arial" w:cs="Arial"/>
          <w:sz w:val="24"/>
          <w:szCs w:val="24"/>
          <w:lang w:val="en-IN" w:eastAsia="en-IN"/>
        </w:rPr>
        <w:t xml:space="preserve"> (Accessed: 9 October 2025).</w:t>
      </w:r>
    </w:p>
    <w:p w14:paraId="633665C1"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Ahmed Mustafa, S., Mohamed Abd Allah, S. and Hassan Mahfouz, H. (2022) ‘Effect of applying experiential learning styles theory on nursing students’ critical thinking disposition and their attitude toward nursing profession’, </w:t>
      </w:r>
      <w:r w:rsidRPr="00400BBD">
        <w:rPr>
          <w:rFonts w:ascii="Arial" w:hAnsi="Arial" w:cs="Arial"/>
          <w:i/>
          <w:iCs/>
          <w:sz w:val="24"/>
          <w:szCs w:val="24"/>
          <w:lang w:val="en-IN" w:eastAsia="en-IN"/>
        </w:rPr>
        <w:t xml:space="preserve">Journal of Nursing Science </w:t>
      </w:r>
      <w:proofErr w:type="spellStart"/>
      <w:r w:rsidRPr="00400BBD">
        <w:rPr>
          <w:rFonts w:ascii="Arial" w:hAnsi="Arial" w:cs="Arial"/>
          <w:i/>
          <w:iCs/>
          <w:sz w:val="24"/>
          <w:szCs w:val="24"/>
          <w:lang w:val="en-IN" w:eastAsia="en-IN"/>
        </w:rPr>
        <w:t>Benha</w:t>
      </w:r>
      <w:proofErr w:type="spellEnd"/>
      <w:r w:rsidRPr="00400BBD">
        <w:rPr>
          <w:rFonts w:ascii="Arial" w:hAnsi="Arial" w:cs="Arial"/>
          <w:i/>
          <w:iCs/>
          <w:sz w:val="24"/>
          <w:szCs w:val="24"/>
          <w:lang w:val="en-IN" w:eastAsia="en-IN"/>
        </w:rPr>
        <w:t xml:space="preserve"> University</w:t>
      </w:r>
      <w:r w:rsidRPr="00400BBD">
        <w:rPr>
          <w:rFonts w:ascii="Arial" w:hAnsi="Arial" w:cs="Arial"/>
          <w:sz w:val="24"/>
          <w:szCs w:val="24"/>
          <w:lang w:val="en-IN" w:eastAsia="en-IN"/>
        </w:rPr>
        <w:t xml:space="preserve">, 3(2), pp.256–274. Available at: </w:t>
      </w:r>
      <w:hyperlink r:id="rId13" w:tgtFrame="_new" w:history="1">
        <w:r w:rsidRPr="00400BBD">
          <w:rPr>
            <w:rStyle w:val="Hyperlink"/>
            <w:rFonts w:ascii="Arial" w:hAnsi="Arial" w:cs="Arial"/>
            <w:sz w:val="24"/>
            <w:szCs w:val="24"/>
            <w:lang w:val="en-IN" w:eastAsia="en-IN"/>
          </w:rPr>
          <w:t>https://journals.ekb.eg/article_244339_b9acf7f222e0dba5a1186910613f7b63.pdf</w:t>
        </w:r>
      </w:hyperlink>
      <w:r w:rsidRPr="00400BBD">
        <w:rPr>
          <w:rFonts w:ascii="Arial" w:hAnsi="Arial" w:cs="Arial"/>
          <w:sz w:val="24"/>
          <w:szCs w:val="24"/>
          <w:lang w:val="en-IN" w:eastAsia="en-IN"/>
        </w:rPr>
        <w:t xml:space="preserve"> (Accessed: 9 October 2025).</w:t>
      </w:r>
    </w:p>
    <w:p w14:paraId="38EA8CD5"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Bain &amp; Company (2024) </w:t>
      </w:r>
      <w:r w:rsidRPr="00400BBD">
        <w:rPr>
          <w:rFonts w:ascii="Arial" w:hAnsi="Arial" w:cs="Arial"/>
          <w:i/>
          <w:iCs/>
          <w:sz w:val="24"/>
          <w:szCs w:val="24"/>
          <w:lang w:val="en-IN" w:eastAsia="en-IN"/>
        </w:rPr>
        <w:t xml:space="preserve">Businesses accelerate reshoring and near-shoring amid heightened geopolitical uncertainties and rising </w:t>
      </w:r>
      <w:proofErr w:type="gramStart"/>
      <w:r w:rsidRPr="00400BBD">
        <w:rPr>
          <w:rFonts w:ascii="Arial" w:hAnsi="Arial" w:cs="Arial"/>
          <w:i/>
          <w:iCs/>
          <w:sz w:val="24"/>
          <w:szCs w:val="24"/>
          <w:lang w:val="en-IN" w:eastAsia="en-IN"/>
        </w:rPr>
        <w:t>costs,</w:t>
      </w:r>
      <w:proofErr w:type="gramEnd"/>
      <w:r w:rsidRPr="00400BBD">
        <w:rPr>
          <w:rFonts w:ascii="Arial" w:hAnsi="Arial" w:cs="Arial"/>
          <w:i/>
          <w:iCs/>
          <w:sz w:val="24"/>
          <w:szCs w:val="24"/>
          <w:lang w:val="en-IN" w:eastAsia="en-IN"/>
        </w:rPr>
        <w:t xml:space="preserve"> Bain &amp; Company finds</w:t>
      </w:r>
      <w:r w:rsidRPr="00400BBD">
        <w:rPr>
          <w:rFonts w:ascii="Arial" w:hAnsi="Arial" w:cs="Arial"/>
          <w:sz w:val="24"/>
          <w:szCs w:val="24"/>
          <w:lang w:val="en-IN" w:eastAsia="en-IN"/>
        </w:rPr>
        <w:t xml:space="preserve">. Available at: </w:t>
      </w:r>
      <w:hyperlink r:id="rId14" w:tgtFrame="_new" w:history="1">
        <w:r w:rsidRPr="00400BBD">
          <w:rPr>
            <w:rStyle w:val="Hyperlink"/>
            <w:rFonts w:ascii="Arial" w:hAnsi="Arial" w:cs="Arial"/>
            <w:sz w:val="24"/>
            <w:szCs w:val="24"/>
            <w:lang w:val="en-IN" w:eastAsia="en-IN"/>
          </w:rPr>
          <w:t>https://www.bain.com/about/media-center/press-releases/2024/businesses-accelerate-reshoring-and-near-shoring-amid-heightened-geopolitical-uncertainties-and-rising-costs-bain--company-finds</w:t>
        </w:r>
      </w:hyperlink>
      <w:r w:rsidRPr="00400BBD">
        <w:rPr>
          <w:rFonts w:ascii="Arial" w:hAnsi="Arial" w:cs="Arial"/>
          <w:sz w:val="24"/>
          <w:szCs w:val="24"/>
          <w:lang w:val="en-IN" w:eastAsia="en-IN"/>
        </w:rPr>
        <w:t xml:space="preserve"> (Accessed: 9 October 2025).</w:t>
      </w:r>
    </w:p>
    <w:p w14:paraId="19299A8D"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Cárdenas, L. and Villanueva, P. (2021) ‘Flexibilization at the core to reduce labour market dualism: Evidence from the Spanish case’, </w:t>
      </w:r>
      <w:r w:rsidRPr="00400BBD">
        <w:rPr>
          <w:rFonts w:ascii="Arial" w:hAnsi="Arial" w:cs="Arial"/>
          <w:i/>
          <w:iCs/>
          <w:sz w:val="24"/>
          <w:szCs w:val="24"/>
          <w:lang w:val="en-IN" w:eastAsia="en-IN"/>
        </w:rPr>
        <w:t>British Journal of Industrial Relations</w:t>
      </w:r>
      <w:r w:rsidRPr="00400BBD">
        <w:rPr>
          <w:rFonts w:ascii="Arial" w:hAnsi="Arial" w:cs="Arial"/>
          <w:sz w:val="24"/>
          <w:szCs w:val="24"/>
          <w:lang w:val="en-IN" w:eastAsia="en-IN"/>
        </w:rPr>
        <w:t xml:space="preserve">, 59(1), pp.214–235. Available at: </w:t>
      </w:r>
      <w:hyperlink r:id="rId15" w:tgtFrame="_new" w:history="1">
        <w:r w:rsidRPr="00400BBD">
          <w:rPr>
            <w:rStyle w:val="Hyperlink"/>
            <w:rFonts w:ascii="Arial" w:hAnsi="Arial" w:cs="Arial"/>
            <w:sz w:val="24"/>
            <w:szCs w:val="24"/>
            <w:lang w:val="en-IN" w:eastAsia="en-IN"/>
          </w:rPr>
          <w:t>https://onlinelibrary.wiley.com/doi/full/10.1111/bjir.12541</w:t>
        </w:r>
      </w:hyperlink>
      <w:r w:rsidRPr="00400BBD">
        <w:rPr>
          <w:rFonts w:ascii="Arial" w:hAnsi="Arial" w:cs="Arial"/>
          <w:sz w:val="24"/>
          <w:szCs w:val="24"/>
          <w:lang w:val="en-IN" w:eastAsia="en-IN"/>
        </w:rPr>
        <w:t xml:space="preserve"> (Accessed: 9 October 2025).</w:t>
      </w:r>
    </w:p>
    <w:p w14:paraId="6C1ADE86"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Case, A. and Deaton, A. (2021) ‘Life expectancy in adulthood is falling for those without a BA degree, but as educational gaps have widened, racial gaps have narrowed’, </w:t>
      </w:r>
      <w:r w:rsidRPr="00400BBD">
        <w:rPr>
          <w:rFonts w:ascii="Arial" w:hAnsi="Arial" w:cs="Arial"/>
          <w:i/>
          <w:iCs/>
          <w:sz w:val="24"/>
          <w:szCs w:val="24"/>
          <w:lang w:val="en-IN" w:eastAsia="en-IN"/>
        </w:rPr>
        <w:t>Proceedings of the National Academy of Sciences</w:t>
      </w:r>
      <w:r w:rsidRPr="00400BBD">
        <w:rPr>
          <w:rFonts w:ascii="Arial" w:hAnsi="Arial" w:cs="Arial"/>
          <w:sz w:val="24"/>
          <w:szCs w:val="24"/>
          <w:lang w:val="en-IN" w:eastAsia="en-IN"/>
        </w:rPr>
        <w:t xml:space="preserve">, 118(11), p.e2024777118. Available at: </w:t>
      </w:r>
      <w:hyperlink r:id="rId16" w:tgtFrame="_new" w:history="1">
        <w:r w:rsidRPr="00400BBD">
          <w:rPr>
            <w:rStyle w:val="Hyperlink"/>
            <w:rFonts w:ascii="Arial" w:hAnsi="Arial" w:cs="Arial"/>
            <w:sz w:val="24"/>
            <w:szCs w:val="24"/>
            <w:lang w:val="en-IN" w:eastAsia="en-IN"/>
          </w:rPr>
          <w:t>https://www.pnas.org/doi/pdf/10.1073/pnas.2024777118</w:t>
        </w:r>
      </w:hyperlink>
      <w:r w:rsidRPr="00400BBD">
        <w:rPr>
          <w:rFonts w:ascii="Arial" w:hAnsi="Arial" w:cs="Arial"/>
          <w:sz w:val="24"/>
          <w:szCs w:val="24"/>
          <w:lang w:val="en-IN" w:eastAsia="en-IN"/>
        </w:rPr>
        <w:t xml:space="preserve"> (Accessed: 9 October 2025).</w:t>
      </w:r>
    </w:p>
    <w:p w14:paraId="5DD7A992"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Celestin, P. (2024) ‘Exploring the growth of freelance and gig workforces: Impacts on employment models and business risks’, </w:t>
      </w:r>
      <w:r w:rsidRPr="00400BBD">
        <w:rPr>
          <w:rFonts w:ascii="Arial" w:hAnsi="Arial" w:cs="Arial"/>
          <w:i/>
          <w:iCs/>
          <w:sz w:val="24"/>
          <w:szCs w:val="24"/>
          <w:lang w:val="en-IN" w:eastAsia="en-IN"/>
        </w:rPr>
        <w:t>Journal of Emerging Technologies and Industrial Applications</w:t>
      </w:r>
      <w:r w:rsidRPr="00400BBD">
        <w:rPr>
          <w:rFonts w:ascii="Arial" w:hAnsi="Arial" w:cs="Arial"/>
          <w:sz w:val="24"/>
          <w:szCs w:val="24"/>
          <w:lang w:val="en-IN" w:eastAsia="en-IN"/>
        </w:rPr>
        <w:t xml:space="preserve">, 3(2). Available at: </w:t>
      </w:r>
      <w:hyperlink r:id="rId17" w:tgtFrame="_new" w:history="1">
        <w:r w:rsidRPr="00400BBD">
          <w:rPr>
            <w:rStyle w:val="Hyperlink"/>
            <w:rFonts w:ascii="Arial" w:hAnsi="Arial" w:cs="Arial"/>
            <w:sz w:val="24"/>
            <w:szCs w:val="24"/>
            <w:lang w:val="en-IN" w:eastAsia="en-IN"/>
          </w:rPr>
          <w:t>https://doi.org/10.5281/zenodo.13955408</w:t>
        </w:r>
      </w:hyperlink>
      <w:r w:rsidRPr="00400BBD">
        <w:rPr>
          <w:rFonts w:ascii="Arial" w:hAnsi="Arial" w:cs="Arial"/>
          <w:sz w:val="24"/>
          <w:szCs w:val="24"/>
          <w:lang w:val="en-IN" w:eastAsia="en-IN"/>
        </w:rPr>
        <w:t xml:space="preserve"> (Accessed: 9 October 2025).</w:t>
      </w:r>
    </w:p>
    <w:p w14:paraId="35913FA6"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Deloitte Insights (2024) </w:t>
      </w:r>
      <w:r w:rsidRPr="00400BBD">
        <w:rPr>
          <w:rFonts w:ascii="Arial" w:hAnsi="Arial" w:cs="Arial"/>
          <w:i/>
          <w:iCs/>
          <w:sz w:val="24"/>
          <w:szCs w:val="24"/>
          <w:lang w:val="en-IN" w:eastAsia="en-IN"/>
        </w:rPr>
        <w:t>Global trade and the new geoeconomic reality</w:t>
      </w:r>
      <w:r w:rsidRPr="00400BBD">
        <w:rPr>
          <w:rFonts w:ascii="Arial" w:hAnsi="Arial" w:cs="Arial"/>
          <w:sz w:val="24"/>
          <w:szCs w:val="24"/>
          <w:lang w:val="en-IN" w:eastAsia="en-IN"/>
        </w:rPr>
        <w:t xml:space="preserve">. Available at: </w:t>
      </w:r>
      <w:hyperlink r:id="rId18" w:tgtFrame="_new" w:history="1">
        <w:r w:rsidRPr="00400BBD">
          <w:rPr>
            <w:rStyle w:val="Hyperlink"/>
            <w:rFonts w:ascii="Arial" w:hAnsi="Arial" w:cs="Arial"/>
            <w:sz w:val="24"/>
            <w:szCs w:val="24"/>
            <w:lang w:val="en-IN" w:eastAsia="en-IN"/>
          </w:rPr>
          <w:t>https://www.deloitte.com/us/en/insights/topics/business-strategy-growth/global-trade-trends-and-geopolitical-issues.html</w:t>
        </w:r>
      </w:hyperlink>
      <w:r w:rsidRPr="00400BBD">
        <w:rPr>
          <w:rFonts w:ascii="Arial" w:hAnsi="Arial" w:cs="Arial"/>
          <w:sz w:val="24"/>
          <w:szCs w:val="24"/>
          <w:lang w:val="en-IN" w:eastAsia="en-IN"/>
        </w:rPr>
        <w:t xml:space="preserve"> (Accessed: 9 October 2025).</w:t>
      </w:r>
    </w:p>
    <w:p w14:paraId="20439594" w14:textId="77777777" w:rsidR="002B224C" w:rsidRPr="00400BBD" w:rsidRDefault="002B224C" w:rsidP="002B224C">
      <w:pPr>
        <w:spacing w:line="360" w:lineRule="auto"/>
        <w:jc w:val="both"/>
        <w:rPr>
          <w:rFonts w:ascii="Arial" w:hAnsi="Arial" w:cs="Arial"/>
          <w:sz w:val="24"/>
          <w:szCs w:val="24"/>
          <w:lang w:val="en-IN" w:eastAsia="en-IN"/>
        </w:rPr>
      </w:pPr>
      <w:proofErr w:type="spellStart"/>
      <w:r w:rsidRPr="00400BBD">
        <w:rPr>
          <w:rFonts w:ascii="Arial" w:hAnsi="Arial" w:cs="Arial"/>
          <w:sz w:val="24"/>
          <w:szCs w:val="24"/>
          <w:lang w:val="en-IN" w:eastAsia="en-IN"/>
        </w:rPr>
        <w:lastRenderedPageBreak/>
        <w:t>Ererdi</w:t>
      </w:r>
      <w:proofErr w:type="spellEnd"/>
      <w:r w:rsidRPr="00400BBD">
        <w:rPr>
          <w:rFonts w:ascii="Arial" w:hAnsi="Arial" w:cs="Arial"/>
          <w:sz w:val="24"/>
          <w:szCs w:val="24"/>
          <w:lang w:val="en-IN" w:eastAsia="en-IN"/>
        </w:rPr>
        <w:t xml:space="preserve">, C., </w:t>
      </w:r>
      <w:proofErr w:type="spellStart"/>
      <w:r w:rsidRPr="00400BBD">
        <w:rPr>
          <w:rFonts w:ascii="Arial" w:hAnsi="Arial" w:cs="Arial"/>
          <w:sz w:val="24"/>
          <w:szCs w:val="24"/>
          <w:lang w:val="en-IN" w:eastAsia="en-IN"/>
        </w:rPr>
        <w:t>Nurgabdeshov</w:t>
      </w:r>
      <w:proofErr w:type="spellEnd"/>
      <w:r w:rsidRPr="00400BBD">
        <w:rPr>
          <w:rFonts w:ascii="Arial" w:hAnsi="Arial" w:cs="Arial"/>
          <w:sz w:val="24"/>
          <w:szCs w:val="24"/>
          <w:lang w:val="en-IN" w:eastAsia="en-IN"/>
        </w:rPr>
        <w:t xml:space="preserve">, A., </w:t>
      </w:r>
      <w:proofErr w:type="spellStart"/>
      <w:r w:rsidRPr="00400BBD">
        <w:rPr>
          <w:rFonts w:ascii="Arial" w:hAnsi="Arial" w:cs="Arial"/>
          <w:sz w:val="24"/>
          <w:szCs w:val="24"/>
          <w:lang w:val="en-IN" w:eastAsia="en-IN"/>
        </w:rPr>
        <w:t>Kozhakhmet</w:t>
      </w:r>
      <w:proofErr w:type="spellEnd"/>
      <w:r w:rsidRPr="00400BBD">
        <w:rPr>
          <w:rFonts w:ascii="Arial" w:hAnsi="Arial" w:cs="Arial"/>
          <w:sz w:val="24"/>
          <w:szCs w:val="24"/>
          <w:lang w:val="en-IN" w:eastAsia="en-IN"/>
        </w:rPr>
        <w:t xml:space="preserve">, S., </w:t>
      </w:r>
      <w:proofErr w:type="spellStart"/>
      <w:r w:rsidRPr="00400BBD">
        <w:rPr>
          <w:rFonts w:ascii="Arial" w:hAnsi="Arial" w:cs="Arial"/>
          <w:sz w:val="24"/>
          <w:szCs w:val="24"/>
          <w:lang w:val="en-IN" w:eastAsia="en-IN"/>
        </w:rPr>
        <w:t>Rofcanin</w:t>
      </w:r>
      <w:proofErr w:type="spellEnd"/>
      <w:r w:rsidRPr="00400BBD">
        <w:rPr>
          <w:rFonts w:ascii="Arial" w:hAnsi="Arial" w:cs="Arial"/>
          <w:sz w:val="24"/>
          <w:szCs w:val="24"/>
          <w:lang w:val="en-IN" w:eastAsia="en-IN"/>
        </w:rPr>
        <w:t xml:space="preserve">, Y. and </w:t>
      </w:r>
      <w:proofErr w:type="spellStart"/>
      <w:r w:rsidRPr="00400BBD">
        <w:rPr>
          <w:rFonts w:ascii="Arial" w:hAnsi="Arial" w:cs="Arial"/>
          <w:sz w:val="24"/>
          <w:szCs w:val="24"/>
          <w:lang w:val="en-IN" w:eastAsia="en-IN"/>
        </w:rPr>
        <w:t>Demirbag</w:t>
      </w:r>
      <w:proofErr w:type="spellEnd"/>
      <w:r w:rsidRPr="00400BBD">
        <w:rPr>
          <w:rFonts w:ascii="Arial" w:hAnsi="Arial" w:cs="Arial"/>
          <w:sz w:val="24"/>
          <w:szCs w:val="24"/>
          <w:lang w:val="en-IN" w:eastAsia="en-IN"/>
        </w:rPr>
        <w:t xml:space="preserve">, M. (2022) ‘International HRM in the context of uncertainty and crisis: A systematic review of literature (2000–2018)’, </w:t>
      </w:r>
      <w:r w:rsidRPr="00400BBD">
        <w:rPr>
          <w:rFonts w:ascii="Arial" w:hAnsi="Arial" w:cs="Arial"/>
          <w:i/>
          <w:iCs/>
          <w:sz w:val="24"/>
          <w:szCs w:val="24"/>
          <w:lang w:val="en-IN" w:eastAsia="en-IN"/>
        </w:rPr>
        <w:t>The International Journal of Human Resource Management</w:t>
      </w:r>
      <w:r w:rsidRPr="00400BBD">
        <w:rPr>
          <w:rFonts w:ascii="Arial" w:hAnsi="Arial" w:cs="Arial"/>
          <w:sz w:val="24"/>
          <w:szCs w:val="24"/>
          <w:lang w:val="en-IN" w:eastAsia="en-IN"/>
        </w:rPr>
        <w:t xml:space="preserve">, 33(12), pp.2503–2540. Available at: </w:t>
      </w:r>
      <w:hyperlink r:id="rId19" w:tgtFrame="_new" w:history="1">
        <w:r w:rsidRPr="00400BBD">
          <w:rPr>
            <w:rStyle w:val="Hyperlink"/>
            <w:rFonts w:ascii="Arial" w:hAnsi="Arial" w:cs="Arial"/>
            <w:sz w:val="24"/>
            <w:szCs w:val="24"/>
            <w:lang w:val="en-IN" w:eastAsia="en-IN"/>
          </w:rPr>
          <w:t>https://repository.essex.ac.uk/29323/1/IJHRM%20-%204th%20Revision-Final-Repository.pdf</w:t>
        </w:r>
      </w:hyperlink>
      <w:r w:rsidRPr="00400BBD">
        <w:rPr>
          <w:rFonts w:ascii="Arial" w:hAnsi="Arial" w:cs="Arial"/>
          <w:sz w:val="24"/>
          <w:szCs w:val="24"/>
          <w:lang w:val="en-IN" w:eastAsia="en-IN"/>
        </w:rPr>
        <w:t xml:space="preserve"> (Accessed: 9 October 2025).</w:t>
      </w:r>
    </w:p>
    <w:p w14:paraId="5BCE132C"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Foster, P. (2025) ‘Aggressive reshoring of supply chains risks significant GDP loss, warns OECD’, </w:t>
      </w:r>
      <w:r w:rsidRPr="00400BBD">
        <w:rPr>
          <w:rFonts w:ascii="Arial" w:hAnsi="Arial" w:cs="Arial"/>
          <w:i/>
          <w:iCs/>
          <w:sz w:val="24"/>
          <w:szCs w:val="24"/>
          <w:lang w:val="en-IN" w:eastAsia="en-IN"/>
        </w:rPr>
        <w:t>@Financial Times</w:t>
      </w:r>
      <w:r w:rsidRPr="00400BBD">
        <w:rPr>
          <w:rFonts w:ascii="Arial" w:hAnsi="Arial" w:cs="Arial"/>
          <w:sz w:val="24"/>
          <w:szCs w:val="24"/>
          <w:lang w:val="en-IN" w:eastAsia="en-IN"/>
        </w:rPr>
        <w:t xml:space="preserve">. Available at: </w:t>
      </w:r>
      <w:hyperlink r:id="rId20" w:tgtFrame="_new" w:history="1">
        <w:r w:rsidRPr="00400BBD">
          <w:rPr>
            <w:rStyle w:val="Hyperlink"/>
            <w:rFonts w:ascii="Arial" w:hAnsi="Arial" w:cs="Arial"/>
            <w:sz w:val="24"/>
            <w:szCs w:val="24"/>
            <w:lang w:val="en-IN" w:eastAsia="en-IN"/>
          </w:rPr>
          <w:t>https://www.ft.com/content/e930fdce-367c-4e23-9967-9181b5cf43bc</w:t>
        </w:r>
      </w:hyperlink>
      <w:r w:rsidRPr="00400BBD">
        <w:rPr>
          <w:rFonts w:ascii="Arial" w:hAnsi="Arial" w:cs="Arial"/>
          <w:sz w:val="24"/>
          <w:szCs w:val="24"/>
          <w:lang w:val="en-IN" w:eastAsia="en-IN"/>
        </w:rPr>
        <w:t xml:space="preserve"> (Accessed: 9 October 2025).</w:t>
      </w:r>
    </w:p>
    <w:p w14:paraId="0BC278F9"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Gray, A. (2024) ‘UK employment levels amongst the over 50s at an all-time high and growing faster than all other age groups’, </w:t>
      </w:r>
      <w:r w:rsidRPr="00400BBD">
        <w:rPr>
          <w:rFonts w:ascii="Arial" w:hAnsi="Arial" w:cs="Arial"/>
          <w:i/>
          <w:iCs/>
          <w:sz w:val="24"/>
          <w:szCs w:val="24"/>
          <w:lang w:val="en-IN" w:eastAsia="en-IN"/>
        </w:rPr>
        <w:t>Rest Less</w:t>
      </w:r>
      <w:r w:rsidRPr="00400BBD">
        <w:rPr>
          <w:rFonts w:ascii="Arial" w:hAnsi="Arial" w:cs="Arial"/>
          <w:sz w:val="24"/>
          <w:szCs w:val="24"/>
          <w:lang w:val="en-IN" w:eastAsia="en-IN"/>
        </w:rPr>
        <w:t xml:space="preserve">. Available at: </w:t>
      </w:r>
      <w:hyperlink r:id="rId21" w:tgtFrame="_new" w:history="1">
        <w:r w:rsidRPr="00400BBD">
          <w:rPr>
            <w:rStyle w:val="Hyperlink"/>
            <w:rFonts w:ascii="Arial" w:hAnsi="Arial" w:cs="Arial"/>
            <w:sz w:val="24"/>
            <w:szCs w:val="24"/>
            <w:lang w:val="en-IN" w:eastAsia="en-IN"/>
          </w:rPr>
          <w:t>https://restless.co.uk/press/uk-employment-levels-amongst-the-over-50s-at-an-all-time-highand-growing-faster-than-all-other-age-groups/</w:t>
        </w:r>
      </w:hyperlink>
      <w:r w:rsidRPr="00400BBD">
        <w:rPr>
          <w:rFonts w:ascii="Arial" w:hAnsi="Arial" w:cs="Arial"/>
          <w:sz w:val="24"/>
          <w:szCs w:val="24"/>
          <w:lang w:val="en-IN" w:eastAsia="en-IN"/>
        </w:rPr>
        <w:t xml:space="preserve"> (Accessed: 9 October 2025).</w:t>
      </w:r>
    </w:p>
    <w:p w14:paraId="3EA790D8"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Kolhe, D. and Bhat, A. (2024) ‘Recruitment and selection in a global market: Economic costs and psychological competencies’, </w:t>
      </w:r>
      <w:r w:rsidRPr="00400BBD">
        <w:rPr>
          <w:rFonts w:ascii="Arial" w:hAnsi="Arial" w:cs="Arial"/>
          <w:i/>
          <w:iCs/>
          <w:sz w:val="24"/>
          <w:szCs w:val="24"/>
          <w:lang w:val="en-IN" w:eastAsia="en-IN"/>
        </w:rPr>
        <w:t>International Journal of Intellectual Human Resource Management (IJIHRM)</w:t>
      </w:r>
      <w:r w:rsidRPr="00400BBD">
        <w:rPr>
          <w:rFonts w:ascii="Arial" w:hAnsi="Arial" w:cs="Arial"/>
          <w:sz w:val="24"/>
          <w:szCs w:val="24"/>
          <w:lang w:val="en-IN" w:eastAsia="en-IN"/>
        </w:rPr>
        <w:t xml:space="preserve">, 5(2), pp.15–29. Available at: </w:t>
      </w:r>
      <w:hyperlink r:id="rId22" w:tgtFrame="_new" w:history="1">
        <w:r w:rsidRPr="00400BBD">
          <w:rPr>
            <w:rStyle w:val="Hyperlink"/>
            <w:rFonts w:ascii="Arial" w:hAnsi="Arial" w:cs="Arial"/>
            <w:sz w:val="24"/>
            <w:szCs w:val="24"/>
            <w:lang w:val="en-IN" w:eastAsia="en-IN"/>
          </w:rPr>
          <w:t>https://journals.gulfuniversity.org/index.php/ijihrm/article/view/261</w:t>
        </w:r>
      </w:hyperlink>
      <w:r w:rsidRPr="00400BBD">
        <w:rPr>
          <w:rFonts w:ascii="Arial" w:hAnsi="Arial" w:cs="Arial"/>
          <w:sz w:val="24"/>
          <w:szCs w:val="24"/>
          <w:lang w:val="en-IN" w:eastAsia="en-IN"/>
        </w:rPr>
        <w:t xml:space="preserve"> (Accessed: 9 October 2025).</w:t>
      </w:r>
    </w:p>
    <w:p w14:paraId="3D6C84A3"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Miao, L. (2021) ‘Global talent mobility: Trends, challenges and proposed global governance solutions’, in </w:t>
      </w:r>
      <w:r w:rsidRPr="00400BBD">
        <w:rPr>
          <w:rFonts w:ascii="Arial" w:hAnsi="Arial" w:cs="Arial"/>
          <w:i/>
          <w:iCs/>
          <w:sz w:val="24"/>
          <w:szCs w:val="24"/>
          <w:lang w:val="en-IN" w:eastAsia="en-IN"/>
        </w:rPr>
        <w:t>Consensus or Conflict</w:t>
      </w:r>
      <w:r w:rsidRPr="00400BBD">
        <w:rPr>
          <w:rFonts w:ascii="Arial" w:hAnsi="Arial" w:cs="Arial"/>
          <w:sz w:val="24"/>
          <w:szCs w:val="24"/>
          <w:lang w:val="en-IN" w:eastAsia="en-IN"/>
        </w:rPr>
        <w:t xml:space="preserve">, p.191. Available at: </w:t>
      </w:r>
      <w:hyperlink r:id="rId23" w:tgtFrame="_new" w:history="1">
        <w:r w:rsidRPr="00400BBD">
          <w:rPr>
            <w:rStyle w:val="Hyperlink"/>
            <w:rFonts w:ascii="Arial" w:hAnsi="Arial" w:cs="Arial"/>
            <w:sz w:val="24"/>
            <w:szCs w:val="24"/>
            <w:lang w:val="en-IN" w:eastAsia="en-IN"/>
          </w:rPr>
          <w:t>http://www.springer.com/series/16735</w:t>
        </w:r>
      </w:hyperlink>
      <w:r w:rsidRPr="00400BBD">
        <w:rPr>
          <w:rFonts w:ascii="Arial" w:hAnsi="Arial" w:cs="Arial"/>
          <w:sz w:val="24"/>
          <w:szCs w:val="24"/>
          <w:lang w:val="en-IN" w:eastAsia="en-IN"/>
        </w:rPr>
        <w:t xml:space="preserve"> (Accessed: 9 October 2025).</w:t>
      </w:r>
    </w:p>
    <w:p w14:paraId="072936B6"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Ouyang, S., Zhang, W., Xue, L., Rashid, A.M., Pyng, H.S. and Hassan, A.B. (2025) ‘The cultural compass: A systematic review on cultural dimensions theory in educational settings’, </w:t>
      </w:r>
      <w:r w:rsidRPr="00400BBD">
        <w:rPr>
          <w:rFonts w:ascii="Arial" w:hAnsi="Arial" w:cs="Arial"/>
          <w:i/>
          <w:iCs/>
          <w:sz w:val="24"/>
          <w:szCs w:val="24"/>
          <w:lang w:val="en-IN" w:eastAsia="en-IN"/>
        </w:rPr>
        <w:t>SAGE Open</w:t>
      </w:r>
      <w:r w:rsidRPr="00400BBD">
        <w:rPr>
          <w:rFonts w:ascii="Arial" w:hAnsi="Arial" w:cs="Arial"/>
          <w:sz w:val="24"/>
          <w:szCs w:val="24"/>
          <w:lang w:val="en-IN" w:eastAsia="en-IN"/>
        </w:rPr>
        <w:t xml:space="preserve">, 15(2), p.21582440251342160. Available at: </w:t>
      </w:r>
      <w:hyperlink r:id="rId24" w:tgtFrame="_new" w:history="1">
        <w:r w:rsidRPr="00400BBD">
          <w:rPr>
            <w:rStyle w:val="Hyperlink"/>
            <w:rFonts w:ascii="Arial" w:hAnsi="Arial" w:cs="Arial"/>
            <w:sz w:val="24"/>
            <w:szCs w:val="24"/>
            <w:lang w:val="en-IN" w:eastAsia="en-IN"/>
          </w:rPr>
          <w:t>https://journals.sagepub.com/doi/full/10.1177/21582440251342160</w:t>
        </w:r>
      </w:hyperlink>
      <w:r w:rsidRPr="00400BBD">
        <w:rPr>
          <w:rFonts w:ascii="Arial" w:hAnsi="Arial" w:cs="Arial"/>
          <w:sz w:val="24"/>
          <w:szCs w:val="24"/>
          <w:lang w:val="en-IN" w:eastAsia="en-IN"/>
        </w:rPr>
        <w:t xml:space="preserve"> (Accessed: 9 October 2025).</w:t>
      </w:r>
    </w:p>
    <w:p w14:paraId="5324A142"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Pellitteri, J. (2021) ‘Emotional intelligence and leadership styles in education’, </w:t>
      </w:r>
      <w:r w:rsidRPr="00400BBD">
        <w:rPr>
          <w:rFonts w:ascii="Arial" w:hAnsi="Arial" w:cs="Arial"/>
          <w:i/>
          <w:iCs/>
          <w:sz w:val="24"/>
          <w:szCs w:val="24"/>
          <w:lang w:val="en-IN" w:eastAsia="en-IN"/>
        </w:rPr>
        <w:t>Psychology &amp; Its Contexts/</w:t>
      </w:r>
      <w:proofErr w:type="spellStart"/>
      <w:r w:rsidRPr="00400BBD">
        <w:rPr>
          <w:rFonts w:ascii="Arial" w:hAnsi="Arial" w:cs="Arial"/>
          <w:i/>
          <w:iCs/>
          <w:sz w:val="24"/>
          <w:szCs w:val="24"/>
          <w:lang w:val="en-IN" w:eastAsia="en-IN"/>
        </w:rPr>
        <w:t>Psychologie</w:t>
      </w:r>
      <w:proofErr w:type="spellEnd"/>
      <w:r w:rsidRPr="00400BBD">
        <w:rPr>
          <w:rFonts w:ascii="Arial" w:hAnsi="Arial" w:cs="Arial"/>
          <w:i/>
          <w:iCs/>
          <w:sz w:val="24"/>
          <w:szCs w:val="24"/>
          <w:lang w:val="en-IN" w:eastAsia="en-IN"/>
        </w:rPr>
        <w:t xml:space="preserve"> a </w:t>
      </w:r>
      <w:proofErr w:type="spellStart"/>
      <w:r w:rsidRPr="00400BBD">
        <w:rPr>
          <w:rFonts w:ascii="Arial" w:hAnsi="Arial" w:cs="Arial"/>
          <w:i/>
          <w:iCs/>
          <w:sz w:val="24"/>
          <w:szCs w:val="24"/>
          <w:lang w:val="en-IN" w:eastAsia="en-IN"/>
        </w:rPr>
        <w:t>Její</w:t>
      </w:r>
      <w:proofErr w:type="spellEnd"/>
      <w:r w:rsidRPr="00400BBD">
        <w:rPr>
          <w:rFonts w:ascii="Arial" w:hAnsi="Arial" w:cs="Arial"/>
          <w:i/>
          <w:iCs/>
          <w:sz w:val="24"/>
          <w:szCs w:val="24"/>
          <w:lang w:val="en-IN" w:eastAsia="en-IN"/>
        </w:rPr>
        <w:t xml:space="preserve"> </w:t>
      </w:r>
      <w:proofErr w:type="spellStart"/>
      <w:r w:rsidRPr="00400BBD">
        <w:rPr>
          <w:rFonts w:ascii="Arial" w:hAnsi="Arial" w:cs="Arial"/>
          <w:i/>
          <w:iCs/>
          <w:sz w:val="24"/>
          <w:szCs w:val="24"/>
          <w:lang w:val="en-IN" w:eastAsia="en-IN"/>
        </w:rPr>
        <w:t>Kontexty</w:t>
      </w:r>
      <w:proofErr w:type="spellEnd"/>
      <w:r w:rsidRPr="00400BBD">
        <w:rPr>
          <w:rFonts w:ascii="Arial" w:hAnsi="Arial" w:cs="Arial"/>
          <w:sz w:val="24"/>
          <w:szCs w:val="24"/>
          <w:lang w:val="en-IN" w:eastAsia="en-IN"/>
        </w:rPr>
        <w:t xml:space="preserve">, 12(2). Available at: </w:t>
      </w:r>
      <w:hyperlink r:id="rId25" w:tgtFrame="_new" w:history="1">
        <w:r w:rsidRPr="00400BBD">
          <w:rPr>
            <w:rStyle w:val="Hyperlink"/>
            <w:rFonts w:ascii="Arial" w:hAnsi="Arial" w:cs="Arial"/>
            <w:sz w:val="24"/>
            <w:szCs w:val="24"/>
            <w:lang w:val="en-IN" w:eastAsia="en-IN"/>
          </w:rPr>
          <w:t>https://www.researchgate.net/publication/360623157_Emotional_Intelligence_and_Leadership_Styles_in_Education</w:t>
        </w:r>
      </w:hyperlink>
      <w:r w:rsidRPr="00400BBD">
        <w:rPr>
          <w:rFonts w:ascii="Arial" w:hAnsi="Arial" w:cs="Arial"/>
          <w:sz w:val="24"/>
          <w:szCs w:val="24"/>
          <w:lang w:val="en-IN" w:eastAsia="en-IN"/>
        </w:rPr>
        <w:t xml:space="preserve"> (Accessed: 9 October 2025).</w:t>
      </w:r>
    </w:p>
    <w:p w14:paraId="3F4B4335"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Plc, B. (2024) ‘BT Group’s My Campus personalised learning platform harnesses AI with Degreed’, </w:t>
      </w:r>
      <w:r w:rsidRPr="00400BBD">
        <w:rPr>
          <w:rFonts w:ascii="Arial" w:hAnsi="Arial" w:cs="Arial"/>
          <w:i/>
          <w:iCs/>
          <w:sz w:val="24"/>
          <w:szCs w:val="24"/>
          <w:lang w:val="en-IN" w:eastAsia="en-IN"/>
        </w:rPr>
        <w:t>BT Group Newsroom</w:t>
      </w:r>
      <w:r w:rsidRPr="00400BBD">
        <w:rPr>
          <w:rFonts w:ascii="Arial" w:hAnsi="Arial" w:cs="Arial"/>
          <w:sz w:val="24"/>
          <w:szCs w:val="24"/>
          <w:lang w:val="en-IN" w:eastAsia="en-IN"/>
        </w:rPr>
        <w:t xml:space="preserve">, 1 July. Available at: </w:t>
      </w:r>
      <w:hyperlink r:id="rId26" w:tgtFrame="_new" w:history="1">
        <w:r w:rsidRPr="00400BBD">
          <w:rPr>
            <w:rStyle w:val="Hyperlink"/>
            <w:rFonts w:ascii="Arial" w:hAnsi="Arial" w:cs="Arial"/>
            <w:sz w:val="24"/>
            <w:szCs w:val="24"/>
            <w:lang w:val="en-IN" w:eastAsia="en-IN"/>
          </w:rPr>
          <w:t>https://newsroom.bt.com/bt-groups-</w:t>
        </w:r>
        <w:r w:rsidRPr="00400BBD">
          <w:rPr>
            <w:rStyle w:val="Hyperlink"/>
            <w:rFonts w:ascii="Arial" w:hAnsi="Arial" w:cs="Arial"/>
            <w:sz w:val="24"/>
            <w:szCs w:val="24"/>
            <w:lang w:val="en-IN" w:eastAsia="en-IN"/>
          </w:rPr>
          <w:lastRenderedPageBreak/>
          <w:t>my-campus-personalised-learning-platform-harnesses-ai-with-degreed/</w:t>
        </w:r>
      </w:hyperlink>
      <w:r w:rsidRPr="00400BBD">
        <w:rPr>
          <w:rFonts w:ascii="Arial" w:hAnsi="Arial" w:cs="Arial"/>
          <w:sz w:val="24"/>
          <w:szCs w:val="24"/>
          <w:lang w:val="en-IN" w:eastAsia="en-IN"/>
        </w:rPr>
        <w:t xml:space="preserve"> (Accessed: 9 October 2025).</w:t>
      </w:r>
    </w:p>
    <w:p w14:paraId="455E271D"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Rodon </w:t>
      </w:r>
      <w:proofErr w:type="spellStart"/>
      <w:r w:rsidRPr="00400BBD">
        <w:rPr>
          <w:rFonts w:ascii="Arial" w:hAnsi="Arial" w:cs="Arial"/>
          <w:sz w:val="24"/>
          <w:szCs w:val="24"/>
          <w:lang w:val="en-IN" w:eastAsia="en-IN"/>
        </w:rPr>
        <w:t>Modol</w:t>
      </w:r>
      <w:proofErr w:type="spellEnd"/>
      <w:r w:rsidRPr="00400BBD">
        <w:rPr>
          <w:rFonts w:ascii="Arial" w:hAnsi="Arial" w:cs="Arial"/>
          <w:sz w:val="24"/>
          <w:szCs w:val="24"/>
          <w:lang w:val="en-IN" w:eastAsia="en-IN"/>
        </w:rPr>
        <w:t xml:space="preserve">, J. and Eaton, B. (2021) ‘Digital infrastructure evolution as generative entrenchment: The formation of a core–periphery structure’, </w:t>
      </w:r>
      <w:r w:rsidRPr="00400BBD">
        <w:rPr>
          <w:rFonts w:ascii="Arial" w:hAnsi="Arial" w:cs="Arial"/>
          <w:i/>
          <w:iCs/>
          <w:sz w:val="24"/>
          <w:szCs w:val="24"/>
          <w:lang w:val="en-IN" w:eastAsia="en-IN"/>
        </w:rPr>
        <w:t>Journal of Information Technology</w:t>
      </w:r>
      <w:r w:rsidRPr="00400BBD">
        <w:rPr>
          <w:rFonts w:ascii="Arial" w:hAnsi="Arial" w:cs="Arial"/>
          <w:sz w:val="24"/>
          <w:szCs w:val="24"/>
          <w:lang w:val="en-IN" w:eastAsia="en-IN"/>
        </w:rPr>
        <w:t xml:space="preserve">, 36(4), pp.342–364. Available at: </w:t>
      </w:r>
      <w:hyperlink r:id="rId27" w:tgtFrame="_new" w:history="1">
        <w:r w:rsidRPr="00400BBD">
          <w:rPr>
            <w:rStyle w:val="Hyperlink"/>
            <w:rFonts w:ascii="Arial" w:hAnsi="Arial" w:cs="Arial"/>
            <w:sz w:val="24"/>
            <w:szCs w:val="24"/>
            <w:lang w:val="en-IN" w:eastAsia="en-IN"/>
          </w:rPr>
          <w:t>https://journals.sagepub.com/doi/abs/10.1177/02683962211013362</w:t>
        </w:r>
      </w:hyperlink>
      <w:r w:rsidRPr="00400BBD">
        <w:rPr>
          <w:rFonts w:ascii="Arial" w:hAnsi="Arial" w:cs="Arial"/>
          <w:sz w:val="24"/>
          <w:szCs w:val="24"/>
          <w:lang w:val="en-IN" w:eastAsia="en-IN"/>
        </w:rPr>
        <w:t xml:space="preserve"> (Accessed: 9 October 2025).</w:t>
      </w:r>
    </w:p>
    <w:p w14:paraId="480F5BBA"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Schulte, A. (2025) </w:t>
      </w:r>
      <w:r w:rsidRPr="00400BBD">
        <w:rPr>
          <w:rFonts w:ascii="Arial" w:hAnsi="Arial" w:cs="Arial"/>
          <w:i/>
          <w:iCs/>
          <w:sz w:val="24"/>
          <w:szCs w:val="24"/>
          <w:lang w:val="en-IN" w:eastAsia="en-IN"/>
        </w:rPr>
        <w:t>HR case studies: Adapting to crisis in a changing world</w:t>
      </w:r>
      <w:r w:rsidRPr="00400BBD">
        <w:rPr>
          <w:rFonts w:ascii="Arial" w:hAnsi="Arial" w:cs="Arial"/>
          <w:sz w:val="24"/>
          <w:szCs w:val="24"/>
          <w:lang w:val="en-IN" w:eastAsia="en-IN"/>
        </w:rPr>
        <w:t xml:space="preserve">. </w:t>
      </w:r>
      <w:proofErr w:type="spellStart"/>
      <w:r w:rsidRPr="00400BBD">
        <w:rPr>
          <w:rFonts w:ascii="Arial" w:hAnsi="Arial" w:cs="Arial"/>
          <w:i/>
          <w:iCs/>
          <w:sz w:val="24"/>
          <w:szCs w:val="24"/>
          <w:lang w:val="en-IN" w:eastAsia="en-IN"/>
        </w:rPr>
        <w:t>Centuro</w:t>
      </w:r>
      <w:proofErr w:type="spellEnd"/>
      <w:r w:rsidRPr="00400BBD">
        <w:rPr>
          <w:rFonts w:ascii="Arial" w:hAnsi="Arial" w:cs="Arial"/>
          <w:i/>
          <w:iCs/>
          <w:sz w:val="24"/>
          <w:szCs w:val="24"/>
          <w:lang w:val="en-IN" w:eastAsia="en-IN"/>
        </w:rPr>
        <w:t xml:space="preserve"> Global</w:t>
      </w:r>
      <w:r w:rsidRPr="00400BBD">
        <w:rPr>
          <w:rFonts w:ascii="Arial" w:hAnsi="Arial" w:cs="Arial"/>
          <w:sz w:val="24"/>
          <w:szCs w:val="24"/>
          <w:lang w:val="en-IN" w:eastAsia="en-IN"/>
        </w:rPr>
        <w:t xml:space="preserve">. Available at: </w:t>
      </w:r>
      <w:hyperlink r:id="rId28" w:tgtFrame="_new" w:history="1">
        <w:r w:rsidRPr="00400BBD">
          <w:rPr>
            <w:rStyle w:val="Hyperlink"/>
            <w:rFonts w:ascii="Arial" w:hAnsi="Arial" w:cs="Arial"/>
            <w:sz w:val="24"/>
            <w:szCs w:val="24"/>
            <w:lang w:val="en-IN" w:eastAsia="en-IN"/>
          </w:rPr>
          <w:t>https://www.centuroglobal.com/article/hr-case-studies-2024/</w:t>
        </w:r>
      </w:hyperlink>
      <w:r w:rsidRPr="00400BBD">
        <w:rPr>
          <w:rFonts w:ascii="Arial" w:hAnsi="Arial" w:cs="Arial"/>
          <w:sz w:val="24"/>
          <w:szCs w:val="24"/>
          <w:lang w:val="en-IN" w:eastAsia="en-IN"/>
        </w:rPr>
        <w:t xml:space="preserve"> (Accessed: 9 October 2025).</w:t>
      </w:r>
    </w:p>
    <w:p w14:paraId="103EC065"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Sharef, N.M., Yahaya, W.A.W. and Alli, H. (2024) ‘Future-proofing workforce: High-skilled talent development strategies’, </w:t>
      </w:r>
      <w:r w:rsidRPr="00400BBD">
        <w:rPr>
          <w:rFonts w:ascii="Arial" w:hAnsi="Arial" w:cs="Arial"/>
          <w:i/>
          <w:iCs/>
          <w:sz w:val="24"/>
          <w:szCs w:val="24"/>
          <w:lang w:val="en-IN" w:eastAsia="en-IN"/>
        </w:rPr>
        <w:t>Journal of Emerging Technologies and Industrial Applications</w:t>
      </w:r>
      <w:r w:rsidRPr="00400BBD">
        <w:rPr>
          <w:rFonts w:ascii="Arial" w:hAnsi="Arial" w:cs="Arial"/>
          <w:sz w:val="24"/>
          <w:szCs w:val="24"/>
          <w:lang w:val="en-IN" w:eastAsia="en-IN"/>
        </w:rPr>
        <w:t xml:space="preserve">, 3(2). Available at: </w:t>
      </w:r>
      <w:hyperlink r:id="rId29" w:tgtFrame="_new" w:history="1">
        <w:r w:rsidRPr="00400BBD">
          <w:rPr>
            <w:rStyle w:val="Hyperlink"/>
            <w:rFonts w:ascii="Arial" w:hAnsi="Arial" w:cs="Arial"/>
            <w:sz w:val="24"/>
            <w:szCs w:val="24"/>
            <w:lang w:val="en-IN" w:eastAsia="en-IN"/>
          </w:rPr>
          <w:t>https://jetia.mbot.org.my/index.php/jetia/article/view/35</w:t>
        </w:r>
      </w:hyperlink>
      <w:r w:rsidRPr="00400BBD">
        <w:rPr>
          <w:rFonts w:ascii="Arial" w:hAnsi="Arial" w:cs="Arial"/>
          <w:sz w:val="24"/>
          <w:szCs w:val="24"/>
          <w:lang w:val="en-IN" w:eastAsia="en-IN"/>
        </w:rPr>
        <w:t xml:space="preserve"> (Accessed: 9 October 2025).</w:t>
      </w:r>
    </w:p>
    <w:p w14:paraId="5267A3A7" w14:textId="77777777" w:rsidR="002B224C" w:rsidRPr="00400BBD" w:rsidRDefault="002B224C" w:rsidP="002B224C">
      <w:pPr>
        <w:spacing w:line="360" w:lineRule="auto"/>
        <w:jc w:val="both"/>
        <w:rPr>
          <w:rFonts w:ascii="Arial" w:hAnsi="Arial" w:cs="Arial"/>
          <w:sz w:val="24"/>
          <w:szCs w:val="24"/>
          <w:lang w:val="en-IN" w:eastAsia="en-IN"/>
        </w:rPr>
      </w:pPr>
      <w:r w:rsidRPr="00400BBD">
        <w:rPr>
          <w:rFonts w:ascii="Arial" w:hAnsi="Arial" w:cs="Arial"/>
          <w:sz w:val="24"/>
          <w:szCs w:val="24"/>
          <w:lang w:val="en-IN" w:eastAsia="en-IN"/>
        </w:rPr>
        <w:t xml:space="preserve">Silo, T. (2021) </w:t>
      </w:r>
      <w:r w:rsidRPr="00400BBD">
        <w:rPr>
          <w:rFonts w:ascii="Arial" w:hAnsi="Arial" w:cs="Arial"/>
          <w:i/>
          <w:iCs/>
          <w:sz w:val="24"/>
          <w:szCs w:val="24"/>
          <w:lang w:val="en-IN" w:eastAsia="en-IN"/>
        </w:rPr>
        <w:t>An investigation into the human capital perspective of project management – ensuring project success within selected financial organisations in Botswana</w:t>
      </w:r>
      <w:r w:rsidRPr="00400BBD">
        <w:rPr>
          <w:rFonts w:ascii="Arial" w:hAnsi="Arial" w:cs="Arial"/>
          <w:sz w:val="24"/>
          <w:szCs w:val="24"/>
          <w:lang w:val="en-IN" w:eastAsia="en-IN"/>
        </w:rPr>
        <w:t xml:space="preserve">. Available at: </w:t>
      </w:r>
      <w:hyperlink r:id="rId30" w:tgtFrame="_new" w:history="1">
        <w:r w:rsidRPr="00400BBD">
          <w:rPr>
            <w:rStyle w:val="Hyperlink"/>
            <w:rFonts w:ascii="Arial" w:hAnsi="Arial" w:cs="Arial"/>
            <w:sz w:val="24"/>
            <w:szCs w:val="24"/>
            <w:lang w:val="en-IN" w:eastAsia="en-IN"/>
          </w:rPr>
          <w:t>https://open.uct.ac.za/handle/11427/36116</w:t>
        </w:r>
      </w:hyperlink>
      <w:r w:rsidRPr="00400BBD">
        <w:rPr>
          <w:rFonts w:ascii="Arial" w:hAnsi="Arial" w:cs="Arial"/>
          <w:sz w:val="24"/>
          <w:szCs w:val="24"/>
          <w:lang w:val="en-IN" w:eastAsia="en-IN"/>
        </w:rPr>
        <w:t xml:space="preserve"> (Accessed: 9 October 2025).</w:t>
      </w:r>
    </w:p>
    <w:p w14:paraId="6CFE2A03" w14:textId="77777777" w:rsidR="002B224C" w:rsidRPr="00400BBD" w:rsidRDefault="002B224C" w:rsidP="002B224C">
      <w:pPr>
        <w:spacing w:line="360" w:lineRule="auto"/>
        <w:jc w:val="both"/>
        <w:rPr>
          <w:rFonts w:ascii="Arial" w:hAnsi="Arial" w:cs="Arial"/>
          <w:sz w:val="24"/>
          <w:szCs w:val="24"/>
          <w:lang w:val="en-IN" w:eastAsia="en-IN"/>
        </w:rPr>
      </w:pPr>
      <w:proofErr w:type="spellStart"/>
      <w:r w:rsidRPr="00400BBD">
        <w:rPr>
          <w:rFonts w:ascii="Arial" w:hAnsi="Arial" w:cs="Arial"/>
          <w:sz w:val="24"/>
          <w:szCs w:val="24"/>
          <w:lang w:val="en-IN" w:eastAsia="en-IN"/>
        </w:rPr>
        <w:t>Vizmonte</w:t>
      </w:r>
      <w:proofErr w:type="spellEnd"/>
      <w:r w:rsidRPr="00400BBD">
        <w:rPr>
          <w:rFonts w:ascii="Arial" w:hAnsi="Arial" w:cs="Arial"/>
          <w:sz w:val="24"/>
          <w:szCs w:val="24"/>
          <w:lang w:val="en-IN" w:eastAsia="en-IN"/>
        </w:rPr>
        <w:t xml:space="preserve">, E.J. and </w:t>
      </w:r>
      <w:proofErr w:type="spellStart"/>
      <w:r w:rsidRPr="00400BBD">
        <w:rPr>
          <w:rFonts w:ascii="Arial" w:hAnsi="Arial" w:cs="Arial"/>
          <w:sz w:val="24"/>
          <w:szCs w:val="24"/>
          <w:lang w:val="en-IN" w:eastAsia="en-IN"/>
        </w:rPr>
        <w:t>Ligot</w:t>
      </w:r>
      <w:proofErr w:type="spellEnd"/>
      <w:r w:rsidRPr="00400BBD">
        <w:rPr>
          <w:rFonts w:ascii="Arial" w:hAnsi="Arial" w:cs="Arial"/>
          <w:sz w:val="24"/>
          <w:szCs w:val="24"/>
          <w:lang w:val="en-IN" w:eastAsia="en-IN"/>
        </w:rPr>
        <w:t xml:space="preserve">, D.V. (2024) ‘Analysing the relationship between cultural dimensions and educational performance using Hofstede model and PISA data’, </w:t>
      </w:r>
      <w:r w:rsidRPr="00400BBD">
        <w:rPr>
          <w:rFonts w:ascii="Arial" w:hAnsi="Arial" w:cs="Arial"/>
          <w:i/>
          <w:iCs/>
          <w:sz w:val="24"/>
          <w:szCs w:val="24"/>
          <w:lang w:val="en-IN" w:eastAsia="en-IN"/>
        </w:rPr>
        <w:t>SSRN Electronic Journal</w:t>
      </w:r>
      <w:r w:rsidRPr="00400BBD">
        <w:rPr>
          <w:rFonts w:ascii="Arial" w:hAnsi="Arial" w:cs="Arial"/>
          <w:sz w:val="24"/>
          <w:szCs w:val="24"/>
          <w:lang w:val="en-IN" w:eastAsia="en-IN"/>
        </w:rPr>
        <w:t xml:space="preserve">. Available at: </w:t>
      </w:r>
      <w:hyperlink r:id="rId31" w:tgtFrame="_new" w:history="1">
        <w:r w:rsidRPr="00400BBD">
          <w:rPr>
            <w:rStyle w:val="Hyperlink"/>
            <w:rFonts w:ascii="Arial" w:hAnsi="Arial" w:cs="Arial"/>
            <w:sz w:val="24"/>
            <w:szCs w:val="24"/>
            <w:lang w:val="en-IN" w:eastAsia="en-IN"/>
          </w:rPr>
          <w:t>https://papers.ssrn.com/sol3/papers.cfm?abstract_id=4686789</w:t>
        </w:r>
      </w:hyperlink>
      <w:r w:rsidRPr="00400BBD">
        <w:rPr>
          <w:rFonts w:ascii="Arial" w:hAnsi="Arial" w:cs="Arial"/>
          <w:sz w:val="24"/>
          <w:szCs w:val="24"/>
          <w:lang w:val="en-IN" w:eastAsia="en-IN"/>
        </w:rPr>
        <w:t xml:space="preserve"> (Accessed: 9 October 2025).</w:t>
      </w:r>
    </w:p>
    <w:p w14:paraId="6D9EA7F4" w14:textId="77777777" w:rsidR="00676ED7" w:rsidRDefault="00676ED7"/>
    <w:sectPr w:rsidR="00676ED7" w:rsidSect="00CE45FF">
      <w:headerReference w:type="default" r:id="rId32"/>
      <w:footerReference w:type="default" r:id="rId33"/>
      <w:pgSz w:w="11910" w:h="16840"/>
      <w:pgMar w:top="1680" w:right="1278" w:bottom="1160" w:left="1340" w:header="981" w:footer="970" w:gutter="0"/>
      <w:pgBorders w:offsetFrom="page">
        <w:top w:val="single" w:sz="4" w:space="24" w:color="auto"/>
        <w:left w:val="single" w:sz="4" w:space="24" w:color="auto"/>
        <w:bottom w:val="single" w:sz="4" w:space="24" w:color="auto"/>
        <w:right w:val="single" w:sz="4" w:space="24" w:color="auto"/>
      </w:pgBorders>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67210" w14:textId="77777777" w:rsidR="004C2E10" w:rsidRDefault="004C2E10">
      <w:r>
        <w:separator/>
      </w:r>
    </w:p>
  </w:endnote>
  <w:endnote w:type="continuationSeparator" w:id="0">
    <w:p w14:paraId="666DAF42" w14:textId="77777777" w:rsidR="004C2E10" w:rsidRDefault="004C2E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6112482"/>
      <w:docPartObj>
        <w:docPartGallery w:val="Page Numbers (Bottom of Page)"/>
        <w:docPartUnique/>
      </w:docPartObj>
    </w:sdtPr>
    <w:sdtEndPr>
      <w:rPr>
        <w:noProof/>
      </w:rPr>
    </w:sdtEndPr>
    <w:sdtContent>
      <w:p w14:paraId="4679B904" w14:textId="77777777" w:rsidR="00676ED7" w:rsidRDefault="002B22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BB994E" w14:textId="77777777" w:rsidR="00676ED7" w:rsidRDefault="00676E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34980" w14:textId="77777777" w:rsidR="004C2E10" w:rsidRDefault="004C2E10">
      <w:r>
        <w:separator/>
      </w:r>
    </w:p>
  </w:footnote>
  <w:footnote w:type="continuationSeparator" w:id="0">
    <w:p w14:paraId="6068EDFF" w14:textId="77777777" w:rsidR="004C2E10" w:rsidRDefault="004C2E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EB2F3B" w14:textId="77777777" w:rsidR="00676ED7" w:rsidRDefault="002B224C">
    <w:pPr>
      <w:pStyle w:val="Header"/>
    </w:pPr>
    <w:r w:rsidRPr="00A406E5">
      <w:rPr>
        <w:rFonts w:ascii="Arial" w:hAnsi="Arial" w:cs="Arial"/>
        <w:noProof/>
      </w:rPr>
      <w:drawing>
        <wp:anchor distT="0" distB="0" distL="114300" distR="114300" simplePos="0" relativeHeight="251659264" behindDoc="0" locked="0" layoutInCell="1" allowOverlap="1" wp14:anchorId="79847482" wp14:editId="69769F21">
          <wp:simplePos x="0" y="0"/>
          <wp:positionH relativeFrom="column">
            <wp:posOffset>-466725</wp:posOffset>
          </wp:positionH>
          <wp:positionV relativeFrom="paragraph">
            <wp:posOffset>-276225</wp:posOffset>
          </wp:positionV>
          <wp:extent cx="1809750" cy="723900"/>
          <wp:effectExtent l="0" t="0" r="0" b="0"/>
          <wp:wrapSquare wrapText="bothSides"/>
          <wp:docPr id="1559162590" name="Picture 155916259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F3778F"/>
    <w:multiLevelType w:val="hybridMultilevel"/>
    <w:tmpl w:val="F07C4C5C"/>
    <w:lvl w:ilvl="0" w:tplc="E468264E">
      <w:start w:val="1"/>
      <w:numFmt w:val="bullet"/>
      <w:lvlText w:val=""/>
      <w:lvlJc w:val="left"/>
      <w:pPr>
        <w:ind w:left="720" w:hanging="360"/>
      </w:pPr>
      <w:rPr>
        <w:rFonts w:ascii="Symbol" w:hAnsi="Symbol"/>
      </w:rPr>
    </w:lvl>
    <w:lvl w:ilvl="1" w:tplc="F02A1E40">
      <w:start w:val="1"/>
      <w:numFmt w:val="bullet"/>
      <w:lvlText w:val=""/>
      <w:lvlJc w:val="left"/>
      <w:pPr>
        <w:ind w:left="720" w:hanging="360"/>
      </w:pPr>
      <w:rPr>
        <w:rFonts w:ascii="Symbol" w:hAnsi="Symbol"/>
      </w:rPr>
    </w:lvl>
    <w:lvl w:ilvl="2" w:tplc="D444BD4A">
      <w:start w:val="1"/>
      <w:numFmt w:val="bullet"/>
      <w:lvlText w:val=""/>
      <w:lvlJc w:val="left"/>
      <w:pPr>
        <w:ind w:left="720" w:hanging="360"/>
      </w:pPr>
      <w:rPr>
        <w:rFonts w:ascii="Symbol" w:hAnsi="Symbol"/>
      </w:rPr>
    </w:lvl>
    <w:lvl w:ilvl="3" w:tplc="4D5C55A2">
      <w:start w:val="1"/>
      <w:numFmt w:val="bullet"/>
      <w:lvlText w:val=""/>
      <w:lvlJc w:val="left"/>
      <w:pPr>
        <w:ind w:left="720" w:hanging="360"/>
      </w:pPr>
      <w:rPr>
        <w:rFonts w:ascii="Symbol" w:hAnsi="Symbol"/>
      </w:rPr>
    </w:lvl>
    <w:lvl w:ilvl="4" w:tplc="9676C708">
      <w:start w:val="1"/>
      <w:numFmt w:val="bullet"/>
      <w:lvlText w:val=""/>
      <w:lvlJc w:val="left"/>
      <w:pPr>
        <w:ind w:left="720" w:hanging="360"/>
      </w:pPr>
      <w:rPr>
        <w:rFonts w:ascii="Symbol" w:hAnsi="Symbol"/>
      </w:rPr>
    </w:lvl>
    <w:lvl w:ilvl="5" w:tplc="39504388">
      <w:start w:val="1"/>
      <w:numFmt w:val="bullet"/>
      <w:lvlText w:val=""/>
      <w:lvlJc w:val="left"/>
      <w:pPr>
        <w:ind w:left="720" w:hanging="360"/>
      </w:pPr>
      <w:rPr>
        <w:rFonts w:ascii="Symbol" w:hAnsi="Symbol"/>
      </w:rPr>
    </w:lvl>
    <w:lvl w:ilvl="6" w:tplc="46AE0332">
      <w:start w:val="1"/>
      <w:numFmt w:val="bullet"/>
      <w:lvlText w:val=""/>
      <w:lvlJc w:val="left"/>
      <w:pPr>
        <w:ind w:left="720" w:hanging="360"/>
      </w:pPr>
      <w:rPr>
        <w:rFonts w:ascii="Symbol" w:hAnsi="Symbol"/>
      </w:rPr>
    </w:lvl>
    <w:lvl w:ilvl="7" w:tplc="E404F70E">
      <w:start w:val="1"/>
      <w:numFmt w:val="bullet"/>
      <w:lvlText w:val=""/>
      <w:lvlJc w:val="left"/>
      <w:pPr>
        <w:ind w:left="720" w:hanging="360"/>
      </w:pPr>
      <w:rPr>
        <w:rFonts w:ascii="Symbol" w:hAnsi="Symbol"/>
      </w:rPr>
    </w:lvl>
    <w:lvl w:ilvl="8" w:tplc="7FA8CF32">
      <w:start w:val="1"/>
      <w:numFmt w:val="bullet"/>
      <w:lvlText w:val=""/>
      <w:lvlJc w:val="left"/>
      <w:pPr>
        <w:ind w:left="720" w:hanging="360"/>
      </w:pPr>
      <w:rPr>
        <w:rFonts w:ascii="Symbol" w:hAnsi="Symbol"/>
      </w:rPr>
    </w:lvl>
  </w:abstractNum>
  <w:abstractNum w:abstractNumId="1" w15:restartNumberingAfterBreak="0">
    <w:nsid w:val="5139420F"/>
    <w:multiLevelType w:val="hybridMultilevel"/>
    <w:tmpl w:val="D1D2E782"/>
    <w:lvl w:ilvl="0" w:tplc="EECA655A">
      <w:start w:val="1"/>
      <w:numFmt w:val="bullet"/>
      <w:lvlText w:val=""/>
      <w:lvlJc w:val="left"/>
      <w:pPr>
        <w:ind w:left="1440" w:hanging="360"/>
      </w:pPr>
      <w:rPr>
        <w:rFonts w:ascii="Symbol" w:hAnsi="Symbol"/>
      </w:rPr>
    </w:lvl>
    <w:lvl w:ilvl="1" w:tplc="CD5AB234">
      <w:start w:val="1"/>
      <w:numFmt w:val="bullet"/>
      <w:lvlText w:val=""/>
      <w:lvlJc w:val="left"/>
      <w:pPr>
        <w:ind w:left="1440" w:hanging="360"/>
      </w:pPr>
      <w:rPr>
        <w:rFonts w:ascii="Symbol" w:hAnsi="Symbol"/>
      </w:rPr>
    </w:lvl>
    <w:lvl w:ilvl="2" w:tplc="F14CB726">
      <w:start w:val="1"/>
      <w:numFmt w:val="bullet"/>
      <w:lvlText w:val=""/>
      <w:lvlJc w:val="left"/>
      <w:pPr>
        <w:ind w:left="1440" w:hanging="360"/>
      </w:pPr>
      <w:rPr>
        <w:rFonts w:ascii="Symbol" w:hAnsi="Symbol"/>
      </w:rPr>
    </w:lvl>
    <w:lvl w:ilvl="3" w:tplc="B9BA9DD2">
      <w:start w:val="1"/>
      <w:numFmt w:val="bullet"/>
      <w:lvlText w:val=""/>
      <w:lvlJc w:val="left"/>
      <w:pPr>
        <w:ind w:left="1440" w:hanging="360"/>
      </w:pPr>
      <w:rPr>
        <w:rFonts w:ascii="Symbol" w:hAnsi="Symbol"/>
      </w:rPr>
    </w:lvl>
    <w:lvl w:ilvl="4" w:tplc="17C67A84">
      <w:start w:val="1"/>
      <w:numFmt w:val="bullet"/>
      <w:lvlText w:val=""/>
      <w:lvlJc w:val="left"/>
      <w:pPr>
        <w:ind w:left="1440" w:hanging="360"/>
      </w:pPr>
      <w:rPr>
        <w:rFonts w:ascii="Symbol" w:hAnsi="Symbol"/>
      </w:rPr>
    </w:lvl>
    <w:lvl w:ilvl="5" w:tplc="93361FA8">
      <w:start w:val="1"/>
      <w:numFmt w:val="bullet"/>
      <w:lvlText w:val=""/>
      <w:lvlJc w:val="left"/>
      <w:pPr>
        <w:ind w:left="1440" w:hanging="360"/>
      </w:pPr>
      <w:rPr>
        <w:rFonts w:ascii="Symbol" w:hAnsi="Symbol"/>
      </w:rPr>
    </w:lvl>
    <w:lvl w:ilvl="6" w:tplc="D070D0EE">
      <w:start w:val="1"/>
      <w:numFmt w:val="bullet"/>
      <w:lvlText w:val=""/>
      <w:lvlJc w:val="left"/>
      <w:pPr>
        <w:ind w:left="1440" w:hanging="360"/>
      </w:pPr>
      <w:rPr>
        <w:rFonts w:ascii="Symbol" w:hAnsi="Symbol"/>
      </w:rPr>
    </w:lvl>
    <w:lvl w:ilvl="7" w:tplc="EC18D25C">
      <w:start w:val="1"/>
      <w:numFmt w:val="bullet"/>
      <w:lvlText w:val=""/>
      <w:lvlJc w:val="left"/>
      <w:pPr>
        <w:ind w:left="1440" w:hanging="360"/>
      </w:pPr>
      <w:rPr>
        <w:rFonts w:ascii="Symbol" w:hAnsi="Symbol"/>
      </w:rPr>
    </w:lvl>
    <w:lvl w:ilvl="8" w:tplc="9B44FF7A">
      <w:start w:val="1"/>
      <w:numFmt w:val="bullet"/>
      <w:lvlText w:val=""/>
      <w:lvlJc w:val="left"/>
      <w:pPr>
        <w:ind w:left="1440" w:hanging="360"/>
      </w:pPr>
      <w:rPr>
        <w:rFonts w:ascii="Symbol" w:hAnsi="Symbol"/>
      </w:rPr>
    </w:lvl>
  </w:abstractNum>
  <w:num w:numId="1" w16cid:durableId="1413548493">
    <w:abstractNumId w:val="0"/>
  </w:num>
  <w:num w:numId="2" w16cid:durableId="16097719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24C"/>
    <w:rsid w:val="0000076A"/>
    <w:rsid w:val="0009040C"/>
    <w:rsid w:val="002B224C"/>
    <w:rsid w:val="003E2982"/>
    <w:rsid w:val="004C2E10"/>
    <w:rsid w:val="00594ABC"/>
    <w:rsid w:val="00676ED7"/>
    <w:rsid w:val="007F6426"/>
    <w:rsid w:val="00862546"/>
    <w:rsid w:val="009A1AFA"/>
    <w:rsid w:val="00CB61DE"/>
    <w:rsid w:val="00CE0CAB"/>
    <w:rsid w:val="00CE45FF"/>
    <w:rsid w:val="00D11DDA"/>
    <w:rsid w:val="00EA53A5"/>
    <w:rsid w:val="00F75BF3"/>
    <w:rsid w:val="00FD60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7288D"/>
  <w15:chartTrackingRefBased/>
  <w15:docId w15:val="{D75A3E7B-7C4F-4775-AE4C-C726D31EE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24C"/>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2B224C"/>
    <w:pPr>
      <w:keepNext/>
      <w:keepLines/>
      <w:spacing w:before="240" w:line="360" w:lineRule="auto"/>
      <w:outlineLvl w:val="0"/>
    </w:pPr>
    <w:rPr>
      <w:rFonts w:ascii="Arial" w:eastAsiaTheme="majorEastAsia" w:hAnsi="Arial"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24C"/>
    <w:rPr>
      <w:rFonts w:ascii="Arial" w:eastAsiaTheme="majorEastAsia" w:hAnsi="Arial" w:cstheme="majorBidi"/>
      <w:b/>
      <w:color w:val="000000" w:themeColor="text1"/>
      <w:sz w:val="28"/>
      <w:szCs w:val="32"/>
      <w:lang w:val="en-GB" w:eastAsia="en-GB"/>
    </w:rPr>
  </w:style>
  <w:style w:type="paragraph" w:styleId="NormalWeb">
    <w:name w:val="Normal (Web)"/>
    <w:basedOn w:val="Normal"/>
    <w:uiPriority w:val="99"/>
    <w:unhideWhenUsed/>
    <w:rsid w:val="002B224C"/>
    <w:pPr>
      <w:spacing w:before="100" w:beforeAutospacing="1" w:after="100" w:afterAutospacing="1"/>
    </w:pPr>
    <w:rPr>
      <w:sz w:val="24"/>
      <w:szCs w:val="24"/>
      <w:lang w:val="en-IN" w:eastAsia="en-IN"/>
    </w:rPr>
  </w:style>
  <w:style w:type="paragraph" w:styleId="Header">
    <w:name w:val="header"/>
    <w:basedOn w:val="Normal"/>
    <w:link w:val="HeaderChar"/>
    <w:uiPriority w:val="99"/>
    <w:unhideWhenUsed/>
    <w:rsid w:val="002B224C"/>
    <w:pPr>
      <w:tabs>
        <w:tab w:val="center" w:pos="4513"/>
        <w:tab w:val="right" w:pos="9026"/>
      </w:tabs>
    </w:pPr>
  </w:style>
  <w:style w:type="character" w:customStyle="1" w:styleId="HeaderChar">
    <w:name w:val="Header Char"/>
    <w:basedOn w:val="DefaultParagraphFont"/>
    <w:link w:val="Header"/>
    <w:uiPriority w:val="99"/>
    <w:rsid w:val="002B224C"/>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2B224C"/>
    <w:pPr>
      <w:tabs>
        <w:tab w:val="center" w:pos="4513"/>
        <w:tab w:val="right" w:pos="9026"/>
      </w:tabs>
    </w:pPr>
  </w:style>
  <w:style w:type="character" w:customStyle="1" w:styleId="FooterChar">
    <w:name w:val="Footer Char"/>
    <w:basedOn w:val="DefaultParagraphFont"/>
    <w:link w:val="Footer"/>
    <w:uiPriority w:val="99"/>
    <w:rsid w:val="002B224C"/>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2B224C"/>
    <w:rPr>
      <w:color w:val="0563C1" w:themeColor="hyperlink"/>
      <w:u w:val="single"/>
    </w:rPr>
  </w:style>
  <w:style w:type="paragraph" w:styleId="TOCHeading">
    <w:name w:val="TOC Heading"/>
    <w:basedOn w:val="Heading1"/>
    <w:next w:val="Normal"/>
    <w:uiPriority w:val="39"/>
    <w:unhideWhenUsed/>
    <w:qFormat/>
    <w:rsid w:val="002B224C"/>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2B224C"/>
    <w:pPr>
      <w:spacing w:after="100"/>
    </w:pPr>
  </w:style>
  <w:style w:type="character" w:styleId="CommentReference">
    <w:name w:val="annotation reference"/>
    <w:basedOn w:val="DefaultParagraphFont"/>
    <w:uiPriority w:val="99"/>
    <w:semiHidden/>
    <w:unhideWhenUsed/>
    <w:rsid w:val="002B224C"/>
    <w:rPr>
      <w:sz w:val="16"/>
      <w:szCs w:val="16"/>
    </w:rPr>
  </w:style>
  <w:style w:type="paragraph" w:styleId="CommentText">
    <w:name w:val="annotation text"/>
    <w:basedOn w:val="Normal"/>
    <w:link w:val="CommentTextChar"/>
    <w:uiPriority w:val="99"/>
    <w:unhideWhenUsed/>
    <w:rsid w:val="002B224C"/>
  </w:style>
  <w:style w:type="character" w:customStyle="1" w:styleId="CommentTextChar">
    <w:name w:val="Comment Text Char"/>
    <w:basedOn w:val="DefaultParagraphFont"/>
    <w:link w:val="CommentText"/>
    <w:uiPriority w:val="99"/>
    <w:rsid w:val="002B224C"/>
    <w:rPr>
      <w:rFonts w:ascii="Times New Roman" w:eastAsia="Times New Roman" w:hAnsi="Times New Roman" w:cs="Times New Roman"/>
      <w:sz w:val="20"/>
      <w:szCs w:val="20"/>
      <w:lang w:val="en-GB" w:eastAsia="en-GB"/>
    </w:rPr>
  </w:style>
  <w:style w:type="paragraph" w:styleId="BalloonText">
    <w:name w:val="Balloon Text"/>
    <w:basedOn w:val="Normal"/>
    <w:link w:val="BalloonTextChar"/>
    <w:uiPriority w:val="99"/>
    <w:semiHidden/>
    <w:unhideWhenUsed/>
    <w:rsid w:val="002B224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224C"/>
    <w:rPr>
      <w:rFonts w:ascii="Segoe UI" w:eastAsia="Times New Roman" w:hAnsi="Segoe UI" w:cs="Segoe UI"/>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ekb.eg/article_244339_b9acf7f222e0dba5a1186910613f7b63.pdf" TargetMode="External"/><Relationship Id="rId18" Type="http://schemas.openxmlformats.org/officeDocument/2006/relationships/hyperlink" Target="https://www.deloitte.com/us/en/insights/topics/business-strategy-growth/global-trade-trends-and-geopolitical-issues.html" TargetMode="External"/><Relationship Id="rId26" Type="http://schemas.openxmlformats.org/officeDocument/2006/relationships/hyperlink" Target="https://newsroom.bt.com/bt-groups-my-campus-personalised-learning-platform-harnesses-ai-with-degreed/" TargetMode="External"/><Relationship Id="rId3" Type="http://schemas.openxmlformats.org/officeDocument/2006/relationships/styles" Target="styles.xml"/><Relationship Id="rId21" Type="http://schemas.openxmlformats.org/officeDocument/2006/relationships/hyperlink" Target="https://restless.co.uk/press/uk-employment-levels-amongst-the-over-50s-at-an-all-time-highand-growing-faster-than-all-other-age-group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audijournals.com/media/articles/SIJTCM_68_129-133.pdf" TargetMode="External"/><Relationship Id="rId17" Type="http://schemas.openxmlformats.org/officeDocument/2006/relationships/hyperlink" Target="https://doi.org/10.5281/zenodo.13955408" TargetMode="External"/><Relationship Id="rId25" Type="http://schemas.openxmlformats.org/officeDocument/2006/relationships/hyperlink" Target="https://www.researchgate.net/publication/360623157_Emotional_Intelligence_and_Leadership_Styles_in_Education"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nas.org/doi/pdf/10.1073/pnas.2024777118" TargetMode="External"/><Relationship Id="rId20" Type="http://schemas.openxmlformats.org/officeDocument/2006/relationships/hyperlink" Target="https://www.ft.com/content/e930fdce-367c-4e23-9967-9181b5cf43bc?utm_source=chatgpt.com" TargetMode="External"/><Relationship Id="rId29" Type="http://schemas.openxmlformats.org/officeDocument/2006/relationships/hyperlink" Target="https://jetia.mbot.org.my/index.php/jetia/article/view/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journals.sagepub.com/doi/full/10.1177/21582440251342160"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onlinelibrary.wiley.com/doi/full/10.1111/bjir.12541" TargetMode="External"/><Relationship Id="rId23" Type="http://schemas.openxmlformats.org/officeDocument/2006/relationships/hyperlink" Target="http://www.springer.com/series/16735" TargetMode="External"/><Relationship Id="rId28" Type="http://schemas.openxmlformats.org/officeDocument/2006/relationships/hyperlink" Target="https://www.centuroglobal.com/article/hr-case-studies-2024/?utm_source=chatgpt.com" TargetMode="External"/><Relationship Id="rId10" Type="http://schemas.openxmlformats.org/officeDocument/2006/relationships/image" Target="media/image3.png"/><Relationship Id="rId19" Type="http://schemas.openxmlformats.org/officeDocument/2006/relationships/hyperlink" Target="https://repository.essex.ac.uk/29323/1/IJHRM%20-%204th%20Revision-Final-Repository.pdf" TargetMode="External"/><Relationship Id="rId31" Type="http://schemas.openxmlformats.org/officeDocument/2006/relationships/hyperlink" Target="https://papers.ssrn.com/sol3/papers.cfm?abstract_id=468678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ain.com/about/media-center/press-releases/2024/businesses-accelerate-reshoring-and-near-shoring-amid-heightened-geopolitical-uncertainties-and-rising-costs-bain--company-finds?utm_source=chatgpt.com" TargetMode="External"/><Relationship Id="rId22" Type="http://schemas.openxmlformats.org/officeDocument/2006/relationships/hyperlink" Target="https://journals.gulfuniversity.org/index.php/ijihrm/article/view/261" TargetMode="External"/><Relationship Id="rId27" Type="http://schemas.openxmlformats.org/officeDocument/2006/relationships/hyperlink" Target="https://journals.sagepub.com/doi/abs/10.1177/02683962211013362" TargetMode="External"/><Relationship Id="rId30" Type="http://schemas.openxmlformats.org/officeDocument/2006/relationships/hyperlink" Target="https://open.uct.ac.za/handle/11427/36116" TargetMode="External"/><Relationship Id="rId35" Type="http://schemas.openxmlformats.org/officeDocument/2006/relationships/theme" Target="theme/theme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B20F72-0EB5-44D5-8658-C109A95ED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16</Pages>
  <Words>4320</Words>
  <Characters>24628</Characters>
  <Application>Microsoft Office Word</Application>
  <DocSecurity>0</DocSecurity>
  <Lines>205</Lines>
  <Paragraphs>57</Paragraphs>
  <ScaleCrop>false</ScaleCrop>
  <Company/>
  <LinksUpToDate>false</LinksUpToDate>
  <CharactersWithSpaces>28891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Bhargav Khunt</cp:lastModifiedBy>
  <cp:revision>7</cp:revision>
  <dcterms:created xsi:type="dcterms:W3CDTF">2025-10-09T13:04:00Z</dcterms:created>
  <dcterms:modified xsi:type="dcterms:W3CDTF">2025-10-14T13:50:00Z</dcterms:modified>
</cp:coreProperties>
</file>