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99844077" w:displacedByCustomXml="next"/>
    <w:sdt>
      <w:sdtPr>
        <w:id w:val="-214588326"/>
        <w:docPartObj>
          <w:docPartGallery w:val="Cover Pages"/>
          <w:docPartUnique/>
        </w:docPartObj>
      </w:sdtPr>
      <w:sdtEndPr>
        <w:rPr>
          <w:lang w:val="en-GB"/>
        </w:rPr>
      </w:sdtEndPr>
      <w:sdtContent>
        <w:p w14:paraId="13114036" w14:textId="5F33BFA2" w:rsidR="00B63F34" w:rsidRDefault="00B63F34">
          <w:r>
            <w:rPr>
              <w:noProof/>
            </w:rPr>
            <mc:AlternateContent>
              <mc:Choice Requires="wpg">
                <w:drawing>
                  <wp:anchor distT="0" distB="0" distL="114300" distR="114300" simplePos="0" relativeHeight="251672064" behindDoc="0" locked="0" layoutInCell="1" allowOverlap="1" wp14:anchorId="17D91A02" wp14:editId="7EC76FA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F19D37" id="Group 149" o:spid="_x0000_s1026" style="position:absolute;margin-left:0;margin-top:0;width:8in;height:95.7pt;z-index:2516720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3494ba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10246BB4" w14:textId="5F4B91A0" w:rsidR="00B63F34" w:rsidRDefault="001169BD">
          <w:pPr>
            <w:spacing w:line="259" w:lineRule="auto"/>
            <w:jc w:val="left"/>
            <w:rPr>
              <w:rFonts w:eastAsiaTheme="majorEastAsia" w:cstheme="majorBidi"/>
              <w:b/>
              <w:sz w:val="28"/>
              <w:szCs w:val="32"/>
              <w:lang w:val="en-GB"/>
            </w:rPr>
          </w:pPr>
          <w:r>
            <w:rPr>
              <w:noProof/>
            </w:rPr>
            <mc:AlternateContent>
              <mc:Choice Requires="wps">
                <w:drawing>
                  <wp:anchor distT="0" distB="0" distL="114300" distR="114300" simplePos="0" relativeHeight="251653632" behindDoc="0" locked="0" layoutInCell="1" allowOverlap="1" wp14:anchorId="69A1FC53" wp14:editId="21C94E58">
                    <wp:simplePos x="0" y="0"/>
                    <wp:positionH relativeFrom="page">
                      <wp:posOffset>222250</wp:posOffset>
                    </wp:positionH>
                    <wp:positionV relativeFrom="page">
                      <wp:posOffset>3124200</wp:posOffset>
                    </wp:positionV>
                    <wp:extent cx="6953250" cy="395732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6953250" cy="3957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751261" w14:textId="512012EC" w:rsidR="00B63F34" w:rsidRDefault="00B63F34">
                                <w:pPr>
                                  <w:jc w:val="right"/>
                                  <w:rPr>
                                    <w:color w:val="3494BA" w:themeColor="accent1"/>
                                    <w:sz w:val="64"/>
                                    <w:szCs w:val="64"/>
                                  </w:rPr>
                                </w:pPr>
                              </w:p>
                              <w:p w14:paraId="6A4EBCAC" w14:textId="08F8DB3E" w:rsidR="00B63F34" w:rsidRPr="00404222" w:rsidRDefault="00123805" w:rsidP="00C64BC4">
                                <w:pPr>
                                  <w:jc w:val="center"/>
                                  <w:rPr>
                                    <w:rStyle w:val="BookTitle"/>
                                    <w:rFonts w:ascii="Algerian" w:hAnsi="Algerian"/>
                                    <w:sz w:val="48"/>
                                    <w:szCs w:val="44"/>
                                  </w:rPr>
                                </w:pPr>
                                <w:r w:rsidRPr="00404222">
                                  <w:rPr>
                                    <w:rStyle w:val="BookTitle"/>
                                    <w:rFonts w:ascii="Algerian" w:hAnsi="Algerian"/>
                                    <w:sz w:val="48"/>
                                    <w:szCs w:val="44"/>
                                  </w:rPr>
                                  <w:t>Community Engagement</w:t>
                                </w:r>
                              </w:p>
                              <w:p w14:paraId="4DFF9564" w14:textId="3C72ECA6" w:rsidR="00123805" w:rsidRPr="00404222" w:rsidRDefault="00123805" w:rsidP="00C64BC4">
                                <w:pPr>
                                  <w:jc w:val="center"/>
                                  <w:rPr>
                                    <w:rStyle w:val="BookTitle"/>
                                    <w:rFonts w:ascii="Algerian" w:hAnsi="Algerian"/>
                                    <w:sz w:val="48"/>
                                    <w:szCs w:val="44"/>
                                  </w:rPr>
                                </w:pPr>
                                <w:r w:rsidRPr="00404222">
                                  <w:rPr>
                                    <w:rStyle w:val="BookTitle"/>
                                    <w:rFonts w:ascii="Algerian" w:hAnsi="Algerian"/>
                                    <w:sz w:val="48"/>
                                    <w:szCs w:val="44"/>
                                  </w:rPr>
                                  <w:t>L</w:t>
                                </w:r>
                                <w:r w:rsidR="00C64BC4" w:rsidRPr="00404222">
                                  <w:rPr>
                                    <w:rStyle w:val="BookTitle"/>
                                    <w:rFonts w:ascii="Algerian" w:hAnsi="Algerian"/>
                                    <w:sz w:val="48"/>
                                    <w:szCs w:val="44"/>
                                  </w:rPr>
                                  <w:t>CBB4002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9A1FC53" id="_x0000_t202" coordsize="21600,21600" o:spt="202" path="m,l,21600r21600,l21600,xe">
                    <v:stroke joinstyle="miter"/>
                    <v:path gradientshapeok="t" o:connecttype="rect"/>
                  </v:shapetype>
                  <v:shape id="Text Box 154" o:spid="_x0000_s1026" type="#_x0000_t202" style="position:absolute;margin-left:17.5pt;margin-top:246pt;width:547.5pt;height:311.6pt;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" filled="f" stroked="f" strokeweight=".5pt">
                    <v:textbox inset="126pt,0,54pt,0">
                      <w:txbxContent>
                        <w:p w14:paraId="14751261" w14:textId="512012EC" w:rsidR="00B63F34" w:rsidRDefault="00B63F34">
                          <w:pPr>
                            <w:jc w:val="right"/>
                            <w:rPr>
                              <w:color w:val="3494BA" w:themeColor="accent1"/>
                              <w:sz w:val="64"/>
                              <w:szCs w:val="64"/>
                            </w:rPr>
                          </w:pPr>
                        </w:p>
                        <w:p w14:paraId="6A4EBCAC" w14:textId="08F8DB3E" w:rsidR="00B63F34" w:rsidRPr="00404222" w:rsidRDefault="00123805" w:rsidP="00C64BC4">
                          <w:pPr>
                            <w:jc w:val="center"/>
                            <w:rPr>
                              <w:rStyle w:val="BookTitle"/>
                              <w:rFonts w:ascii="Algerian" w:hAnsi="Algerian"/>
                              <w:sz w:val="48"/>
                              <w:szCs w:val="44"/>
                            </w:rPr>
                          </w:pPr>
                          <w:r w:rsidRPr="00404222">
                            <w:rPr>
                              <w:rStyle w:val="BookTitle"/>
                              <w:rFonts w:ascii="Algerian" w:hAnsi="Algerian"/>
                              <w:sz w:val="48"/>
                              <w:szCs w:val="44"/>
                            </w:rPr>
                            <w:t>Community Engagement</w:t>
                          </w:r>
                        </w:p>
                        <w:p w14:paraId="4DFF9564" w14:textId="3C72ECA6" w:rsidR="00123805" w:rsidRPr="00404222" w:rsidRDefault="00123805" w:rsidP="00C64BC4">
                          <w:pPr>
                            <w:jc w:val="center"/>
                            <w:rPr>
                              <w:rStyle w:val="BookTitle"/>
                              <w:rFonts w:ascii="Algerian" w:hAnsi="Algerian"/>
                              <w:sz w:val="48"/>
                              <w:szCs w:val="44"/>
                            </w:rPr>
                          </w:pPr>
                          <w:r w:rsidRPr="00404222">
                            <w:rPr>
                              <w:rStyle w:val="BookTitle"/>
                              <w:rFonts w:ascii="Algerian" w:hAnsi="Algerian"/>
                              <w:sz w:val="48"/>
                              <w:szCs w:val="44"/>
                            </w:rPr>
                            <w:t>L</w:t>
                          </w:r>
                          <w:r w:rsidR="00C64BC4" w:rsidRPr="00404222">
                            <w:rPr>
                              <w:rStyle w:val="BookTitle"/>
                              <w:rFonts w:ascii="Algerian" w:hAnsi="Algerian"/>
                              <w:sz w:val="48"/>
                              <w:szCs w:val="44"/>
                            </w:rPr>
                            <w:t>CBB4002</w:t>
                          </w:r>
                        </w:p>
                      </w:txbxContent>
                    </v:textbox>
                    <w10:wrap type="square" anchorx="page" anchory="page"/>
                  </v:shape>
                </w:pict>
              </mc:Fallback>
            </mc:AlternateContent>
          </w:r>
          <w:r w:rsidR="00FC6C96">
            <w:rPr>
              <w:noProof/>
            </w:rPr>
            <mc:AlternateContent>
              <mc:Choice Requires="wps">
                <w:drawing>
                  <wp:anchor distT="0" distB="0" distL="114300" distR="114300" simplePos="0" relativeHeight="251662848" behindDoc="0" locked="0" layoutInCell="1" allowOverlap="1" wp14:anchorId="44134AF6" wp14:editId="6264FAEA">
                    <wp:simplePos x="0" y="0"/>
                    <wp:positionH relativeFrom="page">
                      <wp:posOffset>222250</wp:posOffset>
                    </wp:positionH>
                    <wp:positionV relativeFrom="page">
                      <wp:posOffset>9334500</wp:posOffset>
                    </wp:positionV>
                    <wp:extent cx="6883400" cy="463550"/>
                    <wp:effectExtent l="0" t="0" r="0" b="12700"/>
                    <wp:wrapSquare wrapText="bothSides"/>
                    <wp:docPr id="152" name="Text Box 152"/>
                    <wp:cNvGraphicFramePr/>
                    <a:graphic xmlns:a="http://schemas.openxmlformats.org/drawingml/2006/main">
                      <a:graphicData uri="http://schemas.microsoft.com/office/word/2010/wordprocessingShape">
                        <wps:wsp>
                          <wps:cNvSpPr txBox="1"/>
                          <wps:spPr>
                            <a:xfrm>
                              <a:off x="0" y="0"/>
                              <a:ext cx="6883400" cy="463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A2BD3D" w14:textId="6181724F" w:rsidR="00B63F34" w:rsidRPr="00211C45" w:rsidRDefault="00997F47" w:rsidP="00B63F34">
                                <w:pPr>
                                  <w:pStyle w:val="NoSpacing"/>
                                  <w:jc w:val="right"/>
                                  <w:rPr>
                                    <w:rFonts w:ascii="Bahnschrift Condensed" w:hAnsi="Bahnschrift Condensed"/>
                                    <w:b/>
                                    <w:bCs/>
                                    <w:color w:val="595959" w:themeColor="text1" w:themeTint="A6"/>
                                    <w:sz w:val="28"/>
                                    <w:szCs w:val="28"/>
                                  </w:rPr>
                                </w:pPr>
                                <w:r w:rsidRPr="00211C45">
                                  <w:rPr>
                                    <w:rFonts w:ascii="Bahnschrift Condensed" w:hAnsi="Bahnschrift Condensed"/>
                                    <w:b/>
                                    <w:bCs/>
                                    <w:color w:val="595959" w:themeColor="text1" w:themeTint="A6"/>
                                    <w:sz w:val="28"/>
                                    <w:szCs w:val="28"/>
                                  </w:rPr>
                                  <w:t>Name of student</w:t>
                                </w:r>
                                <w:r w:rsidR="004417A8" w:rsidRPr="00211C45">
                                  <w:rPr>
                                    <w:rFonts w:ascii="Bahnschrift Condensed" w:hAnsi="Bahnschrift Condensed"/>
                                    <w:b/>
                                    <w:bCs/>
                                    <w:color w:val="595959" w:themeColor="text1" w:themeTint="A6"/>
                                    <w:sz w:val="28"/>
                                    <w:szCs w:val="28"/>
                                  </w:rPr>
                                  <w:t>: Anca Mirela Dula (2112863)</w:t>
                                </w:r>
                              </w:p>
                              <w:p w14:paraId="0A4B29AE" w14:textId="62AF8EBB" w:rsidR="004417A8" w:rsidRPr="00211C45" w:rsidRDefault="00211C45" w:rsidP="00211C45">
                                <w:pPr>
                                  <w:pStyle w:val="NoSpacing"/>
                                  <w:jc w:val="center"/>
                                  <w:rPr>
                                    <w:rFonts w:ascii="Bahnschrift Condensed" w:hAnsi="Bahnschrift Condensed"/>
                                    <w:b/>
                                    <w:bCs/>
                                    <w:color w:val="595959" w:themeColor="text1" w:themeTint="A6"/>
                                    <w:sz w:val="28"/>
                                    <w:szCs w:val="28"/>
                                  </w:rPr>
                                </w:pPr>
                                <w:r>
                                  <w:rPr>
                                    <w:rFonts w:ascii="Bahnschrift Condensed" w:hAnsi="Bahnschrift Condensed"/>
                                    <w:b/>
                                    <w:bCs/>
                                    <w:color w:val="595959" w:themeColor="text1" w:themeTint="A6"/>
                                    <w:sz w:val="28"/>
                                    <w:szCs w:val="28"/>
                                  </w:rPr>
                                  <w:t xml:space="preserve">                              </w:t>
                                </w:r>
                                <w:r w:rsidR="00997F47" w:rsidRPr="00211C45">
                                  <w:rPr>
                                    <w:rFonts w:ascii="Bahnschrift Condensed" w:hAnsi="Bahnschrift Condensed"/>
                                    <w:b/>
                                    <w:bCs/>
                                    <w:color w:val="595959" w:themeColor="text1" w:themeTint="A6"/>
                                    <w:sz w:val="28"/>
                                    <w:szCs w:val="28"/>
                                  </w:rPr>
                                  <w:t>Name of lecturer</w:t>
                                </w:r>
                                <w:r w:rsidR="00724A9B" w:rsidRPr="00211C45">
                                  <w:rPr>
                                    <w:rFonts w:ascii="Bahnschrift Condensed" w:hAnsi="Bahnschrift Condensed"/>
                                    <w:b/>
                                    <w:bCs/>
                                    <w:color w:val="595959" w:themeColor="text1" w:themeTint="A6"/>
                                    <w:sz w:val="28"/>
                                    <w:szCs w:val="28"/>
                                  </w:rPr>
                                  <w:t>:</w:t>
                                </w:r>
                                <w:r w:rsidR="00997F47" w:rsidRPr="00211C45">
                                  <w:rPr>
                                    <w:rFonts w:ascii="Bahnschrift Condensed" w:hAnsi="Bahnschrift Condensed"/>
                                    <w:b/>
                                    <w:bCs/>
                                    <w:color w:val="595959" w:themeColor="text1" w:themeTint="A6"/>
                                    <w:sz w:val="28"/>
                                    <w:szCs w:val="28"/>
                                  </w:rPr>
                                  <w:t xml:space="preserve"> Molly Jack</w:t>
                                </w:r>
                              </w:p>
                              <w:p w14:paraId="7229D62C" w14:textId="77777777" w:rsidR="00997F47" w:rsidRPr="00B63F34" w:rsidRDefault="00997F47" w:rsidP="00B63F34">
                                <w:pPr>
                                  <w:pStyle w:val="NoSpacing"/>
                                  <w:jc w:val="right"/>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4134AF6" id="Text Box 152" o:spid="_x0000_s1027" type="#_x0000_t202" style="position:absolute;margin-left:17.5pt;margin-top:735pt;width:542pt;height:36.5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" filled="f" stroked="f" strokeweight=".5pt">
                    <v:textbox inset="126pt,0,54pt,0">
                      <w:txbxContent>
                        <w:p w14:paraId="04A2BD3D" w14:textId="6181724F" w:rsidR="00B63F34" w:rsidRPr="00211C45" w:rsidRDefault="00997F47" w:rsidP="00B63F34">
                          <w:pPr>
                            <w:pStyle w:val="NoSpacing"/>
                            <w:jc w:val="right"/>
                            <w:rPr>
                              <w:rFonts w:ascii="Bahnschrift Condensed" w:hAnsi="Bahnschrift Condensed"/>
                              <w:b/>
                              <w:bCs/>
                              <w:color w:val="595959" w:themeColor="text1" w:themeTint="A6"/>
                              <w:sz w:val="28"/>
                              <w:szCs w:val="28"/>
                            </w:rPr>
                          </w:pPr>
                          <w:r w:rsidRPr="00211C45">
                            <w:rPr>
                              <w:rFonts w:ascii="Bahnschrift Condensed" w:hAnsi="Bahnschrift Condensed"/>
                              <w:b/>
                              <w:bCs/>
                              <w:color w:val="595959" w:themeColor="text1" w:themeTint="A6"/>
                              <w:sz w:val="28"/>
                              <w:szCs w:val="28"/>
                            </w:rPr>
                            <w:t>Name of student</w:t>
                          </w:r>
                          <w:r w:rsidR="004417A8" w:rsidRPr="00211C45">
                            <w:rPr>
                              <w:rFonts w:ascii="Bahnschrift Condensed" w:hAnsi="Bahnschrift Condensed"/>
                              <w:b/>
                              <w:bCs/>
                              <w:color w:val="595959" w:themeColor="text1" w:themeTint="A6"/>
                              <w:sz w:val="28"/>
                              <w:szCs w:val="28"/>
                            </w:rPr>
                            <w:t>: Anca Mirela Dula (2112863)</w:t>
                          </w:r>
                        </w:p>
                        <w:p w14:paraId="0A4B29AE" w14:textId="62AF8EBB" w:rsidR="004417A8" w:rsidRPr="00211C45" w:rsidRDefault="00211C45" w:rsidP="00211C45">
                          <w:pPr>
                            <w:pStyle w:val="NoSpacing"/>
                            <w:jc w:val="center"/>
                            <w:rPr>
                              <w:rFonts w:ascii="Bahnschrift Condensed" w:hAnsi="Bahnschrift Condensed"/>
                              <w:b/>
                              <w:bCs/>
                              <w:color w:val="595959" w:themeColor="text1" w:themeTint="A6"/>
                              <w:sz w:val="28"/>
                              <w:szCs w:val="28"/>
                            </w:rPr>
                          </w:pPr>
                          <w:r>
                            <w:rPr>
                              <w:rFonts w:ascii="Bahnschrift Condensed" w:hAnsi="Bahnschrift Condensed"/>
                              <w:b/>
                              <w:bCs/>
                              <w:color w:val="595959" w:themeColor="text1" w:themeTint="A6"/>
                              <w:sz w:val="28"/>
                              <w:szCs w:val="28"/>
                            </w:rPr>
                            <w:t xml:space="preserve">                              </w:t>
                          </w:r>
                          <w:r w:rsidR="00997F47" w:rsidRPr="00211C45">
                            <w:rPr>
                              <w:rFonts w:ascii="Bahnschrift Condensed" w:hAnsi="Bahnschrift Condensed"/>
                              <w:b/>
                              <w:bCs/>
                              <w:color w:val="595959" w:themeColor="text1" w:themeTint="A6"/>
                              <w:sz w:val="28"/>
                              <w:szCs w:val="28"/>
                            </w:rPr>
                            <w:t>Name of lecturer</w:t>
                          </w:r>
                          <w:r w:rsidR="00724A9B" w:rsidRPr="00211C45">
                            <w:rPr>
                              <w:rFonts w:ascii="Bahnschrift Condensed" w:hAnsi="Bahnschrift Condensed"/>
                              <w:b/>
                              <w:bCs/>
                              <w:color w:val="595959" w:themeColor="text1" w:themeTint="A6"/>
                              <w:sz w:val="28"/>
                              <w:szCs w:val="28"/>
                            </w:rPr>
                            <w:t>:</w:t>
                          </w:r>
                          <w:r w:rsidR="00997F47" w:rsidRPr="00211C45">
                            <w:rPr>
                              <w:rFonts w:ascii="Bahnschrift Condensed" w:hAnsi="Bahnschrift Condensed"/>
                              <w:b/>
                              <w:bCs/>
                              <w:color w:val="595959" w:themeColor="text1" w:themeTint="A6"/>
                              <w:sz w:val="28"/>
                              <w:szCs w:val="28"/>
                            </w:rPr>
                            <w:t xml:space="preserve"> Molly Jack</w:t>
                          </w:r>
                        </w:p>
                        <w:p w14:paraId="7229D62C" w14:textId="77777777" w:rsidR="00997F47" w:rsidRPr="00B63F34" w:rsidRDefault="00997F47" w:rsidP="00B63F34">
                          <w:pPr>
                            <w:pStyle w:val="NoSpacing"/>
                            <w:jc w:val="right"/>
                            <w:rPr>
                              <w:color w:val="595959" w:themeColor="text1" w:themeTint="A6"/>
                              <w:sz w:val="28"/>
                              <w:szCs w:val="28"/>
                            </w:rPr>
                          </w:pPr>
                        </w:p>
                      </w:txbxContent>
                    </v:textbox>
                    <w10:wrap type="square" anchorx="page" anchory="page"/>
                  </v:shape>
                </w:pict>
              </mc:Fallback>
            </mc:AlternateContent>
          </w:r>
          <w:r w:rsidR="00B63F34">
            <w:rPr>
              <w:lang w:val="en-GB"/>
            </w:rPr>
            <w:br w:type="page"/>
          </w:r>
        </w:p>
      </w:sdtContent>
    </w:sdt>
    <w:sdt>
      <w:sdtPr>
        <w:id w:val="1965384008"/>
        <w:docPartObj>
          <w:docPartGallery w:val="Table of Contents"/>
          <w:docPartUnique/>
        </w:docPartObj>
      </w:sdtPr>
      <w:sdtEndPr>
        <w:rPr>
          <w:rFonts w:ascii="Times New Roman" w:eastAsiaTheme="minorHAnsi" w:hAnsi="Times New Roman" w:cstheme="minorBidi"/>
          <w:b/>
          <w:bCs/>
          <w:noProof/>
          <w:color w:val="000000" w:themeColor="text1"/>
          <w:sz w:val="24"/>
          <w:szCs w:val="22"/>
          <w:lang w:val="en-IN"/>
        </w:rPr>
      </w:sdtEndPr>
      <w:sdtContent>
        <w:p w14:paraId="511077EA" w14:textId="1E944E77" w:rsidR="00BA19B9" w:rsidRDefault="00BA19B9">
          <w:pPr>
            <w:pStyle w:val="TOCHeading"/>
          </w:pPr>
          <w:r>
            <w:t>Contents</w:t>
          </w:r>
        </w:p>
        <w:p w14:paraId="3D16A989" w14:textId="1D8B1D7A" w:rsidR="00BA19B9" w:rsidRDefault="00BA19B9">
          <w:pPr>
            <w:pStyle w:val="TOC1"/>
            <w:tabs>
              <w:tab w:val="right" w:leader="dot" w:pos="9016"/>
            </w:tabs>
            <w:rPr>
              <w:noProof/>
            </w:rPr>
          </w:pPr>
          <w:r>
            <w:fldChar w:fldCharType="begin"/>
          </w:r>
          <w:r>
            <w:instrText xml:space="preserve"> TOC \o "1-3" \h \z \u </w:instrText>
          </w:r>
          <w:r>
            <w:fldChar w:fldCharType="separate"/>
          </w:r>
          <w:hyperlink w:anchor="_Toc102633169" w:history="1">
            <w:r w:rsidRPr="00291399">
              <w:rPr>
                <w:rStyle w:val="Hyperlink"/>
                <w:noProof/>
              </w:rPr>
              <w:t>INTRODUCTION</w:t>
            </w:r>
            <w:r>
              <w:rPr>
                <w:noProof/>
                <w:webHidden/>
              </w:rPr>
              <w:tab/>
            </w:r>
            <w:r>
              <w:rPr>
                <w:noProof/>
                <w:webHidden/>
              </w:rPr>
              <w:fldChar w:fldCharType="begin"/>
            </w:r>
            <w:r>
              <w:rPr>
                <w:noProof/>
                <w:webHidden/>
              </w:rPr>
              <w:instrText xml:space="preserve"> PAGEREF _Toc102633169 \h </w:instrText>
            </w:r>
            <w:r>
              <w:rPr>
                <w:noProof/>
                <w:webHidden/>
              </w:rPr>
            </w:r>
            <w:r>
              <w:rPr>
                <w:noProof/>
                <w:webHidden/>
              </w:rPr>
              <w:fldChar w:fldCharType="separate"/>
            </w:r>
            <w:r w:rsidR="00E3378F">
              <w:rPr>
                <w:noProof/>
                <w:webHidden/>
              </w:rPr>
              <w:t>2</w:t>
            </w:r>
            <w:r>
              <w:rPr>
                <w:noProof/>
                <w:webHidden/>
              </w:rPr>
              <w:fldChar w:fldCharType="end"/>
            </w:r>
          </w:hyperlink>
        </w:p>
        <w:p w14:paraId="2972BEAB" w14:textId="1B08F87D" w:rsidR="00BA19B9" w:rsidRDefault="00BA19B9">
          <w:pPr>
            <w:pStyle w:val="TOC1"/>
            <w:tabs>
              <w:tab w:val="right" w:leader="dot" w:pos="9016"/>
            </w:tabs>
            <w:rPr>
              <w:noProof/>
            </w:rPr>
          </w:pPr>
          <w:hyperlink w:anchor="_Toc102633170" w:history="1">
            <w:r w:rsidRPr="00291399">
              <w:rPr>
                <w:rStyle w:val="Hyperlink"/>
                <w:noProof/>
                <w:lang w:val="en-GB"/>
              </w:rPr>
              <w:t>MAIN BODY</w:t>
            </w:r>
            <w:r>
              <w:rPr>
                <w:noProof/>
                <w:webHidden/>
              </w:rPr>
              <w:tab/>
            </w:r>
            <w:r>
              <w:rPr>
                <w:noProof/>
                <w:webHidden/>
              </w:rPr>
              <w:fldChar w:fldCharType="begin"/>
            </w:r>
            <w:r>
              <w:rPr>
                <w:noProof/>
                <w:webHidden/>
              </w:rPr>
              <w:instrText xml:space="preserve"> PAGEREF _Toc102633170 \h </w:instrText>
            </w:r>
            <w:r>
              <w:rPr>
                <w:noProof/>
                <w:webHidden/>
              </w:rPr>
            </w:r>
            <w:r>
              <w:rPr>
                <w:noProof/>
                <w:webHidden/>
              </w:rPr>
              <w:fldChar w:fldCharType="separate"/>
            </w:r>
            <w:r w:rsidR="00E3378F">
              <w:rPr>
                <w:noProof/>
                <w:webHidden/>
              </w:rPr>
              <w:t>2</w:t>
            </w:r>
            <w:r>
              <w:rPr>
                <w:noProof/>
                <w:webHidden/>
              </w:rPr>
              <w:fldChar w:fldCharType="end"/>
            </w:r>
          </w:hyperlink>
        </w:p>
        <w:p w14:paraId="32096E0E" w14:textId="010504A8" w:rsidR="00BA19B9" w:rsidRDefault="00BA19B9">
          <w:pPr>
            <w:pStyle w:val="TOC2"/>
            <w:tabs>
              <w:tab w:val="right" w:leader="dot" w:pos="9016"/>
            </w:tabs>
            <w:rPr>
              <w:noProof/>
            </w:rPr>
          </w:pPr>
          <w:hyperlink w:anchor="_Toc102633171" w:history="1">
            <w:r w:rsidRPr="00291399">
              <w:rPr>
                <w:rStyle w:val="Hyperlink"/>
                <w:noProof/>
                <w:lang w:val="en-GB"/>
              </w:rPr>
              <w:t>Project or programme</w:t>
            </w:r>
            <w:r>
              <w:rPr>
                <w:noProof/>
                <w:webHidden/>
              </w:rPr>
              <w:tab/>
            </w:r>
            <w:r>
              <w:rPr>
                <w:noProof/>
                <w:webHidden/>
              </w:rPr>
              <w:fldChar w:fldCharType="begin"/>
            </w:r>
            <w:r>
              <w:rPr>
                <w:noProof/>
                <w:webHidden/>
              </w:rPr>
              <w:instrText xml:space="preserve"> PAGEREF _Toc102633171 \h </w:instrText>
            </w:r>
            <w:r>
              <w:rPr>
                <w:noProof/>
                <w:webHidden/>
              </w:rPr>
            </w:r>
            <w:r>
              <w:rPr>
                <w:noProof/>
                <w:webHidden/>
              </w:rPr>
              <w:fldChar w:fldCharType="separate"/>
            </w:r>
            <w:r w:rsidR="00E3378F">
              <w:rPr>
                <w:noProof/>
                <w:webHidden/>
              </w:rPr>
              <w:t>2</w:t>
            </w:r>
            <w:r>
              <w:rPr>
                <w:noProof/>
                <w:webHidden/>
              </w:rPr>
              <w:fldChar w:fldCharType="end"/>
            </w:r>
          </w:hyperlink>
        </w:p>
        <w:p w14:paraId="2ECFD0F3" w14:textId="166DF53A" w:rsidR="00BA19B9" w:rsidRDefault="00BA19B9">
          <w:pPr>
            <w:pStyle w:val="TOC2"/>
            <w:tabs>
              <w:tab w:val="right" w:leader="dot" w:pos="9016"/>
            </w:tabs>
            <w:rPr>
              <w:noProof/>
            </w:rPr>
          </w:pPr>
          <w:hyperlink w:anchor="_Toc102633172" w:history="1">
            <w:r w:rsidRPr="00291399">
              <w:rPr>
                <w:rStyle w:val="Hyperlink"/>
                <w:noProof/>
                <w:lang w:val="en-GB"/>
              </w:rPr>
              <w:t>Community engagement principles and standards</w:t>
            </w:r>
            <w:r>
              <w:rPr>
                <w:noProof/>
                <w:webHidden/>
              </w:rPr>
              <w:tab/>
            </w:r>
            <w:r>
              <w:rPr>
                <w:noProof/>
                <w:webHidden/>
              </w:rPr>
              <w:fldChar w:fldCharType="begin"/>
            </w:r>
            <w:r>
              <w:rPr>
                <w:noProof/>
                <w:webHidden/>
              </w:rPr>
              <w:instrText xml:space="preserve"> PAGEREF _Toc102633172 \h </w:instrText>
            </w:r>
            <w:r>
              <w:rPr>
                <w:noProof/>
                <w:webHidden/>
              </w:rPr>
            </w:r>
            <w:r>
              <w:rPr>
                <w:noProof/>
                <w:webHidden/>
              </w:rPr>
              <w:fldChar w:fldCharType="separate"/>
            </w:r>
            <w:r w:rsidR="00E3378F">
              <w:rPr>
                <w:noProof/>
                <w:webHidden/>
              </w:rPr>
              <w:t>3</w:t>
            </w:r>
            <w:r>
              <w:rPr>
                <w:noProof/>
                <w:webHidden/>
              </w:rPr>
              <w:fldChar w:fldCharType="end"/>
            </w:r>
          </w:hyperlink>
        </w:p>
        <w:p w14:paraId="758FC727" w14:textId="35AD49BF" w:rsidR="00BA19B9" w:rsidRDefault="00BA19B9">
          <w:pPr>
            <w:pStyle w:val="TOC2"/>
            <w:tabs>
              <w:tab w:val="right" w:leader="dot" w:pos="9016"/>
            </w:tabs>
            <w:rPr>
              <w:noProof/>
            </w:rPr>
          </w:pPr>
          <w:hyperlink w:anchor="_Toc102633173" w:history="1">
            <w:r w:rsidRPr="00291399">
              <w:rPr>
                <w:rStyle w:val="Hyperlink"/>
                <w:noProof/>
                <w:lang w:val="en-GB"/>
              </w:rPr>
              <w:t>Benefits of stakeholders’ participation</w:t>
            </w:r>
            <w:r>
              <w:rPr>
                <w:noProof/>
                <w:webHidden/>
              </w:rPr>
              <w:tab/>
            </w:r>
            <w:r>
              <w:rPr>
                <w:noProof/>
                <w:webHidden/>
              </w:rPr>
              <w:fldChar w:fldCharType="begin"/>
            </w:r>
            <w:r>
              <w:rPr>
                <w:noProof/>
                <w:webHidden/>
              </w:rPr>
              <w:instrText xml:space="preserve"> PAGEREF _Toc102633173 \h </w:instrText>
            </w:r>
            <w:r>
              <w:rPr>
                <w:noProof/>
                <w:webHidden/>
              </w:rPr>
            </w:r>
            <w:r>
              <w:rPr>
                <w:noProof/>
                <w:webHidden/>
              </w:rPr>
              <w:fldChar w:fldCharType="separate"/>
            </w:r>
            <w:r w:rsidR="00E3378F">
              <w:rPr>
                <w:noProof/>
                <w:webHidden/>
              </w:rPr>
              <w:t>4</w:t>
            </w:r>
            <w:r>
              <w:rPr>
                <w:noProof/>
                <w:webHidden/>
              </w:rPr>
              <w:fldChar w:fldCharType="end"/>
            </w:r>
          </w:hyperlink>
        </w:p>
        <w:p w14:paraId="27D80AF2" w14:textId="297D865C" w:rsidR="00BA19B9" w:rsidRDefault="00BA19B9">
          <w:pPr>
            <w:pStyle w:val="TOC2"/>
            <w:tabs>
              <w:tab w:val="right" w:leader="dot" w:pos="9016"/>
            </w:tabs>
            <w:rPr>
              <w:noProof/>
            </w:rPr>
          </w:pPr>
          <w:hyperlink w:anchor="_Toc102633174" w:history="1">
            <w:r w:rsidRPr="00291399">
              <w:rPr>
                <w:rStyle w:val="Hyperlink"/>
                <w:noProof/>
                <w:lang w:val="en-GB"/>
              </w:rPr>
              <w:t>Relationship between the stakeholders and strategies are suitable for engagement</w:t>
            </w:r>
            <w:r>
              <w:rPr>
                <w:noProof/>
                <w:webHidden/>
              </w:rPr>
              <w:tab/>
            </w:r>
            <w:r>
              <w:rPr>
                <w:noProof/>
                <w:webHidden/>
              </w:rPr>
              <w:fldChar w:fldCharType="begin"/>
            </w:r>
            <w:r>
              <w:rPr>
                <w:noProof/>
                <w:webHidden/>
              </w:rPr>
              <w:instrText xml:space="preserve"> PAGEREF _Toc102633174 \h </w:instrText>
            </w:r>
            <w:r>
              <w:rPr>
                <w:noProof/>
                <w:webHidden/>
              </w:rPr>
            </w:r>
            <w:r>
              <w:rPr>
                <w:noProof/>
                <w:webHidden/>
              </w:rPr>
              <w:fldChar w:fldCharType="separate"/>
            </w:r>
            <w:r w:rsidR="00E3378F">
              <w:rPr>
                <w:noProof/>
                <w:webHidden/>
              </w:rPr>
              <w:t>4</w:t>
            </w:r>
            <w:r>
              <w:rPr>
                <w:noProof/>
                <w:webHidden/>
              </w:rPr>
              <w:fldChar w:fldCharType="end"/>
            </w:r>
          </w:hyperlink>
        </w:p>
        <w:p w14:paraId="2628AF6C" w14:textId="1F13C44D" w:rsidR="00BA19B9" w:rsidRDefault="00BA19B9">
          <w:pPr>
            <w:pStyle w:val="TOC2"/>
            <w:tabs>
              <w:tab w:val="right" w:leader="dot" w:pos="9016"/>
            </w:tabs>
            <w:rPr>
              <w:noProof/>
            </w:rPr>
          </w:pPr>
          <w:hyperlink w:anchor="_Toc102633175" w:history="1">
            <w:r w:rsidRPr="00291399">
              <w:rPr>
                <w:rStyle w:val="Hyperlink"/>
                <w:noProof/>
                <w:lang w:val="en-GB"/>
              </w:rPr>
              <w:t>Engagement with the help of Social media platforms</w:t>
            </w:r>
            <w:r>
              <w:rPr>
                <w:noProof/>
                <w:webHidden/>
              </w:rPr>
              <w:tab/>
            </w:r>
            <w:r>
              <w:rPr>
                <w:noProof/>
                <w:webHidden/>
              </w:rPr>
              <w:fldChar w:fldCharType="begin"/>
            </w:r>
            <w:r>
              <w:rPr>
                <w:noProof/>
                <w:webHidden/>
              </w:rPr>
              <w:instrText xml:space="preserve"> PAGEREF _Toc102633175 \h </w:instrText>
            </w:r>
            <w:r>
              <w:rPr>
                <w:noProof/>
                <w:webHidden/>
              </w:rPr>
            </w:r>
            <w:r>
              <w:rPr>
                <w:noProof/>
                <w:webHidden/>
              </w:rPr>
              <w:fldChar w:fldCharType="separate"/>
            </w:r>
            <w:r w:rsidR="00E3378F">
              <w:rPr>
                <w:noProof/>
                <w:webHidden/>
              </w:rPr>
              <w:t>4</w:t>
            </w:r>
            <w:r>
              <w:rPr>
                <w:noProof/>
                <w:webHidden/>
              </w:rPr>
              <w:fldChar w:fldCharType="end"/>
            </w:r>
          </w:hyperlink>
        </w:p>
        <w:p w14:paraId="01DE7CFB" w14:textId="49F60F20" w:rsidR="00BA19B9" w:rsidRDefault="00BA19B9">
          <w:pPr>
            <w:pStyle w:val="TOC2"/>
            <w:tabs>
              <w:tab w:val="right" w:leader="dot" w:pos="9016"/>
            </w:tabs>
            <w:rPr>
              <w:noProof/>
            </w:rPr>
          </w:pPr>
          <w:hyperlink w:anchor="_Toc102633176" w:history="1">
            <w:r w:rsidRPr="00291399">
              <w:rPr>
                <w:rStyle w:val="Hyperlink"/>
                <w:noProof/>
              </w:rPr>
              <w:t>Community engagement practitioner needs to adopt a forward-looking approach to educate community members on internal and external factors that influence community development</w:t>
            </w:r>
            <w:r>
              <w:rPr>
                <w:noProof/>
                <w:webHidden/>
              </w:rPr>
              <w:tab/>
            </w:r>
            <w:r>
              <w:rPr>
                <w:noProof/>
                <w:webHidden/>
              </w:rPr>
              <w:fldChar w:fldCharType="begin"/>
            </w:r>
            <w:r>
              <w:rPr>
                <w:noProof/>
                <w:webHidden/>
              </w:rPr>
              <w:instrText xml:space="preserve"> PAGEREF _Toc102633176 \h </w:instrText>
            </w:r>
            <w:r>
              <w:rPr>
                <w:noProof/>
                <w:webHidden/>
              </w:rPr>
            </w:r>
            <w:r>
              <w:rPr>
                <w:noProof/>
                <w:webHidden/>
              </w:rPr>
              <w:fldChar w:fldCharType="separate"/>
            </w:r>
            <w:r w:rsidR="00E3378F">
              <w:rPr>
                <w:noProof/>
                <w:webHidden/>
              </w:rPr>
              <w:t>6</w:t>
            </w:r>
            <w:r>
              <w:rPr>
                <w:noProof/>
                <w:webHidden/>
              </w:rPr>
              <w:fldChar w:fldCharType="end"/>
            </w:r>
          </w:hyperlink>
        </w:p>
        <w:p w14:paraId="4F6D6C3E" w14:textId="7B4D3EC5" w:rsidR="00BA19B9" w:rsidRDefault="00BA19B9">
          <w:pPr>
            <w:pStyle w:val="TOC1"/>
            <w:tabs>
              <w:tab w:val="right" w:leader="dot" w:pos="9016"/>
            </w:tabs>
            <w:rPr>
              <w:noProof/>
            </w:rPr>
          </w:pPr>
          <w:hyperlink w:anchor="_Toc102633177" w:history="1">
            <w:r w:rsidRPr="00291399">
              <w:rPr>
                <w:rStyle w:val="Hyperlink"/>
                <w:noProof/>
                <w:lang w:val="en-GB"/>
              </w:rPr>
              <w:t>CONCLUSION</w:t>
            </w:r>
            <w:r>
              <w:rPr>
                <w:noProof/>
                <w:webHidden/>
              </w:rPr>
              <w:tab/>
            </w:r>
            <w:r>
              <w:rPr>
                <w:noProof/>
                <w:webHidden/>
              </w:rPr>
              <w:fldChar w:fldCharType="begin"/>
            </w:r>
            <w:r>
              <w:rPr>
                <w:noProof/>
                <w:webHidden/>
              </w:rPr>
              <w:instrText xml:space="preserve"> PAGEREF _Toc102633177 \h </w:instrText>
            </w:r>
            <w:r>
              <w:rPr>
                <w:noProof/>
                <w:webHidden/>
              </w:rPr>
            </w:r>
            <w:r>
              <w:rPr>
                <w:noProof/>
                <w:webHidden/>
              </w:rPr>
              <w:fldChar w:fldCharType="separate"/>
            </w:r>
            <w:r w:rsidR="00E3378F">
              <w:rPr>
                <w:noProof/>
                <w:webHidden/>
              </w:rPr>
              <w:t>6</w:t>
            </w:r>
            <w:r>
              <w:rPr>
                <w:noProof/>
                <w:webHidden/>
              </w:rPr>
              <w:fldChar w:fldCharType="end"/>
            </w:r>
          </w:hyperlink>
        </w:p>
        <w:p w14:paraId="33DE762C" w14:textId="6119DE12" w:rsidR="00BA19B9" w:rsidRDefault="00BA19B9">
          <w:pPr>
            <w:pStyle w:val="TOC1"/>
            <w:tabs>
              <w:tab w:val="right" w:leader="dot" w:pos="9016"/>
            </w:tabs>
            <w:rPr>
              <w:noProof/>
            </w:rPr>
          </w:pPr>
          <w:hyperlink w:anchor="_Toc102633178" w:history="1">
            <w:r w:rsidRPr="00291399">
              <w:rPr>
                <w:rStyle w:val="Hyperlink"/>
                <w:noProof/>
                <w:lang w:val="en-GB"/>
              </w:rPr>
              <w:t>REFERENCES</w:t>
            </w:r>
            <w:r>
              <w:rPr>
                <w:noProof/>
                <w:webHidden/>
              </w:rPr>
              <w:tab/>
            </w:r>
            <w:r>
              <w:rPr>
                <w:noProof/>
                <w:webHidden/>
              </w:rPr>
              <w:fldChar w:fldCharType="begin"/>
            </w:r>
            <w:r>
              <w:rPr>
                <w:noProof/>
                <w:webHidden/>
              </w:rPr>
              <w:instrText xml:space="preserve"> PAGEREF _Toc102633178 \h </w:instrText>
            </w:r>
            <w:r>
              <w:rPr>
                <w:noProof/>
                <w:webHidden/>
              </w:rPr>
            </w:r>
            <w:r>
              <w:rPr>
                <w:noProof/>
                <w:webHidden/>
              </w:rPr>
              <w:fldChar w:fldCharType="separate"/>
            </w:r>
            <w:r w:rsidR="00E3378F">
              <w:rPr>
                <w:noProof/>
                <w:webHidden/>
              </w:rPr>
              <w:t>7</w:t>
            </w:r>
            <w:r>
              <w:rPr>
                <w:noProof/>
                <w:webHidden/>
              </w:rPr>
              <w:fldChar w:fldCharType="end"/>
            </w:r>
          </w:hyperlink>
        </w:p>
        <w:p w14:paraId="786832D3" w14:textId="3A47FC2C" w:rsidR="00BA19B9" w:rsidRDefault="00BA19B9">
          <w:pPr>
            <w:pStyle w:val="TOC2"/>
            <w:tabs>
              <w:tab w:val="right" w:leader="dot" w:pos="9016"/>
            </w:tabs>
            <w:rPr>
              <w:noProof/>
            </w:rPr>
          </w:pPr>
          <w:hyperlink w:anchor="_Toc102633179" w:history="1">
            <w:r w:rsidRPr="00291399">
              <w:rPr>
                <w:rStyle w:val="Hyperlink"/>
                <w:noProof/>
                <w:lang w:val="en-GB"/>
              </w:rPr>
              <w:t>Books and Journals:</w:t>
            </w:r>
            <w:r>
              <w:rPr>
                <w:noProof/>
                <w:webHidden/>
              </w:rPr>
              <w:tab/>
            </w:r>
            <w:r>
              <w:rPr>
                <w:noProof/>
                <w:webHidden/>
              </w:rPr>
              <w:fldChar w:fldCharType="begin"/>
            </w:r>
            <w:r>
              <w:rPr>
                <w:noProof/>
                <w:webHidden/>
              </w:rPr>
              <w:instrText xml:space="preserve"> PAGEREF _Toc102633179 \h </w:instrText>
            </w:r>
            <w:r>
              <w:rPr>
                <w:noProof/>
                <w:webHidden/>
              </w:rPr>
            </w:r>
            <w:r>
              <w:rPr>
                <w:noProof/>
                <w:webHidden/>
              </w:rPr>
              <w:fldChar w:fldCharType="separate"/>
            </w:r>
            <w:r w:rsidR="00E3378F">
              <w:rPr>
                <w:noProof/>
                <w:webHidden/>
              </w:rPr>
              <w:t>7</w:t>
            </w:r>
            <w:r>
              <w:rPr>
                <w:noProof/>
                <w:webHidden/>
              </w:rPr>
              <w:fldChar w:fldCharType="end"/>
            </w:r>
          </w:hyperlink>
        </w:p>
        <w:p w14:paraId="09512312" w14:textId="77777777" w:rsidR="00BA19B9" w:rsidRDefault="00BA19B9">
          <w:pPr>
            <w:rPr>
              <w:b/>
              <w:bCs/>
              <w:noProof/>
            </w:rPr>
          </w:pPr>
          <w:r>
            <w:rPr>
              <w:b/>
              <w:bCs/>
              <w:noProof/>
            </w:rPr>
            <w:fldChar w:fldCharType="end"/>
          </w:r>
        </w:p>
        <w:p w14:paraId="1F9E4959" w14:textId="77777777" w:rsidR="00E3378F" w:rsidRDefault="00E3378F" w:rsidP="00E3378F">
          <w:pPr>
            <w:rPr>
              <w:b/>
              <w:bCs/>
              <w:noProof/>
            </w:rPr>
          </w:pPr>
        </w:p>
        <w:p w14:paraId="7A3CC92D" w14:textId="77777777" w:rsidR="00E3378F" w:rsidRDefault="00E3378F" w:rsidP="00E3378F">
          <w:pPr>
            <w:rPr>
              <w:b/>
              <w:bCs/>
              <w:noProof/>
            </w:rPr>
          </w:pPr>
        </w:p>
        <w:p w14:paraId="2CD535AF" w14:textId="77777777" w:rsidR="00E3378F" w:rsidRDefault="00E3378F" w:rsidP="00E3378F">
          <w:pPr>
            <w:rPr>
              <w:b/>
              <w:bCs/>
              <w:noProof/>
            </w:rPr>
          </w:pPr>
        </w:p>
        <w:p w14:paraId="68A8BAB5" w14:textId="77777777" w:rsidR="00E3378F" w:rsidRDefault="00E3378F" w:rsidP="00E3378F">
          <w:pPr>
            <w:rPr>
              <w:b/>
              <w:bCs/>
              <w:noProof/>
            </w:rPr>
          </w:pPr>
        </w:p>
        <w:p w14:paraId="6F450B87" w14:textId="77777777" w:rsidR="00E3378F" w:rsidRDefault="00E3378F" w:rsidP="00E3378F">
          <w:pPr>
            <w:rPr>
              <w:b/>
              <w:bCs/>
              <w:noProof/>
            </w:rPr>
          </w:pPr>
        </w:p>
        <w:p w14:paraId="71112B1D" w14:textId="77777777" w:rsidR="00E3378F" w:rsidRDefault="00E3378F" w:rsidP="00E3378F">
          <w:pPr>
            <w:rPr>
              <w:b/>
              <w:bCs/>
              <w:noProof/>
            </w:rPr>
          </w:pPr>
        </w:p>
        <w:p w14:paraId="0C9775C9" w14:textId="77777777" w:rsidR="00E3378F" w:rsidRDefault="00E3378F" w:rsidP="00E3378F">
          <w:pPr>
            <w:rPr>
              <w:b/>
              <w:bCs/>
              <w:noProof/>
            </w:rPr>
          </w:pPr>
        </w:p>
        <w:p w14:paraId="55D80D48" w14:textId="77777777" w:rsidR="00E3378F" w:rsidRDefault="00E3378F" w:rsidP="00E3378F">
          <w:pPr>
            <w:rPr>
              <w:b/>
              <w:bCs/>
              <w:noProof/>
            </w:rPr>
          </w:pPr>
        </w:p>
        <w:p w14:paraId="0EE063B4" w14:textId="77777777" w:rsidR="00E3378F" w:rsidRDefault="00E3378F" w:rsidP="00E3378F">
          <w:pPr>
            <w:rPr>
              <w:b/>
              <w:bCs/>
              <w:noProof/>
            </w:rPr>
          </w:pPr>
        </w:p>
        <w:p w14:paraId="0F13FC74" w14:textId="77777777" w:rsidR="00E3378F" w:rsidRDefault="00E3378F" w:rsidP="00E3378F">
          <w:pPr>
            <w:rPr>
              <w:b/>
              <w:bCs/>
              <w:noProof/>
            </w:rPr>
          </w:pPr>
        </w:p>
        <w:p w14:paraId="180940ED" w14:textId="0CC8B6F9" w:rsidR="00E3378F" w:rsidRDefault="00BA19B9" w:rsidP="00E3378F">
          <w:pPr>
            <w:rPr>
              <w:b/>
              <w:bCs/>
              <w:noProof/>
            </w:rPr>
          </w:pPr>
        </w:p>
      </w:sdtContent>
    </w:sdt>
    <w:bookmarkStart w:id="1" w:name="_Toc102633169" w:displacedByCustomXml="prev"/>
    <w:p w14:paraId="16C41A3A" w14:textId="3E047833" w:rsidR="000B4F99" w:rsidRDefault="000B4F99" w:rsidP="00E3378F">
      <w:pPr>
        <w:pStyle w:val="Heading1"/>
      </w:pPr>
      <w:r w:rsidRPr="00404222">
        <w:t>INTRODUCTION</w:t>
      </w:r>
      <w:bookmarkEnd w:id="0"/>
      <w:bookmarkEnd w:id="1"/>
    </w:p>
    <w:p w14:paraId="4C840834" w14:textId="77777777" w:rsidR="00E3378F" w:rsidRPr="00E3378F" w:rsidRDefault="00E3378F" w:rsidP="00E3378F"/>
    <w:p w14:paraId="7C2EDD96" w14:textId="6E5DE51D" w:rsidR="000B4F99" w:rsidRDefault="000B4F99" w:rsidP="000B4F99">
      <w:pPr>
        <w:rPr>
          <w:lang w:val="en-GB"/>
        </w:rPr>
      </w:pPr>
      <w:r>
        <w:rPr>
          <w:lang w:val="en-GB"/>
        </w:rPr>
        <w:tab/>
        <w:t>Community engagement is found to be the process which emphasizes on involvement and participation for the welfare of community</w:t>
      </w:r>
      <w:r>
        <w:t xml:space="preserve"> (</w:t>
      </w:r>
      <w:r>
        <w:rPr>
          <w:rFonts w:cs="Times New Roman"/>
          <w:color w:val="222222"/>
          <w:szCs w:val="20"/>
          <w:shd w:val="clear" w:color="auto" w:fill="FFFFFF"/>
        </w:rPr>
        <w:t>Tuttle and et.al., 2021</w:t>
      </w:r>
      <w:r>
        <w:t>)</w:t>
      </w:r>
      <w:r>
        <w:rPr>
          <w:lang w:val="en-GB"/>
        </w:rPr>
        <w:t xml:space="preserve">. It is the process which is mainly focusing on enhancing collaborative working with group of people affiliated by special interest, geographic proximity, etc. This report aims to analyse the contribution of local community towards community engagement in the context of Age UK Sutton. This report is a detailed analysis of the project and program of a charitable organisation. It will also discuss the principles and the standards of community engagement which is necessary to consider by the charitable organisation so that they </w:t>
      </w:r>
      <w:r w:rsidR="00404222">
        <w:rPr>
          <w:lang w:val="en-GB"/>
        </w:rPr>
        <w:t>can be</w:t>
      </w:r>
      <w:r>
        <w:rPr>
          <w:lang w:val="en-GB"/>
        </w:rPr>
        <w:t xml:space="preserve"> able to achieve their aims and objectives.</w:t>
      </w:r>
    </w:p>
    <w:p w14:paraId="232B7114" w14:textId="77777777" w:rsidR="00E3378F" w:rsidRDefault="00E3378F" w:rsidP="000B4F99">
      <w:pPr>
        <w:rPr>
          <w:lang w:val="en-GB"/>
        </w:rPr>
      </w:pPr>
    </w:p>
    <w:p w14:paraId="2CF7BE60" w14:textId="003B9E44" w:rsidR="000B4F99" w:rsidRDefault="000B4F99" w:rsidP="000B4F99">
      <w:pPr>
        <w:pStyle w:val="Heading1"/>
        <w:rPr>
          <w:lang w:val="en-GB"/>
        </w:rPr>
      </w:pPr>
      <w:bookmarkStart w:id="2" w:name="_Toc99844078"/>
      <w:bookmarkStart w:id="3" w:name="_Toc102633170"/>
      <w:r>
        <w:rPr>
          <w:lang w:val="en-GB"/>
        </w:rPr>
        <w:t>MAIN BODY</w:t>
      </w:r>
      <w:bookmarkEnd w:id="2"/>
      <w:bookmarkEnd w:id="3"/>
    </w:p>
    <w:p w14:paraId="0A335559" w14:textId="77777777" w:rsidR="00E3378F" w:rsidRPr="00E3378F" w:rsidRDefault="00E3378F" w:rsidP="00E3378F">
      <w:pPr>
        <w:rPr>
          <w:lang w:val="en-GB"/>
        </w:rPr>
      </w:pPr>
    </w:p>
    <w:p w14:paraId="374F3E85" w14:textId="77777777" w:rsidR="000B4F99" w:rsidRDefault="000B4F99" w:rsidP="000B4F99">
      <w:pPr>
        <w:pStyle w:val="Heading2"/>
        <w:rPr>
          <w:lang w:val="en-GB"/>
        </w:rPr>
      </w:pPr>
      <w:bookmarkStart w:id="4" w:name="_Toc99844079"/>
      <w:bookmarkStart w:id="5" w:name="_Toc102633171"/>
      <w:r>
        <w:rPr>
          <w:lang w:val="en-GB"/>
        </w:rPr>
        <w:t>Project or programme</w:t>
      </w:r>
      <w:bookmarkEnd w:id="4"/>
      <w:bookmarkEnd w:id="5"/>
    </w:p>
    <w:p w14:paraId="761E3F64" w14:textId="77777777" w:rsidR="000B4F99" w:rsidRDefault="000B4F99" w:rsidP="000B4F99">
      <w:pPr>
        <w:ind w:firstLine="720"/>
        <w:rPr>
          <w:lang w:val="en-GB"/>
        </w:rPr>
      </w:pPr>
      <w:r>
        <w:rPr>
          <w:lang w:val="en-GB"/>
        </w:rPr>
        <w:t xml:space="preserve">Engagement means the framework of principal, approaches. Engagement is based on the respect in all community member and consulted, informed. Community is broad term is the define group people whether they are interest group. Community Engagement is a process of </w:t>
      </w:r>
      <w:r>
        <w:rPr>
          <w:lang w:val="en-GB"/>
        </w:rPr>
        <w:lastRenderedPageBreak/>
        <w:t>working with group of people with similar interest, similar geographical proximity, similar situation that affect the people</w:t>
      </w:r>
      <w:r>
        <w:t xml:space="preserve"> (</w:t>
      </w:r>
      <w:r>
        <w:rPr>
          <w:rFonts w:cs="Times New Roman"/>
          <w:color w:val="222222"/>
          <w:szCs w:val="20"/>
          <w:shd w:val="clear" w:color="auto" w:fill="FFFFFF"/>
        </w:rPr>
        <w:t>Corbin and et.al., 2021</w:t>
      </w:r>
      <w:r>
        <w:t>)</w:t>
      </w:r>
      <w:r>
        <w:rPr>
          <w:lang w:val="en-GB"/>
        </w:rPr>
        <w:t xml:space="preserve">. Community engagement is combination of science and arts. Arts is understanding, skills and sensitivity used to apply. It is used for </w:t>
      </w:r>
      <w:proofErr w:type="gramStart"/>
      <w:r>
        <w:rPr>
          <w:lang w:val="en-GB"/>
        </w:rPr>
        <w:t>become</w:t>
      </w:r>
      <w:proofErr w:type="gramEnd"/>
      <w:r>
        <w:rPr>
          <w:lang w:val="en-GB"/>
        </w:rPr>
        <w:t xml:space="preserve"> various programme for they engage those people who live alone and they want to busy for community engagement. Engage people provide various service help to those people who </w:t>
      </w:r>
      <w:proofErr w:type="gramStart"/>
      <w:r>
        <w:rPr>
          <w:lang w:val="en-GB"/>
        </w:rPr>
        <w:t>actually wanted</w:t>
      </w:r>
      <w:proofErr w:type="gramEnd"/>
      <w:r>
        <w:rPr>
          <w:lang w:val="en-GB"/>
        </w:rPr>
        <w:t xml:space="preserve"> the help. Such as example are </w:t>
      </w:r>
      <w:proofErr w:type="gramStart"/>
      <w:r>
        <w:rPr>
          <w:lang w:val="en-GB"/>
        </w:rPr>
        <w:t>there</w:t>
      </w:r>
      <w:proofErr w:type="gramEnd"/>
      <w:r>
        <w:rPr>
          <w:lang w:val="en-GB"/>
        </w:rPr>
        <w:t xml:space="preserve"> home help, local charity. </w:t>
      </w:r>
    </w:p>
    <w:p w14:paraId="0172DFAF" w14:textId="77777777" w:rsidR="000B4F99" w:rsidRDefault="000B4F99" w:rsidP="000B4F99">
      <w:pPr>
        <w:ind w:firstLine="720"/>
        <w:rPr>
          <w:lang w:val="en-GB"/>
        </w:rPr>
      </w:pPr>
      <w:r>
        <w:rPr>
          <w:lang w:val="en-GB"/>
        </w:rPr>
        <w:t xml:space="preserve">Age UK Sutton is independent community that provide help for older people and their families and career. It is a place where the community understand the older people need, standing up for their need. It is an age friendly palace and fostering a sense of community and this community belongings to older people. It is a place where older people feel support and valued. For older people engagement they trained in digital. They develop digital skills in them so that they can live their happily. </w:t>
      </w:r>
      <w:proofErr w:type="gramStart"/>
      <w:r>
        <w:rPr>
          <w:lang w:val="en-GB"/>
        </w:rPr>
        <w:t>By the use of</w:t>
      </w:r>
      <w:proofErr w:type="gramEnd"/>
      <w:r>
        <w:rPr>
          <w:lang w:val="en-GB"/>
        </w:rPr>
        <w:t xml:space="preserve"> digital they connect each other and make </w:t>
      </w:r>
      <w:proofErr w:type="spellStart"/>
      <w:r>
        <w:rPr>
          <w:lang w:val="en-GB"/>
        </w:rPr>
        <w:t>tem</w:t>
      </w:r>
      <w:proofErr w:type="spellEnd"/>
      <w:r>
        <w:rPr>
          <w:lang w:val="en-GB"/>
        </w:rPr>
        <w:t xml:space="preserve"> digital champions. UK Sutton </w:t>
      </w:r>
      <w:proofErr w:type="gramStart"/>
      <w:r>
        <w:rPr>
          <w:lang w:val="en-GB"/>
        </w:rPr>
        <w:t>hire</w:t>
      </w:r>
      <w:proofErr w:type="gramEnd"/>
      <w:r>
        <w:rPr>
          <w:lang w:val="en-GB"/>
        </w:rPr>
        <w:t xml:space="preserve"> those people who share the loneliness of old people. UK Sutton is launched the new programme ‘Let’s Connect. </w:t>
      </w:r>
    </w:p>
    <w:p w14:paraId="2EFBF5E5" w14:textId="77777777" w:rsidR="000B4F99" w:rsidRDefault="000B4F99" w:rsidP="000B4F99">
      <w:pPr>
        <w:pStyle w:val="Heading2"/>
        <w:rPr>
          <w:lang w:val="en-GB"/>
        </w:rPr>
      </w:pPr>
      <w:bookmarkStart w:id="6" w:name="_Toc99844080"/>
      <w:bookmarkStart w:id="7" w:name="_Toc102633172"/>
      <w:r>
        <w:rPr>
          <w:lang w:val="en-GB"/>
        </w:rPr>
        <w:t>Community engagement principles and standards</w:t>
      </w:r>
      <w:bookmarkEnd w:id="6"/>
      <w:bookmarkEnd w:id="7"/>
    </w:p>
    <w:p w14:paraId="13152A50" w14:textId="77777777" w:rsidR="000B4F99" w:rsidRDefault="000B4F99" w:rsidP="000B4F99">
      <w:pPr>
        <w:ind w:firstLine="720"/>
        <w:rPr>
          <w:szCs w:val="24"/>
          <w:lang w:val="en-GB"/>
        </w:rPr>
      </w:pPr>
      <w:r>
        <w:rPr>
          <w:szCs w:val="24"/>
          <w:lang w:val="en-GB"/>
        </w:rPr>
        <w:t>The community engagement principles are that they engage people through different programmes because of this older people engage in other activities and they feel happy</w:t>
      </w:r>
      <w:r>
        <w:t xml:space="preserve"> (</w:t>
      </w:r>
      <w:r>
        <w:rPr>
          <w:rFonts w:cs="Times New Roman"/>
          <w:color w:val="222222"/>
          <w:szCs w:val="20"/>
          <w:shd w:val="clear" w:color="auto" w:fill="FFFFFF"/>
        </w:rPr>
        <w:t>Key and et.al., 2019</w:t>
      </w:r>
      <w:r>
        <w:t>)</w:t>
      </w:r>
      <w:r>
        <w:rPr>
          <w:szCs w:val="24"/>
          <w:lang w:val="en-GB"/>
        </w:rPr>
        <w:t xml:space="preserve">. Sutton creates various programmes for older people's happiness and reduces loneliness.  These are some services provided by Sutton for the help of people. This service might be good for all age groups those suffering from depression, and loneliness. It gives service who don’t do their work and suffer from illness. They provide service to those people who have not eaten food. They pack the food for all those people suffering from starvation. </w:t>
      </w:r>
    </w:p>
    <w:p w14:paraId="2E04EF0E" w14:textId="77777777" w:rsidR="000B4F99" w:rsidRDefault="000B4F99" w:rsidP="000B4F99">
      <w:pPr>
        <w:rPr>
          <w:lang w:val="en-GB"/>
        </w:rPr>
      </w:pPr>
      <w:r>
        <w:rPr>
          <w:rStyle w:val="Strong"/>
          <w:color w:val="0E101A"/>
          <w:lang w:val="en-GB"/>
        </w:rPr>
        <w:t>Information and advice:</w:t>
      </w:r>
      <w:r>
        <w:rPr>
          <w:lang w:val="en-GB"/>
        </w:rPr>
        <w:t xml:space="preserve"> It </w:t>
      </w:r>
      <w:proofErr w:type="gramStart"/>
      <w:r>
        <w:rPr>
          <w:lang w:val="en-GB"/>
        </w:rPr>
        <w:t>is</w:t>
      </w:r>
      <w:proofErr w:type="gramEnd"/>
      <w:r>
        <w:rPr>
          <w:lang w:val="en-GB"/>
        </w:rPr>
        <w:t xml:space="preserve"> a programme for the 50+people. Who gives support with regulated information, action plan and support local and national plans? The community is wanted to meet those people who change their own life or who wanted to talk to a person who gives an action plan for goals and ambition.</w:t>
      </w:r>
    </w:p>
    <w:p w14:paraId="0E53BFD2" w14:textId="77777777" w:rsidR="000B4F99" w:rsidRDefault="000B4F99" w:rsidP="000B4F99">
      <w:pPr>
        <w:rPr>
          <w:lang w:val="en-GB"/>
        </w:rPr>
      </w:pPr>
      <w:r>
        <w:rPr>
          <w:rStyle w:val="Strong"/>
          <w:color w:val="0E101A"/>
          <w:lang w:val="en-GB"/>
        </w:rPr>
        <w:t>Help at home:</w:t>
      </w:r>
      <w:r>
        <w:rPr>
          <w:lang w:val="en-GB"/>
        </w:rPr>
        <w:t> Age UK Sutton is wanted to help old people form their own homes. Home service supports older people examples food groceries shopping, housekeeping, and cleaning light domestic tasks. Help at home is to keep customers peace of mind. A cashless payment system is required they not embrace feel to the older people.  </w:t>
      </w:r>
    </w:p>
    <w:p w14:paraId="3DF2A14F" w14:textId="77777777" w:rsidR="000B4F99" w:rsidRDefault="000B4F99" w:rsidP="000B4F99">
      <w:pPr>
        <w:rPr>
          <w:lang w:val="en-GB"/>
        </w:rPr>
      </w:pPr>
      <w:r>
        <w:rPr>
          <w:rStyle w:val="Strong"/>
          <w:color w:val="0E101A"/>
          <w:lang w:val="en-GB"/>
        </w:rPr>
        <w:t>Community connection service: </w:t>
      </w:r>
      <w:r>
        <w:rPr>
          <w:lang w:val="en-GB"/>
        </w:rPr>
        <w:t>The community is wanted that to</w:t>
      </w:r>
      <w:r>
        <w:rPr>
          <w:rStyle w:val="Strong"/>
          <w:color w:val="0E101A"/>
          <w:lang w:val="en-GB"/>
        </w:rPr>
        <w:t> </w:t>
      </w:r>
      <w:r>
        <w:rPr>
          <w:lang w:val="en-GB"/>
        </w:rPr>
        <w:t xml:space="preserve">older people meet other people to relieve some tension. Sutton wanted to make older people happy to become new </w:t>
      </w:r>
      <w:r>
        <w:rPr>
          <w:lang w:val="en-GB"/>
        </w:rPr>
        <w:lastRenderedPageBreak/>
        <w:t>friends and connect with the wider community. The Sutton develops activities and hobbies for older people they wanted that the older people engage in activities. When older people connect the new people then it will increase confidence and group activity settles them into a new atmosphere.</w:t>
      </w:r>
    </w:p>
    <w:p w14:paraId="202336DE" w14:textId="77777777" w:rsidR="000B4F99" w:rsidRDefault="000B4F99" w:rsidP="000B4F99">
      <w:pPr>
        <w:rPr>
          <w:lang w:val="en-GB"/>
        </w:rPr>
      </w:pPr>
      <w:r>
        <w:rPr>
          <w:rStyle w:val="Strong"/>
          <w:color w:val="0E101A"/>
          <w:lang w:val="en-GB"/>
        </w:rPr>
        <w:t>Dementia well-being session</w:t>
      </w:r>
      <w:r>
        <w:rPr>
          <w:lang w:val="en-GB"/>
        </w:rPr>
        <w:t>: They provide sessions for those people who are affected by Dementia. The Sutton will help you to provide for the friendly weekly session and meet with a friendly group of people same situation</w:t>
      </w:r>
      <w:r>
        <w:t xml:space="preserve"> (</w:t>
      </w:r>
      <w:r>
        <w:rPr>
          <w:rFonts w:cs="Times New Roman"/>
          <w:color w:val="222222"/>
          <w:szCs w:val="20"/>
          <w:shd w:val="clear" w:color="auto" w:fill="FFFFFF"/>
        </w:rPr>
        <w:t>Pell and et.al., 2019)</w:t>
      </w:r>
      <w:r>
        <w:rPr>
          <w:lang w:val="en-GB"/>
        </w:rPr>
        <w:t>. A Sutton becomes a chance to share experiences and strategies with older people. Sutton gives advice and a relative solution for the problem.</w:t>
      </w:r>
    </w:p>
    <w:p w14:paraId="01FCB8AC" w14:textId="77777777" w:rsidR="000B4F99" w:rsidRDefault="000B4F99" w:rsidP="000B4F99">
      <w:pPr>
        <w:rPr>
          <w:lang w:val="en-GB"/>
        </w:rPr>
      </w:pPr>
      <w:r>
        <w:rPr>
          <w:rStyle w:val="Strong"/>
          <w:color w:val="0E101A"/>
          <w:lang w:val="en-GB"/>
        </w:rPr>
        <w:t>Social prescribe Sutton</w:t>
      </w:r>
      <w:r>
        <w:rPr>
          <w:lang w:val="en-GB"/>
        </w:rPr>
        <w:t xml:space="preserve">: Many things affect health and wellbeing. If you feel worried and stressed by this </w:t>
      </w:r>
      <w:proofErr w:type="gramStart"/>
      <w:r>
        <w:rPr>
          <w:lang w:val="en-GB"/>
        </w:rPr>
        <w:t>factor</w:t>
      </w:r>
      <w:proofErr w:type="gramEnd"/>
      <w:r>
        <w:rPr>
          <w:lang w:val="en-GB"/>
        </w:rPr>
        <w:t xml:space="preserve"> then Sutton will happy you by engaging in activities. </w:t>
      </w:r>
    </w:p>
    <w:p w14:paraId="57453FAD" w14:textId="77777777" w:rsidR="000B4F99" w:rsidRDefault="000B4F99" w:rsidP="000B4F99">
      <w:pPr>
        <w:rPr>
          <w:lang w:val="en-GB"/>
        </w:rPr>
      </w:pPr>
      <w:r>
        <w:rPr>
          <w:rStyle w:val="Strong"/>
          <w:color w:val="0E101A"/>
          <w:lang w:val="en-GB"/>
        </w:rPr>
        <w:t>Wellbeing pack</w:t>
      </w:r>
      <w:r>
        <w:rPr>
          <w:lang w:val="en-GB"/>
        </w:rPr>
        <w:t>: it uplifts mental wellbeing. This Sutton gives various news and service update. This wellbeing is welcome feedback for their service.</w:t>
      </w:r>
    </w:p>
    <w:p w14:paraId="16A8BB9A" w14:textId="77777777" w:rsidR="000B4F99" w:rsidRDefault="000B4F99" w:rsidP="000B4F99">
      <w:pPr>
        <w:pStyle w:val="Heading2"/>
        <w:rPr>
          <w:lang w:val="en-GB"/>
        </w:rPr>
      </w:pPr>
      <w:bookmarkStart w:id="8" w:name="_Toc99844081"/>
      <w:bookmarkStart w:id="9" w:name="_Toc102633173"/>
      <w:r>
        <w:rPr>
          <w:lang w:val="en-GB"/>
        </w:rPr>
        <w:t>Benefits of stakeholders’ participation</w:t>
      </w:r>
      <w:bookmarkEnd w:id="8"/>
      <w:bookmarkEnd w:id="9"/>
    </w:p>
    <w:p w14:paraId="6231AEB4" w14:textId="77777777" w:rsidR="000B4F99" w:rsidRDefault="000B4F99" w:rsidP="000B4F99">
      <w:pPr>
        <w:ind w:firstLine="720"/>
        <w:rPr>
          <w:bCs/>
          <w:szCs w:val="24"/>
          <w:lang w:val="en-GB"/>
        </w:rPr>
      </w:pPr>
      <w:r>
        <w:rPr>
          <w:bCs/>
          <w:szCs w:val="24"/>
          <w:lang w:val="en-GB"/>
        </w:rPr>
        <w:t xml:space="preserve">The Programme launched by Age UK SUTTON helps to educate older people for their confidence and future betterment </w:t>
      </w:r>
      <w:r>
        <w:t>(</w:t>
      </w:r>
      <w:r>
        <w:rPr>
          <w:rFonts w:cs="Times New Roman"/>
          <w:color w:val="222222"/>
          <w:szCs w:val="20"/>
          <w:shd w:val="clear" w:color="auto" w:fill="FFFFFF"/>
        </w:rPr>
        <w:t>Pratt and de Vries, 2018</w:t>
      </w:r>
      <w:r>
        <w:t>)</w:t>
      </w:r>
      <w:r>
        <w:rPr>
          <w:bCs/>
          <w:szCs w:val="24"/>
          <w:lang w:val="en-GB"/>
        </w:rPr>
        <w:t xml:space="preserve">. It helps older people to learn new skills and older people work effectively and achieve success. </w:t>
      </w:r>
    </w:p>
    <w:p w14:paraId="27080C3B" w14:textId="77777777" w:rsidR="000B4F99" w:rsidRDefault="000B4F99" w:rsidP="000B4F99">
      <w:pPr>
        <w:ind w:firstLine="720"/>
        <w:rPr>
          <w:bCs/>
          <w:szCs w:val="24"/>
          <w:lang w:val="en-GB"/>
        </w:rPr>
      </w:pPr>
      <w:r>
        <w:rPr>
          <w:bCs/>
          <w:szCs w:val="24"/>
          <w:lang w:val="en-GB"/>
        </w:rPr>
        <w:t xml:space="preserve">They reduced their tension and think about the new way of life through the programme. The programme is effective for reducing the loneliness of the people. </w:t>
      </w:r>
    </w:p>
    <w:p w14:paraId="7AC9E8EE" w14:textId="77777777" w:rsidR="000B4F99" w:rsidRDefault="000B4F99" w:rsidP="000B4F99">
      <w:pPr>
        <w:ind w:firstLine="720"/>
        <w:rPr>
          <w:b/>
          <w:shd w:val="clear" w:color="auto" w:fill="FFFFFF"/>
          <w:lang w:val="en-GB"/>
        </w:rPr>
      </w:pPr>
      <w:r>
        <w:rPr>
          <w:lang w:val="en-GB"/>
        </w:rPr>
        <w:t>The evolvement of the stakeholder for reduced social deprivation. The work on the communication, involvement and interaction between the community and the organisation.</w:t>
      </w:r>
      <w:r>
        <w:rPr>
          <w:b/>
          <w:shd w:val="clear" w:color="auto" w:fill="FFFFFF"/>
          <w:lang w:val="en-GB"/>
        </w:rPr>
        <w:t xml:space="preserve"> </w:t>
      </w:r>
    </w:p>
    <w:p w14:paraId="2EF9E6D3" w14:textId="77777777" w:rsidR="000B4F99" w:rsidRDefault="000B4F99" w:rsidP="000B4F99">
      <w:pPr>
        <w:pStyle w:val="Heading2"/>
        <w:rPr>
          <w:bCs/>
          <w:szCs w:val="24"/>
          <w:lang w:val="en-GB"/>
        </w:rPr>
      </w:pPr>
      <w:bookmarkStart w:id="10" w:name="_Toc99844082"/>
      <w:bookmarkStart w:id="11" w:name="_Toc102633174"/>
      <w:r>
        <w:rPr>
          <w:lang w:val="en-GB"/>
        </w:rPr>
        <w:t>Relationship between the stakeholders and strategies are suitable for engagement</w:t>
      </w:r>
      <w:bookmarkEnd w:id="10"/>
      <w:bookmarkEnd w:id="11"/>
    </w:p>
    <w:p w14:paraId="441909F0" w14:textId="77777777" w:rsidR="000B4F99" w:rsidRDefault="000B4F99" w:rsidP="000B4F99">
      <w:pPr>
        <w:ind w:firstLine="720"/>
        <w:rPr>
          <w:lang w:val="en-GB"/>
        </w:rPr>
      </w:pPr>
      <w:r>
        <w:rPr>
          <w:lang w:val="en-GB"/>
        </w:rPr>
        <w:t xml:space="preserve">It is noted that AGE UK Sutton </w:t>
      </w:r>
      <w:proofErr w:type="gramStart"/>
      <w:r>
        <w:rPr>
          <w:lang w:val="en-GB"/>
        </w:rPr>
        <w:t>maintain</w:t>
      </w:r>
      <w:proofErr w:type="gramEnd"/>
      <w:r>
        <w:rPr>
          <w:lang w:val="en-GB"/>
        </w:rPr>
        <w:t xml:space="preserve"> a good relationship with the stakeholder. This relationship increases growth and achieves success in the community </w:t>
      </w:r>
      <w:r>
        <w:t>(</w:t>
      </w:r>
      <w:proofErr w:type="spellStart"/>
      <w:r>
        <w:rPr>
          <w:rFonts w:cs="Times New Roman"/>
          <w:color w:val="222222"/>
          <w:szCs w:val="20"/>
          <w:shd w:val="clear" w:color="auto" w:fill="FFFFFF"/>
        </w:rPr>
        <w:t>Ekzayez</w:t>
      </w:r>
      <w:proofErr w:type="spellEnd"/>
      <w:r>
        <w:rPr>
          <w:rFonts w:cs="Times New Roman"/>
          <w:color w:val="222222"/>
          <w:szCs w:val="20"/>
          <w:shd w:val="clear" w:color="auto" w:fill="FFFFFF"/>
        </w:rPr>
        <w:t xml:space="preserve"> and et.al., </w:t>
      </w:r>
      <w:proofErr w:type="gramStart"/>
      <w:r>
        <w:rPr>
          <w:rFonts w:cs="Times New Roman"/>
          <w:color w:val="222222"/>
          <w:szCs w:val="20"/>
          <w:shd w:val="clear" w:color="auto" w:fill="FFFFFF"/>
        </w:rPr>
        <w:t>2020</w:t>
      </w:r>
      <w:r>
        <w:t>)</w:t>
      </w:r>
      <w:r>
        <w:rPr>
          <w:lang w:val="en-GB"/>
        </w:rPr>
        <w:t>The</w:t>
      </w:r>
      <w:proofErr w:type="gramEnd"/>
      <w:r>
        <w:rPr>
          <w:lang w:val="en-GB"/>
        </w:rPr>
        <w:t xml:space="preserve"> community and stakeholders make effort to serve the benefit of the organisation. The form strategies are to help them, to solve the issues faced by the stakeholder. </w:t>
      </w:r>
    </w:p>
    <w:p w14:paraId="0F9F1B80" w14:textId="77777777" w:rsidR="000B4F99" w:rsidRDefault="000B4F99" w:rsidP="000B4F99">
      <w:pPr>
        <w:ind w:firstLine="720"/>
        <w:rPr>
          <w:lang w:val="en-GB"/>
        </w:rPr>
      </w:pPr>
      <w:r>
        <w:rPr>
          <w:lang w:val="en-GB"/>
        </w:rPr>
        <w:t>This engagement active is created happiness among all the people. This activity is necessary for all participants to activate their brains. For this purpose, the AGE UK Sutton is doing a digital platform for doing this work. Use of social media platforms for building a relationship with the stakeholder.</w:t>
      </w:r>
    </w:p>
    <w:p w14:paraId="65EEB2C6" w14:textId="77777777" w:rsidR="000B4F99" w:rsidRDefault="000B4F99" w:rsidP="000B4F99">
      <w:pPr>
        <w:pStyle w:val="Heading2"/>
        <w:rPr>
          <w:lang w:val="en-GB"/>
        </w:rPr>
      </w:pPr>
      <w:bookmarkStart w:id="12" w:name="_Toc99844083"/>
      <w:bookmarkStart w:id="13" w:name="_Toc102633175"/>
      <w:r>
        <w:rPr>
          <w:lang w:val="en-GB"/>
        </w:rPr>
        <w:lastRenderedPageBreak/>
        <w:t xml:space="preserve">Engagement with the help of </w:t>
      </w:r>
      <w:proofErr w:type="gramStart"/>
      <w:r>
        <w:rPr>
          <w:lang w:val="en-GB"/>
        </w:rPr>
        <w:t>Social</w:t>
      </w:r>
      <w:proofErr w:type="gramEnd"/>
      <w:r>
        <w:rPr>
          <w:lang w:val="en-GB"/>
        </w:rPr>
        <w:t xml:space="preserve"> media platforms</w:t>
      </w:r>
      <w:bookmarkEnd w:id="12"/>
      <w:bookmarkEnd w:id="13"/>
    </w:p>
    <w:p w14:paraId="114D3564" w14:textId="77777777" w:rsidR="000B4F99" w:rsidRDefault="000B4F99" w:rsidP="000B4F99">
      <w:pPr>
        <w:ind w:firstLine="720"/>
        <w:rPr>
          <w:lang w:val="en-GB"/>
        </w:rPr>
      </w:pPr>
      <w:r>
        <w:rPr>
          <w:lang w:val="en-GB"/>
        </w:rPr>
        <w:t xml:space="preserve">Digitalization has increased the use of social media platforms like Facebook, Instagram, YouTube, Twitter etc. There are so many options it's seen that there are so people who are using the social media platform or maybe it will be increasing in upcoming years. These things become the benefits of community engagement </w:t>
      </w:r>
      <w:r>
        <w:t>(</w:t>
      </w:r>
      <w:r>
        <w:rPr>
          <w:rFonts w:cs="Times New Roman"/>
          <w:color w:val="222222"/>
          <w:szCs w:val="20"/>
          <w:shd w:val="clear" w:color="auto" w:fill="FFFFFF"/>
        </w:rPr>
        <w:t>Firestone and et.al., 2018</w:t>
      </w:r>
      <w:r>
        <w:t>)</w:t>
      </w:r>
      <w:r>
        <w:rPr>
          <w:lang w:val="en-GB"/>
        </w:rPr>
        <w:t xml:space="preserve">. There is a community engagement name like AGE UK SUTTON, they are using these platforms in a positive &amp; effective way. When peoples use these </w:t>
      </w:r>
      <w:proofErr w:type="gramStart"/>
      <w:r>
        <w:rPr>
          <w:lang w:val="en-GB"/>
        </w:rPr>
        <w:t>platform</w:t>
      </w:r>
      <w:proofErr w:type="gramEnd"/>
      <w:r>
        <w:rPr>
          <w:lang w:val="en-GB"/>
        </w:rPr>
        <w:t xml:space="preserve"> these things directly indicates that every people want to stay connected with so many people by the use of this community engagement will create some benefits. In this case, these community engagement organizations will post something every day on their social media handle like the Facebook page, Instagram, Twitter &amp; make small - a small video that they post on YouTube. They are working over this &amp; getting so many benefits like they have their blog in which they regularly post some content, they have their effective website as well. This AGE UK SUTTON plans to help the old age people &amp; spread awareness regarding the same through social media.</w:t>
      </w:r>
    </w:p>
    <w:p w14:paraId="5A06008A" w14:textId="77777777" w:rsidR="000B4F99" w:rsidRDefault="000B4F99" w:rsidP="000B4F99">
      <w:pPr>
        <w:ind w:firstLine="720"/>
        <w:rPr>
          <w:lang w:val="en-GB"/>
        </w:rPr>
      </w:pPr>
      <w:proofErr w:type="gramStart"/>
      <w:r>
        <w:rPr>
          <w:lang w:val="en-GB"/>
        </w:rPr>
        <w:t>These community engagement</w:t>
      </w:r>
      <w:proofErr w:type="gramEnd"/>
      <w:r>
        <w:rPr>
          <w:lang w:val="en-GB"/>
        </w:rPr>
        <w:t xml:space="preserve"> has started the campaign to enhance digital skills with help of this they helped the needed people in very tough times like the recent world had to face the corona period</w:t>
      </w:r>
      <w:r>
        <w:t xml:space="preserve"> (</w:t>
      </w:r>
      <w:r>
        <w:rPr>
          <w:rFonts w:cs="Times New Roman"/>
          <w:color w:val="222222"/>
          <w:szCs w:val="20"/>
          <w:shd w:val="clear" w:color="auto" w:fill="FFFFFF"/>
        </w:rPr>
        <w:t>Bedson and et.al., 2020</w:t>
      </w:r>
      <w:r>
        <w:t>)</w:t>
      </w:r>
      <w:r>
        <w:rPr>
          <w:lang w:val="en-GB"/>
        </w:rPr>
        <w:t xml:space="preserve">. These platforms are used to interact or connect with each other in any part or area of the world &amp; these platforms </w:t>
      </w:r>
      <w:proofErr w:type="gramStart"/>
      <w:r>
        <w:rPr>
          <w:lang w:val="en-GB"/>
        </w:rPr>
        <w:t>are able to</w:t>
      </w:r>
      <w:proofErr w:type="gramEnd"/>
      <w:r>
        <w:rPr>
          <w:lang w:val="en-GB"/>
        </w:rPr>
        <w:t xml:space="preserve"> reduce the loneliness of the old people. These community engagements post all the things on the social handle in detail so that more &amp; more people even those people who also see the post who’s in different countries means across the borders. This regularly posting of content can motivate so many people in the different – different countries. They motivate peoples or society to help those who are needy like there are so many roads, they are always searching &amp; begging the food to eat, there are so many children they want to do study but lack of money is a reason not to study, there are so old people who are sleeping on the road in every season they don’t have clothes, food, shelter &amp; so many things this organization helps this needed people. These community engagements are trusted NGOs they help others free of cost, so many people are donating some part of their income even governments also give some money to them or with the help of social media platforms, they earn money through like Instagram, and YouTube or Facebook. This community engagement works in different groups for a specific purpose with the same interest for the welfare of the community. These small – small steps taken by the community which is become beneficial for the society for further growth in future. </w:t>
      </w:r>
    </w:p>
    <w:p w14:paraId="334F855A" w14:textId="77777777" w:rsidR="000B4F99" w:rsidRDefault="000B4F99" w:rsidP="000B4F99">
      <w:pPr>
        <w:ind w:firstLine="720"/>
        <w:rPr>
          <w:lang w:val="en-GB"/>
        </w:rPr>
      </w:pPr>
      <w:r>
        <w:rPr>
          <w:rStyle w:val="Strong"/>
          <w:color w:val="0E101A"/>
          <w:lang w:val="en-GB"/>
        </w:rPr>
        <w:lastRenderedPageBreak/>
        <w:t>Community participation: </w:t>
      </w:r>
      <w:r>
        <w:rPr>
          <w:lang w:val="en-GB"/>
        </w:rPr>
        <w:t>It is the involvement of more and more people who contribute to the success of health promotion</w:t>
      </w:r>
      <w:r>
        <w:t xml:space="preserve"> (</w:t>
      </w:r>
      <w:r>
        <w:rPr>
          <w:rFonts w:cs="Times New Roman"/>
          <w:color w:val="222222"/>
          <w:szCs w:val="20"/>
          <w:shd w:val="clear" w:color="auto" w:fill="FFFFFF"/>
        </w:rPr>
        <w:t>Tambo and et.al., 2021</w:t>
      </w:r>
      <w:r>
        <w:t>)</w:t>
      </w:r>
      <w:r>
        <w:rPr>
          <w:lang w:val="en-GB"/>
        </w:rPr>
        <w:t xml:space="preserve">. This support assists elder people. This is the bigger problem that is faced by the older people for this they active action to reduce this problem and take quick action for the decision making. This effective decision is to make a man wisely. This is good and effective and helps to serve the member. The use of community participation can be done through social media. Social media engagement will help to enhance the stakeholder engagement. </w:t>
      </w:r>
    </w:p>
    <w:p w14:paraId="0CBB91A9" w14:textId="77777777" w:rsidR="000B4F99" w:rsidRDefault="000B4F99" w:rsidP="000B4F99">
      <w:pPr>
        <w:ind w:firstLine="720"/>
        <w:rPr>
          <w:lang w:val="en-GB"/>
        </w:rPr>
      </w:pPr>
      <w:r>
        <w:rPr>
          <w:b/>
          <w:lang w:val="en-GB"/>
        </w:rPr>
        <w:t xml:space="preserve">Collaboration </w:t>
      </w:r>
      <w:r>
        <w:rPr>
          <w:lang w:val="en-GB"/>
        </w:rPr>
        <w:t>is found to be an important activity which is focusing on increasing the activity of working together in groups as people can easily solve the problem</w:t>
      </w:r>
      <w:r>
        <w:t xml:space="preserve"> (</w:t>
      </w:r>
      <w:r>
        <w:rPr>
          <w:rFonts w:cs="Times New Roman"/>
          <w:color w:val="222222"/>
          <w:szCs w:val="20"/>
          <w:shd w:val="clear" w:color="auto" w:fill="FFFFFF"/>
        </w:rPr>
        <w:t>Adhikari and et.al., 2019</w:t>
      </w:r>
      <w:r>
        <w:t>)</w:t>
      </w:r>
      <w:r>
        <w:rPr>
          <w:lang w:val="en-GB"/>
        </w:rPr>
        <w:t xml:space="preserve">. It is understood by every organisation that when people are working collaboratively then they can produce more ineffective ways. </w:t>
      </w:r>
    </w:p>
    <w:p w14:paraId="12CFAA35" w14:textId="77777777" w:rsidR="000B4F99" w:rsidRDefault="000B4F99" w:rsidP="000B4F99">
      <w:pPr>
        <w:ind w:firstLine="720"/>
        <w:rPr>
          <w:lang w:val="en-GB"/>
        </w:rPr>
      </w:pPr>
      <w:r>
        <w:rPr>
          <w:b/>
          <w:lang w:val="en-GB"/>
        </w:rPr>
        <w:t xml:space="preserve">Socio culture integration </w:t>
      </w:r>
      <w:r>
        <w:rPr>
          <w:lang w:val="en-GB"/>
        </w:rPr>
        <w:t xml:space="preserve">is increasing every day and it is necessary for the community to must take care of them as it is an important part of society. Society is always inviting every type of culture and giving liberal to live their life according to them that's why community engagement is important. </w:t>
      </w:r>
    </w:p>
    <w:p w14:paraId="43C1745E" w14:textId="77777777" w:rsidR="000B4F99" w:rsidRDefault="000B4F99" w:rsidP="000B4F99">
      <w:pPr>
        <w:pStyle w:val="Heading2"/>
      </w:pPr>
      <w:bookmarkStart w:id="14" w:name="_Toc99844084"/>
      <w:bookmarkStart w:id="15" w:name="_Toc102633176"/>
      <w:r>
        <w:t>Community engagement practitioner needs to adopt a forward-looking approach to educate community members on internal and external factors that influence community development</w:t>
      </w:r>
      <w:bookmarkEnd w:id="14"/>
      <w:bookmarkEnd w:id="15"/>
      <w:r>
        <w:t xml:space="preserve"> </w:t>
      </w:r>
    </w:p>
    <w:p w14:paraId="6F9A0E11" w14:textId="77777777" w:rsidR="000B4F99" w:rsidRDefault="000B4F99" w:rsidP="000B4F99">
      <w:pPr>
        <w:rPr>
          <w:lang w:val="en-GB"/>
        </w:rPr>
      </w:pPr>
      <w:r>
        <w:rPr>
          <w:lang w:val="en-GB"/>
        </w:rPr>
        <w:t>It is very important for community engagement practice now that this should understand the influence of internal and external factors on community development</w:t>
      </w:r>
      <w:r>
        <w:t xml:space="preserve"> (</w:t>
      </w:r>
      <w:r>
        <w:rPr>
          <w:rFonts w:cs="Times New Roman"/>
          <w:color w:val="222222"/>
          <w:szCs w:val="20"/>
          <w:shd w:val="clear" w:color="auto" w:fill="FFFFFF"/>
        </w:rPr>
        <w:t>Renwick and et.al., 2020</w:t>
      </w:r>
      <w:r>
        <w:t>)</w:t>
      </w:r>
      <w:r>
        <w:rPr>
          <w:lang w:val="en-GB"/>
        </w:rPr>
        <w:t>. Many internal and external factors will impact the development of the community and for that purpose, they need to adopt a forward-looking approach. In addition to this, it is necessary to understand that many internal and external factors are discussed below:</w:t>
      </w:r>
    </w:p>
    <w:p w14:paraId="041A8CCD" w14:textId="77777777" w:rsidR="000B4F99" w:rsidRDefault="000B4F99" w:rsidP="000B4F99">
      <w:pPr>
        <w:pStyle w:val="ListParagraph"/>
        <w:numPr>
          <w:ilvl w:val="0"/>
          <w:numId w:val="1"/>
        </w:numPr>
        <w:rPr>
          <w:lang w:val="en-GB"/>
        </w:rPr>
      </w:pPr>
      <w:r>
        <w:rPr>
          <w:lang w:val="en-GB"/>
        </w:rPr>
        <w:t>Internal factors: It is found to be the factors that are controlled by the community as it is under the environment of the workplace</w:t>
      </w:r>
      <w:r>
        <w:t xml:space="preserve"> (</w:t>
      </w:r>
      <w:r>
        <w:rPr>
          <w:rFonts w:cs="Times New Roman"/>
          <w:color w:val="222222"/>
          <w:szCs w:val="20"/>
          <w:shd w:val="clear" w:color="auto" w:fill="FFFFFF"/>
        </w:rPr>
        <w:t xml:space="preserve">Bice, Neely and </w:t>
      </w:r>
      <w:proofErr w:type="spellStart"/>
      <w:r>
        <w:rPr>
          <w:rFonts w:cs="Times New Roman"/>
          <w:color w:val="222222"/>
          <w:szCs w:val="20"/>
          <w:shd w:val="clear" w:color="auto" w:fill="FFFFFF"/>
        </w:rPr>
        <w:t>Einfeld</w:t>
      </w:r>
      <w:proofErr w:type="spellEnd"/>
      <w:r>
        <w:rPr>
          <w:rFonts w:cs="Times New Roman"/>
          <w:color w:val="222222"/>
          <w:szCs w:val="20"/>
          <w:shd w:val="clear" w:color="auto" w:fill="FFFFFF"/>
        </w:rPr>
        <w:t>, 2019</w:t>
      </w:r>
      <w:r>
        <w:t>)</w:t>
      </w:r>
      <w:r>
        <w:rPr>
          <w:lang w:val="en-GB"/>
        </w:rPr>
        <w:t xml:space="preserve">. Internal factors also provide an impact on community engagement as it includes the reaction of stakeholders which is playing an important part. </w:t>
      </w:r>
    </w:p>
    <w:p w14:paraId="09985A3C" w14:textId="77777777" w:rsidR="000B4F99" w:rsidRDefault="000B4F99" w:rsidP="000B4F99">
      <w:pPr>
        <w:pStyle w:val="ListParagraph"/>
        <w:numPr>
          <w:ilvl w:val="0"/>
          <w:numId w:val="1"/>
        </w:numPr>
        <w:rPr>
          <w:lang w:val="en-GB"/>
        </w:rPr>
      </w:pPr>
      <w:r>
        <w:rPr>
          <w:lang w:val="en-GB"/>
        </w:rPr>
        <w:t>External factors: These are the factors that are not able to control by the organisation as it is found that many external forces influence community engagement and stop them. Due to this, it is necessary for community engagement practice nurses to analyse the risk which comes from external forces and make decisions accordingly.</w:t>
      </w:r>
    </w:p>
    <w:p w14:paraId="34CA6765" w14:textId="77777777" w:rsidR="000B4F99" w:rsidRDefault="000B4F99" w:rsidP="000B4F99">
      <w:pPr>
        <w:pStyle w:val="Heading1"/>
        <w:rPr>
          <w:lang w:val="en-GB"/>
        </w:rPr>
      </w:pPr>
      <w:bookmarkStart w:id="16" w:name="_Toc99844085"/>
      <w:bookmarkStart w:id="17" w:name="_Toc102633177"/>
      <w:r>
        <w:rPr>
          <w:lang w:val="en-GB"/>
        </w:rPr>
        <w:lastRenderedPageBreak/>
        <w:t>CONCLUSION</w:t>
      </w:r>
      <w:bookmarkEnd w:id="16"/>
      <w:bookmarkEnd w:id="17"/>
      <w:r>
        <w:rPr>
          <w:lang w:val="en-GB"/>
        </w:rPr>
        <w:t xml:space="preserve"> </w:t>
      </w:r>
    </w:p>
    <w:p w14:paraId="53ED5EFD" w14:textId="77777777" w:rsidR="000B4F99" w:rsidRDefault="000B4F99" w:rsidP="000B4F99">
      <w:pPr>
        <w:ind w:firstLine="720"/>
        <w:rPr>
          <w:lang w:val="en-GB"/>
        </w:rPr>
      </w:pPr>
      <w:r>
        <w:rPr>
          <w:lang w:val="en-GB"/>
        </w:rPr>
        <w:t xml:space="preserve">It can be concluded from the above discussion that community engagement is becoming a necessity of each society so that they get some activities which do welfare for them. This report discussed the benefits of stakeholder participation in community engagement </w:t>
      </w:r>
      <w:proofErr w:type="gramStart"/>
      <w:r>
        <w:rPr>
          <w:lang w:val="en-GB"/>
        </w:rPr>
        <w:t>and also</w:t>
      </w:r>
      <w:proofErr w:type="gramEnd"/>
      <w:r>
        <w:rPr>
          <w:lang w:val="en-GB"/>
        </w:rPr>
        <w:t xml:space="preserve"> discussed the principles and standards which need to be followed by a charitable organisation for enhancing community engagement. It is also analysed that engagement is becoming easy with the use of social media platforms as it is the world of digitalisation. It is also analysed that community participation, collaboration, multi-</w:t>
      </w:r>
      <w:proofErr w:type="gramStart"/>
      <w:r>
        <w:rPr>
          <w:lang w:val="en-GB"/>
        </w:rPr>
        <w:t>culture</w:t>
      </w:r>
      <w:proofErr w:type="gramEnd"/>
      <w:r>
        <w:rPr>
          <w:lang w:val="en-GB"/>
        </w:rPr>
        <w:t xml:space="preserve"> and socio-culture integration are found to be the important components of the charitable organisation. It also discussed the forward-looking approach of community engagement practitioners so that they can educate community members for understanding the internal and external factors that can influence the development of a community.</w:t>
      </w:r>
    </w:p>
    <w:p w14:paraId="5461ECD2" w14:textId="77777777" w:rsidR="000B4F99" w:rsidRDefault="000B4F99" w:rsidP="000B4F99">
      <w:pPr>
        <w:spacing w:line="256" w:lineRule="auto"/>
        <w:jc w:val="left"/>
        <w:rPr>
          <w:lang w:val="en-GB"/>
        </w:rPr>
      </w:pPr>
      <w:r>
        <w:rPr>
          <w:lang w:val="en-GB"/>
        </w:rPr>
        <w:br w:type="page"/>
      </w:r>
    </w:p>
    <w:p w14:paraId="4BC7171E" w14:textId="77777777" w:rsidR="000B4F99" w:rsidRDefault="000B4F99" w:rsidP="000B4F99">
      <w:pPr>
        <w:pStyle w:val="Heading1"/>
        <w:rPr>
          <w:lang w:val="en-GB"/>
        </w:rPr>
      </w:pPr>
      <w:bookmarkStart w:id="18" w:name="_Toc99844086"/>
      <w:bookmarkStart w:id="19" w:name="_Toc102633178"/>
      <w:r>
        <w:rPr>
          <w:lang w:val="en-GB"/>
        </w:rPr>
        <w:lastRenderedPageBreak/>
        <w:t>REFERENCES</w:t>
      </w:r>
      <w:bookmarkEnd w:id="18"/>
      <w:bookmarkEnd w:id="19"/>
    </w:p>
    <w:p w14:paraId="2FCECA24" w14:textId="77777777" w:rsidR="000B4F99" w:rsidRDefault="000B4F99" w:rsidP="000B4F99">
      <w:pPr>
        <w:pStyle w:val="Heading2"/>
        <w:rPr>
          <w:lang w:val="en-GB"/>
        </w:rPr>
      </w:pPr>
      <w:bookmarkStart w:id="20" w:name="_Toc99844087"/>
      <w:bookmarkStart w:id="21" w:name="_Toc102633179"/>
      <w:r>
        <w:rPr>
          <w:lang w:val="en-GB"/>
        </w:rPr>
        <w:t>Books and Journals:</w:t>
      </w:r>
      <w:bookmarkEnd w:id="20"/>
      <w:bookmarkEnd w:id="21"/>
    </w:p>
    <w:p w14:paraId="2B2DA4AA" w14:textId="77777777" w:rsidR="000B4F99" w:rsidRDefault="000B4F99" w:rsidP="000B4F99">
      <w:pPr>
        <w:spacing w:line="240" w:lineRule="auto"/>
        <w:ind w:left="851" w:hanging="851"/>
        <w:rPr>
          <w:rFonts w:cs="Times New Roman"/>
          <w:color w:val="222222"/>
          <w:szCs w:val="20"/>
          <w:shd w:val="clear" w:color="auto" w:fill="FFFFFF"/>
        </w:rPr>
      </w:pPr>
      <w:r>
        <w:rPr>
          <w:rFonts w:cs="Times New Roman"/>
          <w:color w:val="222222"/>
          <w:szCs w:val="20"/>
          <w:shd w:val="clear" w:color="auto" w:fill="FFFFFF"/>
        </w:rPr>
        <w:t>Adhikari, B., and et.al., 2019. A realist review of community engagement with health research. </w:t>
      </w:r>
      <w:proofErr w:type="spellStart"/>
      <w:r>
        <w:rPr>
          <w:rFonts w:cs="Times New Roman"/>
          <w:i/>
          <w:iCs/>
          <w:color w:val="222222"/>
          <w:szCs w:val="20"/>
          <w:shd w:val="clear" w:color="auto" w:fill="FFFFFF"/>
        </w:rPr>
        <w:t>Wellcome</w:t>
      </w:r>
      <w:proofErr w:type="spellEnd"/>
      <w:r>
        <w:rPr>
          <w:rFonts w:cs="Times New Roman"/>
          <w:i/>
          <w:iCs/>
          <w:color w:val="222222"/>
          <w:szCs w:val="20"/>
          <w:shd w:val="clear" w:color="auto" w:fill="FFFFFF"/>
        </w:rPr>
        <w:t xml:space="preserve"> open research</w:t>
      </w:r>
      <w:r>
        <w:rPr>
          <w:rFonts w:cs="Times New Roman"/>
          <w:color w:val="222222"/>
          <w:szCs w:val="20"/>
          <w:shd w:val="clear" w:color="auto" w:fill="FFFFFF"/>
        </w:rPr>
        <w:t>, </w:t>
      </w:r>
      <w:r>
        <w:rPr>
          <w:rFonts w:cs="Times New Roman"/>
          <w:i/>
          <w:iCs/>
          <w:color w:val="222222"/>
          <w:szCs w:val="20"/>
          <w:shd w:val="clear" w:color="auto" w:fill="FFFFFF"/>
        </w:rPr>
        <w:t>4</w:t>
      </w:r>
      <w:r>
        <w:rPr>
          <w:rFonts w:cs="Times New Roman"/>
          <w:color w:val="222222"/>
          <w:szCs w:val="20"/>
          <w:shd w:val="clear" w:color="auto" w:fill="FFFFFF"/>
        </w:rPr>
        <w:t>.</w:t>
      </w:r>
    </w:p>
    <w:p w14:paraId="1112E294" w14:textId="77777777" w:rsidR="000B4F99" w:rsidRDefault="000B4F99" w:rsidP="000B4F99">
      <w:pPr>
        <w:spacing w:line="240" w:lineRule="auto"/>
        <w:ind w:left="851" w:hanging="851"/>
        <w:rPr>
          <w:rFonts w:cs="Times New Roman"/>
          <w:color w:val="222222"/>
          <w:szCs w:val="20"/>
          <w:shd w:val="clear" w:color="auto" w:fill="FFFFFF"/>
        </w:rPr>
      </w:pPr>
      <w:r>
        <w:rPr>
          <w:rFonts w:cs="Times New Roman"/>
          <w:color w:val="222222"/>
          <w:szCs w:val="20"/>
          <w:shd w:val="clear" w:color="auto" w:fill="FFFFFF"/>
        </w:rPr>
        <w:t>Bedson, J., and et.al., 2020. Community engagement in outbreak response: lessons from the 2014–2016 Ebola outbreak in Sierra Leone. </w:t>
      </w:r>
      <w:r>
        <w:rPr>
          <w:rFonts w:cs="Times New Roman"/>
          <w:i/>
          <w:iCs/>
          <w:color w:val="222222"/>
          <w:szCs w:val="20"/>
          <w:shd w:val="clear" w:color="auto" w:fill="FFFFFF"/>
        </w:rPr>
        <w:t>BMJ global health</w:t>
      </w:r>
      <w:r>
        <w:rPr>
          <w:rFonts w:cs="Times New Roman"/>
          <w:color w:val="222222"/>
          <w:szCs w:val="20"/>
          <w:shd w:val="clear" w:color="auto" w:fill="FFFFFF"/>
        </w:rPr>
        <w:t>, </w:t>
      </w:r>
      <w:r>
        <w:rPr>
          <w:rFonts w:cs="Times New Roman"/>
          <w:i/>
          <w:iCs/>
          <w:color w:val="222222"/>
          <w:szCs w:val="20"/>
          <w:shd w:val="clear" w:color="auto" w:fill="FFFFFF"/>
        </w:rPr>
        <w:t>5</w:t>
      </w:r>
      <w:r>
        <w:rPr>
          <w:rFonts w:cs="Times New Roman"/>
          <w:color w:val="222222"/>
          <w:szCs w:val="20"/>
          <w:shd w:val="clear" w:color="auto" w:fill="FFFFFF"/>
        </w:rPr>
        <w:t>(8), p.e002145.</w:t>
      </w:r>
    </w:p>
    <w:p w14:paraId="1C8B12EC" w14:textId="77777777" w:rsidR="000B4F99" w:rsidRDefault="000B4F99" w:rsidP="000B4F99">
      <w:pPr>
        <w:spacing w:line="240" w:lineRule="auto"/>
        <w:ind w:left="851" w:hanging="851"/>
        <w:rPr>
          <w:rFonts w:cs="Times New Roman"/>
          <w:color w:val="222222"/>
          <w:szCs w:val="20"/>
          <w:shd w:val="clear" w:color="auto" w:fill="FFFFFF"/>
        </w:rPr>
      </w:pPr>
      <w:r>
        <w:rPr>
          <w:rFonts w:cs="Times New Roman"/>
          <w:color w:val="222222"/>
          <w:szCs w:val="20"/>
          <w:shd w:val="clear" w:color="auto" w:fill="FFFFFF"/>
        </w:rPr>
        <w:t xml:space="preserve">Bice, S., Neely, K. and </w:t>
      </w:r>
      <w:proofErr w:type="spellStart"/>
      <w:r>
        <w:rPr>
          <w:rFonts w:cs="Times New Roman"/>
          <w:color w:val="222222"/>
          <w:szCs w:val="20"/>
          <w:shd w:val="clear" w:color="auto" w:fill="FFFFFF"/>
        </w:rPr>
        <w:t>Einfeld</w:t>
      </w:r>
      <w:proofErr w:type="spellEnd"/>
      <w:r>
        <w:rPr>
          <w:rFonts w:cs="Times New Roman"/>
          <w:color w:val="222222"/>
          <w:szCs w:val="20"/>
          <w:shd w:val="clear" w:color="auto" w:fill="FFFFFF"/>
        </w:rPr>
        <w:t>, C., 2019. Next generation engagement: Setting a research agenda for community engagement in Australia's infrastructure sector. </w:t>
      </w:r>
      <w:r>
        <w:rPr>
          <w:rFonts w:cs="Times New Roman"/>
          <w:i/>
          <w:iCs/>
          <w:color w:val="222222"/>
          <w:szCs w:val="20"/>
          <w:shd w:val="clear" w:color="auto" w:fill="FFFFFF"/>
        </w:rPr>
        <w:t>Australian Journal of Public Administration</w:t>
      </w:r>
      <w:r>
        <w:rPr>
          <w:rFonts w:cs="Times New Roman"/>
          <w:color w:val="222222"/>
          <w:szCs w:val="20"/>
          <w:shd w:val="clear" w:color="auto" w:fill="FFFFFF"/>
        </w:rPr>
        <w:t>, </w:t>
      </w:r>
      <w:r>
        <w:rPr>
          <w:rFonts w:cs="Times New Roman"/>
          <w:i/>
          <w:iCs/>
          <w:color w:val="222222"/>
          <w:szCs w:val="20"/>
          <w:shd w:val="clear" w:color="auto" w:fill="FFFFFF"/>
        </w:rPr>
        <w:t>78</w:t>
      </w:r>
      <w:r>
        <w:rPr>
          <w:rFonts w:cs="Times New Roman"/>
          <w:color w:val="222222"/>
          <w:szCs w:val="20"/>
          <w:shd w:val="clear" w:color="auto" w:fill="FFFFFF"/>
        </w:rPr>
        <w:t>(2), pp.290-310.</w:t>
      </w:r>
    </w:p>
    <w:p w14:paraId="1E61A255" w14:textId="77777777" w:rsidR="000B4F99" w:rsidRDefault="000B4F99" w:rsidP="000B4F99">
      <w:pPr>
        <w:spacing w:line="240" w:lineRule="auto"/>
        <w:ind w:left="851" w:hanging="851"/>
        <w:rPr>
          <w:rFonts w:cs="Times New Roman"/>
          <w:color w:val="222222"/>
          <w:szCs w:val="20"/>
          <w:shd w:val="clear" w:color="auto" w:fill="FFFFFF"/>
        </w:rPr>
      </w:pPr>
      <w:r>
        <w:rPr>
          <w:rFonts w:cs="Times New Roman"/>
          <w:color w:val="222222"/>
          <w:szCs w:val="20"/>
          <w:shd w:val="clear" w:color="auto" w:fill="FFFFFF"/>
        </w:rPr>
        <w:t>Corbin, J.H., and et.al., 2021. A health promotion approach to emergency management: effective community engagement strategies from five cases. </w:t>
      </w:r>
      <w:r>
        <w:rPr>
          <w:rFonts w:cs="Times New Roman"/>
          <w:i/>
          <w:iCs/>
          <w:color w:val="222222"/>
          <w:szCs w:val="20"/>
          <w:shd w:val="clear" w:color="auto" w:fill="FFFFFF"/>
        </w:rPr>
        <w:t>Health promotion international</w:t>
      </w:r>
      <w:r>
        <w:rPr>
          <w:rFonts w:cs="Times New Roman"/>
          <w:color w:val="222222"/>
          <w:szCs w:val="20"/>
          <w:shd w:val="clear" w:color="auto" w:fill="FFFFFF"/>
        </w:rPr>
        <w:t>, </w:t>
      </w:r>
      <w:r>
        <w:rPr>
          <w:rFonts w:cs="Times New Roman"/>
          <w:i/>
          <w:iCs/>
          <w:color w:val="222222"/>
          <w:szCs w:val="20"/>
          <w:shd w:val="clear" w:color="auto" w:fill="FFFFFF"/>
        </w:rPr>
        <w:t>36</w:t>
      </w:r>
      <w:r>
        <w:rPr>
          <w:rFonts w:cs="Times New Roman"/>
          <w:color w:val="222222"/>
          <w:szCs w:val="20"/>
          <w:shd w:val="clear" w:color="auto" w:fill="FFFFFF"/>
        </w:rPr>
        <w:t xml:space="preserve">(Supplement_1), </w:t>
      </w:r>
      <w:proofErr w:type="gramStart"/>
      <w:r>
        <w:rPr>
          <w:rFonts w:cs="Times New Roman"/>
          <w:color w:val="222222"/>
          <w:szCs w:val="20"/>
          <w:shd w:val="clear" w:color="auto" w:fill="FFFFFF"/>
        </w:rPr>
        <w:t>pp.i</w:t>
      </w:r>
      <w:proofErr w:type="gramEnd"/>
      <w:r>
        <w:rPr>
          <w:rFonts w:cs="Times New Roman"/>
          <w:color w:val="222222"/>
          <w:szCs w:val="20"/>
          <w:shd w:val="clear" w:color="auto" w:fill="FFFFFF"/>
        </w:rPr>
        <w:t>24-i38.</w:t>
      </w:r>
    </w:p>
    <w:p w14:paraId="229D4C01" w14:textId="77777777" w:rsidR="000B4F99" w:rsidRDefault="000B4F99" w:rsidP="000B4F99">
      <w:pPr>
        <w:spacing w:line="240" w:lineRule="auto"/>
        <w:ind w:left="851" w:hanging="851"/>
        <w:rPr>
          <w:rFonts w:cs="Times New Roman"/>
          <w:color w:val="222222"/>
          <w:szCs w:val="20"/>
          <w:shd w:val="clear" w:color="auto" w:fill="FFFFFF"/>
        </w:rPr>
      </w:pPr>
      <w:proofErr w:type="spellStart"/>
      <w:r>
        <w:rPr>
          <w:rFonts w:cs="Times New Roman"/>
          <w:color w:val="222222"/>
          <w:szCs w:val="20"/>
          <w:shd w:val="clear" w:color="auto" w:fill="FFFFFF"/>
        </w:rPr>
        <w:t>Ekzayez</w:t>
      </w:r>
      <w:proofErr w:type="spellEnd"/>
      <w:r>
        <w:rPr>
          <w:rFonts w:cs="Times New Roman"/>
          <w:color w:val="222222"/>
          <w:szCs w:val="20"/>
          <w:shd w:val="clear" w:color="auto" w:fill="FFFFFF"/>
        </w:rPr>
        <w:t>, A., and et.al., 2020. COVID-19 response in northwest Syria: innovation and community engagement in a complex conflict. </w:t>
      </w:r>
      <w:r>
        <w:rPr>
          <w:rFonts w:cs="Times New Roman"/>
          <w:i/>
          <w:iCs/>
          <w:color w:val="222222"/>
          <w:szCs w:val="20"/>
          <w:shd w:val="clear" w:color="auto" w:fill="FFFFFF"/>
        </w:rPr>
        <w:t>Journal of public health</w:t>
      </w:r>
      <w:r>
        <w:rPr>
          <w:rFonts w:cs="Times New Roman"/>
          <w:color w:val="222222"/>
          <w:szCs w:val="20"/>
          <w:shd w:val="clear" w:color="auto" w:fill="FFFFFF"/>
        </w:rPr>
        <w:t>, </w:t>
      </w:r>
      <w:r>
        <w:rPr>
          <w:rFonts w:cs="Times New Roman"/>
          <w:i/>
          <w:iCs/>
          <w:color w:val="222222"/>
          <w:szCs w:val="20"/>
          <w:shd w:val="clear" w:color="auto" w:fill="FFFFFF"/>
        </w:rPr>
        <w:t>42</w:t>
      </w:r>
      <w:r>
        <w:rPr>
          <w:rFonts w:cs="Times New Roman"/>
          <w:color w:val="222222"/>
          <w:szCs w:val="20"/>
          <w:shd w:val="clear" w:color="auto" w:fill="FFFFFF"/>
        </w:rPr>
        <w:t>(3), pp.504-509.</w:t>
      </w:r>
    </w:p>
    <w:p w14:paraId="077993E4" w14:textId="77777777" w:rsidR="000B4F99" w:rsidRDefault="000B4F99" w:rsidP="000B4F99">
      <w:pPr>
        <w:spacing w:line="240" w:lineRule="auto"/>
        <w:ind w:left="851" w:hanging="851"/>
        <w:rPr>
          <w:rFonts w:cs="Times New Roman"/>
          <w:color w:val="222222"/>
          <w:szCs w:val="20"/>
          <w:shd w:val="clear" w:color="auto" w:fill="FFFFFF"/>
        </w:rPr>
      </w:pPr>
      <w:r>
        <w:rPr>
          <w:rFonts w:cs="Times New Roman"/>
          <w:color w:val="222222"/>
          <w:szCs w:val="20"/>
          <w:shd w:val="clear" w:color="auto" w:fill="FFFFFF"/>
        </w:rPr>
        <w:t>Firestone, J., and et.al., 2018. Reconsidering barriers to wind power projects: community engagement, developer transparency and place. </w:t>
      </w:r>
      <w:r>
        <w:rPr>
          <w:rFonts w:cs="Times New Roman"/>
          <w:i/>
          <w:iCs/>
          <w:color w:val="222222"/>
          <w:szCs w:val="20"/>
          <w:shd w:val="clear" w:color="auto" w:fill="FFFFFF"/>
        </w:rPr>
        <w:t>Journal of environmental policy &amp; planning</w:t>
      </w:r>
      <w:r>
        <w:rPr>
          <w:rFonts w:cs="Times New Roman"/>
          <w:color w:val="222222"/>
          <w:szCs w:val="20"/>
          <w:shd w:val="clear" w:color="auto" w:fill="FFFFFF"/>
        </w:rPr>
        <w:t>, </w:t>
      </w:r>
      <w:r>
        <w:rPr>
          <w:rFonts w:cs="Times New Roman"/>
          <w:i/>
          <w:iCs/>
          <w:color w:val="222222"/>
          <w:szCs w:val="20"/>
          <w:shd w:val="clear" w:color="auto" w:fill="FFFFFF"/>
        </w:rPr>
        <w:t>20</w:t>
      </w:r>
      <w:r>
        <w:rPr>
          <w:rFonts w:cs="Times New Roman"/>
          <w:color w:val="222222"/>
          <w:szCs w:val="20"/>
          <w:shd w:val="clear" w:color="auto" w:fill="FFFFFF"/>
        </w:rPr>
        <w:t>(3), pp.370-386.</w:t>
      </w:r>
    </w:p>
    <w:p w14:paraId="5E2B36EB" w14:textId="77777777" w:rsidR="000B4F99" w:rsidRDefault="000B4F99" w:rsidP="000B4F99">
      <w:pPr>
        <w:spacing w:line="240" w:lineRule="auto"/>
        <w:ind w:left="851" w:hanging="851"/>
        <w:rPr>
          <w:rFonts w:cs="Times New Roman"/>
          <w:color w:val="222222"/>
          <w:szCs w:val="20"/>
          <w:shd w:val="clear" w:color="auto" w:fill="FFFFFF"/>
        </w:rPr>
      </w:pPr>
      <w:proofErr w:type="spellStart"/>
      <w:r>
        <w:rPr>
          <w:rFonts w:cs="Times New Roman"/>
          <w:color w:val="222222"/>
          <w:szCs w:val="20"/>
          <w:shd w:val="clear" w:color="auto" w:fill="FFFFFF"/>
        </w:rPr>
        <w:t>Galiatsatos</w:t>
      </w:r>
      <w:proofErr w:type="spellEnd"/>
      <w:r>
        <w:rPr>
          <w:rFonts w:cs="Times New Roman"/>
          <w:color w:val="222222"/>
          <w:szCs w:val="20"/>
          <w:shd w:val="clear" w:color="auto" w:fill="FFFFFF"/>
        </w:rPr>
        <w:t>, P., and et.al., 2020. Community calls: Lessons and insights gained from a medical–religious community engagement during the COVID-19 pandemic. </w:t>
      </w:r>
      <w:r>
        <w:rPr>
          <w:rFonts w:cs="Times New Roman"/>
          <w:i/>
          <w:iCs/>
          <w:color w:val="222222"/>
          <w:szCs w:val="20"/>
          <w:shd w:val="clear" w:color="auto" w:fill="FFFFFF"/>
        </w:rPr>
        <w:t>Journal of religion and health</w:t>
      </w:r>
      <w:r>
        <w:rPr>
          <w:rFonts w:cs="Times New Roman"/>
          <w:color w:val="222222"/>
          <w:szCs w:val="20"/>
          <w:shd w:val="clear" w:color="auto" w:fill="FFFFFF"/>
        </w:rPr>
        <w:t>, </w:t>
      </w:r>
      <w:r>
        <w:rPr>
          <w:rFonts w:cs="Times New Roman"/>
          <w:i/>
          <w:iCs/>
          <w:color w:val="222222"/>
          <w:szCs w:val="20"/>
          <w:shd w:val="clear" w:color="auto" w:fill="FFFFFF"/>
        </w:rPr>
        <w:t>59</w:t>
      </w:r>
      <w:r>
        <w:rPr>
          <w:rFonts w:cs="Times New Roman"/>
          <w:color w:val="222222"/>
          <w:szCs w:val="20"/>
          <w:shd w:val="clear" w:color="auto" w:fill="FFFFFF"/>
        </w:rPr>
        <w:t>(5), pp.2256-2262.</w:t>
      </w:r>
    </w:p>
    <w:p w14:paraId="3AE6ABD7" w14:textId="77777777" w:rsidR="000B4F99" w:rsidRDefault="000B4F99" w:rsidP="000B4F99">
      <w:pPr>
        <w:spacing w:line="240" w:lineRule="auto"/>
        <w:ind w:left="851" w:hanging="851"/>
        <w:rPr>
          <w:rFonts w:cs="Times New Roman"/>
          <w:color w:val="222222"/>
          <w:szCs w:val="20"/>
          <w:shd w:val="clear" w:color="auto" w:fill="FFFFFF"/>
        </w:rPr>
      </w:pPr>
      <w:r>
        <w:rPr>
          <w:rFonts w:cs="Times New Roman"/>
          <w:color w:val="222222"/>
          <w:szCs w:val="20"/>
          <w:shd w:val="clear" w:color="auto" w:fill="FFFFFF"/>
        </w:rPr>
        <w:t>Key, K.D., and et.al., 2019. The continuum of community engagement in research: A roadmap for understanding and assessing progress. </w:t>
      </w:r>
      <w:r>
        <w:rPr>
          <w:rFonts w:cs="Times New Roman"/>
          <w:i/>
          <w:iCs/>
          <w:color w:val="222222"/>
          <w:szCs w:val="20"/>
          <w:shd w:val="clear" w:color="auto" w:fill="FFFFFF"/>
        </w:rPr>
        <w:t>Progress in Community Health Partnerships: Research, Education, and Action</w:t>
      </w:r>
      <w:r>
        <w:rPr>
          <w:rFonts w:cs="Times New Roman"/>
          <w:color w:val="222222"/>
          <w:szCs w:val="20"/>
          <w:shd w:val="clear" w:color="auto" w:fill="FFFFFF"/>
        </w:rPr>
        <w:t>, </w:t>
      </w:r>
      <w:r>
        <w:rPr>
          <w:rFonts w:cs="Times New Roman"/>
          <w:i/>
          <w:iCs/>
          <w:color w:val="222222"/>
          <w:szCs w:val="20"/>
          <w:shd w:val="clear" w:color="auto" w:fill="FFFFFF"/>
        </w:rPr>
        <w:t>13</w:t>
      </w:r>
      <w:r>
        <w:rPr>
          <w:rFonts w:cs="Times New Roman"/>
          <w:color w:val="222222"/>
          <w:szCs w:val="20"/>
          <w:shd w:val="clear" w:color="auto" w:fill="FFFFFF"/>
        </w:rPr>
        <w:t>(4), pp.427-434.</w:t>
      </w:r>
    </w:p>
    <w:p w14:paraId="3E5B221C" w14:textId="77777777" w:rsidR="000B4F99" w:rsidRDefault="000B4F99" w:rsidP="000B4F99">
      <w:pPr>
        <w:spacing w:line="240" w:lineRule="auto"/>
        <w:ind w:left="851" w:hanging="851"/>
        <w:rPr>
          <w:rFonts w:cs="Times New Roman"/>
          <w:color w:val="222222"/>
          <w:szCs w:val="20"/>
          <w:shd w:val="clear" w:color="auto" w:fill="FFFFFF"/>
        </w:rPr>
      </w:pPr>
      <w:r>
        <w:rPr>
          <w:rFonts w:cs="Times New Roman"/>
          <w:color w:val="222222"/>
          <w:szCs w:val="20"/>
          <w:shd w:val="clear" w:color="auto" w:fill="FFFFFF"/>
        </w:rPr>
        <w:t xml:space="preserve">Pell, C.L., and et.al., 2019. Community engagement, social </w:t>
      </w:r>
      <w:proofErr w:type="gramStart"/>
      <w:r>
        <w:rPr>
          <w:rFonts w:cs="Times New Roman"/>
          <w:color w:val="222222"/>
          <w:szCs w:val="20"/>
          <w:shd w:val="clear" w:color="auto" w:fill="FFFFFF"/>
        </w:rPr>
        <w:t>context</w:t>
      </w:r>
      <w:proofErr w:type="gramEnd"/>
      <w:r>
        <w:rPr>
          <w:rFonts w:cs="Times New Roman"/>
          <w:color w:val="222222"/>
          <w:szCs w:val="20"/>
          <w:shd w:val="clear" w:color="auto" w:fill="FFFFFF"/>
        </w:rPr>
        <w:t xml:space="preserve"> and coverage of mass anti-malarial administration: comparative findings from multi-site research in the Greater Mekong sub-Region. </w:t>
      </w:r>
      <w:proofErr w:type="spellStart"/>
      <w:r>
        <w:rPr>
          <w:rFonts w:cs="Times New Roman"/>
          <w:i/>
          <w:iCs/>
          <w:color w:val="222222"/>
          <w:szCs w:val="20"/>
          <w:shd w:val="clear" w:color="auto" w:fill="FFFFFF"/>
        </w:rPr>
        <w:t>PLoS</w:t>
      </w:r>
      <w:proofErr w:type="spellEnd"/>
      <w:r>
        <w:rPr>
          <w:rFonts w:cs="Times New Roman"/>
          <w:i/>
          <w:iCs/>
          <w:color w:val="222222"/>
          <w:szCs w:val="20"/>
          <w:shd w:val="clear" w:color="auto" w:fill="FFFFFF"/>
        </w:rPr>
        <w:t xml:space="preserve"> One</w:t>
      </w:r>
      <w:r>
        <w:rPr>
          <w:rFonts w:cs="Times New Roman"/>
          <w:color w:val="222222"/>
          <w:szCs w:val="20"/>
          <w:shd w:val="clear" w:color="auto" w:fill="FFFFFF"/>
        </w:rPr>
        <w:t>, </w:t>
      </w:r>
      <w:r>
        <w:rPr>
          <w:rFonts w:cs="Times New Roman"/>
          <w:i/>
          <w:iCs/>
          <w:color w:val="222222"/>
          <w:szCs w:val="20"/>
          <w:shd w:val="clear" w:color="auto" w:fill="FFFFFF"/>
        </w:rPr>
        <w:t>14</w:t>
      </w:r>
      <w:r>
        <w:rPr>
          <w:rFonts w:cs="Times New Roman"/>
          <w:color w:val="222222"/>
          <w:szCs w:val="20"/>
          <w:shd w:val="clear" w:color="auto" w:fill="FFFFFF"/>
        </w:rPr>
        <w:t>(3), p.e0214280.</w:t>
      </w:r>
    </w:p>
    <w:p w14:paraId="49385F31" w14:textId="77777777" w:rsidR="000B4F99" w:rsidRDefault="000B4F99" w:rsidP="000B4F99">
      <w:pPr>
        <w:spacing w:line="240" w:lineRule="auto"/>
        <w:ind w:left="851" w:hanging="851"/>
        <w:rPr>
          <w:rFonts w:cs="Times New Roman"/>
          <w:color w:val="222222"/>
          <w:szCs w:val="20"/>
          <w:shd w:val="clear" w:color="auto" w:fill="FFFFFF"/>
        </w:rPr>
      </w:pPr>
      <w:r>
        <w:rPr>
          <w:rFonts w:cs="Times New Roman"/>
          <w:color w:val="222222"/>
          <w:szCs w:val="20"/>
          <w:shd w:val="clear" w:color="auto" w:fill="FFFFFF"/>
        </w:rPr>
        <w:t>Pratt, B. and de Vries, J., 2018. Community engagement in global health research that advances health equity. </w:t>
      </w:r>
      <w:r>
        <w:rPr>
          <w:rFonts w:cs="Times New Roman"/>
          <w:i/>
          <w:iCs/>
          <w:color w:val="222222"/>
          <w:szCs w:val="20"/>
          <w:shd w:val="clear" w:color="auto" w:fill="FFFFFF"/>
        </w:rPr>
        <w:t>Bioethics</w:t>
      </w:r>
      <w:r>
        <w:rPr>
          <w:rFonts w:cs="Times New Roman"/>
          <w:color w:val="222222"/>
          <w:szCs w:val="20"/>
          <w:shd w:val="clear" w:color="auto" w:fill="FFFFFF"/>
        </w:rPr>
        <w:t>, </w:t>
      </w:r>
      <w:r>
        <w:rPr>
          <w:rFonts w:cs="Times New Roman"/>
          <w:i/>
          <w:iCs/>
          <w:color w:val="222222"/>
          <w:szCs w:val="20"/>
          <w:shd w:val="clear" w:color="auto" w:fill="FFFFFF"/>
        </w:rPr>
        <w:t>32</w:t>
      </w:r>
      <w:r>
        <w:rPr>
          <w:rFonts w:cs="Times New Roman"/>
          <w:color w:val="222222"/>
          <w:szCs w:val="20"/>
          <w:shd w:val="clear" w:color="auto" w:fill="FFFFFF"/>
        </w:rPr>
        <w:t>(7), pp.454-463.</w:t>
      </w:r>
    </w:p>
    <w:p w14:paraId="12A8BE89" w14:textId="77777777" w:rsidR="000B4F99" w:rsidRDefault="000B4F99" w:rsidP="000B4F99">
      <w:pPr>
        <w:spacing w:line="240" w:lineRule="auto"/>
        <w:ind w:left="851" w:hanging="851"/>
        <w:rPr>
          <w:rFonts w:cs="Times New Roman"/>
          <w:color w:val="222222"/>
          <w:szCs w:val="20"/>
          <w:shd w:val="clear" w:color="auto" w:fill="FFFFFF"/>
        </w:rPr>
      </w:pPr>
      <w:r>
        <w:rPr>
          <w:rFonts w:cs="Times New Roman"/>
          <w:color w:val="222222"/>
          <w:szCs w:val="20"/>
          <w:shd w:val="clear" w:color="auto" w:fill="FFFFFF"/>
        </w:rPr>
        <w:t>Renwick, K., and et.al., 2020. Community engagement is…: Revisiting Boyer’s model of scholarship. </w:t>
      </w:r>
      <w:r>
        <w:rPr>
          <w:rFonts w:cs="Times New Roman"/>
          <w:i/>
          <w:iCs/>
          <w:color w:val="222222"/>
          <w:szCs w:val="20"/>
          <w:shd w:val="clear" w:color="auto" w:fill="FFFFFF"/>
        </w:rPr>
        <w:t>Higher Education Research &amp; Development</w:t>
      </w:r>
      <w:r>
        <w:rPr>
          <w:rFonts w:cs="Times New Roman"/>
          <w:color w:val="222222"/>
          <w:szCs w:val="20"/>
          <w:shd w:val="clear" w:color="auto" w:fill="FFFFFF"/>
        </w:rPr>
        <w:t>, </w:t>
      </w:r>
      <w:r>
        <w:rPr>
          <w:rFonts w:cs="Times New Roman"/>
          <w:i/>
          <w:iCs/>
          <w:color w:val="222222"/>
          <w:szCs w:val="20"/>
          <w:shd w:val="clear" w:color="auto" w:fill="FFFFFF"/>
        </w:rPr>
        <w:t>39</w:t>
      </w:r>
      <w:r>
        <w:rPr>
          <w:rFonts w:cs="Times New Roman"/>
          <w:color w:val="222222"/>
          <w:szCs w:val="20"/>
          <w:shd w:val="clear" w:color="auto" w:fill="FFFFFF"/>
        </w:rPr>
        <w:t>(6), pp.1232-1246.</w:t>
      </w:r>
    </w:p>
    <w:p w14:paraId="6EA2382D" w14:textId="77777777" w:rsidR="000B4F99" w:rsidRDefault="000B4F99" w:rsidP="000B4F99">
      <w:pPr>
        <w:spacing w:line="240" w:lineRule="auto"/>
        <w:ind w:left="851" w:hanging="851"/>
        <w:rPr>
          <w:rFonts w:cs="Times New Roman"/>
          <w:color w:val="222222"/>
          <w:szCs w:val="20"/>
          <w:shd w:val="clear" w:color="auto" w:fill="FFFFFF"/>
        </w:rPr>
      </w:pPr>
      <w:r>
        <w:rPr>
          <w:rFonts w:cs="Times New Roman"/>
          <w:color w:val="222222"/>
          <w:szCs w:val="20"/>
          <w:shd w:val="clear" w:color="auto" w:fill="FFFFFF"/>
        </w:rPr>
        <w:t xml:space="preserve">Tambo, E., and et.al., 2021. </w:t>
      </w:r>
      <w:proofErr w:type="gramStart"/>
      <w:r>
        <w:rPr>
          <w:rFonts w:cs="Times New Roman"/>
          <w:color w:val="222222"/>
          <w:szCs w:val="20"/>
          <w:shd w:val="clear" w:color="auto" w:fill="FFFFFF"/>
        </w:rPr>
        <w:t>Early stage</w:t>
      </w:r>
      <w:proofErr w:type="gramEnd"/>
      <w:r>
        <w:rPr>
          <w:rFonts w:cs="Times New Roman"/>
          <w:color w:val="222222"/>
          <w:szCs w:val="20"/>
          <w:shd w:val="clear" w:color="auto" w:fill="FFFFFF"/>
        </w:rPr>
        <w:t xml:space="preserve"> risk communication and community engagement (RCCE) strategies and measures against the coronavirus disease 2019 (COVID-19) pandemic crisis. </w:t>
      </w:r>
      <w:r>
        <w:rPr>
          <w:rFonts w:cs="Times New Roman"/>
          <w:i/>
          <w:iCs/>
          <w:color w:val="222222"/>
          <w:szCs w:val="20"/>
          <w:shd w:val="clear" w:color="auto" w:fill="FFFFFF"/>
        </w:rPr>
        <w:t>Global Health Journal</w:t>
      </w:r>
      <w:r>
        <w:rPr>
          <w:rFonts w:cs="Times New Roman"/>
          <w:color w:val="222222"/>
          <w:szCs w:val="20"/>
          <w:shd w:val="clear" w:color="auto" w:fill="FFFFFF"/>
        </w:rPr>
        <w:t>, </w:t>
      </w:r>
      <w:r>
        <w:rPr>
          <w:rFonts w:cs="Times New Roman"/>
          <w:i/>
          <w:iCs/>
          <w:color w:val="222222"/>
          <w:szCs w:val="20"/>
          <w:shd w:val="clear" w:color="auto" w:fill="FFFFFF"/>
        </w:rPr>
        <w:t>5</w:t>
      </w:r>
      <w:r>
        <w:rPr>
          <w:rFonts w:cs="Times New Roman"/>
          <w:color w:val="222222"/>
          <w:szCs w:val="20"/>
          <w:shd w:val="clear" w:color="auto" w:fill="FFFFFF"/>
        </w:rPr>
        <w:t>(1), pp.44-50.</w:t>
      </w:r>
    </w:p>
    <w:p w14:paraId="60520F35" w14:textId="77777777" w:rsidR="000B4F99" w:rsidRDefault="000B4F99" w:rsidP="000B4F99">
      <w:pPr>
        <w:spacing w:line="240" w:lineRule="auto"/>
        <w:ind w:left="851" w:hanging="851"/>
        <w:rPr>
          <w:rFonts w:cs="Times New Roman"/>
          <w:color w:val="222222"/>
          <w:szCs w:val="20"/>
          <w:shd w:val="clear" w:color="auto" w:fill="FFFFFF"/>
        </w:rPr>
      </w:pPr>
      <w:r>
        <w:rPr>
          <w:rFonts w:cs="Times New Roman"/>
          <w:color w:val="222222"/>
          <w:szCs w:val="20"/>
          <w:shd w:val="clear" w:color="auto" w:fill="FFFFFF"/>
        </w:rPr>
        <w:t>Tuttle, K.R., and et.al., 2021. Integrating patient priorities with science by community engagement in the Kidney Precision Medicine Project. </w:t>
      </w:r>
      <w:r>
        <w:rPr>
          <w:rFonts w:cs="Times New Roman"/>
          <w:i/>
          <w:iCs/>
          <w:color w:val="222222"/>
          <w:szCs w:val="20"/>
          <w:shd w:val="clear" w:color="auto" w:fill="FFFFFF"/>
        </w:rPr>
        <w:t>Clinical Journal of the American Society of Nephrology</w:t>
      </w:r>
      <w:r>
        <w:rPr>
          <w:rFonts w:cs="Times New Roman"/>
          <w:color w:val="222222"/>
          <w:szCs w:val="20"/>
          <w:shd w:val="clear" w:color="auto" w:fill="FFFFFF"/>
        </w:rPr>
        <w:t>, </w:t>
      </w:r>
      <w:r>
        <w:rPr>
          <w:rFonts w:cs="Times New Roman"/>
          <w:i/>
          <w:iCs/>
          <w:color w:val="222222"/>
          <w:szCs w:val="20"/>
          <w:shd w:val="clear" w:color="auto" w:fill="FFFFFF"/>
        </w:rPr>
        <w:t>16</w:t>
      </w:r>
      <w:r>
        <w:rPr>
          <w:rFonts w:cs="Times New Roman"/>
          <w:color w:val="222222"/>
          <w:szCs w:val="20"/>
          <w:shd w:val="clear" w:color="auto" w:fill="FFFFFF"/>
        </w:rPr>
        <w:t>(4), pp.660-668.</w:t>
      </w:r>
    </w:p>
    <w:p w14:paraId="471E3DA5" w14:textId="77777777" w:rsidR="000B4F99" w:rsidRDefault="000B4F99" w:rsidP="000B4F99">
      <w:pPr>
        <w:rPr>
          <w:lang w:val="en-GB"/>
        </w:rPr>
      </w:pPr>
    </w:p>
    <w:p w14:paraId="29F811B4" w14:textId="77777777" w:rsidR="006A503E" w:rsidRDefault="006A503E"/>
    <w:sectPr w:rsidR="006A503E" w:rsidSect="00B63F3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altName w:val="Algerian"/>
    <w:panose1 w:val="04020705040A02060702"/>
    <w:charset w:val="00"/>
    <w:family w:val="decorative"/>
    <w:pitch w:val="variable"/>
    <w:sig w:usb0="00000003" w:usb1="00000000" w:usb2="00000000" w:usb3="00000000" w:csb0="00000001" w:csb1="00000000"/>
  </w:font>
  <w:font w:name="Bahnschrift Condensed">
    <w:panose1 w:val="020B0502040204020203"/>
    <w:charset w:val="00"/>
    <w:family w:val="swiss"/>
    <w:pitch w:val="variable"/>
    <w:sig w:usb0="A00002C7"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479A1"/>
    <w:multiLevelType w:val="hybridMultilevel"/>
    <w:tmpl w:val="27FEA0D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73251212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6E4"/>
    <w:rsid w:val="000653C7"/>
    <w:rsid w:val="000B4F99"/>
    <w:rsid w:val="001169BD"/>
    <w:rsid w:val="00123805"/>
    <w:rsid w:val="00211C45"/>
    <w:rsid w:val="00404222"/>
    <w:rsid w:val="004417A8"/>
    <w:rsid w:val="006A503E"/>
    <w:rsid w:val="00724A9B"/>
    <w:rsid w:val="00997F47"/>
    <w:rsid w:val="00B35345"/>
    <w:rsid w:val="00B63F34"/>
    <w:rsid w:val="00B76D18"/>
    <w:rsid w:val="00BA19B9"/>
    <w:rsid w:val="00C64BC4"/>
    <w:rsid w:val="00CB26E4"/>
    <w:rsid w:val="00D51624"/>
    <w:rsid w:val="00E3378F"/>
    <w:rsid w:val="00FC6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81E58"/>
  <w15:chartTrackingRefBased/>
  <w15:docId w15:val="{41E94E87-017C-465C-B938-E7BCE5713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4F99"/>
    <w:pPr>
      <w:spacing w:line="360" w:lineRule="auto"/>
      <w:jc w:val="both"/>
    </w:pPr>
    <w:rPr>
      <w:rFonts w:ascii="Times New Roman" w:hAnsi="Times New Roman"/>
      <w:color w:val="000000" w:themeColor="text1"/>
      <w:sz w:val="24"/>
      <w:lang w:val="en-IN"/>
    </w:rPr>
  </w:style>
  <w:style w:type="paragraph" w:styleId="Heading1">
    <w:name w:val="heading 1"/>
    <w:basedOn w:val="Normal"/>
    <w:next w:val="Normal"/>
    <w:link w:val="Heading1Char"/>
    <w:uiPriority w:val="9"/>
    <w:qFormat/>
    <w:rsid w:val="000B4F9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0B4F99"/>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F99"/>
    <w:rPr>
      <w:rFonts w:ascii="Times New Roman" w:eastAsiaTheme="majorEastAsia" w:hAnsi="Times New Roman" w:cstheme="majorBidi"/>
      <w:b/>
      <w:color w:val="000000" w:themeColor="text1"/>
      <w:sz w:val="28"/>
      <w:szCs w:val="32"/>
      <w:lang w:val="en-IN"/>
    </w:rPr>
  </w:style>
  <w:style w:type="character" w:customStyle="1" w:styleId="Heading2Char">
    <w:name w:val="Heading 2 Char"/>
    <w:basedOn w:val="DefaultParagraphFont"/>
    <w:link w:val="Heading2"/>
    <w:uiPriority w:val="9"/>
    <w:semiHidden/>
    <w:rsid w:val="000B4F99"/>
    <w:rPr>
      <w:rFonts w:ascii="Times New Roman" w:eastAsiaTheme="majorEastAsia" w:hAnsi="Times New Roman" w:cstheme="majorBidi"/>
      <w:color w:val="000000" w:themeColor="text1"/>
      <w:sz w:val="24"/>
      <w:szCs w:val="26"/>
      <w:u w:val="single"/>
      <w:lang w:val="en-IN"/>
    </w:rPr>
  </w:style>
  <w:style w:type="paragraph" w:styleId="ListParagraph">
    <w:name w:val="List Paragraph"/>
    <w:basedOn w:val="Normal"/>
    <w:uiPriority w:val="34"/>
    <w:qFormat/>
    <w:rsid w:val="000B4F99"/>
    <w:pPr>
      <w:ind w:left="720"/>
      <w:contextualSpacing/>
    </w:pPr>
  </w:style>
  <w:style w:type="character" w:styleId="Strong">
    <w:name w:val="Strong"/>
    <w:basedOn w:val="DefaultParagraphFont"/>
    <w:uiPriority w:val="22"/>
    <w:qFormat/>
    <w:rsid w:val="000B4F99"/>
    <w:rPr>
      <w:b/>
      <w:bCs/>
    </w:rPr>
  </w:style>
  <w:style w:type="paragraph" w:styleId="NoSpacing">
    <w:name w:val="No Spacing"/>
    <w:link w:val="NoSpacingChar"/>
    <w:uiPriority w:val="1"/>
    <w:qFormat/>
    <w:rsid w:val="00B63F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3F34"/>
    <w:rPr>
      <w:rFonts w:eastAsiaTheme="minorEastAsia"/>
      <w:lang w:val="en-US"/>
    </w:rPr>
  </w:style>
  <w:style w:type="character" w:styleId="BookTitle">
    <w:name w:val="Book Title"/>
    <w:basedOn w:val="DefaultParagraphFont"/>
    <w:uiPriority w:val="33"/>
    <w:qFormat/>
    <w:rsid w:val="00C64BC4"/>
    <w:rPr>
      <w:b/>
      <w:bCs/>
      <w:i/>
      <w:iCs/>
      <w:spacing w:val="5"/>
    </w:rPr>
  </w:style>
  <w:style w:type="paragraph" w:styleId="TOCHeading">
    <w:name w:val="TOC Heading"/>
    <w:basedOn w:val="Heading1"/>
    <w:next w:val="Normal"/>
    <w:uiPriority w:val="39"/>
    <w:unhideWhenUsed/>
    <w:qFormat/>
    <w:rsid w:val="00BA19B9"/>
    <w:pPr>
      <w:spacing w:line="259" w:lineRule="auto"/>
      <w:jc w:val="left"/>
      <w:outlineLvl w:val="9"/>
    </w:pPr>
    <w:rPr>
      <w:rFonts w:asciiTheme="majorHAnsi" w:hAnsiTheme="majorHAnsi"/>
      <w:b w:val="0"/>
      <w:color w:val="276E8B" w:themeColor="accent1" w:themeShade="BF"/>
      <w:sz w:val="32"/>
      <w:lang w:val="en-US"/>
    </w:rPr>
  </w:style>
  <w:style w:type="paragraph" w:styleId="TOC1">
    <w:name w:val="toc 1"/>
    <w:basedOn w:val="Normal"/>
    <w:next w:val="Normal"/>
    <w:autoRedefine/>
    <w:uiPriority w:val="39"/>
    <w:unhideWhenUsed/>
    <w:rsid w:val="00BA19B9"/>
    <w:pPr>
      <w:spacing w:after="100"/>
    </w:pPr>
  </w:style>
  <w:style w:type="paragraph" w:styleId="TOC2">
    <w:name w:val="toc 2"/>
    <w:basedOn w:val="Normal"/>
    <w:next w:val="Normal"/>
    <w:autoRedefine/>
    <w:uiPriority w:val="39"/>
    <w:unhideWhenUsed/>
    <w:rsid w:val="00BA19B9"/>
    <w:pPr>
      <w:spacing w:after="100"/>
      <w:ind w:left="240"/>
    </w:pPr>
  </w:style>
  <w:style w:type="character" w:styleId="Hyperlink">
    <w:name w:val="Hyperlink"/>
    <w:basedOn w:val="DefaultParagraphFont"/>
    <w:uiPriority w:val="99"/>
    <w:unhideWhenUsed/>
    <w:rsid w:val="00BA19B9"/>
    <w:rPr>
      <w:color w:val="6B9F2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074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3C44C5-E579-402D-B1DB-C41BEA2B2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2417</Words>
  <Characters>13782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Community Engageme</dc:subject>
  <dc:creator>Student: Anca Mirela Dula (2112863)</dc:creator>
  <cp:keywords/>
  <dc:description/>
  <cp:lastModifiedBy>Anca Dula (2112863)</cp:lastModifiedBy>
  <cp:revision>2</cp:revision>
  <dcterms:created xsi:type="dcterms:W3CDTF">2022-05-05T07:57:00Z</dcterms:created>
  <dcterms:modified xsi:type="dcterms:W3CDTF">2022-05-05T07:57:00Z</dcterms:modified>
</cp:coreProperties>
</file>