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F19F97" w14:textId="77777777" w:rsidR="009303E1" w:rsidRPr="009303E1" w:rsidRDefault="009303E1" w:rsidP="009303E1">
      <w:pPr>
        <w:spacing w:after="0" w:line="240" w:lineRule="auto"/>
        <w:rPr>
          <w:rFonts w:ascii="Times New Roman" w:eastAsia="Times New Roman" w:hAnsi="Times New Roman" w:cs="Times New Roman"/>
          <w:sz w:val="45"/>
          <w:szCs w:val="45"/>
          <w:lang w:eastAsia="en-GB"/>
        </w:rPr>
      </w:pPr>
      <w:r w:rsidRPr="009303E1">
        <w:rPr>
          <w:rFonts w:ascii="Times New Roman" w:eastAsia="Times New Roman" w:hAnsi="Times New Roman" w:cs="Times New Roman"/>
          <w:sz w:val="45"/>
          <w:szCs w:val="45"/>
          <w:lang w:eastAsia="en-GB"/>
        </w:rPr>
        <w:t>Scholarly Reply</w:t>
      </w:r>
    </w:p>
    <w:p w14:paraId="09841CA8" w14:textId="77777777" w:rsidR="009303E1" w:rsidRPr="009303E1" w:rsidRDefault="009303E1" w:rsidP="009303E1">
      <w:pPr>
        <w:spacing w:after="0" w:line="240" w:lineRule="auto"/>
        <w:rPr>
          <w:rFonts w:ascii="Times New Roman" w:eastAsia="Times New Roman" w:hAnsi="Times New Roman" w:cs="Times New Roman"/>
          <w:sz w:val="30"/>
          <w:szCs w:val="30"/>
          <w:lang w:eastAsia="en-GB"/>
        </w:rPr>
      </w:pPr>
      <w:r w:rsidRPr="009303E1">
        <w:rPr>
          <w:rFonts w:ascii="Times New Roman" w:eastAsia="Times New Roman" w:hAnsi="Times New Roman" w:cs="Times New Roman"/>
          <w:sz w:val="30"/>
          <w:szCs w:val="30"/>
          <w:lang w:eastAsia="en-GB"/>
        </w:rPr>
        <w:t>This piece of coursework is a 3,000 word reply to a scholarly article worth 60% of the overall module mark. For this</w:t>
      </w:r>
      <w:r>
        <w:rPr>
          <w:rFonts w:ascii="Times New Roman" w:eastAsia="Times New Roman" w:hAnsi="Times New Roman" w:cs="Times New Roman"/>
          <w:sz w:val="30"/>
          <w:szCs w:val="30"/>
          <w:lang w:eastAsia="en-GB"/>
        </w:rPr>
        <w:t xml:space="preserve"> </w:t>
      </w:r>
      <w:r w:rsidRPr="009303E1">
        <w:rPr>
          <w:rFonts w:ascii="Times New Roman" w:eastAsia="Times New Roman" w:hAnsi="Times New Roman" w:cs="Times New Roman"/>
          <w:sz w:val="30"/>
          <w:szCs w:val="30"/>
          <w:lang w:eastAsia="en-GB"/>
        </w:rPr>
        <w:t xml:space="preserve">you will need to choose one article from the list below and write a reply to it. To do this, you will need to consider </w:t>
      </w:r>
      <w:r>
        <w:rPr>
          <w:rFonts w:ascii="Times New Roman" w:eastAsia="Times New Roman" w:hAnsi="Times New Roman" w:cs="Times New Roman"/>
          <w:sz w:val="30"/>
          <w:szCs w:val="30"/>
          <w:lang w:eastAsia="en-GB"/>
        </w:rPr>
        <w:t>the scholar’</w:t>
      </w:r>
      <w:r w:rsidRPr="009303E1">
        <w:rPr>
          <w:rFonts w:ascii="Times New Roman" w:eastAsia="Times New Roman" w:hAnsi="Times New Roman" w:cs="Times New Roman"/>
          <w:sz w:val="30"/>
          <w:szCs w:val="30"/>
          <w:lang w:eastAsia="en-GB"/>
        </w:rPr>
        <w:t xml:space="preserve">s position, argument, use of evidence, position in debates and use of modern scholarship. You should try either to counter or to support </w:t>
      </w:r>
      <w:r>
        <w:rPr>
          <w:rFonts w:ascii="Times New Roman" w:eastAsia="Times New Roman" w:hAnsi="Times New Roman" w:cs="Times New Roman"/>
          <w:sz w:val="30"/>
          <w:szCs w:val="30"/>
          <w:lang w:eastAsia="en-GB"/>
        </w:rPr>
        <w:t>both the scholar’</w:t>
      </w:r>
      <w:r w:rsidRPr="009303E1">
        <w:rPr>
          <w:rFonts w:ascii="Times New Roman" w:eastAsia="Times New Roman" w:hAnsi="Times New Roman" w:cs="Times New Roman"/>
          <w:sz w:val="30"/>
          <w:szCs w:val="30"/>
          <w:lang w:eastAsia="en-GB"/>
        </w:rPr>
        <w:t>s overall position and specific aspects or elements of her/his argument. Remember that while you may agree with the overall position, you may disagree with some of the specific arguments made; if this is</w:t>
      </w:r>
      <w:r>
        <w:rPr>
          <w:rFonts w:ascii="Times New Roman" w:eastAsia="Times New Roman" w:hAnsi="Times New Roman" w:cs="Times New Roman"/>
          <w:sz w:val="30"/>
          <w:szCs w:val="30"/>
          <w:lang w:eastAsia="en-GB"/>
        </w:rPr>
        <w:t xml:space="preserve"> the case, you should make this </w:t>
      </w:r>
      <w:r w:rsidRPr="009303E1">
        <w:rPr>
          <w:rFonts w:ascii="Times New Roman" w:eastAsia="Times New Roman" w:hAnsi="Times New Roman" w:cs="Times New Roman"/>
          <w:sz w:val="30"/>
          <w:szCs w:val="30"/>
          <w:lang w:eastAsia="en-GB"/>
        </w:rPr>
        <w:t>clear in your response, and also explain why you disagree. You should always be careful to base your arguments on the ancient sources and evidence, where applicable, as well as consult and engage with other modern scholarly views and arguments on the subject.</w:t>
      </w:r>
    </w:p>
    <w:p w14:paraId="2C4C005F" w14:textId="77777777" w:rsidR="009303E1" w:rsidRPr="009303E1" w:rsidRDefault="009303E1" w:rsidP="009303E1">
      <w:pPr>
        <w:spacing w:after="0" w:line="240" w:lineRule="auto"/>
        <w:rPr>
          <w:rFonts w:ascii="Arial" w:eastAsia="Times New Roman" w:hAnsi="Arial" w:cs="Arial"/>
          <w:sz w:val="35"/>
          <w:szCs w:val="35"/>
          <w:lang w:eastAsia="en-GB"/>
        </w:rPr>
      </w:pPr>
    </w:p>
    <w:p w14:paraId="7AB6FDD9" w14:textId="77777777" w:rsidR="009303E1" w:rsidRPr="00C64977" w:rsidRDefault="009303E1" w:rsidP="009303E1">
      <w:pPr>
        <w:pStyle w:val="Default"/>
        <w:rPr>
          <w:rFonts w:ascii="Times New Roman" w:hAnsi="Times New Roman" w:cs="Times New Roman"/>
          <w:b/>
          <w:sz w:val="23"/>
          <w:szCs w:val="23"/>
        </w:rPr>
      </w:pPr>
      <w:r w:rsidRPr="00C64977">
        <w:rPr>
          <w:rFonts w:ascii="Times New Roman" w:hAnsi="Times New Roman" w:cs="Times New Roman"/>
          <w:b/>
          <w:sz w:val="23"/>
          <w:szCs w:val="23"/>
        </w:rPr>
        <w:t>Unit 2:</w:t>
      </w:r>
    </w:p>
    <w:p w14:paraId="593556A8" w14:textId="77777777" w:rsidR="009303E1" w:rsidRDefault="009303E1" w:rsidP="009303E1">
      <w:pPr>
        <w:pStyle w:val="Default"/>
        <w:rPr>
          <w:rFonts w:ascii="Times New Roman" w:hAnsi="Times New Roman" w:cs="Times New Roman"/>
          <w:sz w:val="23"/>
          <w:szCs w:val="23"/>
        </w:rPr>
      </w:pPr>
      <w:r w:rsidRPr="00C64977">
        <w:rPr>
          <w:rFonts w:ascii="Times New Roman" w:hAnsi="Times New Roman" w:cs="Times New Roman"/>
          <w:sz w:val="23"/>
          <w:szCs w:val="23"/>
        </w:rPr>
        <w:t xml:space="preserve">P. A. Brunt, „On Historical Fragments and Epitomes‟, </w:t>
      </w:r>
      <w:r w:rsidRPr="00C64977">
        <w:rPr>
          <w:rFonts w:ascii="Times New Roman" w:hAnsi="Times New Roman" w:cs="Times New Roman"/>
          <w:i/>
          <w:iCs/>
          <w:sz w:val="23"/>
          <w:szCs w:val="23"/>
        </w:rPr>
        <w:t xml:space="preserve">Classical Quarterly </w:t>
      </w:r>
      <w:r w:rsidRPr="00C64977">
        <w:rPr>
          <w:rFonts w:ascii="Times New Roman" w:hAnsi="Times New Roman" w:cs="Times New Roman"/>
          <w:sz w:val="23"/>
          <w:szCs w:val="23"/>
        </w:rPr>
        <w:t>30 (1980), 477-494</w:t>
      </w:r>
    </w:p>
    <w:p w14:paraId="6E4A495D" w14:textId="77777777" w:rsidR="009303E1" w:rsidRDefault="009303E1" w:rsidP="009303E1">
      <w:pPr>
        <w:pStyle w:val="Default"/>
        <w:rPr>
          <w:rFonts w:ascii="Times New Roman" w:hAnsi="Times New Roman" w:cs="Times New Roman"/>
          <w:sz w:val="23"/>
          <w:szCs w:val="23"/>
        </w:rPr>
      </w:pPr>
      <w:r>
        <w:rPr>
          <w:rFonts w:ascii="Times New Roman" w:hAnsi="Times New Roman" w:cs="Times New Roman"/>
          <w:sz w:val="23"/>
          <w:szCs w:val="23"/>
        </w:rPr>
        <w:t>Link:</w:t>
      </w:r>
    </w:p>
    <w:p w14:paraId="32ED68ED" w14:textId="77777777" w:rsidR="009303E1" w:rsidRDefault="00834E0C" w:rsidP="009303E1">
      <w:pPr>
        <w:pStyle w:val="Default"/>
        <w:rPr>
          <w:rFonts w:ascii="Times New Roman" w:hAnsi="Times New Roman" w:cs="Times New Roman"/>
          <w:sz w:val="23"/>
          <w:szCs w:val="23"/>
        </w:rPr>
      </w:pPr>
      <w:hyperlink r:id="rId4" w:history="1">
        <w:r w:rsidR="009303E1" w:rsidRPr="00121630">
          <w:rPr>
            <w:rStyle w:val="Hyperlink"/>
            <w:rFonts w:ascii="Times New Roman" w:hAnsi="Times New Roman" w:cs="Times New Roman"/>
            <w:sz w:val="23"/>
            <w:szCs w:val="23"/>
          </w:rPr>
          <w:t>http://www.jstor.org/stable/638516</w:t>
        </w:r>
      </w:hyperlink>
    </w:p>
    <w:p w14:paraId="58DF148D" w14:textId="77777777" w:rsidR="009303E1" w:rsidRDefault="009303E1" w:rsidP="009303E1">
      <w:pPr>
        <w:pStyle w:val="Default"/>
        <w:rPr>
          <w:rFonts w:ascii="Times New Roman" w:hAnsi="Times New Roman" w:cs="Times New Roman"/>
          <w:sz w:val="23"/>
          <w:szCs w:val="23"/>
        </w:rPr>
      </w:pPr>
    </w:p>
    <w:p w14:paraId="012457DE" w14:textId="77777777" w:rsidR="009303E1" w:rsidRPr="00C64977" w:rsidRDefault="009303E1" w:rsidP="009303E1">
      <w:pPr>
        <w:pStyle w:val="Default"/>
        <w:rPr>
          <w:rFonts w:ascii="Times New Roman" w:hAnsi="Times New Roman" w:cs="Times New Roman"/>
          <w:b/>
          <w:sz w:val="23"/>
          <w:szCs w:val="23"/>
        </w:rPr>
      </w:pPr>
      <w:r w:rsidRPr="00C64977">
        <w:rPr>
          <w:rFonts w:ascii="Times New Roman" w:hAnsi="Times New Roman" w:cs="Times New Roman"/>
          <w:b/>
          <w:sz w:val="23"/>
          <w:szCs w:val="23"/>
        </w:rPr>
        <w:t>Unit 3:</w:t>
      </w:r>
    </w:p>
    <w:p w14:paraId="751FE641" w14:textId="77777777" w:rsidR="00843B8E" w:rsidRPr="00843B8E" w:rsidRDefault="00843B8E" w:rsidP="00843B8E">
      <w:pPr>
        <w:pStyle w:val="Default"/>
        <w:rPr>
          <w:rFonts w:ascii="Times New Roman" w:hAnsi="Times New Roman" w:cs="Times New Roman"/>
          <w:color w:val="212121"/>
          <w:sz w:val="23"/>
          <w:szCs w:val="23"/>
          <w:shd w:val="clear" w:color="auto" w:fill="FFFFFF"/>
        </w:rPr>
      </w:pPr>
      <w:proofErr w:type="spellStart"/>
      <w:r w:rsidRPr="00843B8E">
        <w:rPr>
          <w:rFonts w:ascii="Times New Roman" w:hAnsi="Times New Roman" w:cs="Times New Roman"/>
          <w:color w:val="212121"/>
          <w:sz w:val="23"/>
          <w:szCs w:val="23"/>
          <w:shd w:val="clear" w:color="auto" w:fill="FFFFFF"/>
        </w:rPr>
        <w:t>Luraghi</w:t>
      </w:r>
      <w:proofErr w:type="spellEnd"/>
      <w:r w:rsidRPr="00843B8E">
        <w:rPr>
          <w:rFonts w:ascii="Times New Roman" w:hAnsi="Times New Roman" w:cs="Times New Roman"/>
          <w:color w:val="212121"/>
          <w:sz w:val="23"/>
          <w:szCs w:val="23"/>
          <w:shd w:val="clear" w:color="auto" w:fill="FFFFFF"/>
        </w:rPr>
        <w:t>, Nino. 2006. “Meta-</w:t>
      </w:r>
      <w:proofErr w:type="spellStart"/>
      <w:r w:rsidRPr="00843B8E">
        <w:rPr>
          <w:rFonts w:ascii="Times New Roman" w:hAnsi="Times New Roman" w:cs="Times New Roman"/>
          <w:color w:val="212121"/>
          <w:sz w:val="23"/>
          <w:szCs w:val="23"/>
          <w:shd w:val="clear" w:color="auto" w:fill="FFFFFF"/>
        </w:rPr>
        <w:t>Historie</w:t>
      </w:r>
      <w:proofErr w:type="spellEnd"/>
      <w:r w:rsidRPr="00843B8E">
        <w:rPr>
          <w:rFonts w:ascii="Times New Roman" w:hAnsi="Times New Roman" w:cs="Times New Roman"/>
          <w:color w:val="212121"/>
          <w:sz w:val="23"/>
          <w:szCs w:val="23"/>
          <w:shd w:val="clear" w:color="auto" w:fill="FFFFFF"/>
        </w:rPr>
        <w:t>: Method and Genre in the Histories.” In Cambridge Companion to Herodotus, Cambridge: Cambridge University Press, 76–91. </w:t>
      </w:r>
    </w:p>
    <w:p w14:paraId="2B02B57E" w14:textId="093BB0BD" w:rsidR="009303E1" w:rsidRPr="00843B8E" w:rsidRDefault="00843B8E" w:rsidP="00843B8E">
      <w:pPr>
        <w:pStyle w:val="Default"/>
        <w:rPr>
          <w:rFonts w:ascii="Times New Roman" w:hAnsi="Times New Roman" w:cs="Times New Roman"/>
          <w:sz w:val="23"/>
          <w:szCs w:val="23"/>
        </w:rPr>
      </w:pPr>
      <w:r w:rsidRPr="00843B8E">
        <w:rPr>
          <w:rFonts w:ascii="Times New Roman" w:hAnsi="Times New Roman" w:cs="Times New Roman"/>
          <w:color w:val="212121"/>
          <w:sz w:val="23"/>
          <w:szCs w:val="23"/>
          <w:shd w:val="clear" w:color="auto" w:fill="FFFFFF"/>
        </w:rPr>
        <w:t>[</w:t>
      </w:r>
      <w:proofErr w:type="gramStart"/>
      <w:r w:rsidRPr="00843B8E">
        <w:rPr>
          <w:rFonts w:ascii="Times New Roman" w:hAnsi="Times New Roman" w:cs="Times New Roman"/>
          <w:color w:val="212121"/>
          <w:sz w:val="23"/>
          <w:szCs w:val="23"/>
          <w:shd w:val="clear" w:color="auto" w:fill="FFFFFF"/>
        </w:rPr>
        <w:t>scan</w:t>
      </w:r>
      <w:proofErr w:type="gramEnd"/>
      <w:r w:rsidR="00392FB8">
        <w:rPr>
          <w:rFonts w:ascii="Times New Roman" w:hAnsi="Times New Roman" w:cs="Times New Roman"/>
          <w:color w:val="212121"/>
          <w:sz w:val="23"/>
          <w:szCs w:val="23"/>
          <w:shd w:val="clear" w:color="auto" w:fill="FFFFFF"/>
        </w:rPr>
        <w:t xml:space="preserve"> to be provided</w:t>
      </w:r>
      <w:r w:rsidRPr="00843B8E">
        <w:rPr>
          <w:rFonts w:ascii="Times New Roman" w:hAnsi="Times New Roman" w:cs="Times New Roman"/>
          <w:color w:val="212121"/>
          <w:sz w:val="23"/>
          <w:szCs w:val="23"/>
          <w:shd w:val="clear" w:color="auto" w:fill="FFFFFF"/>
        </w:rPr>
        <w:t>]</w:t>
      </w:r>
      <w:r w:rsidRPr="00843B8E">
        <w:rPr>
          <w:rFonts w:ascii="Times New Roman" w:hAnsi="Times New Roman" w:cs="Times New Roman"/>
          <w:sz w:val="23"/>
          <w:szCs w:val="23"/>
        </w:rPr>
        <w:t xml:space="preserve"> </w:t>
      </w:r>
    </w:p>
    <w:p w14:paraId="5CD9E91F" w14:textId="77777777" w:rsidR="009303E1" w:rsidRDefault="009303E1" w:rsidP="009303E1">
      <w:pPr>
        <w:pStyle w:val="Default"/>
        <w:rPr>
          <w:rFonts w:ascii="Times New Roman" w:hAnsi="Times New Roman" w:cs="Times New Roman"/>
          <w:b/>
          <w:sz w:val="23"/>
          <w:szCs w:val="23"/>
        </w:rPr>
      </w:pPr>
    </w:p>
    <w:p w14:paraId="2ED14260" w14:textId="77777777" w:rsidR="009303E1" w:rsidRPr="009A71E1" w:rsidRDefault="009303E1" w:rsidP="009303E1">
      <w:pPr>
        <w:pStyle w:val="Default"/>
        <w:rPr>
          <w:rFonts w:ascii="Times New Roman" w:hAnsi="Times New Roman" w:cs="Times New Roman"/>
          <w:b/>
          <w:sz w:val="23"/>
          <w:szCs w:val="23"/>
        </w:rPr>
      </w:pPr>
      <w:r w:rsidRPr="009A71E1">
        <w:rPr>
          <w:rFonts w:ascii="Times New Roman" w:hAnsi="Times New Roman" w:cs="Times New Roman"/>
          <w:b/>
          <w:sz w:val="23"/>
          <w:szCs w:val="23"/>
        </w:rPr>
        <w:t>Unit 4:</w:t>
      </w:r>
    </w:p>
    <w:p w14:paraId="2CEC16DF" w14:textId="77777777" w:rsidR="009303E1" w:rsidRDefault="009303E1" w:rsidP="009303E1">
      <w:pPr>
        <w:pStyle w:val="Default"/>
        <w:rPr>
          <w:rFonts w:ascii="Times New Roman" w:hAnsi="Times New Roman" w:cs="Times New Roman"/>
          <w:sz w:val="23"/>
          <w:szCs w:val="23"/>
        </w:rPr>
      </w:pPr>
      <w:r>
        <w:rPr>
          <w:rFonts w:ascii="Times New Roman" w:hAnsi="Times New Roman" w:cs="Times New Roman"/>
          <w:sz w:val="23"/>
          <w:szCs w:val="23"/>
        </w:rPr>
        <w:t>A. Wallace-</w:t>
      </w:r>
      <w:proofErr w:type="spellStart"/>
      <w:r>
        <w:rPr>
          <w:rFonts w:ascii="Times New Roman" w:hAnsi="Times New Roman" w:cs="Times New Roman"/>
          <w:sz w:val="23"/>
          <w:szCs w:val="23"/>
        </w:rPr>
        <w:t>Hadrill</w:t>
      </w:r>
      <w:proofErr w:type="spellEnd"/>
      <w:r>
        <w:rPr>
          <w:rFonts w:ascii="Times New Roman" w:hAnsi="Times New Roman" w:cs="Times New Roman"/>
          <w:sz w:val="23"/>
          <w:szCs w:val="23"/>
        </w:rPr>
        <w:t xml:space="preserve">, „Image and </w:t>
      </w:r>
      <w:r w:rsidRPr="00C64977">
        <w:rPr>
          <w:rFonts w:ascii="Times New Roman" w:hAnsi="Times New Roman" w:cs="Times New Roman"/>
          <w:sz w:val="23"/>
          <w:szCs w:val="23"/>
        </w:rPr>
        <w:t>Authority in the Coinage of</w:t>
      </w:r>
      <w:r>
        <w:rPr>
          <w:rFonts w:ascii="Times New Roman" w:hAnsi="Times New Roman" w:cs="Times New Roman"/>
          <w:sz w:val="23"/>
          <w:szCs w:val="23"/>
        </w:rPr>
        <w:t xml:space="preserve"> </w:t>
      </w:r>
      <w:r w:rsidRPr="00C64977">
        <w:rPr>
          <w:rFonts w:ascii="Times New Roman" w:hAnsi="Times New Roman" w:cs="Times New Roman"/>
          <w:sz w:val="23"/>
          <w:szCs w:val="23"/>
        </w:rPr>
        <w:t xml:space="preserve">Augustus‟, </w:t>
      </w:r>
      <w:r w:rsidRPr="00C64977">
        <w:rPr>
          <w:rFonts w:ascii="Times New Roman" w:hAnsi="Times New Roman" w:cs="Times New Roman"/>
          <w:i/>
          <w:iCs/>
          <w:sz w:val="23"/>
          <w:szCs w:val="23"/>
        </w:rPr>
        <w:t>The Journal of</w:t>
      </w:r>
      <w:r w:rsidRPr="009A71E1">
        <w:rPr>
          <w:rFonts w:ascii="Times New Roman" w:hAnsi="Times New Roman" w:cs="Times New Roman"/>
          <w:i/>
          <w:iCs/>
          <w:sz w:val="23"/>
          <w:szCs w:val="23"/>
        </w:rPr>
        <w:t xml:space="preserve"> </w:t>
      </w:r>
      <w:r w:rsidRPr="00C64977">
        <w:rPr>
          <w:rFonts w:ascii="Times New Roman" w:hAnsi="Times New Roman" w:cs="Times New Roman"/>
          <w:i/>
          <w:iCs/>
          <w:sz w:val="23"/>
          <w:szCs w:val="23"/>
        </w:rPr>
        <w:t xml:space="preserve">Roman Studies </w:t>
      </w:r>
      <w:r w:rsidRPr="00C64977">
        <w:rPr>
          <w:rFonts w:ascii="Times New Roman" w:hAnsi="Times New Roman" w:cs="Times New Roman"/>
          <w:sz w:val="23"/>
          <w:szCs w:val="23"/>
        </w:rPr>
        <w:t>76 (1986), 66-87.</w:t>
      </w:r>
    </w:p>
    <w:p w14:paraId="7836331D" w14:textId="77777777" w:rsidR="009303E1" w:rsidRDefault="009303E1" w:rsidP="009303E1">
      <w:pPr>
        <w:pStyle w:val="Default"/>
        <w:rPr>
          <w:rFonts w:ascii="Times New Roman" w:hAnsi="Times New Roman" w:cs="Times New Roman"/>
          <w:sz w:val="23"/>
          <w:szCs w:val="23"/>
        </w:rPr>
      </w:pPr>
      <w:r>
        <w:rPr>
          <w:rFonts w:ascii="Times New Roman" w:hAnsi="Times New Roman" w:cs="Times New Roman"/>
          <w:sz w:val="23"/>
          <w:szCs w:val="23"/>
        </w:rPr>
        <w:t>Link:</w:t>
      </w:r>
    </w:p>
    <w:p w14:paraId="5253D206" w14:textId="77777777" w:rsidR="009303E1" w:rsidRDefault="00834E0C" w:rsidP="009303E1">
      <w:pPr>
        <w:pStyle w:val="Default"/>
        <w:rPr>
          <w:rFonts w:ascii="Times New Roman" w:hAnsi="Times New Roman" w:cs="Times New Roman"/>
          <w:sz w:val="23"/>
          <w:szCs w:val="23"/>
        </w:rPr>
      </w:pPr>
      <w:hyperlink r:id="rId5" w:history="1">
        <w:r w:rsidR="009303E1" w:rsidRPr="00121630">
          <w:rPr>
            <w:rStyle w:val="Hyperlink"/>
            <w:rFonts w:ascii="Times New Roman" w:hAnsi="Times New Roman" w:cs="Times New Roman"/>
            <w:sz w:val="23"/>
            <w:szCs w:val="23"/>
          </w:rPr>
          <w:t>http://www.jstor.org/stable/300366</w:t>
        </w:r>
      </w:hyperlink>
    </w:p>
    <w:p w14:paraId="74AD1EFF" w14:textId="77777777" w:rsidR="009303E1" w:rsidRPr="00732B14" w:rsidRDefault="009303E1" w:rsidP="009303E1">
      <w:pPr>
        <w:pStyle w:val="Default"/>
        <w:rPr>
          <w:rFonts w:ascii="Times New Roman" w:hAnsi="Times New Roman" w:cs="Times New Roman"/>
          <w:sz w:val="23"/>
          <w:szCs w:val="23"/>
        </w:rPr>
      </w:pPr>
    </w:p>
    <w:p w14:paraId="308B0F47" w14:textId="77777777" w:rsidR="009303E1" w:rsidRPr="009A71E1" w:rsidRDefault="009303E1" w:rsidP="009303E1">
      <w:pPr>
        <w:pStyle w:val="Default"/>
        <w:rPr>
          <w:rFonts w:ascii="Times New Roman" w:hAnsi="Times New Roman" w:cs="Times New Roman"/>
          <w:b/>
          <w:sz w:val="23"/>
          <w:szCs w:val="23"/>
        </w:rPr>
      </w:pPr>
      <w:r w:rsidRPr="009A71E1">
        <w:rPr>
          <w:rFonts w:ascii="Times New Roman" w:hAnsi="Times New Roman" w:cs="Times New Roman"/>
          <w:b/>
          <w:sz w:val="23"/>
          <w:szCs w:val="23"/>
        </w:rPr>
        <w:t>Unit 5:</w:t>
      </w:r>
    </w:p>
    <w:p w14:paraId="61D5ED55" w14:textId="77777777" w:rsidR="009303E1" w:rsidRPr="009A71E1" w:rsidRDefault="009303E1" w:rsidP="009303E1">
      <w:pPr>
        <w:pStyle w:val="Default"/>
        <w:rPr>
          <w:rFonts w:ascii="Times New Roman" w:hAnsi="Times New Roman" w:cs="Times New Roman"/>
        </w:rPr>
      </w:pPr>
      <w:r w:rsidRPr="009A71E1">
        <w:rPr>
          <w:rFonts w:ascii="Times New Roman" w:hAnsi="Times New Roman" w:cs="Times New Roman"/>
          <w:sz w:val="23"/>
          <w:szCs w:val="23"/>
        </w:rPr>
        <w:t xml:space="preserve">N. S. </w:t>
      </w:r>
      <w:proofErr w:type="spellStart"/>
      <w:r w:rsidRPr="009A71E1">
        <w:rPr>
          <w:rFonts w:ascii="Times New Roman" w:hAnsi="Times New Roman" w:cs="Times New Roman"/>
          <w:sz w:val="23"/>
          <w:szCs w:val="23"/>
        </w:rPr>
        <w:t>Rabinowitz</w:t>
      </w:r>
      <w:proofErr w:type="spellEnd"/>
      <w:r w:rsidRPr="009A71E1">
        <w:rPr>
          <w:rFonts w:ascii="Times New Roman" w:hAnsi="Times New Roman" w:cs="Times New Roman"/>
          <w:sz w:val="23"/>
          <w:szCs w:val="23"/>
        </w:rPr>
        <w:t xml:space="preserve">, </w:t>
      </w:r>
      <w:r w:rsidRPr="009A71E1">
        <w:rPr>
          <w:rFonts w:ascii="Times New Roman" w:hAnsi="Times New Roman" w:cs="Times New Roman"/>
        </w:rPr>
        <w:t xml:space="preserve">„Excavating </w:t>
      </w:r>
      <w:proofErr w:type="spellStart"/>
      <w:r w:rsidRPr="009A71E1">
        <w:rPr>
          <w:rFonts w:ascii="Times New Roman" w:hAnsi="Times New Roman" w:cs="Times New Roman"/>
        </w:rPr>
        <w:t>women‟s</w:t>
      </w:r>
      <w:proofErr w:type="spellEnd"/>
      <w:r w:rsidRPr="009A71E1">
        <w:rPr>
          <w:rFonts w:ascii="Times New Roman" w:hAnsi="Times New Roman" w:cs="Times New Roman"/>
        </w:rPr>
        <w:t xml:space="preserve"> homoeroticism in </w:t>
      </w:r>
      <w:r w:rsidRPr="009A71E1">
        <w:rPr>
          <w:rFonts w:ascii="Times New Roman" w:hAnsi="Times New Roman" w:cs="Times New Roman"/>
          <w:sz w:val="23"/>
          <w:szCs w:val="23"/>
        </w:rPr>
        <w:t xml:space="preserve">ancient Greece: the </w:t>
      </w:r>
      <w:r w:rsidRPr="009A71E1">
        <w:rPr>
          <w:rFonts w:ascii="Times New Roman" w:hAnsi="Times New Roman" w:cs="Times New Roman"/>
        </w:rPr>
        <w:t xml:space="preserve">evidence from Attic vase painting‟, in N. </w:t>
      </w:r>
      <w:r w:rsidRPr="009A71E1">
        <w:rPr>
          <w:rFonts w:ascii="Times New Roman" w:hAnsi="Times New Roman" w:cs="Times New Roman"/>
          <w:sz w:val="23"/>
          <w:szCs w:val="23"/>
        </w:rPr>
        <w:t xml:space="preserve">S. Rabinowitz and L. </w:t>
      </w:r>
      <w:proofErr w:type="spellStart"/>
      <w:r w:rsidRPr="009A71E1">
        <w:rPr>
          <w:rFonts w:ascii="Times New Roman" w:hAnsi="Times New Roman" w:cs="Times New Roman"/>
          <w:sz w:val="23"/>
          <w:szCs w:val="23"/>
        </w:rPr>
        <w:t>Auanger</w:t>
      </w:r>
      <w:proofErr w:type="spellEnd"/>
      <w:r w:rsidRPr="00DA4D52">
        <w:rPr>
          <w:rFonts w:ascii="Times New Roman" w:hAnsi="Times New Roman" w:cs="Times New Roman"/>
          <w:i/>
          <w:sz w:val="23"/>
          <w:szCs w:val="23"/>
        </w:rPr>
        <w:t xml:space="preserve">, </w:t>
      </w:r>
      <w:r w:rsidRPr="00DA4D52">
        <w:rPr>
          <w:rFonts w:ascii="Times New Roman" w:hAnsi="Times New Roman" w:cs="Times New Roman"/>
          <w:i/>
          <w:iCs/>
          <w:sz w:val="23"/>
          <w:szCs w:val="23"/>
        </w:rPr>
        <w:t xml:space="preserve">Among </w:t>
      </w:r>
      <w:r w:rsidRPr="00DA4D52">
        <w:rPr>
          <w:rFonts w:ascii="Times New Roman" w:hAnsi="Times New Roman" w:cs="Times New Roman"/>
          <w:i/>
        </w:rPr>
        <w:t>Women: From the Homosocial to the Homoerotic in the Ancient World</w:t>
      </w:r>
      <w:r w:rsidRPr="009A71E1">
        <w:rPr>
          <w:rFonts w:ascii="Times New Roman" w:hAnsi="Times New Roman" w:cs="Times New Roman"/>
        </w:rPr>
        <w:t xml:space="preserve">, 106-166. Austin: University of Texas </w:t>
      </w:r>
    </w:p>
    <w:p w14:paraId="66FECE36"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sidRPr="009A71E1">
        <w:rPr>
          <w:rFonts w:ascii="Times New Roman" w:hAnsi="Times New Roman" w:cs="Times New Roman"/>
          <w:color w:val="000000"/>
          <w:sz w:val="24"/>
          <w:szCs w:val="24"/>
        </w:rPr>
        <w:t xml:space="preserve">Press, 2002. </w:t>
      </w:r>
    </w:p>
    <w:p w14:paraId="5839E2E1"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Link:</w:t>
      </w:r>
    </w:p>
    <w:p w14:paraId="3FC1B5D8" w14:textId="2EC6C2C0" w:rsidR="009303E1" w:rsidRDefault="007B5CD1" w:rsidP="007B5CD1">
      <w:pPr>
        <w:autoSpaceDE w:val="0"/>
        <w:autoSpaceDN w:val="0"/>
        <w:adjustRightInd w:val="0"/>
        <w:spacing w:after="0" w:line="240" w:lineRule="auto"/>
        <w:rPr>
          <w:rFonts w:ascii="Times New Roman" w:hAnsi="Times New Roman" w:cs="Times New Roman"/>
          <w:color w:val="000000"/>
          <w:sz w:val="24"/>
          <w:szCs w:val="24"/>
        </w:rPr>
      </w:pPr>
      <w:r w:rsidRPr="007B5CD1">
        <w:rPr>
          <w:rFonts w:ascii="Times New Roman" w:hAnsi="Times New Roman" w:cs="Times New Roman"/>
          <w:color w:val="000000"/>
          <w:sz w:val="24"/>
          <w:szCs w:val="24"/>
        </w:rPr>
        <w:t>http://librarycatalogue.uwtsd.ac.uk/primo_library/libweb/action/search.do?fn=search&amp;ct=search&amp;initialSearch=true&amp;mode=Basic&amp;tab=tab1&amp;indx=1&amp;dum=true&amp;srt=rank&amp;vid=44WHELF_UWTSD_VU1&amp;frbg=&amp;tb=t&amp;vl%28freeText0%29=Among+Women%3A+From+the+Homosocial+to+the+Homoerotic+in+the+Ancient+World&amp;scp.scps=scope%3A%2844WHELF_UWTSD%29%2C44WHELF_UWTSD_Ebsco%2Cprimo_central_multiple_fe</w:t>
      </w:r>
    </w:p>
    <w:p w14:paraId="0569ECB9" w14:textId="77777777" w:rsidR="009303E1" w:rsidRPr="00732B14" w:rsidRDefault="009303E1" w:rsidP="009303E1">
      <w:pPr>
        <w:autoSpaceDE w:val="0"/>
        <w:autoSpaceDN w:val="0"/>
        <w:adjustRightInd w:val="0"/>
        <w:spacing w:after="0" w:line="240" w:lineRule="auto"/>
        <w:rPr>
          <w:rFonts w:ascii="Times New Roman" w:hAnsi="Times New Roman" w:cs="Times New Roman"/>
          <w:color w:val="000000"/>
          <w:sz w:val="24"/>
          <w:szCs w:val="24"/>
        </w:rPr>
      </w:pPr>
    </w:p>
    <w:p w14:paraId="4BAB3319" w14:textId="77777777" w:rsidR="009303E1" w:rsidRPr="00DA4D52" w:rsidRDefault="009303E1" w:rsidP="009303E1">
      <w:pPr>
        <w:pStyle w:val="Default"/>
        <w:rPr>
          <w:rFonts w:ascii="Times New Roman" w:hAnsi="Times New Roman" w:cs="Times New Roman"/>
          <w:b/>
        </w:rPr>
      </w:pPr>
      <w:r w:rsidRPr="00DA4D52">
        <w:rPr>
          <w:rFonts w:ascii="Times New Roman" w:hAnsi="Times New Roman" w:cs="Times New Roman"/>
          <w:b/>
        </w:rPr>
        <w:t>Unit 6:</w:t>
      </w:r>
    </w:p>
    <w:p w14:paraId="502150EE" w14:textId="77777777" w:rsidR="00057C7E" w:rsidRPr="00057C7E" w:rsidRDefault="00057C7E" w:rsidP="00057C7E">
      <w:pPr>
        <w:spacing w:after="0" w:line="240" w:lineRule="auto"/>
        <w:rPr>
          <w:rFonts w:ascii="Calibri" w:eastAsia="Times New Roman" w:hAnsi="Calibri" w:cs="Times New Roman"/>
          <w:color w:val="000000"/>
          <w:sz w:val="24"/>
          <w:szCs w:val="24"/>
          <w:lang w:eastAsia="en-GB"/>
        </w:rPr>
      </w:pPr>
      <w:r w:rsidRPr="00057C7E">
        <w:rPr>
          <w:rFonts w:ascii="Times New Roman" w:eastAsia="Times New Roman" w:hAnsi="Times New Roman" w:cs="Times New Roman"/>
          <w:color w:val="000000"/>
          <w:sz w:val="24"/>
          <w:szCs w:val="24"/>
          <w:lang w:eastAsia="en-GB"/>
        </w:rPr>
        <w:lastRenderedPageBreak/>
        <w:t>Allen, R. C. 2009: ‘How Prosperous were the Romans</w:t>
      </w:r>
      <w:proofErr w:type="gramStart"/>
      <w:r w:rsidRPr="00057C7E">
        <w:rPr>
          <w:rFonts w:ascii="Times New Roman" w:eastAsia="Times New Roman" w:hAnsi="Times New Roman" w:cs="Times New Roman"/>
          <w:color w:val="000000"/>
          <w:sz w:val="24"/>
          <w:szCs w:val="24"/>
          <w:lang w:eastAsia="en-GB"/>
        </w:rPr>
        <w:t>?:</w:t>
      </w:r>
      <w:proofErr w:type="gramEnd"/>
      <w:r w:rsidRPr="00057C7E">
        <w:rPr>
          <w:rFonts w:ascii="Times New Roman" w:eastAsia="Times New Roman" w:hAnsi="Times New Roman" w:cs="Times New Roman"/>
          <w:color w:val="000000"/>
          <w:sz w:val="24"/>
          <w:szCs w:val="24"/>
          <w:lang w:eastAsia="en-GB"/>
        </w:rPr>
        <w:t xml:space="preserve"> Evidence from Diocletian’s Price Edict (AD 301)’, in Bowman, A. and Wilson, A. (</w:t>
      </w:r>
      <w:proofErr w:type="spellStart"/>
      <w:r w:rsidRPr="00057C7E">
        <w:rPr>
          <w:rFonts w:ascii="Times New Roman" w:eastAsia="Times New Roman" w:hAnsi="Times New Roman" w:cs="Times New Roman"/>
          <w:color w:val="000000"/>
          <w:sz w:val="24"/>
          <w:szCs w:val="24"/>
          <w:lang w:eastAsia="en-GB"/>
        </w:rPr>
        <w:t>eds</w:t>
      </w:r>
      <w:proofErr w:type="spellEnd"/>
      <w:r w:rsidRPr="00057C7E">
        <w:rPr>
          <w:rFonts w:ascii="Times New Roman" w:eastAsia="Times New Roman" w:hAnsi="Times New Roman" w:cs="Times New Roman"/>
          <w:color w:val="000000"/>
          <w:sz w:val="24"/>
          <w:szCs w:val="24"/>
          <w:lang w:eastAsia="en-GB"/>
        </w:rPr>
        <w:t>), </w:t>
      </w:r>
      <w:r w:rsidRPr="00057C7E">
        <w:rPr>
          <w:rFonts w:ascii="Times New Roman" w:eastAsia="Times New Roman" w:hAnsi="Times New Roman" w:cs="Times New Roman"/>
          <w:i/>
          <w:iCs/>
          <w:color w:val="000000"/>
          <w:sz w:val="24"/>
          <w:szCs w:val="24"/>
          <w:lang w:eastAsia="en-GB"/>
        </w:rPr>
        <w:t>Quantifying the Roman Economy: Methods and Problems</w:t>
      </w:r>
      <w:r w:rsidRPr="00057C7E">
        <w:rPr>
          <w:rFonts w:ascii="Times New Roman" w:eastAsia="Times New Roman" w:hAnsi="Times New Roman" w:cs="Times New Roman"/>
          <w:color w:val="000000"/>
          <w:sz w:val="24"/>
          <w:szCs w:val="24"/>
          <w:lang w:eastAsia="en-GB"/>
        </w:rPr>
        <w:t>, Oxford: 327-45. </w:t>
      </w:r>
    </w:p>
    <w:p w14:paraId="420D3014" w14:textId="77777777" w:rsidR="009303E1" w:rsidRDefault="009303E1" w:rsidP="009303E1">
      <w:pPr>
        <w:pStyle w:val="Default"/>
        <w:rPr>
          <w:rFonts w:ascii="Times New Roman" w:hAnsi="Times New Roman" w:cs="Times New Roman"/>
        </w:rPr>
      </w:pPr>
      <w:r>
        <w:rPr>
          <w:rFonts w:ascii="Times New Roman" w:hAnsi="Times New Roman" w:cs="Times New Roman"/>
        </w:rPr>
        <w:t>Link:</w:t>
      </w:r>
    </w:p>
    <w:p w14:paraId="0EFA4B35" w14:textId="797DD6E3" w:rsidR="009303E1" w:rsidRDefault="00057C7E" w:rsidP="00057C7E">
      <w:pPr>
        <w:pStyle w:val="Default"/>
        <w:rPr>
          <w:rFonts w:ascii="Times New Roman" w:hAnsi="Times New Roman" w:cs="Times New Roman"/>
        </w:rPr>
      </w:pPr>
      <w:r w:rsidRPr="00057C7E">
        <w:rPr>
          <w:rFonts w:ascii="Times New Roman" w:hAnsi="Times New Roman" w:cs="Times New Roman"/>
        </w:rPr>
        <w:t>http://www.oxfordscholarship.com/view/10.1093/acprof:oso/9780199562596.001.0001/acprof-9780199562596</w:t>
      </w:r>
      <w:r>
        <w:rPr>
          <w:rFonts w:ascii="Times New Roman" w:hAnsi="Times New Roman" w:cs="Times New Roman"/>
        </w:rPr>
        <w:t xml:space="preserve"> </w:t>
      </w:r>
    </w:p>
    <w:p w14:paraId="3323F5DD" w14:textId="77777777" w:rsidR="009303E1" w:rsidRDefault="009303E1" w:rsidP="009303E1">
      <w:pPr>
        <w:pStyle w:val="Default"/>
        <w:rPr>
          <w:rFonts w:ascii="Times New Roman" w:hAnsi="Times New Roman" w:cs="Times New Roman"/>
        </w:rPr>
      </w:pPr>
    </w:p>
    <w:p w14:paraId="059BEF50" w14:textId="77777777" w:rsidR="009303E1" w:rsidRPr="00DA4D52" w:rsidRDefault="009303E1" w:rsidP="009303E1">
      <w:pPr>
        <w:pStyle w:val="Default"/>
        <w:rPr>
          <w:rFonts w:ascii="Times New Roman" w:hAnsi="Times New Roman" w:cs="Times New Roman"/>
          <w:b/>
        </w:rPr>
      </w:pPr>
      <w:r w:rsidRPr="00DA4D52">
        <w:rPr>
          <w:rFonts w:ascii="Times New Roman" w:hAnsi="Times New Roman" w:cs="Times New Roman"/>
          <w:b/>
        </w:rPr>
        <w:t>Unit 7:</w:t>
      </w:r>
    </w:p>
    <w:p w14:paraId="4A38833D" w14:textId="77777777" w:rsidR="009303E1" w:rsidRDefault="009303E1" w:rsidP="009303E1">
      <w:pPr>
        <w:pStyle w:val="Default"/>
        <w:rPr>
          <w:rFonts w:ascii="Times New Roman" w:hAnsi="Times New Roman" w:cs="Times New Roman"/>
        </w:rPr>
      </w:pPr>
      <w:r w:rsidRPr="00DA4D52">
        <w:rPr>
          <w:rFonts w:ascii="Times New Roman" w:hAnsi="Times New Roman" w:cs="Times New Roman"/>
          <w:sz w:val="23"/>
          <w:szCs w:val="23"/>
        </w:rPr>
        <w:t xml:space="preserve">Elizabeth A. Meyer, </w:t>
      </w:r>
      <w:r w:rsidRPr="00DA4D52">
        <w:rPr>
          <w:rFonts w:ascii="Times New Roman" w:hAnsi="Times New Roman" w:cs="Times New Roman"/>
        </w:rPr>
        <w:t xml:space="preserve">„Explaining the Epigraphic Habit in the Roman Empire: The Evidence of Epitaphs‟, The Journal of Roman </w:t>
      </w:r>
      <w:r w:rsidRPr="00DA4D52">
        <w:rPr>
          <w:rFonts w:ascii="Times New Roman" w:hAnsi="Times New Roman" w:cs="Times New Roman"/>
          <w:i/>
          <w:iCs/>
          <w:sz w:val="23"/>
          <w:szCs w:val="23"/>
        </w:rPr>
        <w:t xml:space="preserve">Studies </w:t>
      </w:r>
      <w:r w:rsidRPr="00DA4D52">
        <w:rPr>
          <w:rFonts w:ascii="Times New Roman" w:hAnsi="Times New Roman" w:cs="Times New Roman"/>
          <w:sz w:val="23"/>
          <w:szCs w:val="23"/>
        </w:rPr>
        <w:t>80 (1990), 74-</w:t>
      </w:r>
      <w:r w:rsidRPr="00DA4D52">
        <w:rPr>
          <w:rFonts w:ascii="Times New Roman" w:hAnsi="Times New Roman" w:cs="Times New Roman"/>
        </w:rPr>
        <w:t xml:space="preserve">96. </w:t>
      </w:r>
    </w:p>
    <w:p w14:paraId="750F9752" w14:textId="77777777" w:rsidR="009303E1" w:rsidRDefault="009303E1" w:rsidP="009303E1">
      <w:pPr>
        <w:pStyle w:val="Default"/>
        <w:rPr>
          <w:rFonts w:ascii="Times New Roman" w:hAnsi="Times New Roman" w:cs="Times New Roman"/>
          <w:sz w:val="23"/>
          <w:szCs w:val="23"/>
        </w:rPr>
      </w:pPr>
      <w:r>
        <w:rPr>
          <w:rFonts w:ascii="Times New Roman" w:hAnsi="Times New Roman" w:cs="Times New Roman"/>
          <w:sz w:val="23"/>
          <w:szCs w:val="23"/>
        </w:rPr>
        <w:t>Link:</w:t>
      </w:r>
    </w:p>
    <w:p w14:paraId="722D0EA9" w14:textId="77777777" w:rsidR="009303E1" w:rsidRDefault="00834E0C" w:rsidP="009303E1">
      <w:pPr>
        <w:pStyle w:val="Default"/>
        <w:rPr>
          <w:rFonts w:ascii="Times New Roman" w:hAnsi="Times New Roman" w:cs="Times New Roman"/>
          <w:sz w:val="23"/>
          <w:szCs w:val="23"/>
        </w:rPr>
      </w:pPr>
      <w:hyperlink r:id="rId6" w:history="1">
        <w:r w:rsidR="009303E1" w:rsidRPr="00121630">
          <w:rPr>
            <w:rStyle w:val="Hyperlink"/>
            <w:rFonts w:ascii="Times New Roman" w:hAnsi="Times New Roman" w:cs="Times New Roman"/>
            <w:sz w:val="23"/>
            <w:szCs w:val="23"/>
          </w:rPr>
          <w:t>http://www.jstor.org/stable/300281</w:t>
        </w:r>
      </w:hyperlink>
    </w:p>
    <w:p w14:paraId="45985C8F" w14:textId="77777777" w:rsidR="009303E1" w:rsidRPr="00DA4D52" w:rsidRDefault="009303E1" w:rsidP="009303E1">
      <w:pPr>
        <w:pStyle w:val="Default"/>
        <w:rPr>
          <w:rFonts w:ascii="Times New Roman" w:hAnsi="Times New Roman" w:cs="Times New Roman"/>
        </w:rPr>
      </w:pPr>
    </w:p>
    <w:p w14:paraId="0123BAD6" w14:textId="77777777" w:rsidR="009303E1" w:rsidRPr="00DA4D52" w:rsidRDefault="009303E1" w:rsidP="009303E1">
      <w:pPr>
        <w:pStyle w:val="Default"/>
        <w:rPr>
          <w:rFonts w:ascii="Times New Roman" w:hAnsi="Times New Roman" w:cs="Times New Roman"/>
          <w:b/>
        </w:rPr>
      </w:pPr>
      <w:r w:rsidRPr="00DA4D52">
        <w:rPr>
          <w:rFonts w:ascii="Times New Roman" w:hAnsi="Times New Roman" w:cs="Times New Roman"/>
          <w:b/>
        </w:rPr>
        <w:t>Unit 8:</w:t>
      </w:r>
    </w:p>
    <w:p w14:paraId="5AE89198" w14:textId="3D3381FB" w:rsidR="00F151C1" w:rsidRDefault="00834E0C" w:rsidP="00834E0C">
      <w:pPr>
        <w:pStyle w:val="xmsonormal"/>
        <w:shd w:val="clear" w:color="auto" w:fill="FFFFFF"/>
        <w:spacing w:before="0" w:beforeAutospacing="0" w:after="0" w:afterAutospacing="0"/>
        <w:rPr>
          <w:rFonts w:asciiTheme="minorHAnsi" w:hAnsiTheme="minorHAnsi"/>
          <w:bCs/>
          <w:color w:val="212121"/>
        </w:rPr>
      </w:pPr>
      <w:r>
        <w:rPr>
          <w:rFonts w:asciiTheme="minorHAnsi" w:hAnsiTheme="minorHAnsi"/>
        </w:rPr>
        <w:t xml:space="preserve">Unit 8:  </w:t>
      </w:r>
      <w:r>
        <w:rPr>
          <w:rFonts w:asciiTheme="minorHAnsi" w:hAnsiTheme="minorHAnsi"/>
          <w:bCs/>
          <w:color w:val="212121"/>
        </w:rPr>
        <w:t>M. Carroll</w:t>
      </w:r>
      <w:r>
        <w:rPr>
          <w:rFonts w:asciiTheme="minorHAnsi" w:hAnsiTheme="minorHAnsi"/>
          <w:bCs/>
          <w:i/>
          <w:iCs/>
          <w:color w:val="212121"/>
        </w:rPr>
        <w:t>, Spirits of the Dead: Roman funerary commemoration in Western Europe</w:t>
      </w:r>
      <w:r>
        <w:rPr>
          <w:rFonts w:asciiTheme="minorHAnsi" w:hAnsiTheme="minorHAnsi"/>
          <w:bCs/>
          <w:color w:val="212121"/>
        </w:rPr>
        <w:t>. Oxford: Oxford University Press 2006, Chapter 9 “Social Change and Social Mobility”, pp. 233-59</w:t>
      </w:r>
    </w:p>
    <w:p w14:paraId="7C0E45A2" w14:textId="03D52888" w:rsidR="00834E0C" w:rsidRPr="00834E0C" w:rsidRDefault="00834E0C" w:rsidP="00834E0C">
      <w:pPr>
        <w:pStyle w:val="xmsonormal"/>
        <w:shd w:val="clear" w:color="auto" w:fill="FFFFFF"/>
        <w:spacing w:before="0" w:beforeAutospacing="0" w:after="0" w:afterAutospacing="0"/>
        <w:rPr>
          <w:rFonts w:asciiTheme="minorHAnsi" w:hAnsiTheme="minorHAnsi"/>
          <w:color w:val="212121"/>
        </w:rPr>
      </w:pPr>
      <w:r w:rsidRPr="00834E0C">
        <w:rPr>
          <w:rFonts w:asciiTheme="minorHAnsi" w:hAnsiTheme="minorHAnsi"/>
          <w:color w:val="212121"/>
        </w:rPr>
        <w:t>http://librarycatalogue.uwtsd.ac.uk/primo_library/libweb/action/search.do?fn=search&amp;ct=search&amp;initialSearch=true&amp;mode=Basic&amp;tab=tab1&amp;indx=1&amp;dum=true&amp;srt=rank&amp;vid=44WHELF_UWTSD_VU1&amp;frbg=&amp;tb=t&amp;vl%28freeText0%29=spirits+of+the+dead&amp;scp.scps=scope</w:t>
      </w:r>
      <w:bookmarkStart w:id="0" w:name="_GoBack"/>
      <w:bookmarkEnd w:id="0"/>
      <w:r w:rsidRPr="00834E0C">
        <w:rPr>
          <w:rFonts w:asciiTheme="minorHAnsi" w:hAnsiTheme="minorHAnsi"/>
          <w:color w:val="212121"/>
        </w:rPr>
        <w:t>%3A%2844WHELF_UWTSD%29%2C44WHELF_UWTSD_Ebsco%2Cprimo_central_multiple_fe</w:t>
      </w:r>
    </w:p>
    <w:p w14:paraId="54903483" w14:textId="77777777" w:rsidR="009303E1" w:rsidRPr="00DA4D52" w:rsidRDefault="009303E1" w:rsidP="009303E1">
      <w:pPr>
        <w:pStyle w:val="Default"/>
        <w:rPr>
          <w:rFonts w:ascii="Times New Roman" w:hAnsi="Times New Roman" w:cs="Times New Roman"/>
        </w:rPr>
      </w:pPr>
    </w:p>
    <w:p w14:paraId="3B3B7934" w14:textId="77777777" w:rsidR="009303E1" w:rsidRPr="00732B14" w:rsidRDefault="009303E1" w:rsidP="009303E1">
      <w:pPr>
        <w:pStyle w:val="Default"/>
        <w:rPr>
          <w:rFonts w:ascii="Times New Roman" w:hAnsi="Times New Roman" w:cs="Times New Roman"/>
          <w:b/>
          <w:sz w:val="23"/>
          <w:szCs w:val="23"/>
        </w:rPr>
      </w:pPr>
      <w:r w:rsidRPr="00732B14">
        <w:rPr>
          <w:rFonts w:ascii="Times New Roman" w:hAnsi="Times New Roman" w:cs="Times New Roman"/>
          <w:b/>
          <w:sz w:val="23"/>
          <w:szCs w:val="23"/>
        </w:rPr>
        <w:t>Unit 9:</w:t>
      </w:r>
    </w:p>
    <w:p w14:paraId="73A5A424" w14:textId="77777777" w:rsidR="009303E1" w:rsidRPr="00DA4D52" w:rsidRDefault="009303E1" w:rsidP="009303E1">
      <w:pPr>
        <w:pStyle w:val="Default"/>
        <w:rPr>
          <w:rFonts w:ascii="Times New Roman" w:hAnsi="Times New Roman" w:cs="Times New Roman"/>
          <w:sz w:val="23"/>
          <w:szCs w:val="23"/>
        </w:rPr>
      </w:pPr>
      <w:r w:rsidRPr="00DA4D52">
        <w:rPr>
          <w:rFonts w:ascii="Times New Roman" w:hAnsi="Times New Roman" w:cs="Times New Roman"/>
          <w:sz w:val="23"/>
          <w:szCs w:val="23"/>
        </w:rPr>
        <w:t xml:space="preserve">A.E. </w:t>
      </w:r>
      <w:r w:rsidRPr="00DA4D52">
        <w:rPr>
          <w:rFonts w:ascii="Times New Roman" w:hAnsi="Times New Roman" w:cs="Times New Roman"/>
        </w:rPr>
        <w:t>Housman</w:t>
      </w:r>
      <w:proofErr w:type="gramStart"/>
      <w:r w:rsidRPr="00DA4D52">
        <w:rPr>
          <w:rFonts w:ascii="Times New Roman" w:hAnsi="Times New Roman" w:cs="Times New Roman"/>
        </w:rPr>
        <w:t xml:space="preserve">, </w:t>
      </w:r>
      <w:r>
        <w:rPr>
          <w:rFonts w:ascii="Times New Roman" w:hAnsi="Times New Roman" w:cs="Times New Roman"/>
          <w:sz w:val="23"/>
          <w:szCs w:val="23"/>
        </w:rPr>
        <w:t>,,The</w:t>
      </w:r>
      <w:proofErr w:type="gramEnd"/>
      <w:r>
        <w:rPr>
          <w:rFonts w:ascii="Times New Roman" w:hAnsi="Times New Roman" w:cs="Times New Roman"/>
          <w:sz w:val="23"/>
          <w:szCs w:val="23"/>
        </w:rPr>
        <w:t xml:space="preserve"> </w:t>
      </w:r>
      <w:r w:rsidRPr="00DA4D52">
        <w:rPr>
          <w:rFonts w:ascii="Times New Roman" w:hAnsi="Times New Roman" w:cs="Times New Roman"/>
          <w:sz w:val="23"/>
          <w:szCs w:val="23"/>
        </w:rPr>
        <w:t xml:space="preserve">Application of </w:t>
      </w:r>
      <w:r w:rsidRPr="00DA4D52">
        <w:rPr>
          <w:rFonts w:ascii="Times New Roman" w:hAnsi="Times New Roman" w:cs="Times New Roman"/>
        </w:rPr>
        <w:t xml:space="preserve">Thought to Textual </w:t>
      </w:r>
      <w:r>
        <w:rPr>
          <w:rFonts w:ascii="Times New Roman" w:hAnsi="Times New Roman" w:cs="Times New Roman"/>
          <w:sz w:val="23"/>
          <w:szCs w:val="23"/>
        </w:rPr>
        <w:t xml:space="preserve">Criticism” , </w:t>
      </w:r>
      <w:proofErr w:type="spellStart"/>
      <w:r>
        <w:rPr>
          <w:rFonts w:ascii="Times New Roman" w:hAnsi="Times New Roman" w:cs="Times New Roman"/>
          <w:sz w:val="23"/>
          <w:szCs w:val="23"/>
        </w:rPr>
        <w:t>repr</w:t>
      </w:r>
      <w:proofErr w:type="spellEnd"/>
      <w:r>
        <w:rPr>
          <w:rFonts w:ascii="Times New Roman" w:hAnsi="Times New Roman" w:cs="Times New Roman"/>
          <w:sz w:val="23"/>
          <w:szCs w:val="23"/>
        </w:rPr>
        <w:t xml:space="preserve">, </w:t>
      </w:r>
      <w:r w:rsidRPr="00DA4D52">
        <w:rPr>
          <w:rFonts w:ascii="Times New Roman" w:hAnsi="Times New Roman" w:cs="Times New Roman"/>
          <w:i/>
          <w:iCs/>
          <w:sz w:val="23"/>
          <w:szCs w:val="23"/>
        </w:rPr>
        <w:t xml:space="preserve">Connexions </w:t>
      </w:r>
      <w:r w:rsidRPr="00DA4D52">
        <w:rPr>
          <w:rFonts w:ascii="Times New Roman" w:hAnsi="Times New Roman" w:cs="Times New Roman"/>
          <w:sz w:val="23"/>
          <w:szCs w:val="23"/>
        </w:rPr>
        <w:t xml:space="preserve">(Apr. </w:t>
      </w:r>
    </w:p>
    <w:p w14:paraId="3496FAA1"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sidRPr="00DA4D52">
        <w:rPr>
          <w:rFonts w:ascii="Times New Roman" w:hAnsi="Times New Roman" w:cs="Times New Roman"/>
          <w:color w:val="000000"/>
          <w:sz w:val="24"/>
          <w:szCs w:val="24"/>
        </w:rPr>
        <w:t xml:space="preserve">2004), 1-8. </w:t>
      </w:r>
    </w:p>
    <w:p w14:paraId="1F19CE94"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Link:</w:t>
      </w:r>
    </w:p>
    <w:p w14:paraId="3C16C04F"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sidRPr="00732B14">
        <w:rPr>
          <w:rFonts w:ascii="Times New Roman" w:hAnsi="Times New Roman" w:cs="Times New Roman"/>
          <w:color w:val="000000"/>
          <w:sz w:val="24"/>
          <w:szCs w:val="24"/>
        </w:rPr>
        <w:t>https://www.oercommons.org/courses/the-application-of-thought-to-textual-criticism-by-a-e-housman</w:t>
      </w:r>
    </w:p>
    <w:p w14:paraId="4FDC678C" w14:textId="77777777" w:rsidR="00F43A72" w:rsidRDefault="00F43A72"/>
    <w:sectPr w:rsidR="00F43A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3E1"/>
    <w:rsid w:val="000014C6"/>
    <w:rsid w:val="00004CC7"/>
    <w:rsid w:val="00014E91"/>
    <w:rsid w:val="00040AD9"/>
    <w:rsid w:val="00057C7E"/>
    <w:rsid w:val="00061EC6"/>
    <w:rsid w:val="00076702"/>
    <w:rsid w:val="000D483F"/>
    <w:rsid w:val="000D7B1D"/>
    <w:rsid w:val="000E07A3"/>
    <w:rsid w:val="000E5393"/>
    <w:rsid w:val="000E5B73"/>
    <w:rsid w:val="000F452B"/>
    <w:rsid w:val="001263FF"/>
    <w:rsid w:val="00132086"/>
    <w:rsid w:val="001323E9"/>
    <w:rsid w:val="00136106"/>
    <w:rsid w:val="00142B73"/>
    <w:rsid w:val="0015696B"/>
    <w:rsid w:val="0015696D"/>
    <w:rsid w:val="00156D14"/>
    <w:rsid w:val="00182B2C"/>
    <w:rsid w:val="00185E86"/>
    <w:rsid w:val="001B1701"/>
    <w:rsid w:val="001D31C8"/>
    <w:rsid w:val="001E4F9B"/>
    <w:rsid w:val="001F35B0"/>
    <w:rsid w:val="002039CC"/>
    <w:rsid w:val="002164F2"/>
    <w:rsid w:val="00277842"/>
    <w:rsid w:val="00284417"/>
    <w:rsid w:val="00293F9C"/>
    <w:rsid w:val="002B75B3"/>
    <w:rsid w:val="00302D0F"/>
    <w:rsid w:val="00310445"/>
    <w:rsid w:val="0033209D"/>
    <w:rsid w:val="00343F8A"/>
    <w:rsid w:val="00344607"/>
    <w:rsid w:val="00355A68"/>
    <w:rsid w:val="00392FB8"/>
    <w:rsid w:val="003A6F92"/>
    <w:rsid w:val="003B15EC"/>
    <w:rsid w:val="003C0E4B"/>
    <w:rsid w:val="003D6763"/>
    <w:rsid w:val="003E278F"/>
    <w:rsid w:val="00411FD2"/>
    <w:rsid w:val="0042626D"/>
    <w:rsid w:val="00446DDE"/>
    <w:rsid w:val="00454210"/>
    <w:rsid w:val="0048635A"/>
    <w:rsid w:val="00495336"/>
    <w:rsid w:val="004A7366"/>
    <w:rsid w:val="004C5AA6"/>
    <w:rsid w:val="004D3B98"/>
    <w:rsid w:val="004D581F"/>
    <w:rsid w:val="004E5179"/>
    <w:rsid w:val="004F5F7A"/>
    <w:rsid w:val="00500740"/>
    <w:rsid w:val="00500A42"/>
    <w:rsid w:val="00501CA3"/>
    <w:rsid w:val="005042C2"/>
    <w:rsid w:val="00515159"/>
    <w:rsid w:val="00520C75"/>
    <w:rsid w:val="00541A19"/>
    <w:rsid w:val="005471F6"/>
    <w:rsid w:val="0055040C"/>
    <w:rsid w:val="00565470"/>
    <w:rsid w:val="005665CB"/>
    <w:rsid w:val="00570D04"/>
    <w:rsid w:val="00574C18"/>
    <w:rsid w:val="00582B78"/>
    <w:rsid w:val="005833A8"/>
    <w:rsid w:val="00593EAA"/>
    <w:rsid w:val="005A2D01"/>
    <w:rsid w:val="005E6BCE"/>
    <w:rsid w:val="006003B6"/>
    <w:rsid w:val="00637255"/>
    <w:rsid w:val="006455D7"/>
    <w:rsid w:val="00667085"/>
    <w:rsid w:val="00667895"/>
    <w:rsid w:val="0067615B"/>
    <w:rsid w:val="006C0F17"/>
    <w:rsid w:val="006C1179"/>
    <w:rsid w:val="006F333F"/>
    <w:rsid w:val="0072369D"/>
    <w:rsid w:val="00745548"/>
    <w:rsid w:val="00745595"/>
    <w:rsid w:val="00763634"/>
    <w:rsid w:val="00784287"/>
    <w:rsid w:val="007B05CD"/>
    <w:rsid w:val="007B3BEC"/>
    <w:rsid w:val="007B5CD1"/>
    <w:rsid w:val="007C64F8"/>
    <w:rsid w:val="007D6FB8"/>
    <w:rsid w:val="007E4154"/>
    <w:rsid w:val="007E5DF6"/>
    <w:rsid w:val="007F5D81"/>
    <w:rsid w:val="007F669E"/>
    <w:rsid w:val="00823B91"/>
    <w:rsid w:val="00832288"/>
    <w:rsid w:val="00834E0C"/>
    <w:rsid w:val="00843B8E"/>
    <w:rsid w:val="0085272B"/>
    <w:rsid w:val="008826B1"/>
    <w:rsid w:val="00887D02"/>
    <w:rsid w:val="0089137B"/>
    <w:rsid w:val="00894AB6"/>
    <w:rsid w:val="0089599F"/>
    <w:rsid w:val="008B5236"/>
    <w:rsid w:val="008B5FFE"/>
    <w:rsid w:val="008D7438"/>
    <w:rsid w:val="008F7727"/>
    <w:rsid w:val="00912297"/>
    <w:rsid w:val="00926BE2"/>
    <w:rsid w:val="009303E1"/>
    <w:rsid w:val="00933ECC"/>
    <w:rsid w:val="00963F3E"/>
    <w:rsid w:val="009814AD"/>
    <w:rsid w:val="009E3B18"/>
    <w:rsid w:val="00A16D81"/>
    <w:rsid w:val="00A17B0A"/>
    <w:rsid w:val="00A538A8"/>
    <w:rsid w:val="00A855AA"/>
    <w:rsid w:val="00AB1C57"/>
    <w:rsid w:val="00AB2220"/>
    <w:rsid w:val="00AB7944"/>
    <w:rsid w:val="00AF07CA"/>
    <w:rsid w:val="00AF19AA"/>
    <w:rsid w:val="00AF530A"/>
    <w:rsid w:val="00B27A46"/>
    <w:rsid w:val="00B30DB5"/>
    <w:rsid w:val="00B35C3F"/>
    <w:rsid w:val="00B43D82"/>
    <w:rsid w:val="00BB3678"/>
    <w:rsid w:val="00BB6834"/>
    <w:rsid w:val="00BE7BA9"/>
    <w:rsid w:val="00BF5042"/>
    <w:rsid w:val="00C12DFE"/>
    <w:rsid w:val="00C50BA0"/>
    <w:rsid w:val="00C63F44"/>
    <w:rsid w:val="00C7479F"/>
    <w:rsid w:val="00C76804"/>
    <w:rsid w:val="00CC1800"/>
    <w:rsid w:val="00CC6192"/>
    <w:rsid w:val="00D0367B"/>
    <w:rsid w:val="00D162A6"/>
    <w:rsid w:val="00D548D2"/>
    <w:rsid w:val="00D738FA"/>
    <w:rsid w:val="00D77CE6"/>
    <w:rsid w:val="00D838B6"/>
    <w:rsid w:val="00D877AF"/>
    <w:rsid w:val="00DB62BB"/>
    <w:rsid w:val="00DD5290"/>
    <w:rsid w:val="00DF3CAF"/>
    <w:rsid w:val="00DF57EA"/>
    <w:rsid w:val="00E05B45"/>
    <w:rsid w:val="00E16A83"/>
    <w:rsid w:val="00E17D8A"/>
    <w:rsid w:val="00E32B0A"/>
    <w:rsid w:val="00E47946"/>
    <w:rsid w:val="00E56530"/>
    <w:rsid w:val="00E60267"/>
    <w:rsid w:val="00E61C32"/>
    <w:rsid w:val="00E64607"/>
    <w:rsid w:val="00E80C3B"/>
    <w:rsid w:val="00EA19F0"/>
    <w:rsid w:val="00EA3762"/>
    <w:rsid w:val="00EA5B37"/>
    <w:rsid w:val="00EB32E4"/>
    <w:rsid w:val="00EC12E2"/>
    <w:rsid w:val="00F10A0C"/>
    <w:rsid w:val="00F14D9A"/>
    <w:rsid w:val="00F151C1"/>
    <w:rsid w:val="00F257EB"/>
    <w:rsid w:val="00F33ECC"/>
    <w:rsid w:val="00F41A36"/>
    <w:rsid w:val="00F43A72"/>
    <w:rsid w:val="00F644FF"/>
    <w:rsid w:val="00F6666E"/>
    <w:rsid w:val="00F7584B"/>
    <w:rsid w:val="00F84E1E"/>
    <w:rsid w:val="00F9716A"/>
    <w:rsid w:val="00FD74C5"/>
    <w:rsid w:val="00FD7E93"/>
    <w:rsid w:val="00FE2C40"/>
    <w:rsid w:val="00FE50BB"/>
    <w:rsid w:val="00FE7558"/>
    <w:rsid w:val="00FF0124"/>
    <w:rsid w:val="00FF0C32"/>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32859"/>
  <w15:docId w15:val="{D4E5103D-E6F2-401F-9C65-DF73D671C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303E1"/>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9303E1"/>
    <w:rPr>
      <w:color w:val="0000FF" w:themeColor="hyperlink"/>
      <w:u w:val="single"/>
    </w:rPr>
  </w:style>
  <w:style w:type="paragraph" w:customStyle="1" w:styleId="xmsonormal">
    <w:name w:val="x_msonormal"/>
    <w:basedOn w:val="Normal"/>
    <w:rsid w:val="00834E0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949119">
      <w:bodyDiv w:val="1"/>
      <w:marLeft w:val="0"/>
      <w:marRight w:val="0"/>
      <w:marTop w:val="0"/>
      <w:marBottom w:val="0"/>
      <w:divBdr>
        <w:top w:val="none" w:sz="0" w:space="0" w:color="auto"/>
        <w:left w:val="none" w:sz="0" w:space="0" w:color="auto"/>
        <w:bottom w:val="none" w:sz="0" w:space="0" w:color="auto"/>
        <w:right w:val="none" w:sz="0" w:space="0" w:color="auto"/>
      </w:divBdr>
      <w:divsChild>
        <w:div w:id="1232079783">
          <w:marLeft w:val="0"/>
          <w:marRight w:val="0"/>
          <w:marTop w:val="0"/>
          <w:marBottom w:val="0"/>
          <w:divBdr>
            <w:top w:val="none" w:sz="0" w:space="0" w:color="auto"/>
            <w:left w:val="none" w:sz="0" w:space="0" w:color="auto"/>
            <w:bottom w:val="none" w:sz="0" w:space="0" w:color="auto"/>
            <w:right w:val="none" w:sz="0" w:space="0" w:color="auto"/>
          </w:divBdr>
        </w:div>
      </w:divsChild>
    </w:div>
    <w:div w:id="156119315">
      <w:bodyDiv w:val="1"/>
      <w:marLeft w:val="0"/>
      <w:marRight w:val="0"/>
      <w:marTop w:val="0"/>
      <w:marBottom w:val="0"/>
      <w:divBdr>
        <w:top w:val="none" w:sz="0" w:space="0" w:color="auto"/>
        <w:left w:val="none" w:sz="0" w:space="0" w:color="auto"/>
        <w:bottom w:val="none" w:sz="0" w:space="0" w:color="auto"/>
        <w:right w:val="none" w:sz="0" w:space="0" w:color="auto"/>
      </w:divBdr>
      <w:divsChild>
        <w:div w:id="637152822">
          <w:marLeft w:val="0"/>
          <w:marRight w:val="0"/>
          <w:marTop w:val="0"/>
          <w:marBottom w:val="0"/>
          <w:divBdr>
            <w:top w:val="none" w:sz="0" w:space="0" w:color="auto"/>
            <w:left w:val="none" w:sz="0" w:space="0" w:color="auto"/>
            <w:bottom w:val="none" w:sz="0" w:space="0" w:color="auto"/>
            <w:right w:val="none" w:sz="0" w:space="0" w:color="auto"/>
          </w:divBdr>
        </w:div>
        <w:div w:id="1818456370">
          <w:marLeft w:val="0"/>
          <w:marRight w:val="0"/>
          <w:marTop w:val="0"/>
          <w:marBottom w:val="0"/>
          <w:divBdr>
            <w:top w:val="none" w:sz="0" w:space="0" w:color="auto"/>
            <w:left w:val="none" w:sz="0" w:space="0" w:color="auto"/>
            <w:bottom w:val="none" w:sz="0" w:space="0" w:color="auto"/>
            <w:right w:val="none" w:sz="0" w:space="0" w:color="auto"/>
          </w:divBdr>
        </w:div>
        <w:div w:id="816723468">
          <w:marLeft w:val="0"/>
          <w:marRight w:val="0"/>
          <w:marTop w:val="0"/>
          <w:marBottom w:val="0"/>
          <w:divBdr>
            <w:top w:val="none" w:sz="0" w:space="0" w:color="auto"/>
            <w:left w:val="none" w:sz="0" w:space="0" w:color="auto"/>
            <w:bottom w:val="none" w:sz="0" w:space="0" w:color="auto"/>
            <w:right w:val="none" w:sz="0" w:space="0" w:color="auto"/>
          </w:divBdr>
        </w:div>
      </w:divsChild>
    </w:div>
    <w:div w:id="266623560">
      <w:bodyDiv w:val="1"/>
      <w:marLeft w:val="0"/>
      <w:marRight w:val="0"/>
      <w:marTop w:val="0"/>
      <w:marBottom w:val="0"/>
      <w:divBdr>
        <w:top w:val="none" w:sz="0" w:space="0" w:color="auto"/>
        <w:left w:val="none" w:sz="0" w:space="0" w:color="auto"/>
        <w:bottom w:val="none" w:sz="0" w:space="0" w:color="auto"/>
        <w:right w:val="none" w:sz="0" w:space="0" w:color="auto"/>
      </w:divBdr>
    </w:div>
    <w:div w:id="273027281">
      <w:bodyDiv w:val="1"/>
      <w:marLeft w:val="0"/>
      <w:marRight w:val="0"/>
      <w:marTop w:val="0"/>
      <w:marBottom w:val="0"/>
      <w:divBdr>
        <w:top w:val="none" w:sz="0" w:space="0" w:color="auto"/>
        <w:left w:val="none" w:sz="0" w:space="0" w:color="auto"/>
        <w:bottom w:val="none" w:sz="0" w:space="0" w:color="auto"/>
        <w:right w:val="none" w:sz="0" w:space="0" w:color="auto"/>
      </w:divBdr>
    </w:div>
    <w:div w:id="1279217011">
      <w:bodyDiv w:val="1"/>
      <w:marLeft w:val="0"/>
      <w:marRight w:val="0"/>
      <w:marTop w:val="0"/>
      <w:marBottom w:val="0"/>
      <w:divBdr>
        <w:top w:val="none" w:sz="0" w:space="0" w:color="auto"/>
        <w:left w:val="none" w:sz="0" w:space="0" w:color="auto"/>
        <w:bottom w:val="none" w:sz="0" w:space="0" w:color="auto"/>
        <w:right w:val="none" w:sz="0" w:space="0" w:color="auto"/>
      </w:divBdr>
      <w:divsChild>
        <w:div w:id="424959378">
          <w:marLeft w:val="0"/>
          <w:marRight w:val="0"/>
          <w:marTop w:val="0"/>
          <w:marBottom w:val="0"/>
          <w:divBdr>
            <w:top w:val="none" w:sz="0" w:space="0" w:color="auto"/>
            <w:left w:val="none" w:sz="0" w:space="0" w:color="auto"/>
            <w:bottom w:val="none" w:sz="0" w:space="0" w:color="auto"/>
            <w:right w:val="none" w:sz="0" w:space="0" w:color="auto"/>
          </w:divBdr>
        </w:div>
        <w:div w:id="1490704786">
          <w:marLeft w:val="0"/>
          <w:marRight w:val="0"/>
          <w:marTop w:val="0"/>
          <w:marBottom w:val="0"/>
          <w:divBdr>
            <w:top w:val="none" w:sz="0" w:space="0" w:color="auto"/>
            <w:left w:val="none" w:sz="0" w:space="0" w:color="auto"/>
            <w:bottom w:val="none" w:sz="0" w:space="0" w:color="auto"/>
            <w:right w:val="none" w:sz="0" w:space="0" w:color="auto"/>
          </w:divBdr>
        </w:div>
        <w:div w:id="1407534112">
          <w:marLeft w:val="0"/>
          <w:marRight w:val="0"/>
          <w:marTop w:val="0"/>
          <w:marBottom w:val="0"/>
          <w:divBdr>
            <w:top w:val="none" w:sz="0" w:space="0" w:color="auto"/>
            <w:left w:val="none" w:sz="0" w:space="0" w:color="auto"/>
            <w:bottom w:val="none" w:sz="0" w:space="0" w:color="auto"/>
            <w:right w:val="none" w:sz="0" w:space="0" w:color="auto"/>
          </w:divBdr>
        </w:div>
        <w:div w:id="704254335">
          <w:marLeft w:val="0"/>
          <w:marRight w:val="0"/>
          <w:marTop w:val="0"/>
          <w:marBottom w:val="0"/>
          <w:divBdr>
            <w:top w:val="none" w:sz="0" w:space="0" w:color="auto"/>
            <w:left w:val="none" w:sz="0" w:space="0" w:color="auto"/>
            <w:bottom w:val="none" w:sz="0" w:space="0" w:color="auto"/>
            <w:right w:val="none" w:sz="0" w:space="0" w:color="auto"/>
          </w:divBdr>
        </w:div>
        <w:div w:id="1146631221">
          <w:marLeft w:val="0"/>
          <w:marRight w:val="0"/>
          <w:marTop w:val="0"/>
          <w:marBottom w:val="0"/>
          <w:divBdr>
            <w:top w:val="none" w:sz="0" w:space="0" w:color="auto"/>
            <w:left w:val="none" w:sz="0" w:space="0" w:color="auto"/>
            <w:bottom w:val="none" w:sz="0" w:space="0" w:color="auto"/>
            <w:right w:val="none" w:sz="0" w:space="0" w:color="auto"/>
          </w:divBdr>
        </w:div>
        <w:div w:id="2004893323">
          <w:marLeft w:val="0"/>
          <w:marRight w:val="0"/>
          <w:marTop w:val="0"/>
          <w:marBottom w:val="0"/>
          <w:divBdr>
            <w:top w:val="none" w:sz="0" w:space="0" w:color="auto"/>
            <w:left w:val="none" w:sz="0" w:space="0" w:color="auto"/>
            <w:bottom w:val="none" w:sz="0" w:space="0" w:color="auto"/>
            <w:right w:val="none" w:sz="0" w:space="0" w:color="auto"/>
          </w:divBdr>
        </w:div>
        <w:div w:id="2113890794">
          <w:marLeft w:val="0"/>
          <w:marRight w:val="0"/>
          <w:marTop w:val="0"/>
          <w:marBottom w:val="0"/>
          <w:divBdr>
            <w:top w:val="none" w:sz="0" w:space="0" w:color="auto"/>
            <w:left w:val="none" w:sz="0" w:space="0" w:color="auto"/>
            <w:bottom w:val="none" w:sz="0" w:space="0" w:color="auto"/>
            <w:right w:val="none" w:sz="0" w:space="0" w:color="auto"/>
          </w:divBdr>
        </w:div>
        <w:div w:id="1623882200">
          <w:marLeft w:val="0"/>
          <w:marRight w:val="0"/>
          <w:marTop w:val="0"/>
          <w:marBottom w:val="0"/>
          <w:divBdr>
            <w:top w:val="none" w:sz="0" w:space="0" w:color="auto"/>
            <w:left w:val="none" w:sz="0" w:space="0" w:color="auto"/>
            <w:bottom w:val="none" w:sz="0" w:space="0" w:color="auto"/>
            <w:right w:val="none" w:sz="0" w:space="0" w:color="auto"/>
          </w:divBdr>
        </w:div>
        <w:div w:id="2141683401">
          <w:marLeft w:val="0"/>
          <w:marRight w:val="0"/>
          <w:marTop w:val="0"/>
          <w:marBottom w:val="0"/>
          <w:divBdr>
            <w:top w:val="none" w:sz="0" w:space="0" w:color="auto"/>
            <w:left w:val="none" w:sz="0" w:space="0" w:color="auto"/>
            <w:bottom w:val="none" w:sz="0" w:space="0" w:color="auto"/>
            <w:right w:val="none" w:sz="0" w:space="0" w:color="auto"/>
          </w:divBdr>
        </w:div>
        <w:div w:id="345600954">
          <w:marLeft w:val="0"/>
          <w:marRight w:val="0"/>
          <w:marTop w:val="0"/>
          <w:marBottom w:val="0"/>
          <w:divBdr>
            <w:top w:val="none" w:sz="0" w:space="0" w:color="auto"/>
            <w:left w:val="none" w:sz="0" w:space="0" w:color="auto"/>
            <w:bottom w:val="none" w:sz="0" w:space="0" w:color="auto"/>
            <w:right w:val="none" w:sz="0" w:space="0" w:color="auto"/>
          </w:divBdr>
        </w:div>
        <w:div w:id="1421949635">
          <w:marLeft w:val="0"/>
          <w:marRight w:val="0"/>
          <w:marTop w:val="0"/>
          <w:marBottom w:val="0"/>
          <w:divBdr>
            <w:top w:val="none" w:sz="0" w:space="0" w:color="auto"/>
            <w:left w:val="none" w:sz="0" w:space="0" w:color="auto"/>
            <w:bottom w:val="none" w:sz="0" w:space="0" w:color="auto"/>
            <w:right w:val="none" w:sz="0" w:space="0" w:color="auto"/>
          </w:divBdr>
        </w:div>
        <w:div w:id="1980498957">
          <w:marLeft w:val="0"/>
          <w:marRight w:val="0"/>
          <w:marTop w:val="0"/>
          <w:marBottom w:val="0"/>
          <w:divBdr>
            <w:top w:val="none" w:sz="0" w:space="0" w:color="auto"/>
            <w:left w:val="none" w:sz="0" w:space="0" w:color="auto"/>
            <w:bottom w:val="none" w:sz="0" w:space="0" w:color="auto"/>
            <w:right w:val="none" w:sz="0" w:space="0" w:color="auto"/>
          </w:divBdr>
        </w:div>
        <w:div w:id="1986011532">
          <w:marLeft w:val="0"/>
          <w:marRight w:val="0"/>
          <w:marTop w:val="0"/>
          <w:marBottom w:val="0"/>
          <w:divBdr>
            <w:top w:val="none" w:sz="0" w:space="0" w:color="auto"/>
            <w:left w:val="none" w:sz="0" w:space="0" w:color="auto"/>
            <w:bottom w:val="none" w:sz="0" w:space="0" w:color="auto"/>
            <w:right w:val="none" w:sz="0" w:space="0" w:color="auto"/>
          </w:divBdr>
        </w:div>
        <w:div w:id="436218365">
          <w:marLeft w:val="0"/>
          <w:marRight w:val="0"/>
          <w:marTop w:val="0"/>
          <w:marBottom w:val="0"/>
          <w:divBdr>
            <w:top w:val="none" w:sz="0" w:space="0" w:color="auto"/>
            <w:left w:val="none" w:sz="0" w:space="0" w:color="auto"/>
            <w:bottom w:val="none" w:sz="0" w:space="0" w:color="auto"/>
            <w:right w:val="none" w:sz="0" w:space="0" w:color="auto"/>
          </w:divBdr>
        </w:div>
        <w:div w:id="1539204210">
          <w:marLeft w:val="0"/>
          <w:marRight w:val="0"/>
          <w:marTop w:val="0"/>
          <w:marBottom w:val="0"/>
          <w:divBdr>
            <w:top w:val="none" w:sz="0" w:space="0" w:color="auto"/>
            <w:left w:val="none" w:sz="0" w:space="0" w:color="auto"/>
            <w:bottom w:val="none" w:sz="0" w:space="0" w:color="auto"/>
            <w:right w:val="none" w:sz="0" w:space="0" w:color="auto"/>
          </w:divBdr>
        </w:div>
        <w:div w:id="103693390">
          <w:marLeft w:val="0"/>
          <w:marRight w:val="0"/>
          <w:marTop w:val="0"/>
          <w:marBottom w:val="0"/>
          <w:divBdr>
            <w:top w:val="none" w:sz="0" w:space="0" w:color="auto"/>
            <w:left w:val="none" w:sz="0" w:space="0" w:color="auto"/>
            <w:bottom w:val="none" w:sz="0" w:space="0" w:color="auto"/>
            <w:right w:val="none" w:sz="0" w:space="0" w:color="auto"/>
          </w:divBdr>
        </w:div>
        <w:div w:id="229343096">
          <w:marLeft w:val="0"/>
          <w:marRight w:val="0"/>
          <w:marTop w:val="0"/>
          <w:marBottom w:val="0"/>
          <w:divBdr>
            <w:top w:val="none" w:sz="0" w:space="0" w:color="auto"/>
            <w:left w:val="none" w:sz="0" w:space="0" w:color="auto"/>
            <w:bottom w:val="none" w:sz="0" w:space="0" w:color="auto"/>
            <w:right w:val="none" w:sz="0" w:space="0" w:color="auto"/>
          </w:divBdr>
        </w:div>
        <w:div w:id="1373111808">
          <w:marLeft w:val="0"/>
          <w:marRight w:val="0"/>
          <w:marTop w:val="0"/>
          <w:marBottom w:val="0"/>
          <w:divBdr>
            <w:top w:val="none" w:sz="0" w:space="0" w:color="auto"/>
            <w:left w:val="none" w:sz="0" w:space="0" w:color="auto"/>
            <w:bottom w:val="none" w:sz="0" w:space="0" w:color="auto"/>
            <w:right w:val="none" w:sz="0" w:space="0" w:color="auto"/>
          </w:divBdr>
        </w:div>
        <w:div w:id="1004089808">
          <w:marLeft w:val="0"/>
          <w:marRight w:val="0"/>
          <w:marTop w:val="0"/>
          <w:marBottom w:val="0"/>
          <w:divBdr>
            <w:top w:val="none" w:sz="0" w:space="0" w:color="auto"/>
            <w:left w:val="none" w:sz="0" w:space="0" w:color="auto"/>
            <w:bottom w:val="none" w:sz="0" w:space="0" w:color="auto"/>
            <w:right w:val="none" w:sz="0" w:space="0" w:color="auto"/>
          </w:divBdr>
        </w:div>
        <w:div w:id="348683401">
          <w:marLeft w:val="0"/>
          <w:marRight w:val="0"/>
          <w:marTop w:val="0"/>
          <w:marBottom w:val="0"/>
          <w:divBdr>
            <w:top w:val="none" w:sz="0" w:space="0" w:color="auto"/>
            <w:left w:val="none" w:sz="0" w:space="0" w:color="auto"/>
            <w:bottom w:val="none" w:sz="0" w:space="0" w:color="auto"/>
            <w:right w:val="none" w:sz="0" w:space="0" w:color="auto"/>
          </w:divBdr>
        </w:div>
        <w:div w:id="1273509409">
          <w:marLeft w:val="0"/>
          <w:marRight w:val="0"/>
          <w:marTop w:val="0"/>
          <w:marBottom w:val="0"/>
          <w:divBdr>
            <w:top w:val="none" w:sz="0" w:space="0" w:color="auto"/>
            <w:left w:val="none" w:sz="0" w:space="0" w:color="auto"/>
            <w:bottom w:val="none" w:sz="0" w:space="0" w:color="auto"/>
            <w:right w:val="none" w:sz="0" w:space="0" w:color="auto"/>
          </w:divBdr>
        </w:div>
        <w:div w:id="983389839">
          <w:marLeft w:val="0"/>
          <w:marRight w:val="0"/>
          <w:marTop w:val="0"/>
          <w:marBottom w:val="0"/>
          <w:divBdr>
            <w:top w:val="none" w:sz="0" w:space="0" w:color="auto"/>
            <w:left w:val="none" w:sz="0" w:space="0" w:color="auto"/>
            <w:bottom w:val="none" w:sz="0" w:space="0" w:color="auto"/>
            <w:right w:val="none" w:sz="0" w:space="0" w:color="auto"/>
          </w:divBdr>
        </w:div>
        <w:div w:id="1122655053">
          <w:marLeft w:val="0"/>
          <w:marRight w:val="0"/>
          <w:marTop w:val="0"/>
          <w:marBottom w:val="0"/>
          <w:divBdr>
            <w:top w:val="none" w:sz="0" w:space="0" w:color="auto"/>
            <w:left w:val="none" w:sz="0" w:space="0" w:color="auto"/>
            <w:bottom w:val="none" w:sz="0" w:space="0" w:color="auto"/>
            <w:right w:val="none" w:sz="0" w:space="0" w:color="auto"/>
          </w:divBdr>
        </w:div>
        <w:div w:id="701325090">
          <w:marLeft w:val="0"/>
          <w:marRight w:val="0"/>
          <w:marTop w:val="0"/>
          <w:marBottom w:val="0"/>
          <w:divBdr>
            <w:top w:val="none" w:sz="0" w:space="0" w:color="auto"/>
            <w:left w:val="none" w:sz="0" w:space="0" w:color="auto"/>
            <w:bottom w:val="none" w:sz="0" w:space="0" w:color="auto"/>
            <w:right w:val="none" w:sz="0" w:space="0" w:color="auto"/>
          </w:divBdr>
        </w:div>
        <w:div w:id="1350638284">
          <w:marLeft w:val="0"/>
          <w:marRight w:val="0"/>
          <w:marTop w:val="0"/>
          <w:marBottom w:val="0"/>
          <w:divBdr>
            <w:top w:val="none" w:sz="0" w:space="0" w:color="auto"/>
            <w:left w:val="none" w:sz="0" w:space="0" w:color="auto"/>
            <w:bottom w:val="none" w:sz="0" w:space="0" w:color="auto"/>
            <w:right w:val="none" w:sz="0" w:space="0" w:color="auto"/>
          </w:divBdr>
        </w:div>
        <w:div w:id="476193849">
          <w:marLeft w:val="0"/>
          <w:marRight w:val="0"/>
          <w:marTop w:val="0"/>
          <w:marBottom w:val="0"/>
          <w:divBdr>
            <w:top w:val="none" w:sz="0" w:space="0" w:color="auto"/>
            <w:left w:val="none" w:sz="0" w:space="0" w:color="auto"/>
            <w:bottom w:val="none" w:sz="0" w:space="0" w:color="auto"/>
            <w:right w:val="none" w:sz="0" w:space="0" w:color="auto"/>
          </w:divBdr>
        </w:div>
        <w:div w:id="1046376087">
          <w:marLeft w:val="0"/>
          <w:marRight w:val="0"/>
          <w:marTop w:val="0"/>
          <w:marBottom w:val="0"/>
          <w:divBdr>
            <w:top w:val="none" w:sz="0" w:space="0" w:color="auto"/>
            <w:left w:val="none" w:sz="0" w:space="0" w:color="auto"/>
            <w:bottom w:val="none" w:sz="0" w:space="0" w:color="auto"/>
            <w:right w:val="none" w:sz="0" w:space="0" w:color="auto"/>
          </w:divBdr>
        </w:div>
        <w:div w:id="1204906097">
          <w:marLeft w:val="0"/>
          <w:marRight w:val="0"/>
          <w:marTop w:val="0"/>
          <w:marBottom w:val="0"/>
          <w:divBdr>
            <w:top w:val="none" w:sz="0" w:space="0" w:color="auto"/>
            <w:left w:val="none" w:sz="0" w:space="0" w:color="auto"/>
            <w:bottom w:val="none" w:sz="0" w:space="0" w:color="auto"/>
            <w:right w:val="none" w:sz="0" w:space="0" w:color="auto"/>
          </w:divBdr>
        </w:div>
        <w:div w:id="1505895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300281" TargetMode="External"/><Relationship Id="rId5" Type="http://schemas.openxmlformats.org/officeDocument/2006/relationships/hyperlink" Target="http://www.jstor.org/stable/300366" TargetMode="External"/><Relationship Id="rId4" Type="http://schemas.openxmlformats.org/officeDocument/2006/relationships/hyperlink" Target="http://www.jstor.org/stable/6385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518</Words>
  <Characters>2957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Ruth Parkes</cp:lastModifiedBy>
  <cp:revision>4</cp:revision>
  <dcterms:created xsi:type="dcterms:W3CDTF">2016-09-30T13:22:00Z</dcterms:created>
  <dcterms:modified xsi:type="dcterms:W3CDTF">2016-09-30T14:16:00Z</dcterms:modified>
</cp:coreProperties>
</file>