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iagrams/colors1.xml" ContentType="application/vnd.openxmlformats-officedocument.drawingml.diagramColors+xml"/>
  <Override PartName="/word/diagrams/data1.xml" ContentType="application/vnd.openxmlformats-officedocument.drawingml.diagramData+xml"/>
  <Override PartName="/word/diagrams/drawing1.xml" ContentType="application/vnd.ms-office.drawingml.diagramDrawing+xml"/>
  <Override PartName="/word/diagrams/layout1.xml" ContentType="application/vnd.openxmlformats-officedocument.drawingml.diagramLayout+xml"/>
  <Override PartName="/word/diagrams/quickStyle1.xml" ContentType="application/vnd.openxmlformats-officedocument.drawingml.diagramStyl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ascii="Arial" w:hAnsi="Arial" w:cs="Arial"/>
          <w:b/>
          <w:bCs/>
          <w:sz w:val="40"/>
          <w:szCs w:val="36"/>
        </w:rPr>
      </w:pPr>
    </w:p>
    <w:p>
      <w:pPr>
        <w:jc w:val="center"/>
        <w:rPr>
          <w:rFonts w:hint="default" w:ascii="Arial" w:hAnsi="Arial" w:cs="Arial"/>
          <w:b/>
          <w:bCs/>
          <w:sz w:val="40"/>
          <w:szCs w:val="36"/>
        </w:rPr>
      </w:pPr>
    </w:p>
    <w:p>
      <w:pPr>
        <w:jc w:val="center"/>
        <w:rPr>
          <w:rFonts w:hint="default" w:ascii="Arial" w:hAnsi="Arial" w:cs="Arial"/>
          <w:b/>
          <w:bCs/>
          <w:sz w:val="40"/>
          <w:szCs w:val="36"/>
        </w:rPr>
      </w:pPr>
      <w:r>
        <w:rPr>
          <w:rFonts w:hint="default" w:ascii="Arial" w:hAnsi="Arial" w:cs="Arial"/>
          <w:b/>
          <w:bCs/>
          <w:sz w:val="40"/>
          <w:szCs w:val="36"/>
        </w:rPr>
        <w:t>BMSW5102</w:t>
      </w:r>
    </w:p>
    <w:p>
      <w:pPr>
        <w:jc w:val="center"/>
        <w:rPr>
          <w:rFonts w:hint="default" w:ascii="Arial" w:hAnsi="Arial" w:cs="Arial"/>
          <w:b/>
          <w:bCs/>
          <w:sz w:val="40"/>
          <w:szCs w:val="36"/>
        </w:rPr>
      </w:pPr>
      <w:r>
        <w:rPr>
          <w:rFonts w:hint="default" w:ascii="Arial" w:hAnsi="Arial" w:cs="Arial"/>
          <w:b/>
          <w:bCs/>
          <w:sz w:val="40"/>
          <w:szCs w:val="36"/>
        </w:rPr>
        <w:t>Developing Relationships and Workplace Achievement</w:t>
      </w:r>
    </w:p>
    <w:p>
      <w:pPr>
        <w:spacing w:line="259" w:lineRule="auto"/>
        <w:jc w:val="left"/>
        <w:rPr>
          <w:rFonts w:hint="default" w:ascii="Arial" w:hAnsi="Arial"/>
          <w:b/>
          <w:bCs/>
          <w:sz w:val="22"/>
          <w:szCs w:val="22"/>
        </w:rPr>
      </w:pPr>
    </w:p>
    <w:p>
      <w:pPr>
        <w:spacing w:line="259" w:lineRule="auto"/>
        <w:jc w:val="left"/>
        <w:rPr>
          <w:rFonts w:hint="default" w:ascii="Arial" w:hAnsi="Arial"/>
          <w:b/>
          <w:bCs/>
          <w:sz w:val="22"/>
          <w:szCs w:val="22"/>
        </w:rPr>
      </w:pPr>
    </w:p>
    <w:p>
      <w:pPr>
        <w:spacing w:line="259" w:lineRule="auto"/>
        <w:jc w:val="left"/>
        <w:rPr>
          <w:rFonts w:hint="default" w:ascii="Arial" w:hAnsi="Arial"/>
          <w:b/>
          <w:bCs/>
          <w:sz w:val="22"/>
          <w:szCs w:val="22"/>
        </w:rPr>
      </w:pPr>
    </w:p>
    <w:p>
      <w:pPr>
        <w:spacing w:line="259" w:lineRule="auto"/>
        <w:jc w:val="left"/>
        <w:rPr>
          <w:rFonts w:hint="default" w:ascii="Arial" w:hAnsi="Arial"/>
          <w:b/>
          <w:bCs/>
          <w:sz w:val="22"/>
          <w:szCs w:val="22"/>
        </w:rPr>
      </w:pPr>
    </w:p>
    <w:p>
      <w:pPr>
        <w:spacing w:line="259" w:lineRule="auto"/>
        <w:jc w:val="left"/>
        <w:rPr>
          <w:rFonts w:hint="default" w:ascii="Arial" w:hAnsi="Arial"/>
          <w:b/>
          <w:bCs/>
          <w:sz w:val="22"/>
          <w:szCs w:val="22"/>
        </w:rPr>
      </w:pPr>
    </w:p>
    <w:p>
      <w:pPr>
        <w:spacing w:line="259" w:lineRule="auto"/>
        <w:jc w:val="left"/>
        <w:rPr>
          <w:rFonts w:hint="default" w:ascii="Arial" w:hAnsi="Arial"/>
          <w:b/>
          <w:bCs/>
          <w:sz w:val="22"/>
          <w:szCs w:val="22"/>
        </w:rPr>
      </w:pPr>
    </w:p>
    <w:p>
      <w:pPr>
        <w:spacing w:line="259" w:lineRule="auto"/>
        <w:jc w:val="left"/>
        <w:rPr>
          <w:rFonts w:hint="default" w:ascii="Arial" w:hAnsi="Arial"/>
          <w:b/>
          <w:bCs/>
          <w:sz w:val="22"/>
          <w:szCs w:val="22"/>
        </w:rPr>
      </w:pPr>
    </w:p>
    <w:p>
      <w:pPr>
        <w:spacing w:line="259" w:lineRule="auto"/>
        <w:jc w:val="left"/>
        <w:rPr>
          <w:rFonts w:hint="default" w:ascii="Arial" w:hAnsi="Arial"/>
          <w:b/>
          <w:bCs/>
          <w:sz w:val="22"/>
          <w:szCs w:val="22"/>
        </w:rPr>
      </w:pPr>
    </w:p>
    <w:p>
      <w:pPr>
        <w:spacing w:line="259" w:lineRule="auto"/>
        <w:jc w:val="left"/>
        <w:rPr>
          <w:rFonts w:hint="default" w:ascii="Arial" w:hAnsi="Arial"/>
          <w:b/>
          <w:bCs/>
          <w:sz w:val="22"/>
          <w:szCs w:val="22"/>
        </w:rPr>
      </w:pPr>
    </w:p>
    <w:p>
      <w:pPr>
        <w:spacing w:line="259" w:lineRule="auto"/>
        <w:jc w:val="left"/>
        <w:rPr>
          <w:rFonts w:hint="default" w:ascii="Arial" w:hAnsi="Arial"/>
          <w:b/>
          <w:bCs/>
          <w:sz w:val="22"/>
          <w:szCs w:val="22"/>
        </w:rPr>
      </w:pPr>
    </w:p>
    <w:p>
      <w:pPr>
        <w:spacing w:line="259" w:lineRule="auto"/>
        <w:jc w:val="left"/>
        <w:rPr>
          <w:rFonts w:hint="default" w:ascii="Arial" w:hAnsi="Arial"/>
          <w:b/>
          <w:bCs/>
          <w:sz w:val="22"/>
          <w:szCs w:val="22"/>
        </w:rPr>
      </w:pPr>
    </w:p>
    <w:p>
      <w:pPr>
        <w:spacing w:line="259" w:lineRule="auto"/>
        <w:jc w:val="left"/>
        <w:rPr>
          <w:rFonts w:hint="default" w:ascii="Arial" w:hAnsi="Arial"/>
          <w:b/>
          <w:bCs/>
          <w:sz w:val="22"/>
          <w:szCs w:val="22"/>
        </w:rPr>
      </w:pPr>
    </w:p>
    <w:p>
      <w:pPr>
        <w:spacing w:line="259" w:lineRule="auto"/>
        <w:jc w:val="left"/>
        <w:rPr>
          <w:rFonts w:hint="default" w:ascii="Arial" w:hAnsi="Arial"/>
          <w:b/>
          <w:bCs/>
          <w:sz w:val="22"/>
          <w:szCs w:val="22"/>
          <w:lang w:val="en-US"/>
        </w:rPr>
      </w:pPr>
      <w:r>
        <w:rPr>
          <w:rFonts w:hint="default" w:ascii="Arial" w:hAnsi="Arial"/>
          <w:b/>
          <w:bCs/>
          <w:sz w:val="22"/>
          <w:szCs w:val="22"/>
        </w:rPr>
        <w:t>C</w:t>
      </w:r>
      <w:r>
        <w:rPr>
          <w:rFonts w:hint="default" w:ascii="Arial" w:hAnsi="Arial"/>
          <w:b/>
          <w:bCs/>
          <w:sz w:val="22"/>
          <w:szCs w:val="22"/>
          <w:lang w:val="en-US"/>
        </w:rPr>
        <w:t>omponent</w:t>
      </w:r>
      <w:r>
        <w:rPr>
          <w:rFonts w:hint="default" w:ascii="Arial" w:hAnsi="Arial"/>
          <w:b/>
          <w:bCs/>
          <w:sz w:val="22"/>
          <w:szCs w:val="22"/>
        </w:rPr>
        <w:t xml:space="preserve"> </w:t>
      </w:r>
      <w:r>
        <w:rPr>
          <w:rFonts w:hint="default" w:ascii="Arial" w:hAnsi="Arial"/>
          <w:b/>
          <w:bCs/>
          <w:sz w:val="22"/>
          <w:szCs w:val="22"/>
          <w:lang w:val="en-US"/>
        </w:rPr>
        <w:t>2</w:t>
      </w:r>
      <w:r>
        <w:rPr>
          <w:rFonts w:hint="default" w:ascii="Arial" w:hAnsi="Arial"/>
          <w:b/>
          <w:bCs/>
          <w:sz w:val="22"/>
          <w:szCs w:val="22"/>
        </w:rPr>
        <w:t xml:space="preserve"> </w:t>
      </w:r>
      <w:r>
        <w:rPr>
          <w:rFonts w:hint="default" w:ascii="Arial" w:hAnsi="Arial"/>
          <w:b/>
          <w:bCs/>
          <w:sz w:val="22"/>
          <w:szCs w:val="22"/>
          <w:lang w:val="en-US"/>
        </w:rPr>
        <w:t>: Written Report</w:t>
      </w:r>
    </w:p>
    <w:p>
      <w:pPr>
        <w:spacing w:line="259" w:lineRule="auto"/>
        <w:jc w:val="left"/>
        <w:rPr>
          <w:rFonts w:hint="default" w:ascii="Arial" w:hAnsi="Arial"/>
          <w:b/>
          <w:bCs/>
          <w:sz w:val="22"/>
          <w:szCs w:val="22"/>
        </w:rPr>
      </w:pPr>
      <w:r>
        <w:rPr>
          <w:rFonts w:hint="default" w:ascii="Arial" w:hAnsi="Arial"/>
          <w:b/>
          <w:bCs/>
          <w:sz w:val="22"/>
          <w:szCs w:val="22"/>
        </w:rPr>
        <w:t>D</w:t>
      </w:r>
      <w:r>
        <w:rPr>
          <w:rFonts w:hint="default" w:ascii="Arial" w:hAnsi="Arial"/>
          <w:b/>
          <w:bCs/>
          <w:sz w:val="22"/>
          <w:szCs w:val="22"/>
          <w:lang w:val="en-US"/>
        </w:rPr>
        <w:t>eveloping</w:t>
      </w:r>
      <w:r>
        <w:rPr>
          <w:rFonts w:hint="default" w:ascii="Arial" w:hAnsi="Arial"/>
          <w:b/>
          <w:bCs/>
          <w:sz w:val="22"/>
          <w:szCs w:val="22"/>
        </w:rPr>
        <w:t xml:space="preserve"> Relationships And Workplace Achievement (September</w:t>
      </w:r>
      <w:r>
        <w:rPr>
          <w:rFonts w:hint="default" w:ascii="Arial" w:hAnsi="Arial"/>
          <w:b/>
          <w:bCs/>
          <w:sz w:val="22"/>
          <w:szCs w:val="22"/>
          <w:lang w:val="en-US"/>
        </w:rPr>
        <w:t>/</w:t>
      </w:r>
      <w:r>
        <w:rPr>
          <w:rFonts w:hint="default" w:ascii="Arial" w:hAnsi="Arial"/>
          <w:b/>
          <w:bCs/>
          <w:sz w:val="22"/>
          <w:szCs w:val="22"/>
        </w:rPr>
        <w:t xml:space="preserve">2023) </w:t>
      </w:r>
    </w:p>
    <w:p>
      <w:pPr>
        <w:spacing w:line="259" w:lineRule="auto"/>
        <w:jc w:val="left"/>
        <w:rPr>
          <w:rFonts w:hint="default" w:ascii="Arial" w:hAnsi="Arial"/>
          <w:b/>
          <w:bCs/>
          <w:sz w:val="22"/>
          <w:szCs w:val="22"/>
          <w:lang w:val="en-US"/>
        </w:rPr>
      </w:pPr>
      <w:r>
        <w:rPr>
          <w:rFonts w:hint="default" w:ascii="Arial" w:hAnsi="Arial"/>
          <w:b/>
          <w:bCs/>
          <w:sz w:val="22"/>
          <w:szCs w:val="22"/>
        </w:rPr>
        <w:t>Lecturer</w:t>
      </w:r>
      <w:r>
        <w:rPr>
          <w:rFonts w:hint="default" w:ascii="Arial" w:hAnsi="Arial"/>
          <w:b/>
          <w:bCs/>
          <w:sz w:val="22"/>
          <w:szCs w:val="22"/>
          <w:lang w:val="en-US"/>
        </w:rPr>
        <w:t xml:space="preserve"> : Ehsan Khajeh</w:t>
      </w:r>
    </w:p>
    <w:p>
      <w:pPr>
        <w:spacing w:line="259" w:lineRule="auto"/>
        <w:jc w:val="left"/>
        <w:rPr>
          <w:rFonts w:hint="default" w:ascii="Arial" w:hAnsi="Arial"/>
          <w:b/>
          <w:bCs/>
          <w:sz w:val="22"/>
          <w:szCs w:val="22"/>
        </w:rPr>
      </w:pPr>
      <w:r>
        <w:rPr>
          <w:rFonts w:hint="default" w:ascii="Arial" w:hAnsi="Arial"/>
          <w:b/>
          <w:bCs/>
          <w:sz w:val="22"/>
          <w:szCs w:val="22"/>
        </w:rPr>
        <w:t xml:space="preserve">Asen Chipilov </w:t>
      </w:r>
      <w:r>
        <w:rPr>
          <w:rFonts w:hint="default" w:ascii="Arial" w:hAnsi="Arial"/>
          <w:b/>
          <w:bCs/>
          <w:sz w:val="22"/>
          <w:szCs w:val="22"/>
          <w:lang w:val="en-US"/>
        </w:rPr>
        <w:t xml:space="preserve">- </w:t>
      </w:r>
      <w:r>
        <w:rPr>
          <w:rFonts w:hint="default" w:ascii="Arial" w:hAnsi="Arial"/>
          <w:b/>
          <w:bCs/>
          <w:sz w:val="22"/>
          <w:szCs w:val="22"/>
        </w:rPr>
        <w:t xml:space="preserve">2128091 </w:t>
      </w:r>
    </w:p>
    <w:p>
      <w:pPr>
        <w:spacing w:line="259" w:lineRule="auto"/>
        <w:jc w:val="left"/>
        <w:rPr>
          <w:rFonts w:hint="default" w:ascii="Arial" w:hAnsi="Arial" w:cs="Arial"/>
        </w:rPr>
      </w:pPr>
      <w:r>
        <w:rPr>
          <w:rFonts w:hint="default" w:ascii="Arial" w:hAnsi="Arial" w:cs="Arial"/>
        </w:rPr>
        <w:br w:type="page"/>
      </w:r>
      <w:bookmarkStart w:id="7" w:name="_GoBack"/>
      <w:bookmarkEnd w:id="7"/>
    </w:p>
    <w:sdt>
      <w:sdtPr>
        <w:rPr>
          <w:rFonts w:hint="default" w:ascii="Arial" w:hAnsi="Arial" w:cs="Arial" w:eastAsiaTheme="minorHAnsi"/>
          <w:color w:val="auto"/>
          <w:kern w:val="2"/>
          <w:sz w:val="24"/>
          <w:szCs w:val="22"/>
          <w14:ligatures w14:val="standardContextual"/>
        </w:rPr>
        <w:id w:val="1860245715"/>
        <w:docPartObj>
          <w:docPartGallery w:val="Table of Contents"/>
          <w:docPartUnique/>
        </w:docPartObj>
      </w:sdtPr>
      <w:sdtEndPr>
        <w:rPr>
          <w:rFonts w:hint="default" w:ascii="Arial" w:hAnsi="Arial" w:cs="Arial" w:eastAsiaTheme="minorHAnsi"/>
          <w:b/>
          <w:bCs/>
          <w:color w:val="auto"/>
          <w:kern w:val="2"/>
          <w:sz w:val="24"/>
          <w:szCs w:val="22"/>
          <w14:ligatures w14:val="standardContextual"/>
        </w:rPr>
      </w:sdtEndPr>
      <w:sdtContent>
        <w:p>
          <w:pPr>
            <w:pStyle w:val="17"/>
            <w:rPr>
              <w:rStyle w:val="11"/>
              <w:rFonts w:hint="default" w:ascii="Arial" w:hAnsi="Arial" w:cs="Arial"/>
              <w:b/>
              <w:color w:val="auto"/>
            </w:rPr>
          </w:pPr>
          <w:r>
            <w:rPr>
              <w:rStyle w:val="11"/>
              <w:rFonts w:hint="default" w:ascii="Arial" w:hAnsi="Arial" w:cs="Arial"/>
              <w:b/>
              <w:color w:val="auto"/>
            </w:rPr>
            <w:t>Table of Contents</w:t>
          </w:r>
        </w:p>
        <w:p>
          <w:pPr>
            <w:pStyle w:val="10"/>
            <w:tabs>
              <w:tab w:val="right" w:leader="dot" w:pos="9350"/>
            </w:tabs>
            <w:rPr>
              <w:rFonts w:hint="default" w:ascii="Arial" w:hAnsi="Arial" w:cs="Arial"/>
              <w:sz w:val="22"/>
              <w:szCs w:val="22"/>
            </w:rPr>
          </w:pPr>
          <w:r>
            <w:rPr>
              <w:rFonts w:hint="default" w:ascii="Arial" w:hAnsi="Arial" w:cs="Arial"/>
            </w:rPr>
            <w:fldChar w:fldCharType="begin"/>
          </w:r>
          <w:r>
            <w:rPr>
              <w:rFonts w:hint="default" w:ascii="Arial" w:hAnsi="Arial" w:cs="Arial"/>
            </w:rPr>
            <w:instrText xml:space="preserve"> TOC \o "1-3" \h \z \u </w:instrText>
          </w:r>
          <w:r>
            <w:rPr>
              <w:rFonts w:hint="default" w:ascii="Arial" w:hAnsi="Arial" w:cs="Arial"/>
            </w:rPr>
            <w:fldChar w:fldCharType="separate"/>
          </w:r>
          <w:r>
            <w:rPr>
              <w:rFonts w:hint="default" w:ascii="Arial" w:hAnsi="Arial" w:cs="Arial"/>
              <w:sz w:val="22"/>
              <w:szCs w:val="22"/>
            </w:rPr>
            <w:fldChar w:fldCharType="begin"/>
          </w:r>
          <w:r>
            <w:rPr>
              <w:rFonts w:hint="default" w:ascii="Arial" w:hAnsi="Arial" w:cs="Arial"/>
              <w:sz w:val="22"/>
              <w:szCs w:val="22"/>
            </w:rPr>
            <w:instrText xml:space="preserve"> HYPERLINK \l "_Toc151147273" </w:instrText>
          </w:r>
          <w:r>
            <w:rPr>
              <w:rFonts w:hint="default" w:ascii="Arial" w:hAnsi="Arial" w:cs="Arial"/>
              <w:sz w:val="22"/>
              <w:szCs w:val="22"/>
            </w:rPr>
            <w:fldChar w:fldCharType="separate"/>
          </w:r>
          <w:r>
            <w:rPr>
              <w:rStyle w:val="9"/>
              <w:rFonts w:hint="default" w:ascii="Arial" w:hAnsi="Arial" w:cs="Arial"/>
              <w:sz w:val="22"/>
              <w:szCs w:val="22"/>
            </w:rPr>
            <w:t>Introduction</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_Toc151147273 \h </w:instrText>
          </w:r>
          <w:r>
            <w:rPr>
              <w:rFonts w:hint="default" w:ascii="Arial" w:hAnsi="Arial" w:cs="Arial"/>
              <w:sz w:val="22"/>
              <w:szCs w:val="22"/>
            </w:rPr>
            <w:fldChar w:fldCharType="separate"/>
          </w:r>
          <w:r>
            <w:rPr>
              <w:rFonts w:hint="default" w:ascii="Arial" w:hAnsi="Arial" w:cs="Arial"/>
              <w:sz w:val="22"/>
              <w:szCs w:val="22"/>
            </w:rPr>
            <w:t>3</w:t>
          </w:r>
          <w:r>
            <w:rPr>
              <w:rFonts w:hint="default" w:ascii="Arial" w:hAnsi="Arial" w:cs="Arial"/>
              <w:sz w:val="22"/>
              <w:szCs w:val="22"/>
            </w:rPr>
            <w:fldChar w:fldCharType="end"/>
          </w:r>
          <w:r>
            <w:rPr>
              <w:rFonts w:hint="default" w:ascii="Arial" w:hAnsi="Arial" w:cs="Arial"/>
              <w:sz w:val="22"/>
              <w:szCs w:val="22"/>
            </w:rPr>
            <w:fldChar w:fldCharType="end"/>
          </w:r>
        </w:p>
        <w:p>
          <w:pPr>
            <w:pStyle w:val="10"/>
            <w:tabs>
              <w:tab w:val="right" w:leader="dot" w:pos="9350"/>
            </w:tabs>
            <w:rPr>
              <w:rFonts w:hint="default" w:ascii="Arial" w:hAnsi="Arial" w:cs="Arial"/>
              <w:sz w:val="22"/>
              <w:szCs w:val="22"/>
            </w:rPr>
          </w:pPr>
          <w:r>
            <w:rPr>
              <w:rFonts w:hint="default" w:ascii="Arial" w:hAnsi="Arial" w:cs="Arial"/>
              <w:sz w:val="22"/>
              <w:szCs w:val="22"/>
            </w:rPr>
            <w:fldChar w:fldCharType="begin"/>
          </w:r>
          <w:r>
            <w:rPr>
              <w:rFonts w:hint="default" w:ascii="Arial" w:hAnsi="Arial" w:cs="Arial"/>
              <w:sz w:val="22"/>
              <w:szCs w:val="22"/>
            </w:rPr>
            <w:instrText xml:space="preserve"> HYPERLINK \l "_Toc151147274" </w:instrText>
          </w:r>
          <w:r>
            <w:rPr>
              <w:rFonts w:hint="default" w:ascii="Arial" w:hAnsi="Arial" w:cs="Arial"/>
              <w:sz w:val="22"/>
              <w:szCs w:val="22"/>
            </w:rPr>
            <w:fldChar w:fldCharType="separate"/>
          </w:r>
          <w:r>
            <w:rPr>
              <w:rStyle w:val="9"/>
              <w:rFonts w:hint="default" w:ascii="Arial" w:hAnsi="Arial" w:cs="Arial"/>
              <w:sz w:val="22"/>
              <w:szCs w:val="22"/>
            </w:rPr>
            <w:t>Critically assess the potential benefits of e-learning to individual employees and the organisation.</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_Toc151147274 \h </w:instrText>
          </w:r>
          <w:r>
            <w:rPr>
              <w:rFonts w:hint="default" w:ascii="Arial" w:hAnsi="Arial" w:cs="Arial"/>
              <w:sz w:val="22"/>
              <w:szCs w:val="22"/>
            </w:rPr>
            <w:fldChar w:fldCharType="separate"/>
          </w:r>
          <w:r>
            <w:rPr>
              <w:rFonts w:hint="default" w:ascii="Arial" w:hAnsi="Arial" w:cs="Arial"/>
              <w:sz w:val="22"/>
              <w:szCs w:val="22"/>
            </w:rPr>
            <w:t>4</w:t>
          </w:r>
          <w:r>
            <w:rPr>
              <w:rFonts w:hint="default" w:ascii="Arial" w:hAnsi="Arial" w:cs="Arial"/>
              <w:sz w:val="22"/>
              <w:szCs w:val="22"/>
            </w:rPr>
            <w:fldChar w:fldCharType="end"/>
          </w:r>
          <w:r>
            <w:rPr>
              <w:rFonts w:hint="default" w:ascii="Arial" w:hAnsi="Arial" w:cs="Arial"/>
              <w:sz w:val="22"/>
              <w:szCs w:val="22"/>
            </w:rPr>
            <w:fldChar w:fldCharType="end"/>
          </w:r>
        </w:p>
        <w:p>
          <w:pPr>
            <w:pStyle w:val="10"/>
            <w:tabs>
              <w:tab w:val="right" w:leader="dot" w:pos="9350"/>
            </w:tabs>
            <w:rPr>
              <w:rFonts w:hint="default" w:ascii="Arial" w:hAnsi="Arial" w:cs="Arial"/>
              <w:sz w:val="22"/>
              <w:szCs w:val="22"/>
            </w:rPr>
          </w:pPr>
          <w:r>
            <w:rPr>
              <w:rFonts w:hint="default" w:ascii="Arial" w:hAnsi="Arial" w:cs="Arial"/>
              <w:sz w:val="22"/>
              <w:szCs w:val="22"/>
            </w:rPr>
            <w:fldChar w:fldCharType="begin"/>
          </w:r>
          <w:r>
            <w:rPr>
              <w:rFonts w:hint="default" w:ascii="Arial" w:hAnsi="Arial" w:cs="Arial"/>
              <w:sz w:val="22"/>
              <w:szCs w:val="22"/>
            </w:rPr>
            <w:instrText xml:space="preserve"> HYPERLINK \l "_Toc151147275" </w:instrText>
          </w:r>
          <w:r>
            <w:rPr>
              <w:rFonts w:hint="default" w:ascii="Arial" w:hAnsi="Arial" w:cs="Arial"/>
              <w:sz w:val="22"/>
              <w:szCs w:val="22"/>
            </w:rPr>
            <w:fldChar w:fldCharType="separate"/>
          </w:r>
          <w:r>
            <w:rPr>
              <w:rStyle w:val="9"/>
              <w:rFonts w:hint="default" w:ascii="Arial" w:hAnsi="Arial" w:cs="Arial"/>
              <w:sz w:val="22"/>
              <w:szCs w:val="22"/>
            </w:rPr>
            <w:t>Critically evaluate with relevant theories the importance of training and development in your chosen organisation</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_Toc151147275 \h </w:instrText>
          </w:r>
          <w:r>
            <w:rPr>
              <w:rFonts w:hint="default" w:ascii="Arial" w:hAnsi="Arial" w:cs="Arial"/>
              <w:sz w:val="22"/>
              <w:szCs w:val="22"/>
            </w:rPr>
            <w:fldChar w:fldCharType="separate"/>
          </w:r>
          <w:r>
            <w:rPr>
              <w:rFonts w:hint="default" w:ascii="Arial" w:hAnsi="Arial" w:cs="Arial"/>
              <w:sz w:val="22"/>
              <w:szCs w:val="22"/>
            </w:rPr>
            <w:t>7</w:t>
          </w:r>
          <w:r>
            <w:rPr>
              <w:rFonts w:hint="default" w:ascii="Arial" w:hAnsi="Arial" w:cs="Arial"/>
              <w:sz w:val="22"/>
              <w:szCs w:val="22"/>
            </w:rPr>
            <w:fldChar w:fldCharType="end"/>
          </w:r>
          <w:r>
            <w:rPr>
              <w:rFonts w:hint="default" w:ascii="Arial" w:hAnsi="Arial" w:cs="Arial"/>
              <w:sz w:val="22"/>
              <w:szCs w:val="22"/>
            </w:rPr>
            <w:fldChar w:fldCharType="end"/>
          </w:r>
        </w:p>
        <w:p>
          <w:pPr>
            <w:pStyle w:val="10"/>
            <w:tabs>
              <w:tab w:val="right" w:leader="dot" w:pos="9350"/>
            </w:tabs>
            <w:rPr>
              <w:rFonts w:hint="default" w:ascii="Arial" w:hAnsi="Arial" w:cs="Arial"/>
              <w:sz w:val="22"/>
              <w:szCs w:val="22"/>
            </w:rPr>
          </w:pPr>
          <w:r>
            <w:rPr>
              <w:rFonts w:hint="default" w:ascii="Arial" w:hAnsi="Arial" w:cs="Arial"/>
              <w:sz w:val="22"/>
              <w:szCs w:val="22"/>
            </w:rPr>
            <w:fldChar w:fldCharType="begin"/>
          </w:r>
          <w:r>
            <w:rPr>
              <w:rFonts w:hint="default" w:ascii="Arial" w:hAnsi="Arial" w:cs="Arial"/>
              <w:sz w:val="22"/>
              <w:szCs w:val="22"/>
            </w:rPr>
            <w:instrText xml:space="preserve"> HYPERLINK \l "_Toc151147276" </w:instrText>
          </w:r>
          <w:r>
            <w:rPr>
              <w:rFonts w:hint="default" w:ascii="Arial" w:hAnsi="Arial" w:cs="Arial"/>
              <w:sz w:val="22"/>
              <w:szCs w:val="22"/>
            </w:rPr>
            <w:fldChar w:fldCharType="separate"/>
          </w:r>
          <w:r>
            <w:rPr>
              <w:rStyle w:val="9"/>
              <w:rFonts w:hint="default" w:ascii="Arial" w:hAnsi="Arial" w:cs="Arial"/>
              <w:sz w:val="22"/>
              <w:szCs w:val="22"/>
            </w:rPr>
            <w:t>Using an organisation as an example discuss the model of the training process.</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_Toc151147276 \h </w:instrText>
          </w:r>
          <w:r>
            <w:rPr>
              <w:rFonts w:hint="default" w:ascii="Arial" w:hAnsi="Arial" w:cs="Arial"/>
              <w:sz w:val="22"/>
              <w:szCs w:val="22"/>
            </w:rPr>
            <w:fldChar w:fldCharType="separate"/>
          </w:r>
          <w:r>
            <w:rPr>
              <w:rFonts w:hint="default" w:ascii="Arial" w:hAnsi="Arial" w:cs="Arial"/>
              <w:sz w:val="22"/>
              <w:szCs w:val="22"/>
            </w:rPr>
            <w:t>9</w:t>
          </w:r>
          <w:r>
            <w:rPr>
              <w:rFonts w:hint="default" w:ascii="Arial" w:hAnsi="Arial" w:cs="Arial"/>
              <w:sz w:val="22"/>
              <w:szCs w:val="22"/>
            </w:rPr>
            <w:fldChar w:fldCharType="end"/>
          </w:r>
          <w:r>
            <w:rPr>
              <w:rFonts w:hint="default" w:ascii="Arial" w:hAnsi="Arial" w:cs="Arial"/>
              <w:sz w:val="22"/>
              <w:szCs w:val="22"/>
            </w:rPr>
            <w:fldChar w:fldCharType="end"/>
          </w:r>
        </w:p>
        <w:p>
          <w:pPr>
            <w:pStyle w:val="10"/>
            <w:tabs>
              <w:tab w:val="right" w:leader="dot" w:pos="9350"/>
            </w:tabs>
            <w:rPr>
              <w:rFonts w:hint="default" w:ascii="Arial" w:hAnsi="Arial" w:cs="Arial"/>
              <w:sz w:val="22"/>
              <w:szCs w:val="22"/>
            </w:rPr>
          </w:pPr>
          <w:r>
            <w:rPr>
              <w:rFonts w:hint="default" w:ascii="Arial" w:hAnsi="Arial" w:cs="Arial"/>
              <w:sz w:val="22"/>
              <w:szCs w:val="22"/>
            </w:rPr>
            <w:fldChar w:fldCharType="begin"/>
          </w:r>
          <w:r>
            <w:rPr>
              <w:rFonts w:hint="default" w:ascii="Arial" w:hAnsi="Arial" w:cs="Arial"/>
              <w:sz w:val="22"/>
              <w:szCs w:val="22"/>
            </w:rPr>
            <w:instrText xml:space="preserve"> HYPERLINK \l "_Toc151147277" </w:instrText>
          </w:r>
          <w:r>
            <w:rPr>
              <w:rFonts w:hint="default" w:ascii="Arial" w:hAnsi="Arial" w:cs="Arial"/>
              <w:sz w:val="22"/>
              <w:szCs w:val="22"/>
            </w:rPr>
            <w:fldChar w:fldCharType="separate"/>
          </w:r>
          <w:r>
            <w:rPr>
              <w:rStyle w:val="9"/>
              <w:rFonts w:hint="default" w:ascii="Arial" w:hAnsi="Arial" w:cs="Arial"/>
              <w:sz w:val="22"/>
              <w:szCs w:val="22"/>
            </w:rPr>
            <w:t>Conclusion</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_Toc151147277 \h </w:instrText>
          </w:r>
          <w:r>
            <w:rPr>
              <w:rFonts w:hint="default" w:ascii="Arial" w:hAnsi="Arial" w:cs="Arial"/>
              <w:sz w:val="22"/>
              <w:szCs w:val="22"/>
            </w:rPr>
            <w:fldChar w:fldCharType="separate"/>
          </w:r>
          <w:r>
            <w:rPr>
              <w:rFonts w:hint="default" w:ascii="Arial" w:hAnsi="Arial" w:cs="Arial"/>
              <w:sz w:val="22"/>
              <w:szCs w:val="22"/>
            </w:rPr>
            <w:t>11</w:t>
          </w:r>
          <w:r>
            <w:rPr>
              <w:rFonts w:hint="default" w:ascii="Arial" w:hAnsi="Arial" w:cs="Arial"/>
              <w:sz w:val="22"/>
              <w:szCs w:val="22"/>
            </w:rPr>
            <w:fldChar w:fldCharType="end"/>
          </w:r>
          <w:r>
            <w:rPr>
              <w:rFonts w:hint="default" w:ascii="Arial" w:hAnsi="Arial" w:cs="Arial"/>
              <w:sz w:val="22"/>
              <w:szCs w:val="22"/>
            </w:rPr>
            <w:fldChar w:fldCharType="end"/>
          </w:r>
        </w:p>
        <w:p>
          <w:pPr>
            <w:pStyle w:val="10"/>
            <w:tabs>
              <w:tab w:val="right" w:leader="dot" w:pos="9350"/>
            </w:tabs>
            <w:rPr>
              <w:rFonts w:hint="default" w:ascii="Arial" w:hAnsi="Arial" w:cs="Arial"/>
            </w:rPr>
          </w:pPr>
          <w:r>
            <w:rPr>
              <w:rFonts w:hint="default" w:ascii="Arial" w:hAnsi="Arial" w:cs="Arial"/>
              <w:sz w:val="22"/>
              <w:szCs w:val="22"/>
            </w:rPr>
            <w:fldChar w:fldCharType="begin"/>
          </w:r>
          <w:r>
            <w:rPr>
              <w:rFonts w:hint="default" w:ascii="Arial" w:hAnsi="Arial" w:cs="Arial"/>
              <w:sz w:val="22"/>
              <w:szCs w:val="22"/>
            </w:rPr>
            <w:instrText xml:space="preserve"> HYPERLINK \l "_Toc151147278" </w:instrText>
          </w:r>
          <w:r>
            <w:rPr>
              <w:rFonts w:hint="default" w:ascii="Arial" w:hAnsi="Arial" w:cs="Arial"/>
              <w:sz w:val="22"/>
              <w:szCs w:val="22"/>
            </w:rPr>
            <w:fldChar w:fldCharType="separate"/>
          </w:r>
          <w:r>
            <w:rPr>
              <w:rStyle w:val="9"/>
              <w:rFonts w:hint="default" w:ascii="Arial" w:hAnsi="Arial" w:cs="Arial"/>
              <w:sz w:val="22"/>
              <w:szCs w:val="22"/>
            </w:rPr>
            <w:t>Reference</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_Toc151147278 \h </w:instrText>
          </w:r>
          <w:r>
            <w:rPr>
              <w:rFonts w:hint="default" w:ascii="Arial" w:hAnsi="Arial" w:cs="Arial"/>
              <w:sz w:val="22"/>
              <w:szCs w:val="22"/>
            </w:rPr>
            <w:fldChar w:fldCharType="separate"/>
          </w:r>
          <w:r>
            <w:rPr>
              <w:rFonts w:hint="default" w:ascii="Arial" w:hAnsi="Arial" w:cs="Arial"/>
              <w:sz w:val="22"/>
              <w:szCs w:val="22"/>
            </w:rPr>
            <w:t>12</w:t>
          </w:r>
          <w:r>
            <w:rPr>
              <w:rFonts w:hint="default" w:ascii="Arial" w:hAnsi="Arial" w:cs="Arial"/>
              <w:sz w:val="22"/>
              <w:szCs w:val="22"/>
            </w:rPr>
            <w:fldChar w:fldCharType="end"/>
          </w:r>
          <w:r>
            <w:rPr>
              <w:rFonts w:hint="default" w:ascii="Arial" w:hAnsi="Arial" w:cs="Arial"/>
              <w:sz w:val="22"/>
              <w:szCs w:val="22"/>
            </w:rPr>
            <w:fldChar w:fldCharType="end"/>
          </w:r>
        </w:p>
        <w:p>
          <w:pPr>
            <w:rPr>
              <w:rFonts w:hint="default" w:ascii="Arial" w:hAnsi="Arial" w:cs="Arial"/>
            </w:rPr>
          </w:pPr>
          <w:r>
            <w:rPr>
              <w:rFonts w:hint="default" w:ascii="Arial" w:hAnsi="Arial" w:cs="Arial"/>
              <w:b/>
              <w:bCs/>
            </w:rPr>
            <w:fldChar w:fldCharType="end"/>
          </w:r>
        </w:p>
      </w:sdtContent>
    </w:sdt>
    <w:p>
      <w:pPr>
        <w:pStyle w:val="2"/>
        <w:rPr>
          <w:rFonts w:hint="default" w:ascii="Arial" w:hAnsi="Arial" w:cs="Arial"/>
        </w:rPr>
      </w:pPr>
    </w:p>
    <w:p>
      <w:pPr>
        <w:spacing w:line="259" w:lineRule="auto"/>
        <w:jc w:val="left"/>
        <w:rPr>
          <w:rFonts w:hint="default" w:ascii="Arial" w:hAnsi="Arial" w:cs="Arial"/>
        </w:rPr>
      </w:pPr>
      <w:r>
        <w:rPr>
          <w:rFonts w:hint="default" w:ascii="Arial" w:hAnsi="Arial" w:cs="Arial"/>
        </w:rPr>
        <w:br w:type="page"/>
      </w:r>
    </w:p>
    <w:p>
      <w:pPr>
        <w:pStyle w:val="2"/>
        <w:rPr>
          <w:rFonts w:hint="default" w:ascii="Arial" w:hAnsi="Arial" w:cs="Arial"/>
        </w:rPr>
      </w:pPr>
      <w:bookmarkStart w:id="0" w:name="_Toc151147273"/>
      <w:r>
        <w:rPr>
          <w:rFonts w:hint="default" w:ascii="Arial" w:hAnsi="Arial" w:cs="Arial"/>
        </w:rPr>
        <w:t>Introduction</w:t>
      </w:r>
      <w:bookmarkEnd w:id="0"/>
    </w:p>
    <w:p>
      <w:pPr>
        <w:rPr>
          <w:rFonts w:hint="default" w:ascii="Arial" w:hAnsi="Arial" w:cs="Arial"/>
          <w:sz w:val="22"/>
          <w:szCs w:val="22"/>
        </w:rPr>
      </w:pPr>
      <w:r>
        <w:rPr>
          <w:rFonts w:hint="default" w:ascii="Arial" w:hAnsi="Arial" w:cs="Arial"/>
          <w:sz w:val="22"/>
          <w:szCs w:val="22"/>
        </w:rPr>
        <w:t xml:space="preserve">In today’s competitive business landscape, there is no alternative to developing the skills and capabilities of the employees, who are the most valuable resources of an organisation. Modern organisations seek for different innovative approaches to train employees to stay competitive in the industry. To train employees effectively, the e-learning approach has become very popular as it is quite a cost-effective and flexible solution for organisations (Rennie and Morrison, 2013). The following report deals with the impact of the e-learning approach to develop the potentialities of the employees by discussing its benefits. UWTSD (The University of Wales Trinity Saint David) will be used here as the organisation to develop this case study. Also, the model of the training process will be discussed in this report. </w:t>
      </w:r>
    </w:p>
    <w:p>
      <w:pPr>
        <w:spacing w:line="259" w:lineRule="auto"/>
        <w:jc w:val="left"/>
        <w:rPr>
          <w:rFonts w:hint="default" w:ascii="Arial" w:hAnsi="Arial" w:cs="Arial"/>
        </w:rPr>
      </w:pPr>
      <w:r>
        <w:rPr>
          <w:rFonts w:hint="default" w:ascii="Arial" w:hAnsi="Arial" w:cs="Arial"/>
        </w:rPr>
        <w:br w:type="page"/>
      </w:r>
    </w:p>
    <w:p>
      <w:pPr>
        <w:pStyle w:val="2"/>
        <w:rPr>
          <w:rFonts w:hint="default" w:ascii="Arial" w:hAnsi="Arial" w:cs="Arial"/>
        </w:rPr>
      </w:pPr>
      <w:bookmarkStart w:id="1" w:name="_Toc151147274"/>
      <w:r>
        <w:rPr>
          <w:rFonts w:hint="default" w:ascii="Arial" w:hAnsi="Arial" w:cs="Arial"/>
        </w:rPr>
        <w:t>Critically assess the potential benefits of e-learning to individual employees and the organisation.</w:t>
      </w:r>
      <w:bookmarkEnd w:id="1"/>
    </w:p>
    <w:p>
      <w:pPr>
        <w:rPr>
          <w:rFonts w:hint="default" w:ascii="Arial" w:hAnsi="Arial" w:cs="Arial"/>
          <w:sz w:val="22"/>
          <w:szCs w:val="22"/>
        </w:rPr>
      </w:pPr>
      <w:r>
        <w:rPr>
          <w:rFonts w:hint="default" w:ascii="Arial" w:hAnsi="Arial" w:cs="Arial"/>
          <w:sz w:val="22"/>
          <w:szCs w:val="22"/>
        </w:rPr>
        <w:t>The organisation which has been selected to prepare this report is UWTSD which is one of the leading Universities in the UK which is committed to offering high-quality education through innovative teaching and diverse research opportunities to the students. This University has ranked 4</w:t>
      </w:r>
      <w:r>
        <w:rPr>
          <w:rFonts w:hint="default" w:ascii="Arial" w:hAnsi="Arial" w:cs="Arial"/>
          <w:sz w:val="22"/>
          <w:szCs w:val="22"/>
          <w:vertAlign w:val="superscript"/>
        </w:rPr>
        <w:t>th</w:t>
      </w:r>
      <w:r>
        <w:rPr>
          <w:rFonts w:hint="default" w:ascii="Arial" w:hAnsi="Arial" w:cs="Arial"/>
          <w:sz w:val="22"/>
          <w:szCs w:val="22"/>
        </w:rPr>
        <w:t xml:space="preserve"> in the UK in the last year and most of the research conducted by UWTSD is judged outstanding which means that they have a considerable impact in this field (UWTSD, 2023). Throughout the years, the quality of service by this organisation has been improved as the organisation has increased its investment in e-learning to develop its employees. E-learning means providing training through digital technologies which has become very popular in recent years (Garrison, 2016). There are some potential benefits of e-learning for both the employees and the organisation itself which will be discussed below. </w:t>
      </w:r>
    </w:p>
    <w:p>
      <w:pPr>
        <w:keepNext/>
        <w:rPr>
          <w:rFonts w:hint="default" w:ascii="Arial" w:hAnsi="Arial" w:cs="Arial"/>
        </w:rPr>
      </w:pPr>
      <w:r>
        <w:rPr>
          <w:rFonts w:hint="default" w:ascii="Arial" w:hAnsi="Arial" w:cs="Arial"/>
        </w:rPr>
        <w:drawing>
          <wp:inline distT="0" distB="0" distL="0" distR="0">
            <wp:extent cx="5899150" cy="1619250"/>
            <wp:effectExtent l="0" t="0" r="44450" b="0"/>
            <wp:docPr id="601757477"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pPr>
        <w:pStyle w:val="6"/>
        <w:jc w:val="center"/>
        <w:rPr>
          <w:rFonts w:hint="default" w:ascii="Arial" w:hAnsi="Arial" w:cs="Arial"/>
          <w:sz w:val="24"/>
          <w:szCs w:val="24"/>
        </w:rPr>
      </w:pPr>
      <w:r>
        <w:rPr>
          <w:rFonts w:hint="default" w:ascii="Arial" w:hAnsi="Arial" w:cs="Arial"/>
          <w:sz w:val="24"/>
          <w:szCs w:val="24"/>
        </w:rPr>
        <w:t xml:space="preserve">Figure </w:t>
      </w:r>
      <w:r>
        <w:rPr>
          <w:rFonts w:hint="default" w:ascii="Arial" w:hAnsi="Arial" w:cs="Arial"/>
          <w:sz w:val="24"/>
          <w:szCs w:val="24"/>
        </w:rPr>
        <w:fldChar w:fldCharType="begin"/>
      </w:r>
      <w:r>
        <w:rPr>
          <w:rFonts w:hint="default" w:ascii="Arial" w:hAnsi="Arial" w:cs="Arial"/>
          <w:sz w:val="24"/>
          <w:szCs w:val="24"/>
        </w:rPr>
        <w:instrText xml:space="preserve"> SEQ Figure \* ARABIC </w:instrText>
      </w:r>
      <w:r>
        <w:rPr>
          <w:rFonts w:hint="default" w:ascii="Arial" w:hAnsi="Arial" w:cs="Arial"/>
          <w:sz w:val="24"/>
          <w:szCs w:val="24"/>
        </w:rPr>
        <w:fldChar w:fldCharType="separate"/>
      </w:r>
      <w:r>
        <w:rPr>
          <w:rFonts w:hint="default" w:ascii="Arial" w:hAnsi="Arial" w:cs="Arial"/>
          <w:sz w:val="24"/>
          <w:szCs w:val="24"/>
        </w:rPr>
        <w:t>1</w:t>
      </w:r>
      <w:r>
        <w:rPr>
          <w:rFonts w:hint="default" w:ascii="Arial" w:hAnsi="Arial" w:cs="Arial"/>
          <w:sz w:val="24"/>
          <w:szCs w:val="24"/>
        </w:rPr>
        <w:fldChar w:fldCharType="end"/>
      </w:r>
      <w:r>
        <w:rPr>
          <w:rFonts w:hint="default" w:ascii="Arial" w:hAnsi="Arial" w:cs="Arial"/>
          <w:sz w:val="24"/>
          <w:szCs w:val="24"/>
        </w:rPr>
        <w:t xml:space="preserve"> Potential Benefits of E-Learning (Garrison, 2016)</w:t>
      </w:r>
    </w:p>
    <w:p>
      <w:pPr>
        <w:rPr>
          <w:rFonts w:hint="default" w:ascii="Arial" w:hAnsi="Arial" w:cs="Arial"/>
          <w:sz w:val="22"/>
          <w:szCs w:val="22"/>
        </w:rPr>
      </w:pPr>
      <w:r>
        <w:rPr>
          <w:rFonts w:hint="default" w:ascii="Arial" w:hAnsi="Arial" w:cs="Arial"/>
          <w:b/>
          <w:bCs/>
          <w:sz w:val="22"/>
          <w:szCs w:val="22"/>
        </w:rPr>
        <w:t>Cost-effective:</w:t>
      </w:r>
      <w:r>
        <w:rPr>
          <w:rFonts w:hint="default" w:ascii="Arial" w:hAnsi="Arial" w:cs="Arial"/>
          <w:sz w:val="22"/>
          <w:szCs w:val="22"/>
        </w:rPr>
        <w:t xml:space="preserve"> One of the potential benefits of providing training by using an e-learning approach is the organisation can reduce the cost of physical training (Garrison, 2016). Setting the e-learning facilities for the very first time is quite expensive which means that Universities like UWTSD have to make an initial investment but gradually the overall cost of the entire training process can be reduced to a significant level. Providing required training and development to the employees through e-learning can enable UWTSD to cut the cost of travel, physical training materials, hiring venues, etc. Moreover, the e-learning courses can be updated very easily which caters for the needs of a wider audience compared to a classroom workshop. </w:t>
      </w:r>
    </w:p>
    <w:p>
      <w:pPr>
        <w:rPr>
          <w:rFonts w:hint="default" w:ascii="Arial" w:hAnsi="Arial" w:cs="Arial"/>
          <w:sz w:val="22"/>
          <w:szCs w:val="22"/>
        </w:rPr>
      </w:pPr>
      <w:r>
        <w:rPr>
          <w:rFonts w:hint="default" w:ascii="Arial" w:hAnsi="Arial" w:cs="Arial"/>
          <w:b/>
          <w:bCs/>
          <w:sz w:val="22"/>
          <w:szCs w:val="22"/>
        </w:rPr>
        <w:t>Convenient and flexible access:</w:t>
      </w:r>
      <w:r>
        <w:rPr>
          <w:rFonts w:hint="default" w:ascii="Arial" w:hAnsi="Arial" w:cs="Arial"/>
          <w:sz w:val="22"/>
          <w:szCs w:val="22"/>
        </w:rPr>
        <w:t xml:space="preserve"> Another potential benefit individuals get through e-learning is that they can get access to the courses from anywhere at any time which is </w:t>
      </w:r>
      <w:r>
        <w:rPr>
          <w:rFonts w:hint="default" w:ascii="Arial" w:hAnsi="Arial" w:cs="Arial"/>
        </w:rPr>
        <w:t xml:space="preserve">not possible in the case of a traditional training process. E-learning breaks the time barriers as individuals </w:t>
      </w:r>
      <w:r>
        <w:rPr>
          <w:rFonts w:hint="default" w:ascii="Arial" w:hAnsi="Arial" w:cs="Arial"/>
          <w:sz w:val="22"/>
          <w:szCs w:val="22"/>
        </w:rPr>
        <w:t xml:space="preserve">can learn at their own pace by making schedules based on their preferences (Rennie and Morrison, 2013). In the case of UWTSD, many professionals had to struggle to keep pace with the physical training workshops and discussions. At present, due to the evolution of e-learning, they are getting the flexibility to design their schedules which has been proved convenient as well. </w:t>
      </w:r>
    </w:p>
    <w:p>
      <w:pPr>
        <w:rPr>
          <w:rFonts w:hint="default" w:ascii="Arial" w:hAnsi="Arial" w:cs="Arial"/>
          <w:sz w:val="22"/>
          <w:szCs w:val="22"/>
        </w:rPr>
      </w:pPr>
      <w:r>
        <w:rPr>
          <w:rFonts w:hint="default" w:ascii="Arial" w:hAnsi="Arial" w:cs="Arial"/>
          <w:b/>
          <w:bCs/>
          <w:sz w:val="22"/>
          <w:szCs w:val="22"/>
        </w:rPr>
        <w:t>Self-driven and self-paced:</w:t>
      </w:r>
      <w:r>
        <w:rPr>
          <w:rFonts w:hint="default" w:ascii="Arial" w:hAnsi="Arial" w:cs="Arial"/>
          <w:sz w:val="22"/>
          <w:szCs w:val="22"/>
        </w:rPr>
        <w:t xml:space="preserve"> The learning needs of individuals differ from one another which is a very usual thing. At the initial level of any training, it is unlikely that the level of knowledge, expertise, and skills will be similar to the individuals who have participated in the training. Some individuals might have some existing knowledge regarding some parts of the training. Due to the implementation of the e-learning training, such individuals can skip those parts which enables them to save their valuable time and focus more on the things which are unknown to them (Somayeh et al., 2016). Here, the key benefit is that every individual can learn based on their own learning needs and they do not need to be painted with a one-size-fits-all training brush. For example, UWTSD has developed some e-learning platforms for the employees which allow them to get personalized learning experiences, thus the learning outcomes can be more effective. </w:t>
      </w:r>
    </w:p>
    <w:p>
      <w:pPr>
        <w:rPr>
          <w:rFonts w:hint="default" w:ascii="Arial" w:hAnsi="Arial" w:cs="Arial"/>
          <w:sz w:val="22"/>
          <w:szCs w:val="22"/>
        </w:rPr>
      </w:pPr>
      <w:r>
        <w:rPr>
          <w:rFonts w:hint="default" w:ascii="Arial" w:hAnsi="Arial" w:cs="Arial"/>
          <w:b/>
          <w:bCs/>
          <w:sz w:val="22"/>
          <w:szCs w:val="22"/>
        </w:rPr>
        <w:t>Wide range of resources and expertise:</w:t>
      </w:r>
      <w:r>
        <w:rPr>
          <w:rFonts w:hint="default" w:ascii="Arial" w:hAnsi="Arial" w:cs="Arial"/>
          <w:sz w:val="22"/>
          <w:szCs w:val="22"/>
        </w:rPr>
        <w:t xml:space="preserve"> As a leading University in the UK, UWTSD is highly committed to providing real-time services to all the stakeholders. The e-learning platforms which are being used by UWTSD enable the trainers to get access to a wide range of training resources and expertise. Hence, the employees of this organisation can get specialized training programs which are very difficult to get in the traditional training programs (Rennie and Morrison, 2013). UWTSD is a reputed University having multiple departments, teams, and offices so it is very difficult to connect all the employees through traditional training programs but it is possible through e-learning platforms and it is a major benefit. Moreover, by implementing the e-learning approach to deliver training to the employees, UWTSD can ensure that all the employees are equipped with high-quality training regardless of their job roles. E-learning promotes a standardization approach in the University, thus creating a cohesive workforce. Overall, employee engagement and satisfaction can be enhanced by using the e-learning approach. </w:t>
      </w:r>
    </w:p>
    <w:p>
      <w:pPr>
        <w:rPr>
          <w:rFonts w:hint="default" w:ascii="Arial" w:hAnsi="Arial" w:cs="Arial"/>
          <w:sz w:val="22"/>
          <w:szCs w:val="22"/>
        </w:rPr>
      </w:pPr>
      <w:r>
        <w:rPr>
          <w:rFonts w:hint="default" w:ascii="Arial" w:hAnsi="Arial" w:cs="Arial"/>
          <w:b/>
          <w:bCs/>
          <w:sz w:val="22"/>
          <w:szCs w:val="22"/>
        </w:rPr>
        <w:t>Immediate feedback and recognition:</w:t>
      </w:r>
      <w:r>
        <w:rPr>
          <w:rFonts w:hint="default" w:ascii="Arial" w:hAnsi="Arial" w:cs="Arial"/>
          <w:sz w:val="22"/>
          <w:szCs w:val="22"/>
        </w:rPr>
        <w:t xml:space="preserve"> In terms of the employees of UWTSD, another potential benefit of implementing e-learning in the University is that they can get immediate feedback and recognition. In the case of training through e-learning platforms, interactive elements are incorporated through which they can get necessary feedback in real-time (Guragain, 2016). Not only for the employees, it is also valuable for the mentors as it minimizes the requirement of manual grading and feedback. Besides, the learning process becomes more enjoyable for the employees, leading to better retention of knowledge. </w:t>
      </w:r>
    </w:p>
    <w:p>
      <w:pPr>
        <w:spacing w:line="259" w:lineRule="auto"/>
        <w:jc w:val="left"/>
        <w:rPr>
          <w:rFonts w:hint="default" w:ascii="Arial" w:hAnsi="Arial" w:cs="Arial"/>
        </w:rPr>
      </w:pPr>
      <w:r>
        <w:rPr>
          <w:rFonts w:hint="default" w:ascii="Arial" w:hAnsi="Arial" w:cs="Arial"/>
        </w:rPr>
        <w:br w:type="page"/>
      </w:r>
    </w:p>
    <w:p>
      <w:pPr>
        <w:pStyle w:val="2"/>
        <w:rPr>
          <w:rFonts w:hint="default" w:ascii="Arial" w:hAnsi="Arial" w:cs="Arial"/>
        </w:rPr>
      </w:pPr>
      <w:bookmarkStart w:id="2" w:name="_Toc151147275"/>
      <w:r>
        <w:rPr>
          <w:rFonts w:hint="default" w:ascii="Arial" w:hAnsi="Arial" w:cs="Arial"/>
        </w:rPr>
        <w:t>Critically evaluate with relevant theories the importance of training and development in your chosen organisation</w:t>
      </w:r>
      <w:bookmarkEnd w:id="2"/>
    </w:p>
    <w:p>
      <w:pPr>
        <w:rPr>
          <w:rFonts w:hint="default" w:ascii="Arial" w:hAnsi="Arial" w:cs="Arial"/>
          <w:sz w:val="22"/>
          <w:szCs w:val="22"/>
        </w:rPr>
      </w:pPr>
      <w:r>
        <w:rPr>
          <w:rFonts w:hint="default" w:ascii="Arial" w:hAnsi="Arial" w:cs="Arial"/>
          <w:sz w:val="22"/>
          <w:szCs w:val="22"/>
        </w:rPr>
        <w:t xml:space="preserve">In every organisation, training and development play a pivotal role in achieving the broader goals and objectives of that organisation. UWTSD is one of the growing organisations in the education sector where the importance of providing adequate training and development to the employees is essential (UWTSD, 2023). To stay competitive in this sector and develop skilled manpower, there is no alternative to investing in training and development activities for UWTSD. To understand the importance of training and development in this organisation, several theories can be brought here. According to the </w:t>
      </w:r>
      <w:r>
        <w:rPr>
          <w:rFonts w:hint="default" w:ascii="Arial" w:hAnsi="Arial" w:cs="Arial"/>
          <w:b/>
          <w:bCs/>
          <w:sz w:val="22"/>
          <w:szCs w:val="22"/>
        </w:rPr>
        <w:t>human capital theory</w:t>
      </w:r>
      <w:r>
        <w:rPr>
          <w:rFonts w:hint="default" w:ascii="Arial" w:hAnsi="Arial" w:cs="Arial"/>
          <w:sz w:val="22"/>
          <w:szCs w:val="22"/>
        </w:rPr>
        <w:t xml:space="preserve">, every organisation seek productive human capital as the theory assumes that the primary source of competitive advantage is skilled human resource. This theory was developed by Gary Becker and Theodore Schultz who stated that the productive capacity of the employees can be increased through proper training and development (Wuttaphan, 2017). This theory has been criticized due to its simplicity but still, most organisations try to make investments in developing productive human capital. Hence, organisations should invest more in training and development activities to turn human resources into productive human capital, which will lead the organisation towards profitability and growth. For instance, one of the common ways for UWTSD to invest in human capital can be upskilling or reskilling the existing employees. </w:t>
      </w:r>
    </w:p>
    <w:p>
      <w:pPr>
        <w:rPr>
          <w:rFonts w:hint="default" w:ascii="Arial" w:hAnsi="Arial" w:cs="Arial"/>
          <w:sz w:val="22"/>
          <w:szCs w:val="22"/>
        </w:rPr>
      </w:pPr>
      <w:r>
        <w:rPr>
          <w:rFonts w:hint="default" w:ascii="Arial" w:hAnsi="Arial" w:cs="Arial"/>
          <w:sz w:val="22"/>
          <w:szCs w:val="22"/>
        </w:rPr>
        <w:t xml:space="preserve">There is another popular theory named </w:t>
      </w:r>
      <w:r>
        <w:rPr>
          <w:rFonts w:hint="default" w:ascii="Arial" w:hAnsi="Arial" w:cs="Arial"/>
          <w:b/>
          <w:bCs/>
          <w:sz w:val="22"/>
          <w:szCs w:val="22"/>
        </w:rPr>
        <w:t>social learning theory</w:t>
      </w:r>
      <w:r>
        <w:rPr>
          <w:rFonts w:hint="default" w:ascii="Arial" w:hAnsi="Arial" w:cs="Arial"/>
          <w:sz w:val="22"/>
          <w:szCs w:val="22"/>
        </w:rPr>
        <w:t xml:space="preserve"> that can depict the importance of training and development for the organisation to gain a competitive advantage. This theory states that individuals can learn through observation, imitation, and modelling (Dollard and Miller, 2013). By incorporating these elements in the training and development programs, the new employees of UWTSD can learn by interacting with the old employees. For instance, by observing the consequences of any activity for the other employee, an important learning can be occurred. This theory strongly focuses on developing a learning-oriented culture in the organisation which is very impactful for such a leading institution like UWTSD. The </w:t>
      </w:r>
      <w:r>
        <w:rPr>
          <w:rFonts w:hint="default" w:ascii="Arial" w:hAnsi="Arial" w:cs="Arial"/>
          <w:b/>
          <w:bCs/>
          <w:sz w:val="22"/>
          <w:szCs w:val="22"/>
        </w:rPr>
        <w:t>adult learning theory</w:t>
      </w:r>
      <w:r>
        <w:rPr>
          <w:rFonts w:hint="default" w:ascii="Arial" w:hAnsi="Arial" w:cs="Arial"/>
          <w:sz w:val="22"/>
          <w:szCs w:val="22"/>
        </w:rPr>
        <w:t xml:space="preserve"> was developed by Malcolm Knowles, according to which, learning style differs from one individual to another and it needs to be identified as the most suitable one to make learning effective. There are some basic principles of this theory such as self-direction, active learning, motivation, readiness, orientation, etc. (Merriam and Bierema, 2013). To make the training engaging and meaningful, the authority of UWTSD should design the programs in such a way so that the individual needs and preferences can be catered to. </w:t>
      </w:r>
    </w:p>
    <w:p>
      <w:pPr>
        <w:rPr>
          <w:rFonts w:hint="default" w:ascii="Arial" w:hAnsi="Arial" w:cs="Arial"/>
          <w:sz w:val="22"/>
          <w:szCs w:val="22"/>
        </w:rPr>
      </w:pPr>
      <w:r>
        <w:rPr>
          <w:rFonts w:hint="default" w:ascii="Arial" w:hAnsi="Arial" w:cs="Arial"/>
          <w:sz w:val="22"/>
          <w:szCs w:val="22"/>
        </w:rPr>
        <w:t>The impact of training and development to increase the performance of the employees and attain the goals of leading organisations like UWTSD is immense. In recent years, several training and development programs have been initiated by this University. Since its establishment, the University has been highly committed to developing future leaders and following this commitment, UWTSD has implemented a leadership development program and several courses on leadership so that the leadership skills of the students and employees can be enhanced (UWTSD, 2023). It has helped this organisation cultivate a strong pool of leaders across different levels of the organisation. To sustain a long time, it is very important to retain the most talented employees in any organisation which can be elevated through effective training and development programs (Sal and Raja, 2016). For instance, by providing the employees with career development programs, it creates a sense of value among the employees and they want to remain as a member of that organisation. It goes for the education sector where UWTSD is operating as the University is committed to developing a skilled workforce which will be the choice of the employers of reputed organisations. By arranging professional development programs, UWTSD can create future leaders who will eventually uphold the brand value of this leading University in the UK.</w:t>
      </w:r>
    </w:p>
    <w:p>
      <w:pPr>
        <w:rPr>
          <w:rFonts w:hint="default" w:ascii="Arial" w:hAnsi="Arial" w:cs="Arial"/>
          <w:sz w:val="22"/>
          <w:szCs w:val="22"/>
        </w:rPr>
      </w:pPr>
      <w:r>
        <w:rPr>
          <w:rFonts w:hint="default" w:ascii="Arial" w:hAnsi="Arial" w:cs="Arial"/>
          <w:sz w:val="22"/>
          <w:szCs w:val="22"/>
        </w:rPr>
        <w:t xml:space="preserve">Training and development activities are important to empower employees and boost workplace engagement. Through participating in training programs, employees can be able to understand their roles clearly and consequently, the performance matches with the expectation. Thus, the employees feel motivated and empowered to work in that organisation which is one of the major roles played by training and development (Karim et al., 2019). By offering training and development workshops, the employees of UWTSD can explore new topics and refine their existing knowledge so that they can keep updated. For instance, different technologies have evolved in the past few years which should be implemented in UWTSD so that they can offer more high-quality education and research opportunities to the students. As the staff are supposed to implement such technologies in different departments and offices of UWTSD, it is important to develop their skills and expertise in such areas. </w:t>
      </w:r>
    </w:p>
    <w:p>
      <w:pPr>
        <w:spacing w:line="259" w:lineRule="auto"/>
        <w:jc w:val="left"/>
        <w:rPr>
          <w:rFonts w:hint="default" w:ascii="Arial" w:hAnsi="Arial" w:cs="Arial"/>
          <w:sz w:val="22"/>
          <w:szCs w:val="22"/>
        </w:rPr>
      </w:pPr>
      <w:r>
        <w:rPr>
          <w:rFonts w:hint="default" w:ascii="Arial" w:hAnsi="Arial" w:cs="Arial"/>
          <w:sz w:val="22"/>
          <w:szCs w:val="22"/>
        </w:rPr>
        <w:br w:type="page"/>
      </w:r>
    </w:p>
    <w:p>
      <w:pPr>
        <w:pStyle w:val="2"/>
        <w:rPr>
          <w:rFonts w:hint="default" w:ascii="Arial" w:hAnsi="Arial" w:cs="Arial"/>
        </w:rPr>
      </w:pPr>
      <w:bookmarkStart w:id="3" w:name="_Toc151147276"/>
      <w:r>
        <w:rPr>
          <w:rFonts w:hint="default" w:ascii="Arial" w:hAnsi="Arial" w:cs="Arial"/>
        </w:rPr>
        <w:t>Using an organisation as an example discuss the model of the training process.</w:t>
      </w:r>
      <w:bookmarkEnd w:id="3"/>
    </w:p>
    <w:p>
      <w:pPr>
        <w:rPr>
          <w:rFonts w:hint="default" w:ascii="Arial" w:hAnsi="Arial" w:cs="Arial"/>
          <w:sz w:val="22"/>
          <w:szCs w:val="22"/>
        </w:rPr>
      </w:pPr>
      <w:r>
        <w:rPr>
          <w:rFonts w:hint="default" w:ascii="Arial" w:hAnsi="Arial" w:cs="Arial"/>
          <w:sz w:val="22"/>
          <w:szCs w:val="22"/>
        </w:rPr>
        <w:t xml:space="preserve">The Addie model is one of the popular models which describes the training process very easily. This model consists of five steps- analysis, design, development, implementation, and evaluation (Muruganantham, 2015). As UWTSD belongs to the educational sector, this model is very effective because it is widely used for instructional design. In the following section, the Addie model will be discussed in the context of UWTSD. </w:t>
      </w:r>
    </w:p>
    <w:p>
      <w:pPr>
        <w:keepNext/>
        <w:jc w:val="center"/>
        <w:rPr>
          <w:rFonts w:hint="default" w:ascii="Arial" w:hAnsi="Arial" w:cs="Arial"/>
        </w:rPr>
      </w:pPr>
      <w:r>
        <w:rPr>
          <w:rFonts w:hint="default" w:ascii="Arial" w:hAnsi="Arial" w:cs="Arial"/>
        </w:rPr>
        <w:drawing>
          <wp:inline distT="0" distB="0" distL="0" distR="0">
            <wp:extent cx="2044700" cy="2044700"/>
            <wp:effectExtent l="0" t="0" r="0" b="0"/>
            <wp:docPr id="13420183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2018326"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2044700" cy="2044700"/>
                    </a:xfrm>
                    <a:prstGeom prst="rect">
                      <a:avLst/>
                    </a:prstGeom>
                    <a:noFill/>
                  </pic:spPr>
                </pic:pic>
              </a:graphicData>
            </a:graphic>
          </wp:inline>
        </w:drawing>
      </w:r>
    </w:p>
    <w:p>
      <w:pPr>
        <w:pStyle w:val="6"/>
        <w:jc w:val="center"/>
        <w:rPr>
          <w:rFonts w:hint="default" w:ascii="Arial" w:hAnsi="Arial" w:cs="Arial"/>
          <w:sz w:val="24"/>
          <w:szCs w:val="24"/>
        </w:rPr>
      </w:pPr>
      <w:r>
        <w:rPr>
          <w:rFonts w:hint="default" w:ascii="Arial" w:hAnsi="Arial" w:cs="Arial"/>
          <w:sz w:val="24"/>
          <w:szCs w:val="24"/>
        </w:rPr>
        <w:t xml:space="preserve">Figure </w:t>
      </w:r>
      <w:r>
        <w:rPr>
          <w:rFonts w:hint="default" w:ascii="Arial" w:hAnsi="Arial" w:cs="Arial"/>
          <w:sz w:val="24"/>
          <w:szCs w:val="24"/>
        </w:rPr>
        <w:fldChar w:fldCharType="begin"/>
      </w:r>
      <w:r>
        <w:rPr>
          <w:rFonts w:hint="default" w:ascii="Arial" w:hAnsi="Arial" w:cs="Arial"/>
          <w:sz w:val="24"/>
          <w:szCs w:val="24"/>
        </w:rPr>
        <w:instrText xml:space="preserve"> SEQ Figure \* ARABIC </w:instrText>
      </w:r>
      <w:r>
        <w:rPr>
          <w:rFonts w:hint="default" w:ascii="Arial" w:hAnsi="Arial" w:cs="Arial"/>
          <w:sz w:val="24"/>
          <w:szCs w:val="24"/>
        </w:rPr>
        <w:fldChar w:fldCharType="separate"/>
      </w:r>
      <w:r>
        <w:rPr>
          <w:rFonts w:hint="default" w:ascii="Arial" w:hAnsi="Arial" w:cs="Arial"/>
          <w:sz w:val="24"/>
          <w:szCs w:val="24"/>
        </w:rPr>
        <w:t>2</w:t>
      </w:r>
      <w:r>
        <w:rPr>
          <w:rFonts w:hint="default" w:ascii="Arial" w:hAnsi="Arial" w:cs="Arial"/>
          <w:sz w:val="24"/>
          <w:szCs w:val="24"/>
        </w:rPr>
        <w:fldChar w:fldCharType="end"/>
      </w:r>
      <w:r>
        <w:rPr>
          <w:rFonts w:hint="default" w:ascii="Arial" w:hAnsi="Arial" w:cs="Arial"/>
          <w:sz w:val="24"/>
          <w:szCs w:val="24"/>
        </w:rPr>
        <w:t xml:space="preserve"> ADDIE Model of Training Process (Muruganantham, 2015)</w:t>
      </w:r>
    </w:p>
    <w:p>
      <w:pPr>
        <w:rPr>
          <w:rFonts w:hint="default" w:ascii="Arial" w:hAnsi="Arial" w:cs="Arial"/>
          <w:sz w:val="22"/>
          <w:szCs w:val="22"/>
        </w:rPr>
      </w:pPr>
      <w:r>
        <w:rPr>
          <w:rFonts w:hint="default" w:ascii="Arial" w:hAnsi="Arial" w:cs="Arial"/>
          <w:b/>
          <w:bCs/>
          <w:sz w:val="22"/>
          <w:szCs w:val="22"/>
        </w:rPr>
        <w:t>Analyse:</w:t>
      </w:r>
      <w:r>
        <w:rPr>
          <w:rFonts w:hint="default" w:ascii="Arial" w:hAnsi="Arial" w:cs="Arial"/>
          <w:sz w:val="22"/>
          <w:szCs w:val="22"/>
        </w:rPr>
        <w:t xml:space="preserve"> The first stage of any training process is to analyse the entire situation which means identifying the knowledge or skill gaps of the trainees and determining the main objective of the training which will be arranged (Almomen et al., 2016). For example, before starting a training program, the authority of UWTSD should conduct a need assessment which can be done in various forms surveys, discussions, and interviews with the relevant stakeholders. In this case, UWTSD can analyse the performance data to identify the areas which require improvement. Most importantly, analysing the strategic priorities and goals of the organisation must be aligned with the training programs. In the case of UWTSD, it is a research-driven institution and if it wants to develop this area further, the authority should arrange such training programs which can develop the research skills and expertise of the students and faculties. </w:t>
      </w:r>
    </w:p>
    <w:p>
      <w:pPr>
        <w:rPr>
          <w:rFonts w:hint="default" w:ascii="Arial" w:hAnsi="Arial" w:cs="Arial"/>
          <w:sz w:val="22"/>
          <w:szCs w:val="22"/>
        </w:rPr>
      </w:pPr>
      <w:r>
        <w:rPr>
          <w:rFonts w:hint="default" w:ascii="Arial" w:hAnsi="Arial" w:cs="Arial"/>
          <w:b/>
          <w:bCs/>
          <w:sz w:val="22"/>
          <w:szCs w:val="22"/>
        </w:rPr>
        <w:t>Design:</w:t>
      </w:r>
      <w:r>
        <w:rPr>
          <w:rFonts w:hint="default" w:ascii="Arial" w:hAnsi="Arial" w:cs="Arial"/>
          <w:sz w:val="22"/>
          <w:szCs w:val="22"/>
        </w:rPr>
        <w:t xml:space="preserve"> Designing the training and development program is the second stage of this model which is done after done with the necessary planning. While designing a training program, several things should be considered such as structure, delivery methods, strategy, duration, assessment, feedback, etc. (Almomen et al., 2016). Being one of the top-ranked Universities in the UK, UWTSD has to frequently arrange different types of training programs for employees, faculties, and students. For example, while choosing the instruction methods, they need to address the preferences of the audience to make the session meaningful and effective. In terms of developing the content, the planners of UWTSD should be cautious as the content must be aligned with the goal of the training. For instance, if they want to introduce a new assessment strategy, they can include relevant examples in the content. </w:t>
      </w:r>
    </w:p>
    <w:p>
      <w:pPr>
        <w:rPr>
          <w:rFonts w:hint="default" w:ascii="Arial" w:hAnsi="Arial" w:cs="Arial"/>
          <w:sz w:val="22"/>
          <w:szCs w:val="22"/>
        </w:rPr>
      </w:pPr>
      <w:r>
        <w:rPr>
          <w:rFonts w:hint="default" w:ascii="Arial" w:hAnsi="Arial" w:cs="Arial"/>
          <w:b/>
          <w:bCs/>
          <w:sz w:val="22"/>
          <w:szCs w:val="22"/>
        </w:rPr>
        <w:t>Development:</w:t>
      </w:r>
      <w:r>
        <w:rPr>
          <w:rFonts w:hint="default" w:ascii="Arial" w:hAnsi="Arial" w:cs="Arial"/>
          <w:sz w:val="22"/>
          <w:szCs w:val="22"/>
        </w:rPr>
        <w:t xml:space="preserve"> The third stage of the Addie model is development where prototypes need to be used to create the courses. While selecting the elements in this stage, it is very important to present the courses in such a way which can appeal to the audiences (Davis, 2013). After creating a course, the planners should check the basic things like whether there is any grammatical error or spelling mistake. To enhance the learning experience, UWTSD can incorporate multimedia elements in the teaching strategies. Nowadays, technology has become an integral part of any online-based training program, and if UWTSD uses any technology in the training process, it is important to address any technical issues. Before the final implementation, the authority of UWTSD should conduct a pilot test to check the accuracy and relevancy of the training materials. </w:t>
      </w:r>
    </w:p>
    <w:p>
      <w:pPr>
        <w:rPr>
          <w:rFonts w:hint="default" w:ascii="Arial" w:hAnsi="Arial" w:cs="Arial"/>
          <w:sz w:val="22"/>
          <w:szCs w:val="22"/>
        </w:rPr>
      </w:pPr>
      <w:r>
        <w:rPr>
          <w:rFonts w:hint="default" w:ascii="Arial" w:hAnsi="Arial" w:cs="Arial"/>
          <w:b/>
          <w:bCs/>
          <w:sz w:val="22"/>
          <w:szCs w:val="22"/>
        </w:rPr>
        <w:t>Implementation:</w:t>
      </w:r>
      <w:r>
        <w:rPr>
          <w:rFonts w:hint="default" w:ascii="Arial" w:hAnsi="Arial" w:cs="Arial"/>
          <w:sz w:val="22"/>
          <w:szCs w:val="22"/>
        </w:rPr>
        <w:t xml:space="preserve"> After testing the learning materials and contents, it is time to implement the program for the learners. In this phase, several issues must be considered by the planners and trainers. In terms of delivery, the trainers of UWTSD should conduct the sessions based on the scheduled plan developed in the design stage. The training session should be designed in such a way that it can be interactive. The facilitator who is supposed to provide training should be familiar with the relevant contexts of UWTSD so that it becomes easy to address the queries of the learners. Here, the most important thing is that UWTSD should ensure that the logistics arrangements are properly set up which include room set-up, technical equipment, etc. (Muruganantham, 2015). However, during this phase, flexibility plays a crucial role as both the learners and trainers should be adaptive to overcome the potential challenges.  </w:t>
      </w:r>
    </w:p>
    <w:p>
      <w:pPr>
        <w:rPr>
          <w:rFonts w:hint="default" w:ascii="Arial" w:hAnsi="Arial" w:cs="Arial"/>
          <w:sz w:val="22"/>
          <w:szCs w:val="22"/>
        </w:rPr>
      </w:pPr>
      <w:r>
        <w:rPr>
          <w:rFonts w:hint="default" w:ascii="Arial" w:hAnsi="Arial" w:cs="Arial"/>
          <w:b/>
          <w:bCs/>
          <w:sz w:val="22"/>
          <w:szCs w:val="22"/>
        </w:rPr>
        <w:t>Evaluation:</w:t>
      </w:r>
      <w:r>
        <w:rPr>
          <w:rFonts w:hint="default" w:ascii="Arial" w:hAnsi="Arial" w:cs="Arial"/>
          <w:sz w:val="22"/>
          <w:szCs w:val="22"/>
        </w:rPr>
        <w:t xml:space="preserve"> The final stage of the Addie training process is evaluation where the effectiveness of the training program is evaluated. In this stage, feedback plays a crucial role because based on the collected feedback, the areas which need to be improved can be identified (Davis, 2013). Some questions can arise in this stage such as whether the goal of the training program specified in the analysis stage has been met. For example, UWTSD should compare the outcomes of the training with the benchmark which was set in the initial stage to measure the success. Based on the feedback, UWTSD can take necessary steps to refine future training programs or address the potential challenges. </w:t>
      </w:r>
    </w:p>
    <w:p>
      <w:pPr>
        <w:pStyle w:val="2"/>
        <w:rPr>
          <w:rFonts w:hint="default" w:ascii="Arial" w:hAnsi="Arial" w:cs="Arial"/>
        </w:rPr>
      </w:pPr>
      <w:bookmarkStart w:id="4" w:name="_Toc151147277"/>
      <w:r>
        <w:rPr>
          <w:rFonts w:hint="default" w:ascii="Arial" w:hAnsi="Arial" w:cs="Arial"/>
        </w:rPr>
        <w:t>Conclusion</w:t>
      </w:r>
      <w:bookmarkEnd w:id="4"/>
    </w:p>
    <w:p>
      <w:pPr>
        <w:rPr>
          <w:rFonts w:hint="default" w:ascii="Arial" w:hAnsi="Arial" w:cs="Arial"/>
        </w:rPr>
      </w:pPr>
      <w:r>
        <w:rPr>
          <w:rFonts w:hint="default" w:ascii="Arial" w:hAnsi="Arial" w:cs="Arial"/>
        </w:rPr>
        <w:t xml:space="preserve">The above report is all about assessing the importance of training and development activities in the workplace. Here, the selected organisation is UWTSD which is one of the leading Universities in the UK. The report has been prepared in three sections. The first section has covered the potential benefits of e-learning which has become very popular in today’s competitive business landscape. There are some key benefits of this approach such as cost-effectiveness, self-paced learning, wide access to resources, convenience, etc. The second section has addressed the importance of training and development to increase the competitiveness of the organisation using several theories like social learning theory, human capital theory, adult learning theory, etc. Finally, the training process has been explained using one of the popular frameworks named Addies training process. </w:t>
      </w:r>
    </w:p>
    <w:p>
      <w:pPr>
        <w:spacing w:line="259" w:lineRule="auto"/>
        <w:jc w:val="left"/>
        <w:rPr>
          <w:rFonts w:hint="default" w:ascii="Arial" w:hAnsi="Arial" w:cs="Arial"/>
        </w:rPr>
      </w:pPr>
      <w:r>
        <w:rPr>
          <w:rFonts w:hint="default" w:ascii="Arial" w:hAnsi="Arial" w:cs="Arial"/>
        </w:rPr>
        <w:br w:type="page"/>
      </w:r>
    </w:p>
    <w:p>
      <w:pPr>
        <w:pStyle w:val="2"/>
        <w:rPr>
          <w:rFonts w:hint="default" w:ascii="Arial" w:hAnsi="Arial" w:cs="Arial"/>
        </w:rPr>
      </w:pPr>
      <w:bookmarkStart w:id="5" w:name="_Toc151147278"/>
      <w:r>
        <w:rPr>
          <w:rFonts w:hint="default" w:ascii="Arial" w:hAnsi="Arial" w:cs="Arial"/>
        </w:rPr>
        <w:t>Reference</w:t>
      </w:r>
      <w:bookmarkEnd w:id="5"/>
    </w:p>
    <w:p>
      <w:pPr>
        <w:rPr>
          <w:rFonts w:hint="default" w:ascii="Arial" w:hAnsi="Arial" w:cs="Arial"/>
          <w:sz w:val="22"/>
          <w:szCs w:val="22"/>
        </w:rPr>
      </w:pPr>
      <w:r>
        <w:rPr>
          <w:rFonts w:hint="default" w:ascii="Arial" w:hAnsi="Arial" w:cs="Arial"/>
          <w:sz w:val="22"/>
          <w:szCs w:val="22"/>
        </w:rPr>
        <w:t>Almomen, R.K., Kaufman, D., Alotaibi, H., Al-Rowais, N.A., Albeik, M. and Albattal, S.M. (2016). Applying the ADDIE—analysis, design, development, implementation and evaluation—instructional design model to continuing professional development for primary care physicians in Saudi Arabia. </w:t>
      </w:r>
      <w:r>
        <w:rPr>
          <w:rFonts w:hint="default" w:ascii="Arial" w:hAnsi="Arial" w:cs="Arial"/>
          <w:i/>
          <w:iCs/>
          <w:sz w:val="22"/>
          <w:szCs w:val="22"/>
        </w:rPr>
        <w:t>International Journal of Clinical Medicine</w:t>
      </w:r>
      <w:r>
        <w:rPr>
          <w:rFonts w:hint="default" w:ascii="Arial" w:hAnsi="Arial" w:cs="Arial"/>
          <w:sz w:val="22"/>
          <w:szCs w:val="22"/>
        </w:rPr>
        <w:t>, </w:t>
      </w:r>
      <w:r>
        <w:rPr>
          <w:rFonts w:hint="default" w:ascii="Arial" w:hAnsi="Arial" w:cs="Arial"/>
          <w:i/>
          <w:iCs/>
          <w:sz w:val="22"/>
          <w:szCs w:val="22"/>
        </w:rPr>
        <w:t>7</w:t>
      </w:r>
      <w:r>
        <w:rPr>
          <w:rFonts w:hint="default" w:ascii="Arial" w:hAnsi="Arial" w:cs="Arial"/>
          <w:sz w:val="22"/>
          <w:szCs w:val="22"/>
        </w:rPr>
        <w:t>(08), pp.538-546.</w:t>
      </w:r>
    </w:p>
    <w:p>
      <w:pPr>
        <w:rPr>
          <w:rFonts w:hint="default" w:ascii="Arial" w:hAnsi="Arial" w:cs="Arial"/>
          <w:sz w:val="22"/>
          <w:szCs w:val="22"/>
        </w:rPr>
      </w:pPr>
      <w:r>
        <w:rPr>
          <w:rFonts w:hint="default" w:ascii="Arial" w:hAnsi="Arial" w:cs="Arial"/>
          <w:sz w:val="22"/>
          <w:szCs w:val="22"/>
        </w:rPr>
        <w:t>Davis, A.L. (2013). Using instructional design principles to develop effective information literacy instruction: The ADDIE model. </w:t>
      </w:r>
      <w:r>
        <w:rPr>
          <w:rFonts w:hint="default" w:ascii="Arial" w:hAnsi="Arial" w:cs="Arial"/>
          <w:i/>
          <w:iCs/>
          <w:sz w:val="22"/>
          <w:szCs w:val="22"/>
        </w:rPr>
        <w:t>College &amp; Research Libraries News</w:t>
      </w:r>
      <w:r>
        <w:rPr>
          <w:rFonts w:hint="default" w:ascii="Arial" w:hAnsi="Arial" w:cs="Arial"/>
          <w:sz w:val="22"/>
          <w:szCs w:val="22"/>
        </w:rPr>
        <w:t>, </w:t>
      </w:r>
      <w:r>
        <w:rPr>
          <w:rFonts w:hint="default" w:ascii="Arial" w:hAnsi="Arial" w:cs="Arial"/>
          <w:i/>
          <w:iCs/>
          <w:sz w:val="22"/>
          <w:szCs w:val="22"/>
        </w:rPr>
        <w:t>74</w:t>
      </w:r>
      <w:r>
        <w:rPr>
          <w:rFonts w:hint="default" w:ascii="Arial" w:hAnsi="Arial" w:cs="Arial"/>
          <w:sz w:val="22"/>
          <w:szCs w:val="22"/>
        </w:rPr>
        <w:t>(4), pp.205-207.</w:t>
      </w:r>
    </w:p>
    <w:p>
      <w:pPr>
        <w:rPr>
          <w:rFonts w:hint="default" w:ascii="Arial" w:hAnsi="Arial" w:cs="Arial"/>
          <w:sz w:val="22"/>
          <w:szCs w:val="22"/>
        </w:rPr>
      </w:pPr>
      <w:r>
        <w:rPr>
          <w:rFonts w:hint="default" w:ascii="Arial" w:hAnsi="Arial" w:cs="Arial"/>
          <w:sz w:val="22"/>
          <w:szCs w:val="22"/>
        </w:rPr>
        <w:t>Dollard, J. and Miller, N.E. (2013). Social learning and imitation. Routledge.</w:t>
      </w:r>
    </w:p>
    <w:p>
      <w:pPr>
        <w:rPr>
          <w:rFonts w:hint="default" w:ascii="Arial" w:hAnsi="Arial" w:cs="Arial"/>
          <w:sz w:val="22"/>
          <w:szCs w:val="22"/>
        </w:rPr>
      </w:pPr>
      <w:r>
        <w:rPr>
          <w:rFonts w:hint="default" w:ascii="Arial" w:hAnsi="Arial" w:cs="Arial"/>
          <w:sz w:val="22"/>
          <w:szCs w:val="22"/>
        </w:rPr>
        <w:t>Garrison, D.R. (2016). E-learning in the 21st century: A community of inquiry framework for research and practice. Taylor &amp; Francis.</w:t>
      </w:r>
    </w:p>
    <w:p>
      <w:pPr>
        <w:rPr>
          <w:rFonts w:hint="default" w:ascii="Arial" w:hAnsi="Arial" w:cs="Arial"/>
          <w:sz w:val="22"/>
          <w:szCs w:val="22"/>
        </w:rPr>
      </w:pPr>
      <w:r>
        <w:rPr>
          <w:rFonts w:hint="default" w:ascii="Arial" w:hAnsi="Arial" w:cs="Arial"/>
          <w:sz w:val="22"/>
          <w:szCs w:val="22"/>
        </w:rPr>
        <w:t>Guragain, N. (2016). E-learning benefits and applications.</w:t>
      </w:r>
    </w:p>
    <w:p>
      <w:pPr>
        <w:rPr>
          <w:rFonts w:hint="default" w:ascii="Arial" w:hAnsi="Arial" w:cs="Arial"/>
          <w:sz w:val="22"/>
          <w:szCs w:val="22"/>
        </w:rPr>
      </w:pPr>
      <w:r>
        <w:rPr>
          <w:rFonts w:hint="default" w:ascii="Arial" w:hAnsi="Arial" w:cs="Arial"/>
          <w:sz w:val="22"/>
          <w:szCs w:val="22"/>
        </w:rPr>
        <w:t>Karim, M.M., Choudhury, M.M. and Latif, W.B. (2019). The impact of training and development on employees’ performance: an analysis of quantitative data. Noble International Journal of Business and Management Research, 3(2), pp.25-33.</w:t>
      </w:r>
    </w:p>
    <w:p>
      <w:pPr>
        <w:rPr>
          <w:rFonts w:hint="default" w:ascii="Arial" w:hAnsi="Arial" w:cs="Arial"/>
          <w:sz w:val="22"/>
          <w:szCs w:val="22"/>
        </w:rPr>
      </w:pPr>
      <w:r>
        <w:rPr>
          <w:rFonts w:hint="default" w:ascii="Arial" w:hAnsi="Arial" w:cs="Arial"/>
          <w:sz w:val="22"/>
          <w:szCs w:val="22"/>
        </w:rPr>
        <w:t>Merriam, S.B. and Bierema, L.L. (2013). </w:t>
      </w:r>
      <w:r>
        <w:rPr>
          <w:rFonts w:hint="default" w:ascii="Arial" w:hAnsi="Arial" w:cs="Arial"/>
          <w:i/>
          <w:iCs/>
          <w:sz w:val="22"/>
          <w:szCs w:val="22"/>
        </w:rPr>
        <w:t>Adult learning: Linking theory and practice</w:t>
      </w:r>
      <w:r>
        <w:rPr>
          <w:rFonts w:hint="default" w:ascii="Arial" w:hAnsi="Arial" w:cs="Arial"/>
          <w:sz w:val="22"/>
          <w:szCs w:val="22"/>
        </w:rPr>
        <w:t>. John Wiley &amp; Sons.</w:t>
      </w:r>
    </w:p>
    <w:p>
      <w:pPr>
        <w:rPr>
          <w:rFonts w:hint="default" w:ascii="Arial" w:hAnsi="Arial" w:cs="Arial"/>
          <w:sz w:val="22"/>
          <w:szCs w:val="22"/>
        </w:rPr>
      </w:pPr>
      <w:r>
        <w:rPr>
          <w:rFonts w:hint="default" w:ascii="Arial" w:hAnsi="Arial" w:cs="Arial"/>
          <w:sz w:val="22"/>
          <w:szCs w:val="22"/>
        </w:rPr>
        <w:t>Muruganantham, G. (2015). Developing of E-content package by using ADDIE model. International Journal of Applied Research, 1(3), pp.52-54.</w:t>
      </w:r>
    </w:p>
    <w:p>
      <w:pPr>
        <w:rPr>
          <w:rFonts w:hint="default" w:ascii="Arial" w:hAnsi="Arial" w:cs="Arial"/>
          <w:sz w:val="22"/>
          <w:szCs w:val="22"/>
        </w:rPr>
      </w:pPr>
      <w:bookmarkStart w:id="6" w:name="_Hlk151146454"/>
      <w:r>
        <w:rPr>
          <w:rFonts w:hint="default" w:ascii="Arial" w:hAnsi="Arial" w:cs="Arial"/>
          <w:sz w:val="22"/>
          <w:szCs w:val="22"/>
        </w:rPr>
        <w:t>Rennie, F. and Morrison</w:t>
      </w:r>
      <w:bookmarkEnd w:id="6"/>
      <w:r>
        <w:rPr>
          <w:rFonts w:hint="default" w:ascii="Arial" w:hAnsi="Arial" w:cs="Arial"/>
          <w:sz w:val="22"/>
          <w:szCs w:val="22"/>
        </w:rPr>
        <w:t>, T. (2013). E-learning and social networking handbook: Resources for higher education. Routledge.</w:t>
      </w:r>
    </w:p>
    <w:p>
      <w:pPr>
        <w:rPr>
          <w:rFonts w:hint="default" w:ascii="Arial" w:hAnsi="Arial" w:cs="Arial"/>
          <w:sz w:val="22"/>
          <w:szCs w:val="22"/>
        </w:rPr>
      </w:pPr>
      <w:r>
        <w:rPr>
          <w:rFonts w:hint="default" w:ascii="Arial" w:hAnsi="Arial" w:cs="Arial"/>
          <w:sz w:val="22"/>
          <w:szCs w:val="22"/>
        </w:rPr>
        <w:t>Sal, A. and Raja, M. (2016). The impact of training and development on employees performance and productivity. </w:t>
      </w:r>
      <w:r>
        <w:rPr>
          <w:rFonts w:hint="default" w:ascii="Arial" w:hAnsi="Arial" w:cs="Arial"/>
          <w:i/>
          <w:iCs/>
          <w:sz w:val="22"/>
          <w:szCs w:val="22"/>
        </w:rPr>
        <w:t>International Journal of Management Sciences and Business Research</w:t>
      </w:r>
      <w:r>
        <w:rPr>
          <w:rFonts w:hint="default" w:ascii="Arial" w:hAnsi="Arial" w:cs="Arial"/>
          <w:sz w:val="22"/>
          <w:szCs w:val="22"/>
        </w:rPr>
        <w:t>, </w:t>
      </w:r>
      <w:r>
        <w:rPr>
          <w:rFonts w:hint="default" w:ascii="Arial" w:hAnsi="Arial" w:cs="Arial"/>
          <w:i/>
          <w:iCs/>
          <w:sz w:val="22"/>
          <w:szCs w:val="22"/>
        </w:rPr>
        <w:t>5</w:t>
      </w:r>
      <w:r>
        <w:rPr>
          <w:rFonts w:hint="default" w:ascii="Arial" w:hAnsi="Arial" w:cs="Arial"/>
          <w:sz w:val="22"/>
          <w:szCs w:val="22"/>
        </w:rPr>
        <w:t>(7).</w:t>
      </w:r>
    </w:p>
    <w:p>
      <w:pPr>
        <w:rPr>
          <w:rFonts w:hint="default" w:ascii="Arial" w:hAnsi="Arial" w:cs="Arial"/>
          <w:sz w:val="22"/>
          <w:szCs w:val="22"/>
        </w:rPr>
      </w:pPr>
      <w:r>
        <w:rPr>
          <w:rFonts w:hint="default" w:ascii="Arial" w:hAnsi="Arial" w:cs="Arial"/>
          <w:sz w:val="22"/>
          <w:szCs w:val="22"/>
        </w:rPr>
        <w:t>Somayeh, M., Dehghani, M., Mozaffari, F., Ghasemnegad, S.M., Hakimi, H. and Samaneh, B. (2016). The effectiveness of E-learning in learning: A review of the literature. International journal of medical research &amp; health sciences, 5(2), pp.86-91.</w:t>
      </w:r>
    </w:p>
    <w:p>
      <w:pPr>
        <w:rPr>
          <w:rFonts w:hint="default" w:ascii="Arial" w:hAnsi="Arial" w:cs="Arial"/>
          <w:sz w:val="22"/>
          <w:szCs w:val="22"/>
        </w:rPr>
      </w:pPr>
      <w:r>
        <w:rPr>
          <w:rFonts w:hint="default" w:ascii="Arial" w:hAnsi="Arial" w:cs="Arial"/>
          <w:sz w:val="22"/>
          <w:szCs w:val="22"/>
        </w:rPr>
        <w:t>UWTSD, W.D.T. (2023) Choose your story, UWTSD. Available at: https://www.uwtsd.ac.uk/ (Accessed: 17 November 2023).</w:t>
      </w:r>
    </w:p>
    <w:p>
      <w:pPr>
        <w:rPr>
          <w:rFonts w:hint="default" w:ascii="Arial" w:hAnsi="Arial" w:cs="Arial"/>
          <w:sz w:val="22"/>
          <w:szCs w:val="22"/>
        </w:rPr>
      </w:pPr>
      <w:r>
        <w:rPr>
          <w:rFonts w:hint="default" w:ascii="Arial" w:hAnsi="Arial" w:cs="Arial"/>
          <w:sz w:val="22"/>
          <w:szCs w:val="22"/>
        </w:rPr>
        <w:t>Wuttaphan, N. (2017). Human capital theory: The theory of human resource development, implications, and future. </w:t>
      </w:r>
      <w:r>
        <w:rPr>
          <w:rFonts w:hint="default" w:ascii="Arial" w:hAnsi="Arial" w:cs="Arial"/>
          <w:i/>
          <w:iCs/>
          <w:sz w:val="22"/>
          <w:szCs w:val="22"/>
        </w:rPr>
        <w:t>Life Sciences and Environment Journal</w:t>
      </w:r>
      <w:r>
        <w:rPr>
          <w:rFonts w:hint="default" w:ascii="Arial" w:hAnsi="Arial" w:cs="Arial"/>
          <w:sz w:val="22"/>
          <w:szCs w:val="22"/>
        </w:rPr>
        <w:t>, </w:t>
      </w:r>
      <w:r>
        <w:rPr>
          <w:rFonts w:hint="default" w:ascii="Arial" w:hAnsi="Arial" w:cs="Arial"/>
          <w:i/>
          <w:iCs/>
          <w:sz w:val="22"/>
          <w:szCs w:val="22"/>
        </w:rPr>
        <w:t>18</w:t>
      </w:r>
      <w:r>
        <w:rPr>
          <w:rFonts w:hint="default" w:ascii="Arial" w:hAnsi="Arial" w:cs="Arial"/>
          <w:sz w:val="22"/>
          <w:szCs w:val="22"/>
        </w:rPr>
        <w:t>(2), pp.240-253.</w:t>
      </w:r>
    </w:p>
    <w:p>
      <w:pPr>
        <w:rPr>
          <w:rFonts w:hint="default" w:ascii="Arial" w:hAnsi="Arial" w:cs="Arial"/>
        </w:rPr>
      </w:pPr>
    </w:p>
    <w:sectPr>
      <w:footerReference r:id="rId5" w:type="default"/>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Vrinda">
    <w:altName w:val="RomanS_IV50"/>
    <w:panose1 w:val="00000400000000000000"/>
    <w:charset w:val="00"/>
    <w:family w:val="swiss"/>
    <w:pitch w:val="default"/>
    <w:sig w:usb0="00000000" w:usb1="00000000" w:usb2="00000000" w:usb3="00000000" w:csb0="00000001"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等线 Light">
    <w:altName w:val="RomanS_IV50"/>
    <w:panose1 w:val="00000000000000000000"/>
    <w:charset w:val="00"/>
    <w:family w:val="auto"/>
    <w:pitch w:val="default"/>
    <w:sig w:usb0="00000000" w:usb1="00000000" w:usb2="00000000" w:usb3="00000000" w:csb0="00000000" w:csb1="00000000"/>
  </w:font>
  <w:font w:name="Calibri Light">
    <w:panose1 w:val="020F03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65175152"/>
      <w:docPartObj>
        <w:docPartGallery w:val="autotext"/>
      </w:docPartObj>
    </w:sdtPr>
    <w:sdtContent>
      <w:p>
        <w:pPr>
          <w:pStyle w:val="7"/>
          <w:jc w:val="center"/>
        </w:pPr>
        <w:r>
          <w:fldChar w:fldCharType="begin"/>
        </w:r>
        <w:r>
          <w:instrText xml:space="preserve"> PAGE   \* MERGEFORMAT </w:instrText>
        </w:r>
        <w:r>
          <w:fldChar w:fldCharType="separate"/>
        </w:r>
        <w:r>
          <w:t>2</w:t>
        </w:r>
        <w:r>
          <w:fldChar w:fldCharType="end"/>
        </w:r>
      </w:p>
    </w:sdtContent>
  </w:sdt>
  <w:p>
    <w:pPr>
      <w:pStyle w:val="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removePersonalInformation/>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6BF8"/>
    <w:rsid w:val="000129C0"/>
    <w:rsid w:val="00026BF8"/>
    <w:rsid w:val="000373AC"/>
    <w:rsid w:val="00067420"/>
    <w:rsid w:val="0007015A"/>
    <w:rsid w:val="000741EB"/>
    <w:rsid w:val="00080492"/>
    <w:rsid w:val="00084F83"/>
    <w:rsid w:val="000938D1"/>
    <w:rsid w:val="000A4268"/>
    <w:rsid w:val="000B3B89"/>
    <w:rsid w:val="000B4492"/>
    <w:rsid w:val="000E0D67"/>
    <w:rsid w:val="000E20D8"/>
    <w:rsid w:val="000E49B5"/>
    <w:rsid w:val="000F44C9"/>
    <w:rsid w:val="001122A2"/>
    <w:rsid w:val="00123738"/>
    <w:rsid w:val="00151968"/>
    <w:rsid w:val="001558C6"/>
    <w:rsid w:val="00155FAD"/>
    <w:rsid w:val="0016006C"/>
    <w:rsid w:val="0016561E"/>
    <w:rsid w:val="00166C5F"/>
    <w:rsid w:val="0018745D"/>
    <w:rsid w:val="00192EFD"/>
    <w:rsid w:val="001975BC"/>
    <w:rsid w:val="001B5FC4"/>
    <w:rsid w:val="001C340D"/>
    <w:rsid w:val="001C36C0"/>
    <w:rsid w:val="001D57BF"/>
    <w:rsid w:val="001E3822"/>
    <w:rsid w:val="001F316A"/>
    <w:rsid w:val="002547E8"/>
    <w:rsid w:val="00280FFB"/>
    <w:rsid w:val="00281760"/>
    <w:rsid w:val="0028602B"/>
    <w:rsid w:val="002961D9"/>
    <w:rsid w:val="002967FF"/>
    <w:rsid w:val="002A2AD5"/>
    <w:rsid w:val="002A4CE9"/>
    <w:rsid w:val="002C2240"/>
    <w:rsid w:val="002C42E3"/>
    <w:rsid w:val="002C5D77"/>
    <w:rsid w:val="003003A5"/>
    <w:rsid w:val="0031258F"/>
    <w:rsid w:val="00313158"/>
    <w:rsid w:val="00320626"/>
    <w:rsid w:val="00334CF1"/>
    <w:rsid w:val="003358D4"/>
    <w:rsid w:val="003362F9"/>
    <w:rsid w:val="003925AB"/>
    <w:rsid w:val="003B677F"/>
    <w:rsid w:val="003D4D81"/>
    <w:rsid w:val="003D6268"/>
    <w:rsid w:val="003E4C6B"/>
    <w:rsid w:val="003E760A"/>
    <w:rsid w:val="003E7F2D"/>
    <w:rsid w:val="0040681D"/>
    <w:rsid w:val="00425013"/>
    <w:rsid w:val="00425736"/>
    <w:rsid w:val="004502E2"/>
    <w:rsid w:val="00456B44"/>
    <w:rsid w:val="00464180"/>
    <w:rsid w:val="004652BE"/>
    <w:rsid w:val="004865E4"/>
    <w:rsid w:val="004F0A51"/>
    <w:rsid w:val="00514CCE"/>
    <w:rsid w:val="005250D0"/>
    <w:rsid w:val="005255CB"/>
    <w:rsid w:val="00526AD3"/>
    <w:rsid w:val="0053024D"/>
    <w:rsid w:val="00562999"/>
    <w:rsid w:val="00582133"/>
    <w:rsid w:val="005925D2"/>
    <w:rsid w:val="005D0545"/>
    <w:rsid w:val="005E188C"/>
    <w:rsid w:val="005F694E"/>
    <w:rsid w:val="0060330A"/>
    <w:rsid w:val="00606799"/>
    <w:rsid w:val="00645179"/>
    <w:rsid w:val="00647640"/>
    <w:rsid w:val="00662207"/>
    <w:rsid w:val="00686B62"/>
    <w:rsid w:val="00687C6C"/>
    <w:rsid w:val="006A4FAC"/>
    <w:rsid w:val="006C112B"/>
    <w:rsid w:val="006C5FAC"/>
    <w:rsid w:val="006F17B4"/>
    <w:rsid w:val="006F6081"/>
    <w:rsid w:val="00746C0E"/>
    <w:rsid w:val="007E09DA"/>
    <w:rsid w:val="007E3EB0"/>
    <w:rsid w:val="0080276A"/>
    <w:rsid w:val="0081587F"/>
    <w:rsid w:val="00837E35"/>
    <w:rsid w:val="008626D6"/>
    <w:rsid w:val="00887AFC"/>
    <w:rsid w:val="0089673E"/>
    <w:rsid w:val="008B34C7"/>
    <w:rsid w:val="008C46FD"/>
    <w:rsid w:val="008E028C"/>
    <w:rsid w:val="008F4611"/>
    <w:rsid w:val="00906E52"/>
    <w:rsid w:val="0095643B"/>
    <w:rsid w:val="0096024C"/>
    <w:rsid w:val="00961913"/>
    <w:rsid w:val="009671F4"/>
    <w:rsid w:val="009A627C"/>
    <w:rsid w:val="009D3DD9"/>
    <w:rsid w:val="00A34AE1"/>
    <w:rsid w:val="00A351AC"/>
    <w:rsid w:val="00A41D41"/>
    <w:rsid w:val="00A70B97"/>
    <w:rsid w:val="00A773ED"/>
    <w:rsid w:val="00AA1CD3"/>
    <w:rsid w:val="00AB55E9"/>
    <w:rsid w:val="00AC1C7F"/>
    <w:rsid w:val="00AC2E60"/>
    <w:rsid w:val="00AC524B"/>
    <w:rsid w:val="00B011C2"/>
    <w:rsid w:val="00B3442D"/>
    <w:rsid w:val="00B506CC"/>
    <w:rsid w:val="00B53AE3"/>
    <w:rsid w:val="00B556BD"/>
    <w:rsid w:val="00B63E47"/>
    <w:rsid w:val="00B66BEB"/>
    <w:rsid w:val="00B74B0B"/>
    <w:rsid w:val="00B75DCE"/>
    <w:rsid w:val="00BA285A"/>
    <w:rsid w:val="00BA34A1"/>
    <w:rsid w:val="00BB23CE"/>
    <w:rsid w:val="00BB3325"/>
    <w:rsid w:val="00C23D2D"/>
    <w:rsid w:val="00C53E36"/>
    <w:rsid w:val="00C739FC"/>
    <w:rsid w:val="00C81E23"/>
    <w:rsid w:val="00CA1F42"/>
    <w:rsid w:val="00CB7A22"/>
    <w:rsid w:val="00CD4280"/>
    <w:rsid w:val="00CD42C0"/>
    <w:rsid w:val="00CD7858"/>
    <w:rsid w:val="00CE4302"/>
    <w:rsid w:val="00D00F41"/>
    <w:rsid w:val="00D20309"/>
    <w:rsid w:val="00D442EA"/>
    <w:rsid w:val="00D46E21"/>
    <w:rsid w:val="00DB08DD"/>
    <w:rsid w:val="00DC10AD"/>
    <w:rsid w:val="00DD0D9A"/>
    <w:rsid w:val="00DD1580"/>
    <w:rsid w:val="00E06EA0"/>
    <w:rsid w:val="00E172F6"/>
    <w:rsid w:val="00E27FC5"/>
    <w:rsid w:val="00E63CB5"/>
    <w:rsid w:val="00E86CF2"/>
    <w:rsid w:val="00EE7D63"/>
    <w:rsid w:val="00F349C1"/>
    <w:rsid w:val="00F368AC"/>
    <w:rsid w:val="00F409CC"/>
    <w:rsid w:val="00F41884"/>
    <w:rsid w:val="00F47EB8"/>
    <w:rsid w:val="00F6506E"/>
    <w:rsid w:val="00F859B3"/>
    <w:rsid w:val="00FA50F5"/>
    <w:rsid w:val="00FB227A"/>
    <w:rsid w:val="00FF7641"/>
    <w:rsid w:val="0EF203FB"/>
    <w:rsid w:val="21B176B0"/>
  </w:rsids>
  <m:mathPr>
    <m:mathFont m:val="Cambria Math"/>
    <m:brkBin m:val="before"/>
    <m:brkBinSub m:val="--"/>
    <m:smallFrac m:val="0"/>
    <m:dispDef/>
    <m:lMargin m:val="0"/>
    <m:rMargin m:val="0"/>
    <m:defJc m:val="centerGroup"/>
    <m:wrapIndent m:val="1440"/>
    <m:intLim m:val="subSup"/>
    <m:naryLim m:val="undOvr"/>
  </m:mathPr>
  <w:themeFontLang w:val="en-US" w:eastAsia="zh-CN" w:bidi="bn-BD"/>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360" w:lineRule="auto"/>
      <w:jc w:val="both"/>
    </w:pPr>
    <w:rPr>
      <w:rFonts w:ascii="Times New Roman" w:hAnsi="Times New Roman" w:eastAsiaTheme="minorHAnsi" w:cstheme="minorBidi"/>
      <w:kern w:val="2"/>
      <w:sz w:val="24"/>
      <w:szCs w:val="22"/>
      <w:lang w:val="en-US" w:eastAsia="en-US" w:bidi="ar-SA"/>
      <w14:ligatures w14:val="standardContextual"/>
    </w:rPr>
  </w:style>
  <w:style w:type="paragraph" w:styleId="2">
    <w:name w:val="heading 1"/>
    <w:basedOn w:val="1"/>
    <w:next w:val="1"/>
    <w:link w:val="11"/>
    <w:qFormat/>
    <w:uiPriority w:val="9"/>
    <w:pPr>
      <w:keepNext/>
      <w:keepLines/>
      <w:spacing w:before="240" w:after="0"/>
      <w:outlineLvl w:val="0"/>
    </w:pPr>
    <w:rPr>
      <w:rFonts w:eastAsiaTheme="majorEastAsia" w:cstheme="majorBidi"/>
      <w:b/>
      <w:sz w:val="32"/>
      <w:szCs w:val="32"/>
    </w:rPr>
  </w:style>
  <w:style w:type="paragraph" w:styleId="3">
    <w:name w:val="heading 2"/>
    <w:basedOn w:val="1"/>
    <w:next w:val="1"/>
    <w:link w:val="12"/>
    <w:semiHidden/>
    <w:unhideWhenUsed/>
    <w:qFormat/>
    <w:uiPriority w:val="9"/>
    <w:pPr>
      <w:keepNext/>
      <w:keepLines/>
      <w:spacing w:before="40" w:after="0"/>
      <w:outlineLvl w:val="1"/>
    </w:pPr>
    <w:rPr>
      <w:rFonts w:eastAsiaTheme="majorEastAsia" w:cstheme="majorBidi"/>
      <w:b/>
      <w:sz w:val="28"/>
      <w:szCs w:val="26"/>
    </w:rPr>
  </w:style>
  <w:style w:type="character" w:default="1" w:styleId="4">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6">
    <w:name w:val="caption"/>
    <w:basedOn w:val="1"/>
    <w:next w:val="1"/>
    <w:unhideWhenUsed/>
    <w:qFormat/>
    <w:uiPriority w:val="35"/>
    <w:pPr>
      <w:spacing w:after="200" w:line="240" w:lineRule="auto"/>
    </w:pPr>
    <w:rPr>
      <w:i/>
      <w:iCs/>
      <w:color w:val="44546A" w:themeColor="text2"/>
      <w:sz w:val="18"/>
      <w:szCs w:val="18"/>
      <w14:textFill>
        <w14:solidFill>
          <w14:schemeClr w14:val="tx2"/>
        </w14:solidFill>
      </w14:textFill>
    </w:rPr>
  </w:style>
  <w:style w:type="paragraph" w:styleId="7">
    <w:name w:val="footer"/>
    <w:basedOn w:val="1"/>
    <w:link w:val="14"/>
    <w:unhideWhenUsed/>
    <w:uiPriority w:val="99"/>
    <w:pPr>
      <w:tabs>
        <w:tab w:val="center" w:pos="4680"/>
        <w:tab w:val="right" w:pos="9360"/>
      </w:tabs>
      <w:spacing w:after="0" w:line="240" w:lineRule="auto"/>
    </w:pPr>
  </w:style>
  <w:style w:type="paragraph" w:styleId="8">
    <w:name w:val="header"/>
    <w:basedOn w:val="1"/>
    <w:link w:val="13"/>
    <w:unhideWhenUsed/>
    <w:uiPriority w:val="99"/>
    <w:pPr>
      <w:tabs>
        <w:tab w:val="center" w:pos="4680"/>
        <w:tab w:val="right" w:pos="9360"/>
      </w:tabs>
      <w:spacing w:after="0" w:line="240" w:lineRule="auto"/>
    </w:pPr>
  </w:style>
  <w:style w:type="character" w:styleId="9">
    <w:name w:val="Hyperlink"/>
    <w:basedOn w:val="4"/>
    <w:unhideWhenUsed/>
    <w:uiPriority w:val="99"/>
    <w:rPr>
      <w:color w:val="0563C1" w:themeColor="hyperlink"/>
      <w:u w:val="single"/>
      <w14:textFill>
        <w14:solidFill>
          <w14:schemeClr w14:val="hlink"/>
        </w14:solidFill>
      </w14:textFill>
    </w:rPr>
  </w:style>
  <w:style w:type="paragraph" w:styleId="10">
    <w:name w:val="toc 1"/>
    <w:basedOn w:val="1"/>
    <w:next w:val="1"/>
    <w:unhideWhenUsed/>
    <w:uiPriority w:val="39"/>
    <w:pPr>
      <w:spacing w:after="100"/>
    </w:pPr>
  </w:style>
  <w:style w:type="character" w:customStyle="1" w:styleId="11">
    <w:name w:val="Heading 1 Char"/>
    <w:basedOn w:val="4"/>
    <w:link w:val="2"/>
    <w:qFormat/>
    <w:uiPriority w:val="9"/>
    <w:rPr>
      <w:rFonts w:ascii="Times New Roman" w:hAnsi="Times New Roman" w:eastAsiaTheme="majorEastAsia" w:cstheme="majorBidi"/>
      <w:b/>
      <w:sz w:val="32"/>
      <w:szCs w:val="32"/>
    </w:rPr>
  </w:style>
  <w:style w:type="character" w:customStyle="1" w:styleId="12">
    <w:name w:val="Heading 2 Char"/>
    <w:basedOn w:val="4"/>
    <w:link w:val="3"/>
    <w:semiHidden/>
    <w:uiPriority w:val="9"/>
    <w:rPr>
      <w:rFonts w:ascii="Times New Roman" w:hAnsi="Times New Roman" w:eastAsiaTheme="majorEastAsia" w:cstheme="majorBidi"/>
      <w:b/>
      <w:sz w:val="28"/>
      <w:szCs w:val="26"/>
    </w:rPr>
  </w:style>
  <w:style w:type="character" w:customStyle="1" w:styleId="13">
    <w:name w:val="Header Char"/>
    <w:basedOn w:val="4"/>
    <w:link w:val="8"/>
    <w:uiPriority w:val="99"/>
    <w:rPr>
      <w:rFonts w:ascii="Times New Roman" w:hAnsi="Times New Roman"/>
      <w:sz w:val="24"/>
    </w:rPr>
  </w:style>
  <w:style w:type="character" w:customStyle="1" w:styleId="14">
    <w:name w:val="Footer Char"/>
    <w:basedOn w:val="4"/>
    <w:link w:val="7"/>
    <w:uiPriority w:val="99"/>
    <w:rPr>
      <w:rFonts w:ascii="Times New Roman" w:hAnsi="Times New Roman"/>
      <w:sz w:val="24"/>
    </w:rPr>
  </w:style>
  <w:style w:type="paragraph" w:styleId="15">
    <w:name w:val="No Spacing"/>
    <w:qFormat/>
    <w:uiPriority w:val="1"/>
    <w:pPr>
      <w:spacing w:after="0" w:line="240" w:lineRule="auto"/>
      <w:jc w:val="both"/>
    </w:pPr>
    <w:rPr>
      <w:rFonts w:ascii="Times New Roman" w:hAnsi="Times New Roman" w:eastAsiaTheme="minorHAnsi" w:cstheme="minorBidi"/>
      <w:kern w:val="2"/>
      <w:sz w:val="24"/>
      <w:szCs w:val="22"/>
      <w:lang w:val="en-US" w:eastAsia="en-US" w:bidi="ar-SA"/>
      <w14:ligatures w14:val="standardContextual"/>
    </w:rPr>
  </w:style>
  <w:style w:type="paragraph" w:styleId="16">
    <w:name w:val="List Paragraph"/>
    <w:basedOn w:val="1"/>
    <w:qFormat/>
    <w:uiPriority w:val="34"/>
    <w:pPr>
      <w:ind w:left="720"/>
      <w:contextualSpacing/>
    </w:pPr>
  </w:style>
  <w:style w:type="paragraph" w:customStyle="1" w:styleId="17">
    <w:name w:val="TOC Heading"/>
    <w:basedOn w:val="2"/>
    <w:next w:val="1"/>
    <w:unhideWhenUsed/>
    <w:qFormat/>
    <w:uiPriority w:val="39"/>
    <w:pPr>
      <w:spacing w:line="259" w:lineRule="auto"/>
      <w:jc w:val="left"/>
      <w:outlineLvl w:val="9"/>
    </w:pPr>
    <w:rPr>
      <w:rFonts w:asciiTheme="majorHAnsi" w:hAnsiTheme="majorHAnsi"/>
      <w:b w:val="0"/>
      <w:color w:val="2F5597" w:themeColor="accent1" w:themeShade="BF"/>
      <w:kern w:val="0"/>
      <w14:ligatures w14:val="none"/>
    </w:rPr>
  </w:style>
</w:styles>
</file>

<file path=word/_rels/document.xml.rels><?xml version="1.0" encoding="UTF-8" standalone="yes"?>
<Relationships xmlns="http://schemas.openxmlformats.org/package/2006/relationships"><Relationship Id="rId9" Type="http://schemas.openxmlformats.org/officeDocument/2006/relationships/diagramQuickStyle" Target="diagrams/quickStyle1.xml"/><Relationship Id="rId8" Type="http://schemas.openxmlformats.org/officeDocument/2006/relationships/diagramLayout" Target="diagrams/layout1.xml"/><Relationship Id="rId7" Type="http://schemas.openxmlformats.org/officeDocument/2006/relationships/diagramData" Target="diagrams/data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image" Target="media/image1.png"/><Relationship Id="rId11" Type="http://schemas.microsoft.com/office/2007/relationships/diagramDrawing" Target="diagrams/drawing1.xml"/><Relationship Id="rId10" Type="http://schemas.openxmlformats.org/officeDocument/2006/relationships/diagramColors" Target="diagrams/colors1.xml"/><Relationship Id="rId1"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colorsDef>
</file>

<file path=word/diagrams/data1.xml><?xml version="1.0" encoding="utf-8"?>
<dgm:dataModel xmlns:dgm="http://schemas.openxmlformats.org/drawingml/2006/diagram" xmlns:a="http://schemas.openxmlformats.org/drawingml/2006/main">
  <dgm:ptLst>
    <dgm:pt modelId="{0E68535B-4A8C-43CF-9257-A19481B6D43A}" type="doc">
      <dgm:prSet loTypeId="urn:microsoft.com/office/officeart/2005/8/layout/process1" loCatId="process" qsTypeId="urn:microsoft.com/office/officeart/2005/8/quickstyle/simple1" qsCatId="simple" csTypeId="urn:microsoft.com/office/officeart/2005/8/colors/colorful1" csCatId="colorful" phldr="1"/>
      <dgm:spPr/>
    </dgm:pt>
    <dgm:pt modelId="{670BE9FB-6451-44AB-B5F4-C271CC42AFAE}">
      <dgm:prSet phldrT="[Text]" custT="1"/>
      <dgm:spPr/>
      <dgm:t>
        <a:bodyPr/>
        <a:p>
          <a:r>
            <a:rPr lang="en-US" sz="1100">
              <a:latin typeface="Times New Roman" panose="02020603050405020304" charset="0"/>
              <a:cs typeface="Times New Roman" panose="02020603050405020304" charset="0"/>
            </a:rPr>
            <a:t>Cost-effective</a:t>
          </a:r>
        </a:p>
      </dgm:t>
    </dgm:pt>
    <dgm:pt modelId="{E3132C64-2F7F-47D1-9526-4B791F278B60}" cxnId="{A92042A1-32AC-4272-A77C-2059552F0236}" type="parTrans">
      <dgm:prSet/>
      <dgm:spPr/>
      <dgm:t>
        <a:bodyPr/>
        <a:p>
          <a:endParaRPr lang="en-US"/>
        </a:p>
      </dgm:t>
    </dgm:pt>
    <dgm:pt modelId="{90823521-66D3-4CD2-AA79-B4753F265AD9}" cxnId="{A92042A1-32AC-4272-A77C-2059552F0236}" type="sibTrans">
      <dgm:prSet/>
      <dgm:spPr/>
      <dgm:t>
        <a:bodyPr/>
        <a:p>
          <a:endParaRPr lang="en-US"/>
        </a:p>
      </dgm:t>
    </dgm:pt>
    <dgm:pt modelId="{6FC4AFF1-9E9D-4ADE-9AF2-F2F9975A3BB6}">
      <dgm:prSet phldrT="[Text]" custT="1"/>
      <dgm:spPr/>
      <dgm:t>
        <a:bodyPr/>
        <a:p>
          <a:r>
            <a:rPr lang="en-US" sz="1100">
              <a:latin typeface="Times New Roman" panose="02020603050405020304" charset="0"/>
              <a:cs typeface="Times New Roman" panose="02020603050405020304" charset="0"/>
            </a:rPr>
            <a:t>Convenient and flexible access </a:t>
          </a:r>
        </a:p>
      </dgm:t>
    </dgm:pt>
    <dgm:pt modelId="{381DF362-03ED-43CD-B4F5-30C953843B97}" cxnId="{6B5C1930-08AA-4C71-8A41-8DCB6B21E67B}" type="parTrans">
      <dgm:prSet/>
      <dgm:spPr/>
      <dgm:t>
        <a:bodyPr/>
        <a:p>
          <a:endParaRPr lang="en-US"/>
        </a:p>
      </dgm:t>
    </dgm:pt>
    <dgm:pt modelId="{AEA13ED9-E470-45DD-91BC-8B0B2E3B1676}" cxnId="{6B5C1930-08AA-4C71-8A41-8DCB6B21E67B}" type="sibTrans">
      <dgm:prSet/>
      <dgm:spPr/>
      <dgm:t>
        <a:bodyPr/>
        <a:p>
          <a:endParaRPr lang="en-US"/>
        </a:p>
      </dgm:t>
    </dgm:pt>
    <dgm:pt modelId="{3AC59CDB-FD48-4B33-90E1-B58533A73A06}">
      <dgm:prSet phldrT="[Text]" custT="1"/>
      <dgm:spPr/>
      <dgm:t>
        <a:bodyPr/>
        <a:p>
          <a:r>
            <a:rPr lang="en-US" sz="1100">
              <a:latin typeface="Times New Roman" panose="02020603050405020304" charset="0"/>
              <a:cs typeface="Times New Roman" panose="02020603050405020304" charset="0"/>
            </a:rPr>
            <a:t>Self-driven and self-paced</a:t>
          </a:r>
        </a:p>
      </dgm:t>
    </dgm:pt>
    <dgm:pt modelId="{F769FF4A-4FF1-4C18-B8DE-D4395EE1CD0B}" cxnId="{E4EFAEA9-2C09-4C55-B8C7-5B19080EF821}" type="parTrans">
      <dgm:prSet/>
      <dgm:spPr/>
      <dgm:t>
        <a:bodyPr/>
        <a:p>
          <a:endParaRPr lang="en-US"/>
        </a:p>
      </dgm:t>
    </dgm:pt>
    <dgm:pt modelId="{7090D302-2F8D-449F-BE5D-FB3307868042}" cxnId="{E4EFAEA9-2C09-4C55-B8C7-5B19080EF821}" type="sibTrans">
      <dgm:prSet/>
      <dgm:spPr/>
      <dgm:t>
        <a:bodyPr/>
        <a:p>
          <a:endParaRPr lang="en-US"/>
        </a:p>
      </dgm:t>
    </dgm:pt>
    <dgm:pt modelId="{DED5E13B-0F94-4984-8E5D-117845DB001B}">
      <dgm:prSet phldrT="[Text]" custT="1"/>
      <dgm:spPr/>
      <dgm:t>
        <a:bodyPr/>
        <a:p>
          <a:r>
            <a:rPr lang="en-US" sz="1100">
              <a:latin typeface="Times New Roman" panose="02020603050405020304" charset="0"/>
              <a:cs typeface="Times New Roman" panose="02020603050405020304" charset="0"/>
            </a:rPr>
            <a:t>Wide range of resources </a:t>
          </a:r>
        </a:p>
      </dgm:t>
    </dgm:pt>
    <dgm:pt modelId="{29C0B232-3A4B-4041-9BB7-30741A272073}" cxnId="{296FC98B-A89E-48F7-9D36-CF0AE81006FC}" type="parTrans">
      <dgm:prSet/>
      <dgm:spPr/>
      <dgm:t>
        <a:bodyPr/>
        <a:p>
          <a:endParaRPr lang="en-US"/>
        </a:p>
      </dgm:t>
    </dgm:pt>
    <dgm:pt modelId="{8A4E81DF-3F29-40C0-A591-76B7E26F2E84}" cxnId="{296FC98B-A89E-48F7-9D36-CF0AE81006FC}" type="sibTrans">
      <dgm:prSet/>
      <dgm:spPr/>
      <dgm:t>
        <a:bodyPr/>
        <a:p>
          <a:endParaRPr lang="en-US"/>
        </a:p>
      </dgm:t>
    </dgm:pt>
    <dgm:pt modelId="{79027CA1-94D6-430C-8B4E-E2F41BEBD01C}">
      <dgm:prSet phldrT="[Text]" custT="1"/>
      <dgm:spPr/>
      <dgm:t>
        <a:bodyPr/>
        <a:p>
          <a:r>
            <a:rPr lang="en-US" sz="1100">
              <a:latin typeface="Times New Roman" panose="02020603050405020304" charset="0"/>
              <a:cs typeface="Times New Roman" panose="02020603050405020304" charset="0"/>
            </a:rPr>
            <a:t>Immediate feedback and recognition </a:t>
          </a:r>
        </a:p>
      </dgm:t>
    </dgm:pt>
    <dgm:pt modelId="{9C732390-A9D3-4ED2-8FA2-9CAA2C0E2363}" cxnId="{DF8444BF-AD1E-42D3-BDBF-75E151008627}" type="parTrans">
      <dgm:prSet/>
      <dgm:spPr/>
      <dgm:t>
        <a:bodyPr/>
        <a:p>
          <a:endParaRPr lang="en-US"/>
        </a:p>
      </dgm:t>
    </dgm:pt>
    <dgm:pt modelId="{8DE79DED-5113-4389-B980-BC98B263841E}" cxnId="{DF8444BF-AD1E-42D3-BDBF-75E151008627}" type="sibTrans">
      <dgm:prSet/>
      <dgm:spPr/>
      <dgm:t>
        <a:bodyPr/>
        <a:p>
          <a:endParaRPr lang="en-US"/>
        </a:p>
      </dgm:t>
    </dgm:pt>
    <dgm:pt modelId="{A4FF4C6D-FF47-4EFE-AE29-2F51D842DC20}" type="pres">
      <dgm:prSet presAssocID="{0E68535B-4A8C-43CF-9257-A19481B6D43A}" presName="Name0" presStyleCnt="0">
        <dgm:presLayoutVars>
          <dgm:dir/>
          <dgm:resizeHandles val="exact"/>
        </dgm:presLayoutVars>
      </dgm:prSet>
      <dgm:spPr/>
    </dgm:pt>
    <dgm:pt modelId="{8D621111-7B3C-47C5-8B49-FC7A427F347E}" type="pres">
      <dgm:prSet presAssocID="{670BE9FB-6451-44AB-B5F4-C271CC42AFAE}" presName="node" presStyleLbl="node1" presStyleIdx="0" presStyleCnt="5">
        <dgm:presLayoutVars>
          <dgm:bulletEnabled val="1"/>
        </dgm:presLayoutVars>
      </dgm:prSet>
      <dgm:spPr/>
    </dgm:pt>
    <dgm:pt modelId="{7C9FDE16-CC91-4CD4-ACFA-B78C9FF6C3D3}" type="pres">
      <dgm:prSet presAssocID="{90823521-66D3-4CD2-AA79-B4753F265AD9}" presName="sibTrans" presStyleLbl="sibTrans2D1" presStyleIdx="0" presStyleCnt="4"/>
      <dgm:spPr/>
    </dgm:pt>
    <dgm:pt modelId="{4AD0C3A6-92AE-4EA4-908C-ADAA5E74C09A}" type="pres">
      <dgm:prSet presAssocID="{90823521-66D3-4CD2-AA79-B4753F265AD9}" presName="connectorText" presStyleLbl="sibTrans2D1" presStyleIdx="0" presStyleCnt="4"/>
      <dgm:spPr/>
    </dgm:pt>
    <dgm:pt modelId="{55D5B3BF-637D-47EF-8F38-9B8C72BF7135}" type="pres">
      <dgm:prSet presAssocID="{6FC4AFF1-9E9D-4ADE-9AF2-F2F9975A3BB6}" presName="node" presStyleLbl="node1" presStyleIdx="1" presStyleCnt="5">
        <dgm:presLayoutVars>
          <dgm:bulletEnabled val="1"/>
        </dgm:presLayoutVars>
      </dgm:prSet>
      <dgm:spPr/>
    </dgm:pt>
    <dgm:pt modelId="{F4065399-785F-494E-8E32-5D63E8D0CA9A}" type="pres">
      <dgm:prSet presAssocID="{AEA13ED9-E470-45DD-91BC-8B0B2E3B1676}" presName="sibTrans" presStyleLbl="sibTrans2D1" presStyleIdx="1" presStyleCnt="4"/>
      <dgm:spPr/>
    </dgm:pt>
    <dgm:pt modelId="{35B571D6-34B3-4375-A11C-85529B4F4146}" type="pres">
      <dgm:prSet presAssocID="{AEA13ED9-E470-45DD-91BC-8B0B2E3B1676}" presName="connectorText" presStyleLbl="sibTrans2D1" presStyleIdx="1" presStyleCnt="4"/>
      <dgm:spPr/>
    </dgm:pt>
    <dgm:pt modelId="{D72CC41D-D8DC-49A3-BFE8-6EF731363083}" type="pres">
      <dgm:prSet presAssocID="{3AC59CDB-FD48-4B33-90E1-B58533A73A06}" presName="node" presStyleLbl="node1" presStyleIdx="2" presStyleCnt="5">
        <dgm:presLayoutVars>
          <dgm:bulletEnabled val="1"/>
        </dgm:presLayoutVars>
      </dgm:prSet>
      <dgm:spPr/>
    </dgm:pt>
    <dgm:pt modelId="{B339037B-D4D7-4573-8731-1E2CE770CFD2}" type="pres">
      <dgm:prSet presAssocID="{7090D302-2F8D-449F-BE5D-FB3307868042}" presName="sibTrans" presStyleLbl="sibTrans2D1" presStyleIdx="2" presStyleCnt="4"/>
      <dgm:spPr/>
    </dgm:pt>
    <dgm:pt modelId="{20FCD821-59F1-4B9B-840D-BAD8CCA5B058}" type="pres">
      <dgm:prSet presAssocID="{7090D302-2F8D-449F-BE5D-FB3307868042}" presName="connectorText" presStyleLbl="sibTrans2D1" presStyleIdx="2" presStyleCnt="4"/>
      <dgm:spPr/>
    </dgm:pt>
    <dgm:pt modelId="{B7015C1F-6C16-49BD-9162-2B4DB25B80A0}" type="pres">
      <dgm:prSet presAssocID="{DED5E13B-0F94-4984-8E5D-117845DB001B}" presName="node" presStyleLbl="node1" presStyleIdx="3" presStyleCnt="5">
        <dgm:presLayoutVars>
          <dgm:bulletEnabled val="1"/>
        </dgm:presLayoutVars>
      </dgm:prSet>
      <dgm:spPr/>
    </dgm:pt>
    <dgm:pt modelId="{72AA2259-5458-479E-8BB1-1E3052BA565F}" type="pres">
      <dgm:prSet presAssocID="{8A4E81DF-3F29-40C0-A591-76B7E26F2E84}" presName="sibTrans" presStyleLbl="sibTrans2D1" presStyleIdx="3" presStyleCnt="4"/>
      <dgm:spPr/>
    </dgm:pt>
    <dgm:pt modelId="{189F3BA9-E1F0-40C5-AC95-AEFF835A37C3}" type="pres">
      <dgm:prSet presAssocID="{8A4E81DF-3F29-40C0-A591-76B7E26F2E84}" presName="connectorText" presStyleLbl="sibTrans2D1" presStyleIdx="3" presStyleCnt="4"/>
      <dgm:spPr/>
    </dgm:pt>
    <dgm:pt modelId="{5F2E727D-932F-4456-A877-BFF71B002142}" type="pres">
      <dgm:prSet presAssocID="{79027CA1-94D6-430C-8B4E-E2F41BEBD01C}" presName="node" presStyleLbl="node1" presStyleIdx="4" presStyleCnt="5">
        <dgm:presLayoutVars>
          <dgm:bulletEnabled val="1"/>
        </dgm:presLayoutVars>
      </dgm:prSet>
      <dgm:spPr/>
    </dgm:pt>
  </dgm:ptLst>
  <dgm:cxnLst>
    <dgm:cxn modelId="{8BE4CE08-9878-4B33-8BC8-165933853871}" type="presOf" srcId="{7090D302-2F8D-449F-BE5D-FB3307868042}" destId="{B339037B-D4D7-4573-8731-1E2CE770CFD2}" srcOrd="0" destOrd="0" presId="urn:microsoft.com/office/officeart/2005/8/layout/process1"/>
    <dgm:cxn modelId="{1B81780A-7B7F-49DC-B2C7-3467989A5D94}" type="presOf" srcId="{8A4E81DF-3F29-40C0-A591-76B7E26F2E84}" destId="{72AA2259-5458-479E-8BB1-1E3052BA565F}" srcOrd="0" destOrd="0" presId="urn:microsoft.com/office/officeart/2005/8/layout/process1"/>
    <dgm:cxn modelId="{1EBF691A-821A-4091-9178-6B3C2C40F990}" type="presOf" srcId="{79027CA1-94D6-430C-8B4E-E2F41BEBD01C}" destId="{5F2E727D-932F-4456-A877-BFF71B002142}" srcOrd="0" destOrd="0" presId="urn:microsoft.com/office/officeart/2005/8/layout/process1"/>
    <dgm:cxn modelId="{6CF22D1C-1F3C-45B8-9D96-ECB874998C61}" type="presOf" srcId="{670BE9FB-6451-44AB-B5F4-C271CC42AFAE}" destId="{8D621111-7B3C-47C5-8B49-FC7A427F347E}" srcOrd="0" destOrd="0" presId="urn:microsoft.com/office/officeart/2005/8/layout/process1"/>
    <dgm:cxn modelId="{10659323-D9A0-4D01-85ED-C4AFF46A672A}" type="presOf" srcId="{6FC4AFF1-9E9D-4ADE-9AF2-F2F9975A3BB6}" destId="{55D5B3BF-637D-47EF-8F38-9B8C72BF7135}" srcOrd="0" destOrd="0" presId="urn:microsoft.com/office/officeart/2005/8/layout/process1"/>
    <dgm:cxn modelId="{C2840928-F38A-4801-A894-FF5869061202}" type="presOf" srcId="{AEA13ED9-E470-45DD-91BC-8B0B2E3B1676}" destId="{F4065399-785F-494E-8E32-5D63E8D0CA9A}" srcOrd="0" destOrd="0" presId="urn:microsoft.com/office/officeart/2005/8/layout/process1"/>
    <dgm:cxn modelId="{6B5C1930-08AA-4C71-8A41-8DCB6B21E67B}" srcId="{0E68535B-4A8C-43CF-9257-A19481B6D43A}" destId="{6FC4AFF1-9E9D-4ADE-9AF2-F2F9975A3BB6}" srcOrd="1" destOrd="0" parTransId="{381DF362-03ED-43CD-B4F5-30C953843B97}" sibTransId="{AEA13ED9-E470-45DD-91BC-8B0B2E3B1676}"/>
    <dgm:cxn modelId="{60E06B3C-A3CE-480A-8A3B-8A738C0C8D12}" type="presOf" srcId="{90823521-66D3-4CD2-AA79-B4753F265AD9}" destId="{4AD0C3A6-92AE-4EA4-908C-ADAA5E74C09A}" srcOrd="1" destOrd="0" presId="urn:microsoft.com/office/officeart/2005/8/layout/process1"/>
    <dgm:cxn modelId="{83834548-ACB9-482D-9EB9-75F28E8170DB}" type="presOf" srcId="{DED5E13B-0F94-4984-8E5D-117845DB001B}" destId="{B7015C1F-6C16-49BD-9162-2B4DB25B80A0}" srcOrd="0" destOrd="0" presId="urn:microsoft.com/office/officeart/2005/8/layout/process1"/>
    <dgm:cxn modelId="{A6BA5448-3318-4E5F-83F2-B28E666C772A}" type="presOf" srcId="{AEA13ED9-E470-45DD-91BC-8B0B2E3B1676}" destId="{35B571D6-34B3-4375-A11C-85529B4F4146}" srcOrd="1" destOrd="0" presId="urn:microsoft.com/office/officeart/2005/8/layout/process1"/>
    <dgm:cxn modelId="{296FC98B-A89E-48F7-9D36-CF0AE81006FC}" srcId="{0E68535B-4A8C-43CF-9257-A19481B6D43A}" destId="{DED5E13B-0F94-4984-8E5D-117845DB001B}" srcOrd="3" destOrd="0" parTransId="{29C0B232-3A4B-4041-9BB7-30741A272073}" sibTransId="{8A4E81DF-3F29-40C0-A591-76B7E26F2E84}"/>
    <dgm:cxn modelId="{A92042A1-32AC-4272-A77C-2059552F0236}" srcId="{0E68535B-4A8C-43CF-9257-A19481B6D43A}" destId="{670BE9FB-6451-44AB-B5F4-C271CC42AFAE}" srcOrd="0" destOrd="0" parTransId="{E3132C64-2F7F-47D1-9526-4B791F278B60}" sibTransId="{90823521-66D3-4CD2-AA79-B4753F265AD9}"/>
    <dgm:cxn modelId="{B0940EA3-36FA-4A70-A145-9501D5AC0DD7}" type="presOf" srcId="{7090D302-2F8D-449F-BE5D-FB3307868042}" destId="{20FCD821-59F1-4B9B-840D-BAD8CCA5B058}" srcOrd="1" destOrd="0" presId="urn:microsoft.com/office/officeart/2005/8/layout/process1"/>
    <dgm:cxn modelId="{E4EFAEA9-2C09-4C55-B8C7-5B19080EF821}" srcId="{0E68535B-4A8C-43CF-9257-A19481B6D43A}" destId="{3AC59CDB-FD48-4B33-90E1-B58533A73A06}" srcOrd="2" destOrd="0" parTransId="{F769FF4A-4FF1-4C18-B8DE-D4395EE1CD0B}" sibTransId="{7090D302-2F8D-449F-BE5D-FB3307868042}"/>
    <dgm:cxn modelId="{4D8D43AC-256F-4504-A13D-2ADE02DCA6ED}" type="presOf" srcId="{0E68535B-4A8C-43CF-9257-A19481B6D43A}" destId="{A4FF4C6D-FF47-4EFE-AE29-2F51D842DC20}" srcOrd="0" destOrd="0" presId="urn:microsoft.com/office/officeart/2005/8/layout/process1"/>
    <dgm:cxn modelId="{DF8444BF-AD1E-42D3-BDBF-75E151008627}" srcId="{0E68535B-4A8C-43CF-9257-A19481B6D43A}" destId="{79027CA1-94D6-430C-8B4E-E2F41BEBD01C}" srcOrd="4" destOrd="0" parTransId="{9C732390-A9D3-4ED2-8FA2-9CAA2C0E2363}" sibTransId="{8DE79DED-5113-4389-B980-BC98B263841E}"/>
    <dgm:cxn modelId="{C890D9D7-5BAA-4238-B362-0F80D6C5508D}" type="presOf" srcId="{8A4E81DF-3F29-40C0-A591-76B7E26F2E84}" destId="{189F3BA9-E1F0-40C5-AC95-AEFF835A37C3}" srcOrd="1" destOrd="0" presId="urn:microsoft.com/office/officeart/2005/8/layout/process1"/>
    <dgm:cxn modelId="{79ED85E0-6798-44B6-812F-75733025EF5A}" type="presOf" srcId="{3AC59CDB-FD48-4B33-90E1-B58533A73A06}" destId="{D72CC41D-D8DC-49A3-BFE8-6EF731363083}" srcOrd="0" destOrd="0" presId="urn:microsoft.com/office/officeart/2005/8/layout/process1"/>
    <dgm:cxn modelId="{ABC12FE8-506F-49F8-8C92-B949EB33B305}" type="presOf" srcId="{90823521-66D3-4CD2-AA79-B4753F265AD9}" destId="{7C9FDE16-CC91-4CD4-ACFA-B78C9FF6C3D3}" srcOrd="0" destOrd="0" presId="urn:microsoft.com/office/officeart/2005/8/layout/process1"/>
    <dgm:cxn modelId="{712A28DA-CD86-47F5-A680-15354298E44E}" type="presParOf" srcId="{A4FF4C6D-FF47-4EFE-AE29-2F51D842DC20}" destId="{8D621111-7B3C-47C5-8B49-FC7A427F347E}" srcOrd="0" destOrd="0" presId="urn:microsoft.com/office/officeart/2005/8/layout/process1"/>
    <dgm:cxn modelId="{B4CB88C3-2EB1-48C5-863F-278C5B6597BB}" type="presParOf" srcId="{A4FF4C6D-FF47-4EFE-AE29-2F51D842DC20}" destId="{7C9FDE16-CC91-4CD4-ACFA-B78C9FF6C3D3}" srcOrd="1" destOrd="0" presId="urn:microsoft.com/office/officeart/2005/8/layout/process1"/>
    <dgm:cxn modelId="{9C3FE4E8-4068-48C4-B5C2-23F58E0DDFD7}" type="presParOf" srcId="{7C9FDE16-CC91-4CD4-ACFA-B78C9FF6C3D3}" destId="{4AD0C3A6-92AE-4EA4-908C-ADAA5E74C09A}" srcOrd="0" destOrd="0" presId="urn:microsoft.com/office/officeart/2005/8/layout/process1"/>
    <dgm:cxn modelId="{3AB02832-E720-48AF-B7FD-B43AC78D1B6F}" type="presParOf" srcId="{A4FF4C6D-FF47-4EFE-AE29-2F51D842DC20}" destId="{55D5B3BF-637D-47EF-8F38-9B8C72BF7135}" srcOrd="2" destOrd="0" presId="urn:microsoft.com/office/officeart/2005/8/layout/process1"/>
    <dgm:cxn modelId="{FB38B4B8-8E4C-4036-B8C2-E6BF1FC337D4}" type="presParOf" srcId="{A4FF4C6D-FF47-4EFE-AE29-2F51D842DC20}" destId="{F4065399-785F-494E-8E32-5D63E8D0CA9A}" srcOrd="3" destOrd="0" presId="urn:microsoft.com/office/officeart/2005/8/layout/process1"/>
    <dgm:cxn modelId="{B29E22A4-721F-427F-834D-857FC6D623A6}" type="presParOf" srcId="{F4065399-785F-494E-8E32-5D63E8D0CA9A}" destId="{35B571D6-34B3-4375-A11C-85529B4F4146}" srcOrd="0" destOrd="0" presId="urn:microsoft.com/office/officeart/2005/8/layout/process1"/>
    <dgm:cxn modelId="{97A7C4E0-ACC8-4FA2-AC68-988879B19289}" type="presParOf" srcId="{A4FF4C6D-FF47-4EFE-AE29-2F51D842DC20}" destId="{D72CC41D-D8DC-49A3-BFE8-6EF731363083}" srcOrd="4" destOrd="0" presId="urn:microsoft.com/office/officeart/2005/8/layout/process1"/>
    <dgm:cxn modelId="{D424538D-9072-4FEE-BE91-547E394819C6}" type="presParOf" srcId="{A4FF4C6D-FF47-4EFE-AE29-2F51D842DC20}" destId="{B339037B-D4D7-4573-8731-1E2CE770CFD2}" srcOrd="5" destOrd="0" presId="urn:microsoft.com/office/officeart/2005/8/layout/process1"/>
    <dgm:cxn modelId="{361F6DF9-6899-49FB-97CE-E31FC6EFF0EF}" type="presParOf" srcId="{B339037B-D4D7-4573-8731-1E2CE770CFD2}" destId="{20FCD821-59F1-4B9B-840D-BAD8CCA5B058}" srcOrd="0" destOrd="0" presId="urn:microsoft.com/office/officeart/2005/8/layout/process1"/>
    <dgm:cxn modelId="{C0087113-50DC-4B72-BB7C-058A24249CEE}" type="presParOf" srcId="{A4FF4C6D-FF47-4EFE-AE29-2F51D842DC20}" destId="{B7015C1F-6C16-49BD-9162-2B4DB25B80A0}" srcOrd="6" destOrd="0" presId="urn:microsoft.com/office/officeart/2005/8/layout/process1"/>
    <dgm:cxn modelId="{B945E9D3-4BE3-41D6-A4E9-011B72131ACC}" type="presParOf" srcId="{A4FF4C6D-FF47-4EFE-AE29-2F51D842DC20}" destId="{72AA2259-5458-479E-8BB1-1E3052BA565F}" srcOrd="7" destOrd="0" presId="urn:microsoft.com/office/officeart/2005/8/layout/process1"/>
    <dgm:cxn modelId="{0419897C-6EFC-4C73-A5E2-C34F0274C621}" type="presParOf" srcId="{72AA2259-5458-479E-8BB1-1E3052BA565F}" destId="{189F3BA9-E1F0-40C5-AC95-AEFF835A37C3}" srcOrd="0" destOrd="0" presId="urn:microsoft.com/office/officeart/2005/8/layout/process1"/>
    <dgm:cxn modelId="{22D01CB7-EF82-48A6-BBA7-24BB615915C3}" type="presParOf" srcId="{A4FF4C6D-FF47-4EFE-AE29-2F51D842DC20}" destId="{5F2E727D-932F-4456-A877-BFF71B002142}" srcOrd="8" destOrd="0" presId="urn:microsoft.com/office/officeart/2005/8/layout/process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xmlns:r="http://schemas.openxmlformats.org/officeDocument/2006/relationships">
  <dsp:spTree>
    <dsp:nvGrpSpPr>
      <dsp:cNvPr id="2" name="Group 1"/>
      <dsp:cNvGrpSpPr/>
    </dsp:nvGrpSpPr>
    <dsp:grpSpPr>
      <a:xfrm>
        <a:off x="0" y="0"/>
        <a:ext cx="5899150" cy="1619250"/>
        <a:chOff x="0" y="0"/>
        <a:chExt cx="5899150" cy="1619250"/>
      </a:xfrm>
    </dsp:grpSpPr>
    <dsp:sp modelId="{8D621111-7B3C-47C5-8B49-FC7A427F347E}">
      <dsp:nvSpPr>
        <dsp:cNvPr id="3" name="Rounded Rectangle 2"/>
        <dsp:cNvSpPr/>
      </dsp:nvSpPr>
      <dsp:spPr bwMode="white">
        <a:xfrm>
          <a:off x="0" y="541482"/>
          <a:ext cx="893811" cy="536286"/>
        </a:xfrm>
        <a:prstGeom prst="roundRect">
          <a:avLst>
            <a:gd name="adj" fmla="val 10000"/>
          </a:avLst>
        </a:prstGeom>
      </dsp:spPr>
      <dsp:style>
        <a:lnRef idx="2">
          <a:schemeClr val="lt1"/>
        </a:lnRef>
        <a:fillRef idx="1">
          <a:schemeClr val="accent2"/>
        </a:fillRef>
        <a:effectRef idx="0">
          <a:scrgbClr r="0" g="0" b="0"/>
        </a:effectRef>
        <a:fontRef idx="minor">
          <a:schemeClr val="lt1"/>
        </a:fontRef>
      </dsp:style>
      <dsp:txBody>
        <a:bodyPr lIns="41910" tIns="41910" rIns="41910" bIns="41910"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nSpc>
              <a:spcPct val="100000"/>
            </a:lnSpc>
            <a:spcBef>
              <a:spcPct val="0"/>
            </a:spcBef>
            <a:spcAft>
              <a:spcPct val="35000"/>
            </a:spcAft>
          </a:pPr>
          <a:r>
            <a:rPr lang="en-US" sz="1100">
              <a:latin typeface="Times New Roman" panose="02020603050405020304" charset="0"/>
              <a:cs typeface="Times New Roman" panose="02020603050405020304" charset="0"/>
            </a:rPr>
            <a:t>Cost-effective</a:t>
          </a:r>
        </a:p>
      </dsp:txBody>
      <dsp:txXfrm>
        <a:off x="0" y="541482"/>
        <a:ext cx="893811" cy="536286"/>
      </dsp:txXfrm>
    </dsp:sp>
    <dsp:sp modelId="{7C9FDE16-CC91-4CD4-ACFA-B78C9FF6C3D3}">
      <dsp:nvSpPr>
        <dsp:cNvPr id="4" name="Right Arrow 3"/>
        <dsp:cNvSpPr/>
      </dsp:nvSpPr>
      <dsp:spPr bwMode="white">
        <a:xfrm>
          <a:off x="977829" y="698792"/>
          <a:ext cx="189488" cy="221665"/>
        </a:xfrm>
        <a:prstGeom prst="rightArrow">
          <a:avLst>
            <a:gd name="adj1" fmla="val 60000"/>
            <a:gd name="adj2" fmla="val 50000"/>
          </a:avLst>
        </a:prstGeom>
      </dsp:spPr>
      <dsp:style>
        <a:lnRef idx="0">
          <a:schemeClr val="lt1">
            <a:hueOff val="0"/>
            <a:satOff val="0"/>
            <a:lumOff val="0"/>
            <a:alpha val="100000"/>
          </a:schemeClr>
        </a:lnRef>
        <a:fillRef idx="1">
          <a:schemeClr val="accent2"/>
        </a:fillRef>
        <a:effectRef idx="0">
          <a:scrgbClr r="0" g="0" b="0"/>
        </a:effectRef>
        <a:fontRef idx="minor">
          <a:schemeClr val="lt1"/>
        </a:fontRef>
      </dsp:style>
      <dsp:txBody>
        <a:bodyPr lIns="0" tIns="0" rIns="0" bIns="0" anchor="ctr"/>
        <a:lstStyle>
          <a:lvl1pPr algn="ctr">
            <a:defRPr sz="800"/>
          </a:lvl1pPr>
          <a:lvl2pPr marL="57150" indent="-57150" algn="ctr">
            <a:defRPr sz="600"/>
          </a:lvl2pPr>
          <a:lvl3pPr marL="114300" indent="-57150" algn="ctr">
            <a:defRPr sz="600"/>
          </a:lvl3pPr>
          <a:lvl4pPr marL="171450" indent="-57150" algn="ctr">
            <a:defRPr sz="600"/>
          </a:lvl4pPr>
          <a:lvl5pPr marL="228600" indent="-57150" algn="ctr">
            <a:defRPr sz="600"/>
          </a:lvl5pPr>
          <a:lvl6pPr marL="285750" indent="-57150" algn="ctr">
            <a:defRPr sz="600"/>
          </a:lvl6pPr>
          <a:lvl7pPr marL="342900" indent="-57150" algn="ctr">
            <a:defRPr sz="600"/>
          </a:lvl7pPr>
          <a:lvl8pPr marL="400050" indent="-57150" algn="ctr">
            <a:defRPr sz="600"/>
          </a:lvl8pPr>
          <a:lvl9pPr marL="457200" indent="-57150" algn="ctr">
            <a:defRPr sz="600"/>
          </a:lvl9pPr>
        </a:lstStyle>
        <a:p>
          <a:pPr lvl="0">
            <a:lnSpc>
              <a:spcPct val="100000"/>
            </a:lnSpc>
            <a:spcBef>
              <a:spcPct val="0"/>
            </a:spcBef>
            <a:spcAft>
              <a:spcPct val="35000"/>
            </a:spcAft>
          </a:pPr>
          <a:endParaRPr lang="en-US"/>
        </a:p>
      </dsp:txBody>
      <dsp:txXfrm>
        <a:off x="977829" y="698792"/>
        <a:ext cx="189488" cy="221665"/>
      </dsp:txXfrm>
    </dsp:sp>
    <dsp:sp modelId="{55D5B3BF-637D-47EF-8F38-9B8C72BF7135}">
      <dsp:nvSpPr>
        <dsp:cNvPr id="5" name="Rounded Rectangle 4"/>
        <dsp:cNvSpPr/>
      </dsp:nvSpPr>
      <dsp:spPr bwMode="white">
        <a:xfrm>
          <a:off x="1251335" y="541482"/>
          <a:ext cx="893811" cy="536286"/>
        </a:xfrm>
        <a:prstGeom prst="roundRect">
          <a:avLst>
            <a:gd name="adj" fmla="val 10000"/>
          </a:avLst>
        </a:prstGeom>
      </dsp:spPr>
      <dsp:style>
        <a:lnRef idx="2">
          <a:schemeClr val="lt1"/>
        </a:lnRef>
        <a:fillRef idx="1">
          <a:schemeClr val="accent3"/>
        </a:fillRef>
        <a:effectRef idx="0">
          <a:scrgbClr r="0" g="0" b="0"/>
        </a:effectRef>
        <a:fontRef idx="minor">
          <a:schemeClr val="lt1"/>
        </a:fontRef>
      </dsp:style>
      <dsp:txBody>
        <a:bodyPr lIns="41910" tIns="41910" rIns="41910" bIns="41910"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nSpc>
              <a:spcPct val="100000"/>
            </a:lnSpc>
            <a:spcBef>
              <a:spcPct val="0"/>
            </a:spcBef>
            <a:spcAft>
              <a:spcPct val="35000"/>
            </a:spcAft>
          </a:pPr>
          <a:r>
            <a:rPr lang="en-US" sz="1100">
              <a:latin typeface="Times New Roman" panose="02020603050405020304" charset="0"/>
              <a:cs typeface="Times New Roman" panose="02020603050405020304" charset="0"/>
            </a:rPr>
            <a:t>Convenient and flexible access </a:t>
          </a:r>
        </a:p>
      </dsp:txBody>
      <dsp:txXfrm>
        <a:off x="1251335" y="541482"/>
        <a:ext cx="893811" cy="536286"/>
      </dsp:txXfrm>
    </dsp:sp>
    <dsp:sp modelId="{F4065399-785F-494E-8E32-5D63E8D0CA9A}">
      <dsp:nvSpPr>
        <dsp:cNvPr id="6" name="Right Arrow 5"/>
        <dsp:cNvSpPr/>
      </dsp:nvSpPr>
      <dsp:spPr bwMode="white">
        <a:xfrm>
          <a:off x="2229164" y="698792"/>
          <a:ext cx="189488" cy="221665"/>
        </a:xfrm>
        <a:prstGeom prst="rightArrow">
          <a:avLst>
            <a:gd name="adj1" fmla="val 60000"/>
            <a:gd name="adj2" fmla="val 50000"/>
          </a:avLst>
        </a:prstGeom>
      </dsp:spPr>
      <dsp:style>
        <a:lnRef idx="0">
          <a:schemeClr val="lt1">
            <a:hueOff val="0"/>
            <a:satOff val="0"/>
            <a:lumOff val="0"/>
            <a:alpha val="100000"/>
          </a:schemeClr>
        </a:lnRef>
        <a:fillRef idx="1">
          <a:schemeClr val="accent3"/>
        </a:fillRef>
        <a:effectRef idx="0">
          <a:scrgbClr r="0" g="0" b="0"/>
        </a:effectRef>
        <a:fontRef idx="minor">
          <a:schemeClr val="lt1"/>
        </a:fontRef>
      </dsp:style>
      <dsp:txBody>
        <a:bodyPr lIns="0" tIns="0" rIns="0" bIns="0" anchor="ctr"/>
        <a:lstStyle>
          <a:lvl1pPr algn="ctr">
            <a:defRPr sz="800"/>
          </a:lvl1pPr>
          <a:lvl2pPr marL="57150" indent="-57150" algn="ctr">
            <a:defRPr sz="600"/>
          </a:lvl2pPr>
          <a:lvl3pPr marL="114300" indent="-57150" algn="ctr">
            <a:defRPr sz="600"/>
          </a:lvl3pPr>
          <a:lvl4pPr marL="171450" indent="-57150" algn="ctr">
            <a:defRPr sz="600"/>
          </a:lvl4pPr>
          <a:lvl5pPr marL="228600" indent="-57150" algn="ctr">
            <a:defRPr sz="600"/>
          </a:lvl5pPr>
          <a:lvl6pPr marL="285750" indent="-57150" algn="ctr">
            <a:defRPr sz="600"/>
          </a:lvl6pPr>
          <a:lvl7pPr marL="342900" indent="-57150" algn="ctr">
            <a:defRPr sz="600"/>
          </a:lvl7pPr>
          <a:lvl8pPr marL="400050" indent="-57150" algn="ctr">
            <a:defRPr sz="600"/>
          </a:lvl8pPr>
          <a:lvl9pPr marL="457200" indent="-57150" algn="ctr">
            <a:defRPr sz="600"/>
          </a:lvl9pPr>
        </a:lstStyle>
        <a:p>
          <a:pPr lvl="0">
            <a:lnSpc>
              <a:spcPct val="100000"/>
            </a:lnSpc>
            <a:spcBef>
              <a:spcPct val="0"/>
            </a:spcBef>
            <a:spcAft>
              <a:spcPct val="35000"/>
            </a:spcAft>
          </a:pPr>
          <a:endParaRPr lang="en-US"/>
        </a:p>
      </dsp:txBody>
      <dsp:txXfrm>
        <a:off x="2229164" y="698792"/>
        <a:ext cx="189488" cy="221665"/>
      </dsp:txXfrm>
    </dsp:sp>
    <dsp:sp modelId="{D72CC41D-D8DC-49A3-BFE8-6EF731363083}">
      <dsp:nvSpPr>
        <dsp:cNvPr id="7" name="Rounded Rectangle 6"/>
        <dsp:cNvSpPr/>
      </dsp:nvSpPr>
      <dsp:spPr bwMode="white">
        <a:xfrm>
          <a:off x="2502670" y="541482"/>
          <a:ext cx="893811" cy="536286"/>
        </a:xfrm>
        <a:prstGeom prst="roundRect">
          <a:avLst>
            <a:gd name="adj" fmla="val 10000"/>
          </a:avLst>
        </a:prstGeom>
      </dsp:spPr>
      <dsp:style>
        <a:lnRef idx="2">
          <a:schemeClr val="lt1"/>
        </a:lnRef>
        <a:fillRef idx="1">
          <a:schemeClr val="accent4"/>
        </a:fillRef>
        <a:effectRef idx="0">
          <a:scrgbClr r="0" g="0" b="0"/>
        </a:effectRef>
        <a:fontRef idx="minor">
          <a:schemeClr val="lt1"/>
        </a:fontRef>
      </dsp:style>
      <dsp:txBody>
        <a:bodyPr lIns="41910" tIns="41910" rIns="41910" bIns="41910"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nSpc>
              <a:spcPct val="100000"/>
            </a:lnSpc>
            <a:spcBef>
              <a:spcPct val="0"/>
            </a:spcBef>
            <a:spcAft>
              <a:spcPct val="35000"/>
            </a:spcAft>
          </a:pPr>
          <a:r>
            <a:rPr lang="en-US" sz="1100">
              <a:latin typeface="Times New Roman" panose="02020603050405020304" charset="0"/>
              <a:cs typeface="Times New Roman" panose="02020603050405020304" charset="0"/>
            </a:rPr>
            <a:t>Self-driven and self-paced</a:t>
          </a:r>
        </a:p>
      </dsp:txBody>
      <dsp:txXfrm>
        <a:off x="2502670" y="541482"/>
        <a:ext cx="893811" cy="536286"/>
      </dsp:txXfrm>
    </dsp:sp>
    <dsp:sp modelId="{B339037B-D4D7-4573-8731-1E2CE770CFD2}">
      <dsp:nvSpPr>
        <dsp:cNvPr id="8" name="Right Arrow 7"/>
        <dsp:cNvSpPr/>
      </dsp:nvSpPr>
      <dsp:spPr bwMode="white">
        <a:xfrm>
          <a:off x="3480499" y="698792"/>
          <a:ext cx="189488" cy="221665"/>
        </a:xfrm>
        <a:prstGeom prst="rightArrow">
          <a:avLst>
            <a:gd name="adj1" fmla="val 60000"/>
            <a:gd name="adj2" fmla="val 50000"/>
          </a:avLst>
        </a:prstGeom>
      </dsp:spPr>
      <dsp:style>
        <a:lnRef idx="0">
          <a:schemeClr val="lt1">
            <a:hueOff val="0"/>
            <a:satOff val="0"/>
            <a:lumOff val="0"/>
            <a:alpha val="100000"/>
          </a:schemeClr>
        </a:lnRef>
        <a:fillRef idx="1">
          <a:schemeClr val="accent4"/>
        </a:fillRef>
        <a:effectRef idx="0">
          <a:scrgbClr r="0" g="0" b="0"/>
        </a:effectRef>
        <a:fontRef idx="minor">
          <a:schemeClr val="lt1"/>
        </a:fontRef>
      </dsp:style>
      <dsp:txBody>
        <a:bodyPr lIns="0" tIns="0" rIns="0" bIns="0" anchor="ctr"/>
        <a:lstStyle>
          <a:lvl1pPr algn="ctr">
            <a:defRPr sz="800"/>
          </a:lvl1pPr>
          <a:lvl2pPr marL="57150" indent="-57150" algn="ctr">
            <a:defRPr sz="600"/>
          </a:lvl2pPr>
          <a:lvl3pPr marL="114300" indent="-57150" algn="ctr">
            <a:defRPr sz="600"/>
          </a:lvl3pPr>
          <a:lvl4pPr marL="171450" indent="-57150" algn="ctr">
            <a:defRPr sz="600"/>
          </a:lvl4pPr>
          <a:lvl5pPr marL="228600" indent="-57150" algn="ctr">
            <a:defRPr sz="600"/>
          </a:lvl5pPr>
          <a:lvl6pPr marL="285750" indent="-57150" algn="ctr">
            <a:defRPr sz="600"/>
          </a:lvl6pPr>
          <a:lvl7pPr marL="342900" indent="-57150" algn="ctr">
            <a:defRPr sz="600"/>
          </a:lvl7pPr>
          <a:lvl8pPr marL="400050" indent="-57150" algn="ctr">
            <a:defRPr sz="600"/>
          </a:lvl8pPr>
          <a:lvl9pPr marL="457200" indent="-57150" algn="ctr">
            <a:defRPr sz="600"/>
          </a:lvl9pPr>
        </a:lstStyle>
        <a:p>
          <a:pPr lvl="0">
            <a:lnSpc>
              <a:spcPct val="100000"/>
            </a:lnSpc>
            <a:spcBef>
              <a:spcPct val="0"/>
            </a:spcBef>
            <a:spcAft>
              <a:spcPct val="35000"/>
            </a:spcAft>
          </a:pPr>
          <a:endParaRPr lang="en-US"/>
        </a:p>
      </dsp:txBody>
      <dsp:txXfrm>
        <a:off x="3480499" y="698792"/>
        <a:ext cx="189488" cy="221665"/>
      </dsp:txXfrm>
    </dsp:sp>
    <dsp:sp modelId="{B7015C1F-6C16-49BD-9162-2B4DB25B80A0}">
      <dsp:nvSpPr>
        <dsp:cNvPr id="9" name="Rounded Rectangle 8"/>
        <dsp:cNvSpPr/>
      </dsp:nvSpPr>
      <dsp:spPr bwMode="white">
        <a:xfrm>
          <a:off x="3754005" y="541482"/>
          <a:ext cx="893811" cy="536286"/>
        </a:xfrm>
        <a:prstGeom prst="roundRect">
          <a:avLst>
            <a:gd name="adj" fmla="val 10000"/>
          </a:avLst>
        </a:prstGeom>
      </dsp:spPr>
      <dsp:style>
        <a:lnRef idx="2">
          <a:schemeClr val="lt1"/>
        </a:lnRef>
        <a:fillRef idx="1">
          <a:schemeClr val="accent5"/>
        </a:fillRef>
        <a:effectRef idx="0">
          <a:scrgbClr r="0" g="0" b="0"/>
        </a:effectRef>
        <a:fontRef idx="minor">
          <a:schemeClr val="lt1"/>
        </a:fontRef>
      </dsp:style>
      <dsp:txBody>
        <a:bodyPr lIns="41910" tIns="41910" rIns="41910" bIns="41910"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nSpc>
              <a:spcPct val="100000"/>
            </a:lnSpc>
            <a:spcBef>
              <a:spcPct val="0"/>
            </a:spcBef>
            <a:spcAft>
              <a:spcPct val="35000"/>
            </a:spcAft>
          </a:pPr>
          <a:r>
            <a:rPr lang="en-US" sz="1100">
              <a:latin typeface="Times New Roman" panose="02020603050405020304" charset="0"/>
              <a:cs typeface="Times New Roman" panose="02020603050405020304" charset="0"/>
            </a:rPr>
            <a:t>Wide range of resources </a:t>
          </a:r>
        </a:p>
      </dsp:txBody>
      <dsp:txXfrm>
        <a:off x="3754005" y="541482"/>
        <a:ext cx="893811" cy="536286"/>
      </dsp:txXfrm>
    </dsp:sp>
    <dsp:sp modelId="{72AA2259-5458-479E-8BB1-1E3052BA565F}">
      <dsp:nvSpPr>
        <dsp:cNvPr id="10" name="Right Arrow 9"/>
        <dsp:cNvSpPr/>
      </dsp:nvSpPr>
      <dsp:spPr bwMode="white">
        <a:xfrm>
          <a:off x="4731833" y="698792"/>
          <a:ext cx="189488" cy="221665"/>
        </a:xfrm>
        <a:prstGeom prst="rightArrow">
          <a:avLst>
            <a:gd name="adj1" fmla="val 60000"/>
            <a:gd name="adj2" fmla="val 50000"/>
          </a:avLst>
        </a:prstGeom>
      </dsp:spPr>
      <dsp:style>
        <a:lnRef idx="0">
          <a:schemeClr val="lt1">
            <a:hueOff val="0"/>
            <a:satOff val="0"/>
            <a:lumOff val="0"/>
            <a:alpha val="100000"/>
          </a:schemeClr>
        </a:lnRef>
        <a:fillRef idx="1">
          <a:schemeClr val="accent5"/>
        </a:fillRef>
        <a:effectRef idx="0">
          <a:scrgbClr r="0" g="0" b="0"/>
        </a:effectRef>
        <a:fontRef idx="minor">
          <a:schemeClr val="lt1"/>
        </a:fontRef>
      </dsp:style>
      <dsp:txBody>
        <a:bodyPr lIns="0" tIns="0" rIns="0" bIns="0" anchor="ctr"/>
        <a:lstStyle>
          <a:lvl1pPr algn="ctr">
            <a:defRPr sz="800"/>
          </a:lvl1pPr>
          <a:lvl2pPr marL="57150" indent="-57150" algn="ctr">
            <a:defRPr sz="600"/>
          </a:lvl2pPr>
          <a:lvl3pPr marL="114300" indent="-57150" algn="ctr">
            <a:defRPr sz="600"/>
          </a:lvl3pPr>
          <a:lvl4pPr marL="171450" indent="-57150" algn="ctr">
            <a:defRPr sz="600"/>
          </a:lvl4pPr>
          <a:lvl5pPr marL="228600" indent="-57150" algn="ctr">
            <a:defRPr sz="600"/>
          </a:lvl5pPr>
          <a:lvl6pPr marL="285750" indent="-57150" algn="ctr">
            <a:defRPr sz="600"/>
          </a:lvl6pPr>
          <a:lvl7pPr marL="342900" indent="-57150" algn="ctr">
            <a:defRPr sz="600"/>
          </a:lvl7pPr>
          <a:lvl8pPr marL="400050" indent="-57150" algn="ctr">
            <a:defRPr sz="600"/>
          </a:lvl8pPr>
          <a:lvl9pPr marL="457200" indent="-57150" algn="ctr">
            <a:defRPr sz="600"/>
          </a:lvl9pPr>
        </a:lstStyle>
        <a:p>
          <a:pPr lvl="0">
            <a:lnSpc>
              <a:spcPct val="100000"/>
            </a:lnSpc>
            <a:spcBef>
              <a:spcPct val="0"/>
            </a:spcBef>
            <a:spcAft>
              <a:spcPct val="35000"/>
            </a:spcAft>
          </a:pPr>
          <a:endParaRPr lang="en-US"/>
        </a:p>
      </dsp:txBody>
      <dsp:txXfrm>
        <a:off x="4731833" y="698792"/>
        <a:ext cx="189488" cy="221665"/>
      </dsp:txXfrm>
    </dsp:sp>
    <dsp:sp modelId="{5F2E727D-932F-4456-A877-BFF71B002142}">
      <dsp:nvSpPr>
        <dsp:cNvPr id="11" name="Rounded Rectangle 10"/>
        <dsp:cNvSpPr/>
      </dsp:nvSpPr>
      <dsp:spPr bwMode="white">
        <a:xfrm>
          <a:off x="5005339" y="541482"/>
          <a:ext cx="893811" cy="536286"/>
        </a:xfrm>
        <a:prstGeom prst="roundRect">
          <a:avLst>
            <a:gd name="adj" fmla="val 10000"/>
          </a:avLst>
        </a:prstGeom>
      </dsp:spPr>
      <dsp:style>
        <a:lnRef idx="2">
          <a:schemeClr val="lt1"/>
        </a:lnRef>
        <a:fillRef idx="1">
          <a:schemeClr val="accent6"/>
        </a:fillRef>
        <a:effectRef idx="0">
          <a:scrgbClr r="0" g="0" b="0"/>
        </a:effectRef>
        <a:fontRef idx="minor">
          <a:schemeClr val="lt1"/>
        </a:fontRef>
      </dsp:style>
      <dsp:txBody>
        <a:bodyPr lIns="41910" tIns="41910" rIns="41910" bIns="41910"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nSpc>
              <a:spcPct val="100000"/>
            </a:lnSpc>
            <a:spcBef>
              <a:spcPct val="0"/>
            </a:spcBef>
            <a:spcAft>
              <a:spcPct val="35000"/>
            </a:spcAft>
          </a:pPr>
          <a:r>
            <a:rPr lang="en-US" sz="1100">
              <a:latin typeface="Times New Roman" panose="02020603050405020304" charset="0"/>
              <a:cs typeface="Times New Roman" panose="02020603050405020304" charset="0"/>
            </a:rPr>
            <a:t>Immediate feedback and recognition </a:t>
          </a:r>
        </a:p>
      </dsp:txBody>
      <dsp:txXfrm>
        <a:off x="5005339" y="541482"/>
        <a:ext cx="893811" cy="536286"/>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b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callout">
    <dgm:scene3d>
      <a:camera prst="orthographicFront"/>
      <a:lightRig rig="threePt" dir="t"/>
    </dgm:scene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dk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hp">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revTx">
    <dgm:scene3d>
      <a:camera prst="orthographicFront"/>
      <a:lightRig rig="threePt" dir="t"/>
    </dgm:scene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solid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txPr/>
    <dgm:style>
      <a:lnRef idx="2">
        <a:scrgbClr r="0" g="0" b="0"/>
      </a:lnRef>
      <a:fillRef idx="1">
        <a:scrgbClr r="0" g="0" b="0"/>
      </a:fillRef>
      <a:effectRef idx="0">
        <a:scrgbClr r="0" g="0" b="0"/>
      </a:effectRef>
      <a:fontRef idx="minor">
        <a:schemeClr val="tx1"/>
      </a:fontRef>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199E7B-353C-414F-BD76-FF75A6BA0734}">
  <ds:schemaRefs/>
</ds:datastoreItem>
</file>

<file path=docProps/app.xml><?xml version="1.0" encoding="utf-8"?>
<Properties xmlns="http://schemas.openxmlformats.org/officeDocument/2006/extended-properties" xmlns:vt="http://schemas.openxmlformats.org/officeDocument/2006/docPropsVTypes">
  <Template>Normal</Template>
  <Pages>1</Pages>
  <Words>2978</Words>
  <Characters>16980</Characters>
  <Lines>141</Lines>
  <Paragraphs>39</Paragraphs>
  <TotalTime>17</TotalTime>
  <ScaleCrop>false</ScaleCrop>
  <LinksUpToDate>false</LinksUpToDate>
  <CharactersWithSpaces>19919</CharactersWithSpaces>
  <Application>WPS Office_12.2.0.13306_F1E327BC-269C-435d-A152-05C5408002CA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2023-11-17T15:27:00Z</dcterms:created>
  <dcterms:modified xsi:type="dcterms:W3CDTF">2023-11-23T17:02:36Z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2057-12.2.0.13306</vt:lpwstr>
  </property>
  <property fmtid="{D5CDD505-2E9C-101B-9397-08002B2CF9AE}" pid="3" name="ICV">
    <vt:lpwstr>DEDE8D759E8A48D9AEE696FC731D2307_12</vt:lpwstr>
  </property>
</Properties>
</file>