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E46CE7" w14:textId="77777777" w:rsidR="008926B6" w:rsidRDefault="008926B6" w:rsidP="008926B6">
      <w:pPr>
        <w:pStyle w:val="paragraph"/>
        <w:spacing w:before="0" w:beforeAutospacing="0" w:after="160" w:afterAutospacing="0"/>
        <w:textAlignment w:val="baseline"/>
      </w:pPr>
      <w:r>
        <w:rPr>
          <w:rStyle w:val="normaltextrun"/>
          <w:rFonts w:ascii="Aptos" w:hAnsi="Aptos"/>
          <w:sz w:val="22"/>
          <w:szCs w:val="22"/>
        </w:rPr>
        <w:t>Chapter 1:</w:t>
      </w:r>
      <w:r>
        <w:rPr>
          <w:rStyle w:val="eop"/>
          <w:rFonts w:ascii="Aptos" w:hAnsi="Aptos"/>
          <w:sz w:val="22"/>
          <w:szCs w:val="22"/>
        </w:rPr>
        <w:t> </w:t>
      </w:r>
    </w:p>
    <w:p w14:paraId="7C32D4F2" w14:textId="77777777" w:rsidR="008926B6" w:rsidRDefault="008926B6" w:rsidP="008926B6">
      <w:pPr>
        <w:pStyle w:val="paragraph"/>
        <w:spacing w:before="0" w:beforeAutospacing="0" w:after="160" w:afterAutospacing="0"/>
        <w:textAlignment w:val="baseline"/>
      </w:pPr>
      <w:r>
        <w:rPr>
          <w:rStyle w:val="normaltextrun"/>
          <w:rFonts w:ascii="Aptos" w:hAnsi="Aptos"/>
          <w:sz w:val="22"/>
          <w:szCs w:val="22"/>
        </w:rPr>
        <w:t xml:space="preserve">In Late Antiquity, Christianity moved from a marginal and often contested presence to a religion that increasingly shaped the public life of the Roman world. This dissertation investigates how pagan civic religion was replaced by Christian public life in Roman North Africa and Egypt, and why that transition unfolded differently from place to place. Yet this transformation cannot be explained by imperial policy alone. It examines how Roman influence and local agency interacted to produce distinct pathways of Christianisation in Carthage, Alexandria, and Hippo Regius between the third and fifth centuries CE. This study is framed by the question posed in the dissertation title, </w:t>
      </w:r>
      <w:r>
        <w:rPr>
          <w:rStyle w:val="normaltextrun"/>
          <w:rFonts w:ascii="Aptos" w:hAnsi="Aptos"/>
          <w:i/>
          <w:iCs/>
          <w:sz w:val="22"/>
          <w:szCs w:val="22"/>
        </w:rPr>
        <w:t>religious transformation in Roman North Africa: the transition from paganism to Christianity in Carthage, Alexandria, and Hippo Regius under Roman influence</w:t>
      </w:r>
      <w:r>
        <w:rPr>
          <w:rStyle w:val="normaltextrun"/>
          <w:rFonts w:ascii="Aptos" w:hAnsi="Aptos"/>
          <w:sz w:val="22"/>
          <w:szCs w:val="22"/>
        </w:rPr>
        <w:t>. In practical terms, it asks how far the transformation of public religion can be attributed to Roman imperial “permissions and pressures,” and how far it was shaped by local engagement in each city.</w:t>
      </w:r>
      <w:r>
        <w:rPr>
          <w:rStyle w:val="eop"/>
          <w:rFonts w:ascii="Aptos" w:hAnsi="Aptos"/>
          <w:sz w:val="22"/>
          <w:szCs w:val="22"/>
        </w:rPr>
        <w:t> </w:t>
      </w:r>
    </w:p>
    <w:p w14:paraId="452051DB" w14:textId="77777777" w:rsidR="008926B6" w:rsidRDefault="008926B6" w:rsidP="008926B6">
      <w:pPr>
        <w:pStyle w:val="paragraph"/>
        <w:spacing w:before="0" w:beforeAutospacing="0" w:after="160" w:afterAutospacing="0"/>
        <w:textAlignment w:val="baseline"/>
      </w:pPr>
      <w:r>
        <w:rPr>
          <w:rStyle w:val="normaltextrun"/>
          <w:rFonts w:ascii="Aptos" w:hAnsi="Aptos"/>
          <w:sz w:val="22"/>
          <w:szCs w:val="22"/>
        </w:rPr>
        <w:t xml:space="preserve">Rather than treating Christianisation as the simple outcome of imperial edicts, this study reframes it as a negotiated transformation of public life. The central argument is that Christianisation was a two-way process. Imperial governance mattered profoundly: legislation, patronage, and administrative enforcement altered what forms of worship were permitted, which institutions were protected, and by the later fourth century which Christian positions were treated as orthodox. However, these “permissions and pressures” did not operate mechanically. The practical reshaping of public religion depended on city-level decisions about space, time, authority, and identity. What buildings were reused or newly built, how festivals and processions were redirected, which leaders gained civic authority, and how Christian belonging was signalled in inscriptions, burial, and urban routines. The dissertation therefore asks not only </w:t>
      </w:r>
      <w:r>
        <w:rPr>
          <w:rStyle w:val="normaltextrun"/>
          <w:rFonts w:ascii="Aptos" w:hAnsi="Aptos"/>
          <w:i/>
          <w:iCs/>
          <w:sz w:val="22"/>
          <w:szCs w:val="22"/>
        </w:rPr>
        <w:t>what</w:t>
      </w:r>
      <w:r>
        <w:rPr>
          <w:rStyle w:val="normaltextrun"/>
          <w:rFonts w:ascii="Aptos" w:hAnsi="Aptos"/>
          <w:sz w:val="22"/>
          <w:szCs w:val="22"/>
        </w:rPr>
        <w:t xml:space="preserve"> changed, but </w:t>
      </w:r>
      <w:r>
        <w:rPr>
          <w:rStyle w:val="normaltextrun"/>
          <w:rFonts w:ascii="Aptos" w:hAnsi="Aptos"/>
          <w:i/>
          <w:iCs/>
          <w:sz w:val="22"/>
          <w:szCs w:val="22"/>
        </w:rPr>
        <w:t>how</w:t>
      </w:r>
      <w:r>
        <w:rPr>
          <w:rStyle w:val="normaltextrun"/>
          <w:rFonts w:ascii="Aptos" w:hAnsi="Aptos"/>
          <w:sz w:val="22"/>
          <w:szCs w:val="22"/>
        </w:rPr>
        <w:t xml:space="preserve"> that change was made durable in everyday urban life. To address this, the study pursues four linked aims: first, to identify measurable signs of religious transformation in each city (in law, space, institutions, and public identity); second, to explain why the same imperial framework produced different local pathways; third, to assess the relative weight of imperial action and local leadership in driving change; and fourth, to integrate textual and material evidence so that Christianisation is not reduced to a purely legal or doctrinal narrative.</w:t>
      </w:r>
      <w:r>
        <w:rPr>
          <w:rStyle w:val="eop"/>
          <w:rFonts w:ascii="Aptos" w:hAnsi="Aptos"/>
          <w:sz w:val="22"/>
          <w:szCs w:val="22"/>
        </w:rPr>
        <w:t> </w:t>
      </w:r>
    </w:p>
    <w:p w14:paraId="03F127D6" w14:textId="77777777" w:rsidR="008926B6" w:rsidRDefault="008926B6" w:rsidP="008926B6">
      <w:pPr>
        <w:pStyle w:val="paragraph"/>
        <w:spacing w:before="0" w:beforeAutospacing="0" w:after="160" w:afterAutospacing="0"/>
        <w:textAlignment w:val="baseline"/>
      </w:pPr>
      <w:r>
        <w:rPr>
          <w:rStyle w:val="normaltextrun"/>
          <w:rFonts w:ascii="Aptos" w:hAnsi="Aptos"/>
          <w:sz w:val="22"/>
          <w:szCs w:val="22"/>
        </w:rPr>
        <w:t>The comparative focus on Carthage, Alexandria, and Hippo Regius is designed to test this claim comparatively. Carthage represents a Latin-speaking North African hub where councils, clerical authority, and elite patronage helped institutionalise Christianity. Alexandria provides a contrasting multilingual metropolis in which religious plurality, civic associations, and highly visible sacred topography produced a different dynamic. Hippo Regius offers a different scale and a different evidential lens, linked to Augustine’s episcopate, it allows the dissertation to examine Christianisation as parish routine—preaching, arbitration, charity, and burial—through which Christian norms became socially central in town and hinterland.</w:t>
      </w:r>
      <w:r>
        <w:rPr>
          <w:rStyle w:val="eop"/>
          <w:rFonts w:ascii="Aptos" w:hAnsi="Aptos"/>
          <w:sz w:val="22"/>
          <w:szCs w:val="22"/>
        </w:rPr>
        <w:t> </w:t>
      </w:r>
    </w:p>
    <w:p w14:paraId="5591F816" w14:textId="77777777" w:rsidR="008926B6" w:rsidRDefault="008926B6" w:rsidP="008926B6">
      <w:pPr>
        <w:pStyle w:val="paragraph"/>
        <w:spacing w:before="0" w:beforeAutospacing="0" w:after="160" w:afterAutospacing="0"/>
        <w:textAlignment w:val="baseline"/>
      </w:pPr>
      <w:r>
        <w:rPr>
          <w:rStyle w:val="normaltextrun"/>
          <w:rFonts w:ascii="Aptos" w:hAnsi="Aptos"/>
          <w:sz w:val="22"/>
          <w:szCs w:val="22"/>
        </w:rPr>
        <w:t>To keep the analysis comparable, the dissertation uses a consistent indicator framework. Across each city, it tracks how change became visible through laws and edicts; architecture and landscape; language and administration; privileges and offices; funding and property; traditions and calendar; local leaders; space decisions; and identity signals. The evidence base is intentionally mixed. Methodologically, the research integrates textual sources (imperial legislation, ecclesiastical histories, councils and canons, sermons and letters) with material culture (church architecture, funerary landscapes, inscriptions, and documentary traces of administration). The dissertation’s contribution is to combine these lines of evidence to explain not merely that Christianity became dominant, but how its public dominance was constructed differently in Carthage, Alexandria, and Hippo Regius through the continual interaction of imperial pressure and local engagement.</w:t>
      </w:r>
      <w:r>
        <w:rPr>
          <w:rStyle w:val="eop"/>
          <w:rFonts w:ascii="Aptos" w:hAnsi="Aptos"/>
          <w:sz w:val="22"/>
          <w:szCs w:val="22"/>
        </w:rPr>
        <w:t> </w:t>
      </w:r>
    </w:p>
    <w:p w14:paraId="5BE7386F" w14:textId="77777777" w:rsidR="008926B6" w:rsidRDefault="008926B6" w:rsidP="008926B6">
      <w:pPr>
        <w:pStyle w:val="paragraph"/>
        <w:spacing w:before="0" w:beforeAutospacing="0" w:after="160" w:afterAutospacing="0"/>
        <w:textAlignment w:val="baseline"/>
      </w:pPr>
      <w:r>
        <w:rPr>
          <w:rStyle w:val="normaltextrun"/>
          <w:rFonts w:ascii="Aptos" w:hAnsi="Aptos"/>
          <w:sz w:val="22"/>
          <w:szCs w:val="22"/>
        </w:rPr>
        <w:lastRenderedPageBreak/>
        <w:t>Scope and timeframe. This study focuses on Roman North Africa and Egypt from the third to the fifth centuries CE, because this is the period in which Christianity moves from a legally insecure minority presence to a religion capable of organising public institutions and reshaping civic life.</w:t>
      </w:r>
      <w:r>
        <w:rPr>
          <w:rStyle w:val="eop"/>
          <w:rFonts w:ascii="Aptos" w:hAnsi="Aptos"/>
          <w:sz w:val="22"/>
          <w:szCs w:val="22"/>
        </w:rPr>
        <w:t> </w:t>
      </w:r>
    </w:p>
    <w:p w14:paraId="506CEF5D" w14:textId="77777777" w:rsidR="008926B6" w:rsidRDefault="008926B6" w:rsidP="008926B6">
      <w:pPr>
        <w:pStyle w:val="paragraph"/>
        <w:spacing w:before="0" w:beforeAutospacing="0" w:after="160" w:afterAutospacing="0"/>
        <w:textAlignment w:val="baseline"/>
      </w:pPr>
      <w:r>
        <w:rPr>
          <w:rStyle w:val="normaltextrun"/>
          <w:rFonts w:ascii="Aptos" w:hAnsi="Aptos"/>
          <w:sz w:val="22"/>
          <w:szCs w:val="22"/>
        </w:rPr>
        <w:t>The third century is used as the starting point because it represents a period in which civic cult remained the default public religion and Christian communities could face empire-wide tests of loyalty, before toleration and public privilege reshaped the terms of religious participation.</w:t>
      </w:r>
      <w:r>
        <w:rPr>
          <w:rStyle w:val="eop"/>
          <w:rFonts w:ascii="Aptos" w:hAnsi="Aptos"/>
          <w:sz w:val="22"/>
          <w:szCs w:val="22"/>
        </w:rPr>
        <w:t> </w:t>
      </w:r>
    </w:p>
    <w:p w14:paraId="7E2791FB" w14:textId="77777777" w:rsidR="008926B6" w:rsidRDefault="008926B6" w:rsidP="008926B6">
      <w:pPr>
        <w:pStyle w:val="paragraph"/>
        <w:spacing w:before="0" w:beforeAutospacing="0" w:after="160" w:afterAutospacing="0"/>
        <w:textAlignment w:val="baseline"/>
      </w:pPr>
      <w:r>
        <w:rPr>
          <w:rStyle w:val="normaltextrun"/>
          <w:rFonts w:ascii="Aptos" w:hAnsi="Aptos"/>
          <w:sz w:val="22"/>
          <w:szCs w:val="22"/>
        </w:rPr>
        <w:t>The end point is intentionally uneven: for Africa, the Vandal capture of Carthage (439) marks a structural change in political authority that alters church property and episcopal security, whereas Alexandria remains within the Eastern empire, providing a comparative counterpoint.</w:t>
      </w:r>
      <w:r>
        <w:rPr>
          <w:rStyle w:val="eop"/>
          <w:rFonts w:ascii="Aptos" w:hAnsi="Aptos"/>
          <w:sz w:val="22"/>
          <w:szCs w:val="22"/>
        </w:rPr>
        <w:t> </w:t>
      </w:r>
    </w:p>
    <w:p w14:paraId="4F184A29" w14:textId="77777777" w:rsidR="008926B6" w:rsidRDefault="008926B6" w:rsidP="008926B6">
      <w:pPr>
        <w:pStyle w:val="paragraph"/>
        <w:spacing w:before="0" w:beforeAutospacing="0" w:after="160" w:afterAutospacing="0"/>
        <w:textAlignment w:val="baseline"/>
      </w:pPr>
      <w:r>
        <w:rPr>
          <w:rStyle w:val="normaltextrun"/>
          <w:rFonts w:ascii="Aptos" w:hAnsi="Aptos"/>
          <w:sz w:val="22"/>
          <w:szCs w:val="22"/>
        </w:rPr>
        <w:t>Geographical focus. “North Africa” here refers principally to the Roman provinces centred on the cities of Carthage and Hippo Regius, while “Egypt” is represented through Alexandria. These cities are treated as urban case studies because the transformation under discussion is fundamentally a transformation of public life within a shared imperial environment.</w:t>
      </w:r>
      <w:r>
        <w:rPr>
          <w:rStyle w:val="eop"/>
          <w:rFonts w:ascii="Aptos" w:hAnsi="Aptos"/>
          <w:sz w:val="22"/>
          <w:szCs w:val="22"/>
        </w:rPr>
        <w:t> </w:t>
      </w:r>
    </w:p>
    <w:p w14:paraId="71E1EA06" w14:textId="77777777" w:rsidR="008926B6" w:rsidRDefault="008926B6" w:rsidP="008926B6">
      <w:pPr>
        <w:pStyle w:val="paragraph"/>
        <w:spacing w:before="0" w:beforeAutospacing="0" w:after="160" w:afterAutospacing="0"/>
        <w:textAlignment w:val="baseline"/>
      </w:pPr>
      <w:r>
        <w:rPr>
          <w:rStyle w:val="normaltextrun"/>
          <w:rFonts w:ascii="Aptos" w:hAnsi="Aptos"/>
          <w:sz w:val="22"/>
          <w:szCs w:val="22"/>
        </w:rPr>
        <w:t>Although ‘</w:t>
      </w:r>
      <w:r>
        <w:rPr>
          <w:rStyle w:val="normaltextrun"/>
          <w:rFonts w:ascii="Aptos" w:hAnsi="Aptos"/>
          <w:i/>
          <w:iCs/>
          <w:sz w:val="22"/>
          <w:szCs w:val="22"/>
        </w:rPr>
        <w:t>paganism’</w:t>
      </w:r>
      <w:r>
        <w:rPr>
          <w:rStyle w:val="normaltextrun"/>
          <w:rFonts w:ascii="Aptos" w:hAnsi="Aptos"/>
          <w:sz w:val="22"/>
          <w:szCs w:val="22"/>
        </w:rPr>
        <w:t xml:space="preserve"> is a contested modern umbrella label, it remains widely used in scholarship as a convenient shorthand for non-Christian civic cult practice in the Roman world; in this study it refers primarily to temple-centred public rites, sacrifices, festivals, and priesthoods rather than a single coherent religion (Salzman, 2022).</w:t>
      </w:r>
      <w:r>
        <w:rPr>
          <w:rStyle w:val="eop"/>
          <w:rFonts w:ascii="Aptos" w:hAnsi="Aptos"/>
          <w:sz w:val="22"/>
          <w:szCs w:val="22"/>
        </w:rPr>
        <w:t> </w:t>
      </w:r>
    </w:p>
    <w:p w14:paraId="02DBCDF0" w14:textId="77777777" w:rsidR="008926B6" w:rsidRDefault="008926B6" w:rsidP="008926B6">
      <w:pPr>
        <w:pStyle w:val="paragraph"/>
        <w:spacing w:before="0" w:beforeAutospacing="0" w:after="160" w:afterAutospacing="0"/>
        <w:textAlignment w:val="baseline"/>
      </w:pPr>
      <w:r>
        <w:rPr>
          <w:rStyle w:val="normaltextrun"/>
          <w:rFonts w:ascii="Aptos" w:hAnsi="Aptos"/>
          <w:sz w:val="22"/>
          <w:szCs w:val="22"/>
        </w:rPr>
        <w:t>Building on scholarship that treats Christianisation as a change in public life, this study uses ‘Christian public life’ to mean Christianity operating openly as an urban institution—through churches as public spaces, organised charity, discipline, and recognised civic authority. ‘Christianisation’ is therefore used here to describe the gradual shift in a city’s spaces,</w:t>
      </w:r>
      <w:r>
        <w:rPr>
          <w:rStyle w:val="normaltextrun"/>
          <w:rFonts w:ascii="Aptos" w:hAnsi="Aptos"/>
          <w:b/>
          <w:bCs/>
          <w:sz w:val="22"/>
          <w:szCs w:val="22"/>
        </w:rPr>
        <w:t xml:space="preserve"> </w:t>
      </w:r>
      <w:r>
        <w:rPr>
          <w:rStyle w:val="normaltextrun"/>
          <w:rFonts w:ascii="Aptos" w:hAnsi="Aptos"/>
          <w:sz w:val="22"/>
          <w:szCs w:val="22"/>
        </w:rPr>
        <w:t>calendar, institutions, and visible identity towards Christian norms, rather than simply counting how many individuals converted (Markus, 1990; Cameron, 2012; Leone, 2013).” </w:t>
      </w:r>
      <w:r>
        <w:rPr>
          <w:rStyle w:val="eop"/>
          <w:rFonts w:ascii="Aptos" w:hAnsi="Aptos"/>
          <w:sz w:val="22"/>
          <w:szCs w:val="22"/>
        </w:rPr>
        <w:t> </w:t>
      </w:r>
    </w:p>
    <w:p w14:paraId="457816ED" w14:textId="77777777" w:rsidR="008926B6" w:rsidRDefault="008926B6" w:rsidP="008926B6">
      <w:pPr>
        <w:pStyle w:val="paragraph"/>
        <w:spacing w:before="0" w:beforeAutospacing="0" w:after="160" w:afterAutospacing="0"/>
        <w:textAlignment w:val="baseline"/>
      </w:pPr>
      <w:r>
        <w:rPr>
          <w:rStyle w:val="normaltextrun"/>
          <w:rFonts w:ascii="Aptos" w:hAnsi="Aptos"/>
          <w:sz w:val="22"/>
          <w:szCs w:val="22"/>
        </w:rPr>
        <w:t>“Roman influence” refers to the imperial reshaping of religious conditions through law, patronage, and enforcement; “local agency” refers to the city-level negotiation of those conditions through the choices of leaders and communities.</w:t>
      </w:r>
      <w:r>
        <w:rPr>
          <w:rStyle w:val="eop"/>
          <w:rFonts w:ascii="Aptos" w:hAnsi="Aptos"/>
          <w:sz w:val="22"/>
          <w:szCs w:val="22"/>
        </w:rPr>
        <w:t> </w:t>
      </w:r>
    </w:p>
    <w:p w14:paraId="2B14586B" w14:textId="77777777" w:rsidR="008926B6" w:rsidRDefault="008926B6" w:rsidP="008926B6">
      <w:pPr>
        <w:pStyle w:val="paragraph"/>
        <w:spacing w:before="0" w:beforeAutospacing="0" w:after="160" w:afterAutospacing="0"/>
        <w:textAlignment w:val="baseline"/>
      </w:pPr>
      <w:r>
        <w:rPr>
          <w:rStyle w:val="normaltextrun"/>
          <w:rFonts w:ascii="Aptos" w:hAnsi="Aptos"/>
          <w:sz w:val="22"/>
          <w:szCs w:val="22"/>
        </w:rPr>
        <w:t>1.3</w:t>
      </w:r>
      <w:r>
        <w:rPr>
          <w:rStyle w:val="eop"/>
          <w:rFonts w:ascii="Aptos" w:hAnsi="Aptos"/>
          <w:sz w:val="22"/>
          <w:szCs w:val="22"/>
        </w:rPr>
        <w:t> </w:t>
      </w:r>
    </w:p>
    <w:p w14:paraId="4690D4F1" w14:textId="77777777" w:rsidR="008926B6" w:rsidRDefault="008926B6" w:rsidP="008926B6">
      <w:pPr>
        <w:pStyle w:val="paragraph"/>
        <w:spacing w:before="0" w:beforeAutospacing="0" w:after="160" w:afterAutospacing="0"/>
        <w:textAlignment w:val="baseline"/>
      </w:pPr>
      <w:r>
        <w:rPr>
          <w:rStyle w:val="normaltextrun"/>
          <w:rFonts w:ascii="Aptos" w:hAnsi="Aptos"/>
          <w:sz w:val="22"/>
          <w:szCs w:val="22"/>
        </w:rPr>
        <w:t>This section justifies the selection of Carthage, Alexandria, and Hippo Regius as the dissertation’s three case studies. Each city is influential in regional Christian development; they share the same broad imperial turning points but differ in civic culture and social composition and each offers a different but complementary body of sources through which religious transformation can be measured.  </w:t>
      </w:r>
      <w:r>
        <w:rPr>
          <w:rStyle w:val="eop"/>
          <w:rFonts w:ascii="Aptos" w:hAnsi="Aptos"/>
          <w:sz w:val="22"/>
          <w:szCs w:val="22"/>
        </w:rPr>
        <w:t> </w:t>
      </w:r>
    </w:p>
    <w:p w14:paraId="3D45F3BF" w14:textId="3C11A008" w:rsidR="008926B6" w:rsidRDefault="008926B6" w:rsidP="008926B6">
      <w:pPr>
        <w:pStyle w:val="paragraph"/>
        <w:spacing w:before="0" w:beforeAutospacing="0" w:after="160" w:afterAutospacing="0"/>
        <w:textAlignment w:val="baseline"/>
      </w:pPr>
      <w:r>
        <w:rPr>
          <w:rStyle w:val="normaltextrun"/>
          <w:rFonts w:ascii="Aptos" w:hAnsi="Aptos"/>
          <w:sz w:val="22"/>
          <w:szCs w:val="22"/>
        </w:rPr>
        <w:t xml:space="preserve">Carthage is selected as the strongest case for institutional and council-driven Christianisation in Latin North Africa. By the </w:t>
      </w:r>
      <w:r w:rsidRPr="0056797B">
        <w:rPr>
          <w:rStyle w:val="normaltextrun"/>
          <w:rFonts w:ascii="Aptos" w:hAnsi="Aptos"/>
          <w:color w:val="000000" w:themeColor="text1"/>
          <w:sz w:val="22"/>
          <w:szCs w:val="22"/>
        </w:rPr>
        <w:t>mid</w:t>
      </w:r>
      <w:r w:rsidR="0056797B">
        <w:rPr>
          <w:rStyle w:val="normaltextrun"/>
          <w:rFonts w:ascii="Aptos" w:hAnsi="Aptos"/>
          <w:color w:val="000000" w:themeColor="text1"/>
          <w:sz w:val="22"/>
          <w:szCs w:val="22"/>
        </w:rPr>
        <w:t xml:space="preserve"> 3rd</w:t>
      </w:r>
      <w:r w:rsidRPr="0056797B">
        <w:rPr>
          <w:rStyle w:val="normaltextrun"/>
          <w:rFonts w:ascii="Aptos" w:hAnsi="Aptos"/>
          <w:color w:val="000000" w:themeColor="text1"/>
          <w:sz w:val="22"/>
          <w:szCs w:val="22"/>
        </w:rPr>
        <w:t xml:space="preserve"> century </w:t>
      </w:r>
      <w:r>
        <w:rPr>
          <w:rStyle w:val="normaltextrun"/>
          <w:rFonts w:ascii="Aptos" w:hAnsi="Aptos"/>
          <w:sz w:val="22"/>
          <w:szCs w:val="22"/>
        </w:rPr>
        <w:t>Christianity was firmly established in Carthage and other Tunisian towns, supported by early martyr and literary visibility and by a regional episcopal network attested by the council of Carthage in 256 (</w:t>
      </w:r>
      <w:r w:rsidR="00A73B26">
        <w:rPr>
          <w:rStyle w:val="normaltextrun"/>
          <w:rFonts w:ascii="Aptos" w:hAnsi="Aptos"/>
          <w:sz w:val="22"/>
          <w:szCs w:val="22"/>
        </w:rPr>
        <w:t>Abun-</w:t>
      </w:r>
      <w:r w:rsidR="008E4E3D">
        <w:rPr>
          <w:rStyle w:val="normaltextrun"/>
          <w:rFonts w:ascii="Aptos" w:hAnsi="Aptos"/>
          <w:sz w:val="22"/>
          <w:szCs w:val="22"/>
        </w:rPr>
        <w:t>N</w:t>
      </w:r>
      <w:r w:rsidR="00A73B26">
        <w:rPr>
          <w:rStyle w:val="normaltextrun"/>
          <w:rFonts w:ascii="Aptos" w:hAnsi="Aptos"/>
          <w:sz w:val="22"/>
          <w:szCs w:val="22"/>
        </w:rPr>
        <w:t>asr, 2026</w:t>
      </w:r>
      <w:r>
        <w:rPr>
          <w:rStyle w:val="normaltextrun"/>
          <w:rFonts w:ascii="Aptos" w:hAnsi="Aptos"/>
          <w:sz w:val="22"/>
          <w:szCs w:val="22"/>
        </w:rPr>
        <w:t>). This proves significant as Carthage starts the 4</w:t>
      </w:r>
      <w:r>
        <w:rPr>
          <w:rStyle w:val="normaltextrun"/>
          <w:rFonts w:ascii="Aptos" w:hAnsi="Aptos"/>
          <w:sz w:val="17"/>
          <w:szCs w:val="17"/>
          <w:vertAlign w:val="superscript"/>
        </w:rPr>
        <w:t>th</w:t>
      </w:r>
      <w:r>
        <w:rPr>
          <w:rStyle w:val="normaltextrun"/>
          <w:rFonts w:ascii="Aptos" w:hAnsi="Aptos"/>
          <w:sz w:val="22"/>
          <w:szCs w:val="22"/>
        </w:rPr>
        <w:t>-5</w:t>
      </w:r>
      <w:r>
        <w:rPr>
          <w:rStyle w:val="normaltextrun"/>
          <w:rFonts w:ascii="Aptos" w:hAnsi="Aptos"/>
          <w:sz w:val="17"/>
          <w:szCs w:val="17"/>
          <w:vertAlign w:val="superscript"/>
        </w:rPr>
        <w:t>th</w:t>
      </w:r>
      <w:r>
        <w:rPr>
          <w:rStyle w:val="normaltextrun"/>
          <w:rFonts w:ascii="Aptos" w:hAnsi="Aptos"/>
          <w:sz w:val="22"/>
          <w:szCs w:val="22"/>
        </w:rPr>
        <w:t xml:space="preserve"> century transition from a different baseline than the others. Given Carthage’s position as a thriving port and trading centre at a strategic Mediterranean bottleneck, its connectivity likely increased the movement of people and ideas through the city, making it a plausible setting for early Christian diffusion there (Price, 2012).</w:t>
      </w:r>
      <w:r>
        <w:rPr>
          <w:rStyle w:val="eop"/>
          <w:rFonts w:ascii="Aptos" w:hAnsi="Aptos"/>
          <w:sz w:val="22"/>
          <w:szCs w:val="22"/>
        </w:rPr>
        <w:t> </w:t>
      </w:r>
    </w:p>
    <w:p w14:paraId="01159A8D" w14:textId="4348F3FE" w:rsidR="00A105AC" w:rsidRDefault="008926B6" w:rsidP="008926B6">
      <w:pPr>
        <w:pStyle w:val="paragraph"/>
        <w:spacing w:before="0" w:beforeAutospacing="0" w:after="160" w:afterAutospacing="0"/>
        <w:textAlignment w:val="baseline"/>
        <w:rPr>
          <w:rFonts w:asciiTheme="minorHAnsi" w:hAnsiTheme="minorHAnsi"/>
          <w:sz w:val="22"/>
          <w:szCs w:val="22"/>
        </w:rPr>
      </w:pPr>
      <w:r>
        <w:rPr>
          <w:rStyle w:val="normaltextrun"/>
          <w:rFonts w:ascii="Aptos" w:hAnsi="Aptos"/>
          <w:sz w:val="22"/>
          <w:szCs w:val="22"/>
        </w:rPr>
        <w:t xml:space="preserve">Tertullian was active in Carthage and is described by </w:t>
      </w:r>
      <w:r>
        <w:rPr>
          <w:rStyle w:val="normaltextrun"/>
          <w:rFonts w:ascii="Aptos" w:hAnsi="Aptos"/>
          <w:i/>
          <w:iCs/>
          <w:sz w:val="22"/>
          <w:szCs w:val="22"/>
        </w:rPr>
        <w:t>Britannica</w:t>
      </w:r>
      <w:r>
        <w:rPr>
          <w:rStyle w:val="normaltextrun"/>
          <w:rFonts w:ascii="Aptos" w:hAnsi="Aptos"/>
          <w:sz w:val="22"/>
          <w:szCs w:val="22"/>
        </w:rPr>
        <w:t xml:space="preserve"> as an important early Christian theologian and “initiator of ecclesiastical Latin,” shaping Western Christian vocabulary</w:t>
      </w:r>
      <w:r w:rsidR="00612D0B">
        <w:rPr>
          <w:rStyle w:val="normaltextrun"/>
          <w:rFonts w:ascii="Aptos" w:hAnsi="Aptos"/>
          <w:sz w:val="22"/>
          <w:szCs w:val="22"/>
        </w:rPr>
        <w:t xml:space="preserve"> (Wilken, 2024). </w:t>
      </w:r>
      <w:r w:rsidR="008E4E3D" w:rsidRPr="008E4E3D">
        <w:rPr>
          <w:rFonts w:asciiTheme="minorHAnsi" w:hAnsiTheme="minorHAnsi"/>
          <w:sz w:val="22"/>
          <w:szCs w:val="22"/>
        </w:rPr>
        <w:t>His output, alongside other African Christian writing</w:t>
      </w:r>
      <w:r w:rsidR="00612D0B">
        <w:rPr>
          <w:rFonts w:asciiTheme="minorHAnsi" w:hAnsiTheme="minorHAnsi"/>
          <w:sz w:val="22"/>
          <w:szCs w:val="22"/>
        </w:rPr>
        <w:t>,</w:t>
      </w:r>
      <w:r w:rsidR="00A105AC" w:rsidRPr="00612D0B">
        <w:rPr>
          <w:rFonts w:asciiTheme="minorHAnsi" w:hAnsiTheme="minorHAnsi"/>
          <w:sz w:val="22"/>
          <w:szCs w:val="22"/>
        </w:rPr>
        <w:t xml:space="preserve"> suggests a church large</w:t>
      </w:r>
      <w:r w:rsidR="00612D0B">
        <w:rPr>
          <w:rFonts w:asciiTheme="minorHAnsi" w:hAnsiTheme="minorHAnsi"/>
          <w:sz w:val="22"/>
          <w:szCs w:val="22"/>
        </w:rPr>
        <w:t xml:space="preserve"> and </w:t>
      </w:r>
      <w:r w:rsidR="00A105AC" w:rsidRPr="00612D0B">
        <w:rPr>
          <w:rFonts w:asciiTheme="minorHAnsi" w:hAnsiTheme="minorHAnsi"/>
          <w:sz w:val="22"/>
          <w:szCs w:val="22"/>
        </w:rPr>
        <w:t>confident enough for sustained argument and teaching.</w:t>
      </w:r>
      <w:r w:rsidR="00265FE9">
        <w:rPr>
          <w:rFonts w:asciiTheme="minorHAnsi" w:hAnsiTheme="minorHAnsi"/>
          <w:sz w:val="22"/>
          <w:szCs w:val="22"/>
        </w:rPr>
        <w:t xml:space="preserve"> </w:t>
      </w:r>
      <w:r w:rsidR="00204D59">
        <w:rPr>
          <w:rFonts w:asciiTheme="minorHAnsi" w:hAnsiTheme="minorHAnsi"/>
          <w:sz w:val="22"/>
          <w:szCs w:val="22"/>
        </w:rPr>
        <w:t>M</w:t>
      </w:r>
      <w:r w:rsidR="00265FE9">
        <w:rPr>
          <w:rFonts w:asciiTheme="minorHAnsi" w:hAnsiTheme="minorHAnsi"/>
          <w:sz w:val="22"/>
          <w:szCs w:val="22"/>
        </w:rPr>
        <w:t>artyr</w:t>
      </w:r>
      <w:r w:rsidR="00204D59">
        <w:rPr>
          <w:rFonts w:asciiTheme="minorHAnsi" w:hAnsiTheme="minorHAnsi"/>
          <w:sz w:val="22"/>
          <w:szCs w:val="22"/>
        </w:rPr>
        <w:t xml:space="preserve"> memory</w:t>
      </w:r>
      <w:r w:rsidR="00265FE9">
        <w:rPr>
          <w:rFonts w:asciiTheme="minorHAnsi" w:hAnsiTheme="minorHAnsi"/>
          <w:sz w:val="22"/>
          <w:szCs w:val="22"/>
        </w:rPr>
        <w:t xml:space="preserve"> be</w:t>
      </w:r>
      <w:r w:rsidR="00204D59">
        <w:rPr>
          <w:rFonts w:asciiTheme="minorHAnsi" w:hAnsiTheme="minorHAnsi"/>
          <w:sz w:val="22"/>
          <w:szCs w:val="22"/>
        </w:rPr>
        <w:t>came</w:t>
      </w:r>
      <w:r w:rsidR="00265FE9">
        <w:rPr>
          <w:rFonts w:asciiTheme="minorHAnsi" w:hAnsiTheme="minorHAnsi"/>
          <w:sz w:val="22"/>
          <w:szCs w:val="22"/>
        </w:rPr>
        <w:t xml:space="preserve"> a </w:t>
      </w:r>
      <w:r w:rsidR="00204D59">
        <w:rPr>
          <w:rFonts w:asciiTheme="minorHAnsi" w:hAnsiTheme="minorHAnsi"/>
          <w:sz w:val="22"/>
          <w:szCs w:val="22"/>
        </w:rPr>
        <w:t xml:space="preserve">key strand </w:t>
      </w:r>
      <w:r w:rsidR="00265FE9">
        <w:rPr>
          <w:rFonts w:asciiTheme="minorHAnsi" w:hAnsiTheme="minorHAnsi"/>
          <w:sz w:val="22"/>
          <w:szCs w:val="22"/>
        </w:rPr>
        <w:t xml:space="preserve">in the city’s </w:t>
      </w:r>
      <w:r w:rsidR="00204D59">
        <w:rPr>
          <w:rStyle w:val="normaltextrun"/>
          <w:rFonts w:ascii="Aptos" w:hAnsi="Aptos"/>
          <w:sz w:val="22"/>
          <w:szCs w:val="22"/>
        </w:rPr>
        <w:t>Christian identity</w:t>
      </w:r>
      <w:r w:rsidR="00204D59">
        <w:rPr>
          <w:rFonts w:asciiTheme="minorHAnsi" w:hAnsiTheme="minorHAnsi"/>
          <w:sz w:val="22"/>
          <w:szCs w:val="22"/>
        </w:rPr>
        <w:t>. The</w:t>
      </w:r>
      <w:r w:rsidR="00265FE9">
        <w:rPr>
          <w:rFonts w:asciiTheme="minorHAnsi" w:hAnsiTheme="minorHAnsi"/>
          <w:sz w:val="22"/>
          <w:szCs w:val="22"/>
        </w:rPr>
        <w:t xml:space="preserve"> </w:t>
      </w:r>
      <w:r w:rsidR="00204D59">
        <w:rPr>
          <w:rFonts w:asciiTheme="minorHAnsi" w:hAnsiTheme="minorHAnsi"/>
          <w:sz w:val="22"/>
          <w:szCs w:val="22"/>
        </w:rPr>
        <w:t xml:space="preserve">martyrdom of </w:t>
      </w:r>
      <w:r w:rsidR="00265FE9">
        <w:rPr>
          <w:rFonts w:asciiTheme="minorHAnsi" w:hAnsiTheme="minorHAnsi"/>
          <w:sz w:val="22"/>
          <w:szCs w:val="22"/>
        </w:rPr>
        <w:t>Perpetua in 203</w:t>
      </w:r>
      <w:r w:rsidR="00204D59">
        <w:rPr>
          <w:rFonts w:asciiTheme="minorHAnsi" w:hAnsiTheme="minorHAnsi"/>
          <w:sz w:val="22"/>
          <w:szCs w:val="22"/>
        </w:rPr>
        <w:t xml:space="preserve"> and the circulation and </w:t>
      </w:r>
      <w:r w:rsidR="00204D59">
        <w:rPr>
          <w:rFonts w:asciiTheme="minorHAnsi" w:hAnsiTheme="minorHAnsi"/>
          <w:sz w:val="22"/>
          <w:szCs w:val="22"/>
        </w:rPr>
        <w:lastRenderedPageBreak/>
        <w:t>church reading of her passion helped mould early Christianity as</w:t>
      </w:r>
      <w:r w:rsidR="00265FE9">
        <w:rPr>
          <w:rFonts w:asciiTheme="minorHAnsi" w:hAnsiTheme="minorHAnsi"/>
          <w:sz w:val="22"/>
          <w:szCs w:val="22"/>
        </w:rPr>
        <w:t xml:space="preserve"> a shared public identity</w:t>
      </w:r>
      <w:r w:rsidR="00204D59">
        <w:rPr>
          <w:rFonts w:asciiTheme="minorHAnsi" w:hAnsiTheme="minorHAnsi"/>
          <w:sz w:val="22"/>
          <w:szCs w:val="22"/>
        </w:rPr>
        <w:t xml:space="preserve"> in the city (Rizos, 2016).</w:t>
      </w:r>
    </w:p>
    <w:p w14:paraId="2905F7B4" w14:textId="5C794B1D" w:rsidR="008926B6" w:rsidRDefault="0056797B" w:rsidP="008926B6">
      <w:pPr>
        <w:pStyle w:val="paragraph"/>
        <w:spacing w:before="0" w:beforeAutospacing="0" w:after="160" w:afterAutospacing="0"/>
        <w:textAlignment w:val="baseline"/>
        <w:rPr>
          <w:rFonts w:asciiTheme="minorHAnsi" w:hAnsiTheme="minorHAnsi"/>
          <w:sz w:val="22"/>
          <w:szCs w:val="22"/>
        </w:rPr>
      </w:pPr>
      <w:r>
        <w:rPr>
          <w:rFonts w:asciiTheme="minorHAnsi" w:hAnsiTheme="minorHAnsi"/>
          <w:sz w:val="22"/>
          <w:szCs w:val="22"/>
        </w:rPr>
        <w:t xml:space="preserve">Carthage is especially </w:t>
      </w:r>
      <w:r w:rsidR="0090436C">
        <w:rPr>
          <w:rFonts w:asciiTheme="minorHAnsi" w:hAnsiTheme="minorHAnsi"/>
          <w:sz w:val="22"/>
          <w:szCs w:val="22"/>
        </w:rPr>
        <w:t>rich in</w:t>
      </w:r>
      <w:r>
        <w:rPr>
          <w:rFonts w:asciiTheme="minorHAnsi" w:hAnsiTheme="minorHAnsi"/>
          <w:sz w:val="22"/>
          <w:szCs w:val="22"/>
        </w:rPr>
        <w:t xml:space="preserve"> archaeology and epigraphy</w:t>
      </w:r>
      <w:r w:rsidR="008E4E3D">
        <w:rPr>
          <w:rFonts w:asciiTheme="minorHAnsi" w:hAnsiTheme="minorHAnsi"/>
          <w:sz w:val="22"/>
          <w:szCs w:val="22"/>
        </w:rPr>
        <w:t xml:space="preserve">, </w:t>
      </w:r>
      <w:r w:rsidR="0090436C">
        <w:rPr>
          <w:rFonts w:asciiTheme="minorHAnsi" w:hAnsiTheme="minorHAnsi"/>
          <w:sz w:val="22"/>
          <w:szCs w:val="22"/>
        </w:rPr>
        <w:t>providing</w:t>
      </w:r>
      <w:r w:rsidR="008E4E3D">
        <w:rPr>
          <w:rFonts w:asciiTheme="minorHAnsi" w:hAnsiTheme="minorHAnsi"/>
          <w:sz w:val="22"/>
          <w:szCs w:val="22"/>
        </w:rPr>
        <w:t xml:space="preserve"> </w:t>
      </w:r>
      <w:r>
        <w:rPr>
          <w:rFonts w:asciiTheme="minorHAnsi" w:hAnsiTheme="minorHAnsi"/>
          <w:sz w:val="22"/>
          <w:szCs w:val="22"/>
        </w:rPr>
        <w:t xml:space="preserve">tangible evidence </w:t>
      </w:r>
      <w:r w:rsidR="0090436C">
        <w:rPr>
          <w:rFonts w:asciiTheme="minorHAnsi" w:hAnsiTheme="minorHAnsi"/>
          <w:sz w:val="22"/>
          <w:szCs w:val="22"/>
        </w:rPr>
        <w:t>for assessing the visibility and spread of Christianity</w:t>
      </w:r>
      <w:r>
        <w:rPr>
          <w:rFonts w:asciiTheme="minorHAnsi" w:hAnsiTheme="minorHAnsi"/>
          <w:sz w:val="22"/>
          <w:szCs w:val="22"/>
        </w:rPr>
        <w:t xml:space="preserve"> </w:t>
      </w:r>
      <w:r w:rsidR="0090436C">
        <w:rPr>
          <w:rFonts w:asciiTheme="minorHAnsi" w:hAnsiTheme="minorHAnsi"/>
          <w:sz w:val="22"/>
          <w:szCs w:val="22"/>
        </w:rPr>
        <w:t>(</w:t>
      </w:r>
      <w:r w:rsidR="008E4E3D">
        <w:rPr>
          <w:rFonts w:asciiTheme="minorHAnsi" w:hAnsiTheme="minorHAnsi"/>
          <w:sz w:val="22"/>
          <w:szCs w:val="22"/>
        </w:rPr>
        <w:t>Ennab</w:t>
      </w:r>
      <w:r w:rsidR="0090436C">
        <w:rPr>
          <w:rFonts w:asciiTheme="minorHAnsi" w:hAnsiTheme="minorHAnsi"/>
          <w:sz w:val="22"/>
          <w:szCs w:val="22"/>
        </w:rPr>
        <w:t xml:space="preserve">li, 1991). </w:t>
      </w:r>
      <w:r w:rsidR="00A73B26">
        <w:rPr>
          <w:rStyle w:val="eop"/>
          <w:rFonts w:asciiTheme="minorHAnsi" w:hAnsiTheme="minorHAnsi"/>
          <w:sz w:val="22"/>
          <w:szCs w:val="22"/>
        </w:rPr>
        <w:t>In the three-city design,</w:t>
      </w:r>
      <w:r w:rsidR="008926B6" w:rsidRPr="00A105AC">
        <w:rPr>
          <w:rStyle w:val="eop"/>
          <w:rFonts w:asciiTheme="minorHAnsi" w:hAnsiTheme="minorHAnsi"/>
          <w:sz w:val="22"/>
          <w:szCs w:val="22"/>
        </w:rPr>
        <w:t> </w:t>
      </w:r>
      <w:r w:rsidR="00A105AC" w:rsidRPr="00A105AC">
        <w:rPr>
          <w:rFonts w:asciiTheme="minorHAnsi" w:hAnsiTheme="minorHAnsi"/>
          <w:sz w:val="22"/>
          <w:szCs w:val="22"/>
        </w:rPr>
        <w:t xml:space="preserve">Carthage provides a strong baseline for tracing </w:t>
      </w:r>
      <w:r w:rsidR="008926B6">
        <w:rPr>
          <w:rStyle w:val="normaltextrun"/>
          <w:rFonts w:ascii="Aptos" w:hAnsi="Aptos"/>
          <w:sz w:val="22"/>
          <w:szCs w:val="22"/>
        </w:rPr>
        <w:t>how imperial change was stabilised locally through councils, patronage, and civic-scale institution building</w:t>
      </w:r>
      <w:r w:rsidR="00A73B26">
        <w:rPr>
          <w:rStyle w:val="normaltextrun"/>
          <w:rFonts w:ascii="Aptos" w:hAnsi="Aptos"/>
          <w:sz w:val="22"/>
          <w:szCs w:val="22"/>
        </w:rPr>
        <w:t>, a</w:t>
      </w:r>
      <w:r w:rsidR="00A73B26" w:rsidRPr="00A73B26">
        <w:rPr>
          <w:rFonts w:asciiTheme="minorHAnsi" w:hAnsiTheme="minorHAnsi"/>
          <w:sz w:val="22"/>
          <w:szCs w:val="22"/>
        </w:rPr>
        <w:t>gainst which Alexandria’s metropolitan dynamics and Hippo’s parish routine can be compared.</w:t>
      </w:r>
    </w:p>
    <w:p w14:paraId="56949FAA" w14:textId="77777777" w:rsidR="00292826" w:rsidRDefault="00292826" w:rsidP="00292826">
      <w:pPr>
        <w:pStyle w:val="paragraph"/>
        <w:spacing w:before="0" w:beforeAutospacing="0" w:after="160" w:afterAutospacing="0"/>
        <w:textAlignment w:val="baseline"/>
        <w:rPr>
          <w:rStyle w:val="eop"/>
          <w:rFonts w:ascii="Aptos" w:hAnsi="Aptos"/>
          <w:sz w:val="22"/>
          <w:szCs w:val="22"/>
        </w:rPr>
      </w:pPr>
      <w:r w:rsidRPr="004D79AF">
        <w:rPr>
          <w:rFonts w:ascii="Aptos" w:hAnsi="Aptos"/>
          <w:sz w:val="22"/>
          <w:szCs w:val="22"/>
        </w:rPr>
        <w:t>Hippo Regius is chosen because it captures Christianisation in a setting that is neither an imperial metropolis nor a provincial council-capital.</w:t>
      </w:r>
      <w:r w:rsidRPr="004D79AF">
        <w:rPr>
          <w:rFonts w:asciiTheme="minorHAnsi" w:eastAsiaTheme="minorHAnsi" w:hAnsiTheme="minorHAnsi" w:cstheme="minorBidi"/>
          <w:kern w:val="2"/>
          <w:lang w:eastAsia="en-US"/>
          <w14:ligatures w14:val="standardContextual"/>
        </w:rPr>
        <w:t xml:space="preserve"> </w:t>
      </w:r>
      <w:r w:rsidRPr="004D79AF">
        <w:rPr>
          <w:rFonts w:ascii="Aptos" w:hAnsi="Aptos"/>
          <w:sz w:val="22"/>
          <w:szCs w:val="22"/>
        </w:rPr>
        <w:t>Hippo was an ancient coastal port and a Romanised civic community that developed from municipium to colonia, giving a clear example of how Roman civic structures existed alongside local social realities (Luebering, 2016).</w:t>
      </w:r>
      <w:r w:rsidRPr="004D79AF">
        <w:rPr>
          <w:rFonts w:asciiTheme="minorHAnsi" w:eastAsiaTheme="minorHAnsi" w:hAnsiTheme="minorHAnsi" w:cstheme="minorBidi"/>
          <w:kern w:val="2"/>
          <w:lang w:eastAsia="en-US"/>
          <w14:ligatures w14:val="standardContextual"/>
        </w:rPr>
        <w:t xml:space="preserve"> </w:t>
      </w:r>
      <w:r w:rsidRPr="004D79AF">
        <w:rPr>
          <w:rFonts w:ascii="Aptos" w:hAnsi="Aptos"/>
          <w:sz w:val="22"/>
          <w:szCs w:val="22"/>
        </w:rPr>
        <w:t>Unlike Alexandria, where archaeology is uneven and narrative flashpoints dominate, Hippo provides a strong textual window onto local practice through Augustine, bishop from 396 to 430</w:t>
      </w:r>
      <w:r>
        <w:rPr>
          <w:rFonts w:ascii="Aptos" w:hAnsi="Aptos"/>
          <w:sz w:val="22"/>
          <w:szCs w:val="22"/>
        </w:rPr>
        <w:t xml:space="preserve">  He</w:t>
      </w:r>
      <w:r w:rsidRPr="004D79AF">
        <w:rPr>
          <w:rFonts w:ascii="Aptos" w:hAnsi="Aptos"/>
          <w:sz w:val="22"/>
          <w:szCs w:val="22"/>
        </w:rPr>
        <w:t xml:space="preserve"> le</w:t>
      </w:r>
      <w:r>
        <w:rPr>
          <w:rFonts w:ascii="Aptos" w:hAnsi="Aptos"/>
          <w:sz w:val="22"/>
          <w:szCs w:val="22"/>
        </w:rPr>
        <w:t>ft</w:t>
      </w:r>
      <w:r w:rsidRPr="004D79AF">
        <w:rPr>
          <w:rFonts w:ascii="Aptos" w:hAnsi="Aptos"/>
          <w:sz w:val="22"/>
          <w:szCs w:val="22"/>
        </w:rPr>
        <w:t xml:space="preserve"> a vast body of sermons and letters that illuminate how Christian norms were established through preaching, pastoral discipline, charity, and dispute settlement (O’Donnell, 2026).</w:t>
      </w:r>
    </w:p>
    <w:p w14:paraId="1E77B165" w14:textId="45DB1B01" w:rsidR="00292826" w:rsidRPr="00292826" w:rsidRDefault="00292826" w:rsidP="008926B6">
      <w:pPr>
        <w:pStyle w:val="paragraph"/>
        <w:spacing w:before="0" w:beforeAutospacing="0" w:after="160" w:afterAutospacing="0"/>
        <w:textAlignment w:val="baseline"/>
        <w:rPr>
          <w:rFonts w:ascii="Aptos" w:hAnsi="Aptos"/>
          <w:sz w:val="22"/>
          <w:szCs w:val="22"/>
        </w:rPr>
      </w:pPr>
      <w:r w:rsidRPr="00C63DE0">
        <w:rPr>
          <w:rFonts w:ascii="Aptos" w:hAnsi="Aptos"/>
          <w:sz w:val="22"/>
          <w:szCs w:val="22"/>
        </w:rPr>
        <w:t xml:space="preserve">This makes Hippo particularly valuable for a two-way model of Christianisation. Augustine sermons and letters provide an unusually rich access to local practice and show that Christianisation required constant local negotiation, not just laws from above. Imperial policy explains the conditions under which Christianity could operate publicly, but Augustine’s sermons and letters </w:t>
      </w:r>
      <w:r w:rsidRPr="00C63DE0">
        <w:rPr>
          <w:rStyle w:val="Strong"/>
          <w:rFonts w:ascii="Aptos" w:hAnsi="Aptos"/>
          <w:b w:val="0"/>
          <w:bCs w:val="0"/>
          <w:sz w:val="22"/>
          <w:szCs w:val="22"/>
        </w:rPr>
        <w:t>(Brown, 2000)</w:t>
      </w:r>
      <w:r w:rsidRPr="00C63DE0">
        <w:rPr>
          <w:rFonts w:ascii="Aptos" w:hAnsi="Aptos"/>
          <w:sz w:val="21"/>
          <w:szCs w:val="21"/>
        </w:rPr>
        <w:t xml:space="preserve"> </w:t>
      </w:r>
      <w:r w:rsidRPr="00C63DE0">
        <w:rPr>
          <w:rFonts w:ascii="Aptos" w:hAnsi="Aptos"/>
          <w:sz w:val="22"/>
          <w:szCs w:val="22"/>
        </w:rPr>
        <w:t xml:space="preserve">reveal how Christianisation was achieved through local negotiation—pastoral discipline, community persuasion, charity, and dispute settlement. Hippo sat at the centre of a local </w:t>
      </w:r>
      <w:r w:rsidRPr="00C63DE0">
        <w:rPr>
          <w:rStyle w:val="Strong"/>
          <w:rFonts w:ascii="Aptos" w:hAnsi="Aptos"/>
          <w:b w:val="0"/>
          <w:bCs w:val="0"/>
          <w:sz w:val="22"/>
          <w:szCs w:val="22"/>
        </w:rPr>
        <w:t>town and hinterland</w:t>
      </w:r>
      <w:r w:rsidRPr="00C63DE0">
        <w:rPr>
          <w:rFonts w:ascii="Aptos" w:hAnsi="Aptos"/>
          <w:b/>
          <w:bCs/>
          <w:sz w:val="22"/>
          <w:szCs w:val="22"/>
        </w:rPr>
        <w:t xml:space="preserve"> </w:t>
      </w:r>
      <w:r w:rsidRPr="00C63DE0">
        <w:rPr>
          <w:rFonts w:ascii="Aptos" w:hAnsi="Aptos"/>
          <w:sz w:val="22"/>
          <w:szCs w:val="22"/>
        </w:rPr>
        <w:t>network connected through</w:t>
      </w:r>
      <w:r w:rsidRPr="00C63DE0">
        <w:rPr>
          <w:rFonts w:ascii="Aptos" w:hAnsi="Aptos"/>
        </w:rPr>
        <w:t xml:space="preserve"> </w:t>
      </w:r>
      <w:r w:rsidRPr="00C63DE0">
        <w:rPr>
          <w:rStyle w:val="Strong"/>
          <w:rFonts w:ascii="Aptos" w:hAnsi="Aptos"/>
          <w:b w:val="0"/>
          <w:bCs w:val="0"/>
          <w:sz w:val="22"/>
          <w:szCs w:val="22"/>
        </w:rPr>
        <w:t>commerce</w:t>
      </w:r>
      <w:r w:rsidRPr="00C63DE0">
        <w:rPr>
          <w:rFonts w:ascii="Aptos" w:hAnsi="Aptos"/>
          <w:b/>
          <w:bCs/>
          <w:sz w:val="22"/>
          <w:szCs w:val="22"/>
        </w:rPr>
        <w:t xml:space="preserve">, </w:t>
      </w:r>
      <w:r w:rsidRPr="00C63DE0">
        <w:rPr>
          <w:rStyle w:val="Strong"/>
          <w:rFonts w:ascii="Aptos" w:hAnsi="Aptos"/>
          <w:b w:val="0"/>
          <w:bCs w:val="0"/>
          <w:sz w:val="22"/>
          <w:szCs w:val="22"/>
        </w:rPr>
        <w:t>diocesan/church structures</w:t>
      </w:r>
      <w:r w:rsidRPr="00C63DE0">
        <w:rPr>
          <w:rFonts w:ascii="Aptos" w:hAnsi="Aptos"/>
          <w:sz w:val="22"/>
          <w:szCs w:val="22"/>
        </w:rPr>
        <w:t xml:space="preserve">, and the movement of people seeking </w:t>
      </w:r>
      <w:r w:rsidRPr="00C63DE0">
        <w:rPr>
          <w:rStyle w:val="Strong"/>
          <w:rFonts w:ascii="Aptos" w:hAnsi="Aptos"/>
          <w:b w:val="0"/>
          <w:bCs w:val="0"/>
          <w:sz w:val="22"/>
          <w:szCs w:val="22"/>
        </w:rPr>
        <w:t>welfare support, dispute settlement, and commemoration at Christian sacred sites</w:t>
      </w:r>
      <w:r>
        <w:rPr>
          <w:rStyle w:val="Strong"/>
          <w:rFonts w:ascii="Aptos" w:hAnsi="Aptos"/>
          <w:b w:val="0"/>
          <w:bCs w:val="0"/>
          <w:sz w:val="22"/>
          <w:szCs w:val="22"/>
        </w:rPr>
        <w:t xml:space="preserve"> (Warmington, 2015)</w:t>
      </w:r>
      <w:r w:rsidRPr="00C63DE0">
        <w:rPr>
          <w:rFonts w:ascii="Aptos" w:hAnsi="Aptos"/>
          <w:sz w:val="22"/>
          <w:szCs w:val="22"/>
        </w:rPr>
        <w:t>.</w:t>
      </w:r>
      <w:r>
        <w:rPr>
          <w:rFonts w:ascii="Aptos" w:hAnsi="Aptos"/>
          <w:sz w:val="22"/>
          <w:szCs w:val="22"/>
        </w:rPr>
        <w:t xml:space="preserve"> </w:t>
      </w:r>
      <w:r w:rsidRPr="00C63DE0">
        <w:rPr>
          <w:rFonts w:ascii="Aptos" w:hAnsi="Aptos"/>
          <w:sz w:val="22"/>
          <w:szCs w:val="22"/>
        </w:rPr>
        <w:t>Hippo is especially useful because these connections can be traced in the evidence. Augustine’s sermons and letters repeatedly show him dealing with people arriving from the wider region—landowners, clergy, litigants, and the poor—so that Christianisation can be analysed as a regional process of persuasion, welfare, and governance rather than a purely urban phenomenon.</w:t>
      </w:r>
      <w:r>
        <w:rPr>
          <w:rFonts w:ascii="Aptos" w:hAnsi="Aptos"/>
          <w:sz w:val="22"/>
          <w:szCs w:val="22"/>
        </w:rPr>
        <w:t xml:space="preserve"> Warmington notes that the rural population was still speaking Punic in Augustine’s day (referring to Ep. 209), which makes Hippo a useful case for showing Christianisation operating within a culturally layered society rather than a fully ‘Roman’ monoculture (Warmington, 2015).</w:t>
      </w:r>
    </w:p>
    <w:p w14:paraId="45917F4B" w14:textId="6045E1DC" w:rsidR="000309CB" w:rsidRPr="00A73B26" w:rsidRDefault="000309CB" w:rsidP="000D2372">
      <w:pPr>
        <w:pStyle w:val="paragraph"/>
        <w:spacing w:before="0" w:beforeAutospacing="0" w:after="160" w:afterAutospacing="0"/>
        <w:textAlignment w:val="baseline"/>
        <w:rPr>
          <w:rFonts w:asciiTheme="minorHAnsi" w:hAnsiTheme="minorHAnsi"/>
          <w:sz w:val="22"/>
          <w:szCs w:val="22"/>
        </w:rPr>
      </w:pPr>
      <w:r>
        <w:rPr>
          <w:rFonts w:asciiTheme="minorHAnsi" w:hAnsiTheme="minorHAnsi"/>
          <w:sz w:val="22"/>
          <w:szCs w:val="22"/>
        </w:rPr>
        <w:t>To balance the Latin African evidence from Carthage and Hippo, Alexandria provides an Eastern, multilingual urban setting. Here Christianisation is captured in a city famous for its intellectual life and where Christian</w:t>
      </w:r>
      <w:r w:rsidR="000C764C">
        <w:rPr>
          <w:rFonts w:asciiTheme="minorHAnsi" w:hAnsiTheme="minorHAnsi"/>
          <w:sz w:val="22"/>
          <w:szCs w:val="22"/>
        </w:rPr>
        <w:t>ity</w:t>
      </w:r>
      <w:r>
        <w:rPr>
          <w:rFonts w:asciiTheme="minorHAnsi" w:hAnsiTheme="minorHAnsi"/>
          <w:sz w:val="22"/>
          <w:szCs w:val="22"/>
        </w:rPr>
        <w:t xml:space="preserve"> developed </w:t>
      </w:r>
      <w:r w:rsidR="000C764C">
        <w:rPr>
          <w:rFonts w:asciiTheme="minorHAnsi" w:hAnsiTheme="minorHAnsi"/>
          <w:sz w:val="22"/>
          <w:szCs w:val="22"/>
        </w:rPr>
        <w:t xml:space="preserve">in sustained interaction with Greek education philosophical culture. The city produced influential Christian teachers </w:t>
      </w:r>
      <w:r w:rsidR="002D24D7">
        <w:rPr>
          <w:rFonts w:asciiTheme="minorHAnsi" w:hAnsiTheme="minorHAnsi"/>
          <w:sz w:val="22"/>
          <w:szCs w:val="22"/>
        </w:rPr>
        <w:t xml:space="preserve">such as Clement of Alexandria, who was active for most of his career in Alexandria and fled persecution there in 202, highlighting periods of pressure </w:t>
      </w:r>
      <w:r w:rsidR="002B1EC4">
        <w:rPr>
          <w:rFonts w:asciiTheme="minorHAnsi" w:hAnsiTheme="minorHAnsi"/>
          <w:sz w:val="22"/>
          <w:szCs w:val="22"/>
        </w:rPr>
        <w:t xml:space="preserve">(Maier, 2025). </w:t>
      </w:r>
      <w:r w:rsidR="0025519D" w:rsidRPr="0025519D">
        <w:rPr>
          <w:rFonts w:asciiTheme="minorHAnsi" w:hAnsiTheme="minorHAnsi"/>
          <w:sz w:val="22"/>
          <w:szCs w:val="22"/>
        </w:rPr>
        <w:t>Alexandria also offers a clear way to track Christianisation through contested sacred space. A well-known marker is the destruction of the Serapeum in 391, which illustrates how shifts in imperial policy could be translated locally into changes in the city’s religious landscape</w:t>
      </w:r>
      <w:r w:rsidR="0025519D" w:rsidRPr="0025519D">
        <w:rPr>
          <w:rFonts w:asciiTheme="minorHAnsi" w:eastAsiaTheme="minorHAnsi" w:hAnsiTheme="minorHAnsi" w:cstheme="minorBidi"/>
          <w:kern w:val="2"/>
          <w:lang w:eastAsia="en-US"/>
          <w14:ligatures w14:val="standardContextual"/>
        </w:rPr>
        <w:t xml:space="preserve"> </w:t>
      </w:r>
      <w:r w:rsidR="0025519D" w:rsidRPr="0025519D">
        <w:rPr>
          <w:rFonts w:asciiTheme="minorHAnsi" w:hAnsiTheme="minorHAnsi"/>
          <w:sz w:val="22"/>
          <w:szCs w:val="22"/>
        </w:rPr>
        <w:t>(Dijkstra, 2020, pp. 286–305)</w:t>
      </w:r>
      <w:r w:rsidR="0025519D">
        <w:rPr>
          <w:rFonts w:asciiTheme="minorHAnsi" w:hAnsiTheme="minorHAnsi"/>
          <w:sz w:val="22"/>
          <w:szCs w:val="22"/>
        </w:rPr>
        <w:t>. This</w:t>
      </w:r>
      <w:r w:rsidR="002B1EC4">
        <w:rPr>
          <w:rFonts w:asciiTheme="minorHAnsi" w:hAnsiTheme="minorHAnsi"/>
          <w:sz w:val="22"/>
          <w:szCs w:val="22"/>
        </w:rPr>
        <w:t xml:space="preserve"> city is particularly useful for the dissertations two-way framework</w:t>
      </w:r>
      <w:r w:rsidR="002C3ACA">
        <w:rPr>
          <w:rFonts w:asciiTheme="minorHAnsi" w:hAnsiTheme="minorHAnsi"/>
          <w:sz w:val="22"/>
          <w:szCs w:val="22"/>
        </w:rPr>
        <w:t xml:space="preserve"> because the evidence shows that imperial influence operated through local power structures, rather than overriding them directly. </w:t>
      </w:r>
      <w:r w:rsidR="009630DC">
        <w:rPr>
          <w:rFonts w:asciiTheme="minorHAnsi" w:hAnsiTheme="minorHAnsi"/>
          <w:sz w:val="22"/>
          <w:szCs w:val="22"/>
        </w:rPr>
        <w:t>Haas argues that</w:t>
      </w:r>
      <w:r w:rsidR="004A099D">
        <w:rPr>
          <w:rFonts w:asciiTheme="minorHAnsi" w:hAnsiTheme="minorHAnsi"/>
          <w:sz w:val="22"/>
          <w:szCs w:val="22"/>
        </w:rPr>
        <w:t xml:space="preserve"> </w:t>
      </w:r>
      <w:r w:rsidR="00435D80">
        <w:rPr>
          <w:rFonts w:asciiTheme="minorHAnsi" w:hAnsiTheme="minorHAnsi"/>
          <w:sz w:val="22"/>
          <w:szCs w:val="22"/>
        </w:rPr>
        <w:t xml:space="preserve">many of the </w:t>
      </w:r>
      <w:r w:rsidR="009630DC">
        <w:rPr>
          <w:rFonts w:asciiTheme="minorHAnsi" w:hAnsiTheme="minorHAnsi"/>
          <w:sz w:val="22"/>
          <w:szCs w:val="22"/>
        </w:rPr>
        <w:t>Alexandrian</w:t>
      </w:r>
      <w:r w:rsidR="00435D80">
        <w:rPr>
          <w:rFonts w:asciiTheme="minorHAnsi" w:hAnsiTheme="minorHAnsi"/>
          <w:sz w:val="22"/>
          <w:szCs w:val="22"/>
        </w:rPr>
        <w:t xml:space="preserve"> ethic</w:t>
      </w:r>
      <w:r w:rsidR="009630DC">
        <w:rPr>
          <w:rFonts w:asciiTheme="minorHAnsi" w:hAnsiTheme="minorHAnsi"/>
          <w:sz w:val="22"/>
          <w:szCs w:val="22"/>
        </w:rPr>
        <w:t xml:space="preserve"> groups competed for social dominance</w:t>
      </w:r>
      <w:r w:rsidR="004A099D">
        <w:rPr>
          <w:rFonts w:asciiTheme="minorHAnsi" w:hAnsiTheme="minorHAnsi"/>
          <w:sz w:val="22"/>
          <w:szCs w:val="22"/>
        </w:rPr>
        <w:t xml:space="preserve"> and cultural </w:t>
      </w:r>
      <w:r w:rsidR="00435D80">
        <w:rPr>
          <w:rFonts w:asciiTheme="minorHAnsi" w:hAnsiTheme="minorHAnsi"/>
          <w:sz w:val="22"/>
          <w:szCs w:val="22"/>
        </w:rPr>
        <w:t>control,</w:t>
      </w:r>
      <w:r w:rsidR="004A099D">
        <w:rPr>
          <w:rFonts w:asciiTheme="minorHAnsi" w:hAnsiTheme="minorHAnsi"/>
          <w:sz w:val="22"/>
          <w:szCs w:val="22"/>
        </w:rPr>
        <w:t xml:space="preserve"> </w:t>
      </w:r>
      <w:r w:rsidR="00435D80">
        <w:rPr>
          <w:rFonts w:asciiTheme="minorHAnsi" w:hAnsiTheme="minorHAnsi"/>
          <w:sz w:val="22"/>
          <w:szCs w:val="22"/>
        </w:rPr>
        <w:t>but their rivalry often produced violence and made worse when imperial intervention tipped the balance toward one side</w:t>
      </w:r>
      <w:r w:rsidR="0029332D">
        <w:rPr>
          <w:rFonts w:asciiTheme="minorHAnsi" w:hAnsiTheme="minorHAnsi"/>
          <w:sz w:val="22"/>
          <w:szCs w:val="22"/>
        </w:rPr>
        <w:t xml:space="preserve"> (Haas, 1997)</w:t>
      </w:r>
      <w:r w:rsidR="00435D80">
        <w:rPr>
          <w:rFonts w:asciiTheme="minorHAnsi" w:hAnsiTheme="minorHAnsi"/>
          <w:sz w:val="22"/>
          <w:szCs w:val="22"/>
        </w:rPr>
        <w:t xml:space="preserve">. This is a period where the empire shifts from tolerating Christians to then privileging them, raising the stakes for winning civic authority from all the ethnic blocs. </w:t>
      </w:r>
      <w:r w:rsidR="000D2372">
        <w:rPr>
          <w:rFonts w:asciiTheme="minorHAnsi" w:hAnsiTheme="minorHAnsi"/>
          <w:sz w:val="22"/>
          <w:szCs w:val="22"/>
        </w:rPr>
        <w:t xml:space="preserve">The resulting conflicts are unusually well documented and expose the city’s leadership structures and communal boundaries, allowing </w:t>
      </w:r>
      <w:r w:rsidR="00435D80">
        <w:rPr>
          <w:rFonts w:asciiTheme="minorHAnsi" w:hAnsiTheme="minorHAnsi"/>
          <w:sz w:val="22"/>
          <w:szCs w:val="22"/>
        </w:rPr>
        <w:t xml:space="preserve">historians to </w:t>
      </w:r>
      <w:r w:rsidR="000D2372">
        <w:rPr>
          <w:rFonts w:asciiTheme="minorHAnsi" w:hAnsiTheme="minorHAnsi"/>
          <w:sz w:val="22"/>
          <w:szCs w:val="22"/>
        </w:rPr>
        <w:t xml:space="preserve">analyse </w:t>
      </w:r>
      <w:r w:rsidR="000D2372">
        <w:rPr>
          <w:rFonts w:asciiTheme="minorHAnsi" w:hAnsiTheme="minorHAnsi"/>
          <w:sz w:val="22"/>
          <w:szCs w:val="22"/>
        </w:rPr>
        <w:lastRenderedPageBreak/>
        <w:t>Alexandria as a case study in</w:t>
      </w:r>
      <w:r w:rsidR="00435D80">
        <w:rPr>
          <w:rFonts w:asciiTheme="minorHAnsi" w:hAnsiTheme="minorHAnsi"/>
          <w:sz w:val="22"/>
          <w:szCs w:val="22"/>
        </w:rPr>
        <w:t xml:space="preserve"> multicultural urban dynamics</w:t>
      </w:r>
      <w:r w:rsidR="000D2372">
        <w:rPr>
          <w:rFonts w:asciiTheme="minorHAnsi" w:hAnsiTheme="minorHAnsi"/>
          <w:sz w:val="22"/>
          <w:szCs w:val="22"/>
        </w:rPr>
        <w:t>.</w:t>
      </w:r>
      <w:r w:rsidR="0029332D">
        <w:rPr>
          <w:rFonts w:asciiTheme="minorHAnsi" w:hAnsiTheme="minorHAnsi"/>
          <w:sz w:val="22"/>
          <w:szCs w:val="22"/>
        </w:rPr>
        <w:t xml:space="preserve"> In the three-city design, Alexandria therefore functions as the clearest case for testing Christianisation as a public, city scale process where sacred space, authority, and civic order are contested. </w:t>
      </w:r>
      <w:r w:rsidR="0029332D" w:rsidRPr="0025519D">
        <w:rPr>
          <w:rFonts w:asciiTheme="minorHAnsi" w:hAnsiTheme="minorHAnsi"/>
          <w:sz w:val="22"/>
          <w:szCs w:val="22"/>
        </w:rPr>
        <w:t>Providing a sharp counterpoint to Carthage’s council driven institutional regulation and to Hippo’s parish-level embedding.</w:t>
      </w:r>
    </w:p>
    <w:p w14:paraId="07635F38" w14:textId="0428CF3F" w:rsidR="0029332D" w:rsidRDefault="00C31E24" w:rsidP="008926B6">
      <w:pPr>
        <w:pStyle w:val="paragraph"/>
        <w:spacing w:before="0" w:beforeAutospacing="0" w:after="160" w:afterAutospacing="0"/>
        <w:textAlignment w:val="baseline"/>
        <w:rPr>
          <w:rStyle w:val="eop"/>
          <w:rFonts w:ascii="Aptos" w:hAnsi="Aptos"/>
          <w:sz w:val="22"/>
          <w:szCs w:val="22"/>
        </w:rPr>
      </w:pPr>
      <w:r>
        <w:rPr>
          <w:rStyle w:val="eop"/>
          <w:rFonts w:ascii="Aptos" w:hAnsi="Aptos"/>
          <w:sz w:val="22"/>
          <w:szCs w:val="22"/>
        </w:rPr>
        <w:t>1.4</w:t>
      </w:r>
    </w:p>
    <w:p w14:paraId="17E37FFD" w14:textId="408A6C8C" w:rsidR="00C373F6" w:rsidRDefault="002102FC" w:rsidP="008926B6">
      <w:pPr>
        <w:pStyle w:val="paragraph"/>
        <w:spacing w:before="0" w:beforeAutospacing="0" w:after="160" w:afterAutospacing="0"/>
        <w:textAlignment w:val="baseline"/>
        <w:rPr>
          <w:rStyle w:val="eop"/>
          <w:rFonts w:ascii="Aptos" w:hAnsi="Aptos"/>
          <w:sz w:val="22"/>
          <w:szCs w:val="22"/>
        </w:rPr>
      </w:pPr>
      <w:r>
        <w:rPr>
          <w:rStyle w:val="eop"/>
          <w:rFonts w:ascii="Aptos" w:hAnsi="Aptos"/>
          <w:sz w:val="22"/>
          <w:szCs w:val="22"/>
        </w:rPr>
        <w:t>This dissertation adopts a two-way framework because ‘Christianisation’ is best understood as a gradual reorganisation of public religion</w:t>
      </w:r>
      <w:r w:rsidR="00665664">
        <w:rPr>
          <w:rStyle w:val="eop"/>
          <w:rFonts w:ascii="Aptos" w:hAnsi="Aptos"/>
          <w:sz w:val="22"/>
          <w:szCs w:val="22"/>
        </w:rPr>
        <w:t xml:space="preserve"> because the same imperial conditions did not produce the same outcomes in each case study </w:t>
      </w:r>
      <w:r>
        <w:rPr>
          <w:rStyle w:val="eop"/>
          <w:rFonts w:ascii="Aptos" w:hAnsi="Aptos"/>
          <w:sz w:val="22"/>
          <w:szCs w:val="22"/>
        </w:rPr>
        <w:t xml:space="preserve">. A purely “top-down” account </w:t>
      </w:r>
      <w:r w:rsidR="00665664">
        <w:rPr>
          <w:rStyle w:val="eop"/>
          <w:rFonts w:ascii="Aptos" w:hAnsi="Aptos"/>
          <w:sz w:val="22"/>
          <w:szCs w:val="22"/>
        </w:rPr>
        <w:t xml:space="preserve">rightly emphasises the role of the </w:t>
      </w:r>
      <w:r>
        <w:rPr>
          <w:rStyle w:val="eop"/>
          <w:rFonts w:ascii="Aptos" w:hAnsi="Aptos"/>
          <w:sz w:val="22"/>
          <w:szCs w:val="22"/>
        </w:rPr>
        <w:t>Roman state</w:t>
      </w:r>
      <w:r w:rsidR="00E22006">
        <w:rPr>
          <w:rStyle w:val="eop"/>
          <w:rFonts w:ascii="Aptos" w:hAnsi="Aptos"/>
          <w:sz w:val="22"/>
          <w:szCs w:val="22"/>
        </w:rPr>
        <w:t xml:space="preserve"> at the centre of analysis</w:t>
      </w:r>
      <w:r>
        <w:rPr>
          <w:rStyle w:val="eop"/>
          <w:rFonts w:ascii="Aptos" w:hAnsi="Aptos"/>
          <w:sz w:val="22"/>
          <w:szCs w:val="22"/>
        </w:rPr>
        <w:t xml:space="preserve"> by </w:t>
      </w:r>
      <w:r w:rsidR="00E22006">
        <w:rPr>
          <w:rStyle w:val="eop"/>
          <w:rFonts w:ascii="Aptos" w:hAnsi="Aptos"/>
          <w:sz w:val="22"/>
          <w:szCs w:val="22"/>
        </w:rPr>
        <w:t xml:space="preserve">its </w:t>
      </w:r>
      <w:r>
        <w:rPr>
          <w:rStyle w:val="eop"/>
          <w:rFonts w:ascii="Aptos" w:hAnsi="Aptos"/>
          <w:sz w:val="22"/>
          <w:szCs w:val="22"/>
        </w:rPr>
        <w:t xml:space="preserve">legislation, patronage and administrative enforcement altered what forms of worship could be practised openly, which institutions could own property and organise publicly, and which Christian positions were treated legitimate. A framework </w:t>
      </w:r>
      <w:r w:rsidR="00E22006">
        <w:rPr>
          <w:rStyle w:val="eop"/>
          <w:rFonts w:ascii="Aptos" w:hAnsi="Aptos"/>
          <w:sz w:val="22"/>
          <w:szCs w:val="22"/>
        </w:rPr>
        <w:t xml:space="preserve">centred solely on imperial initiatives risks overlooking how these changes affected the practical realities of civic life on the ground and how these changes were negotiated. </w:t>
      </w:r>
      <w:r>
        <w:rPr>
          <w:rStyle w:val="eop"/>
          <w:rFonts w:ascii="Aptos" w:hAnsi="Aptos"/>
          <w:sz w:val="22"/>
          <w:szCs w:val="22"/>
        </w:rPr>
        <w:t xml:space="preserve">MacMullen’s approach remains useful here because it treats Christianisation as a historical process that depended on social </w:t>
      </w:r>
      <w:r w:rsidR="008F66C2">
        <w:rPr>
          <w:rStyle w:val="eop"/>
          <w:rFonts w:ascii="Aptos" w:hAnsi="Aptos"/>
          <w:sz w:val="22"/>
          <w:szCs w:val="22"/>
        </w:rPr>
        <w:t xml:space="preserve">mechanisms and practical motivations, rather than assuming a simple rise in piety or a single dramatic conversion moment (MacMullen, 1984). </w:t>
      </w:r>
      <w:r w:rsidR="009D2865">
        <w:rPr>
          <w:rStyle w:val="eop"/>
          <w:rFonts w:ascii="Aptos" w:hAnsi="Aptos"/>
          <w:sz w:val="22"/>
          <w:szCs w:val="22"/>
        </w:rPr>
        <w:t>He questions what made people switch in everyday life, focusing on the inner workings of social groups such as influence, authority, material support and the reputation of Christian power</w:t>
      </w:r>
      <w:r w:rsidR="00C373F6">
        <w:rPr>
          <w:rStyle w:val="eop"/>
          <w:rFonts w:ascii="Aptos" w:hAnsi="Aptos"/>
          <w:sz w:val="22"/>
          <w:szCs w:val="22"/>
        </w:rPr>
        <w:t>. This doesn’t dismiss emperors or laws but even if laws change, people still need</w:t>
      </w:r>
      <w:r w:rsidR="009D49E7">
        <w:rPr>
          <w:rStyle w:val="eop"/>
          <w:rFonts w:ascii="Aptos" w:hAnsi="Aptos"/>
          <w:sz w:val="22"/>
          <w:szCs w:val="22"/>
        </w:rPr>
        <w:t xml:space="preserve"> social and practical </w:t>
      </w:r>
      <w:r w:rsidR="00C373F6">
        <w:rPr>
          <w:rStyle w:val="eop"/>
          <w:rFonts w:ascii="Aptos" w:hAnsi="Aptos"/>
          <w:sz w:val="22"/>
          <w:szCs w:val="22"/>
        </w:rPr>
        <w:t xml:space="preserve"> reasons to join and </w:t>
      </w:r>
      <w:r w:rsidR="009D49E7">
        <w:rPr>
          <w:rStyle w:val="eop"/>
          <w:rFonts w:ascii="Aptos" w:hAnsi="Aptos"/>
          <w:sz w:val="22"/>
          <w:szCs w:val="22"/>
        </w:rPr>
        <w:t>remain</w:t>
      </w:r>
      <w:r w:rsidR="00C373F6">
        <w:rPr>
          <w:rStyle w:val="eop"/>
          <w:rFonts w:ascii="Aptos" w:hAnsi="Aptos"/>
          <w:sz w:val="22"/>
          <w:szCs w:val="22"/>
        </w:rPr>
        <w:t xml:space="preserve"> </w:t>
      </w:r>
      <w:r w:rsidR="009D49E7">
        <w:rPr>
          <w:rStyle w:val="eop"/>
          <w:rFonts w:ascii="Aptos" w:hAnsi="Aptos"/>
          <w:sz w:val="22"/>
          <w:szCs w:val="22"/>
        </w:rPr>
        <w:t>within a faith</w:t>
      </w:r>
      <w:r w:rsidR="00C373F6">
        <w:rPr>
          <w:rStyle w:val="eop"/>
          <w:rFonts w:ascii="Aptos" w:hAnsi="Aptos"/>
          <w:sz w:val="22"/>
          <w:szCs w:val="22"/>
        </w:rPr>
        <w:t xml:space="preserve">. He treats the imperial policy as changing the conditions, if Christianity is legal and supported, it can grow more rapid and become more public, fitting into the permissions and pressures segment of the research. </w:t>
      </w:r>
    </w:p>
    <w:p w14:paraId="72925D49" w14:textId="55A1619A" w:rsidR="0060393B" w:rsidRDefault="009D49E7" w:rsidP="008926B6">
      <w:pPr>
        <w:pStyle w:val="paragraph"/>
        <w:spacing w:before="0" w:beforeAutospacing="0" w:after="160" w:afterAutospacing="0"/>
        <w:textAlignment w:val="baseline"/>
        <w:rPr>
          <w:rStyle w:val="eop"/>
          <w:rFonts w:ascii="Aptos" w:hAnsi="Aptos"/>
          <w:sz w:val="22"/>
          <w:szCs w:val="22"/>
        </w:rPr>
      </w:pPr>
      <w:r w:rsidRPr="009D49E7">
        <w:rPr>
          <w:rFonts w:ascii="Aptos" w:hAnsi="Aptos"/>
          <w:sz w:val="22"/>
          <w:szCs w:val="22"/>
        </w:rPr>
        <w:t>However, an imperial-only model cannot explain the uneven, city-specific character of Christianisation. Even under shared imperial turning points, the transition took different speeds and forms depending on local institutions, sacred geographies, and community structures. Lane Fox’s emphasis on the coexistence of pagan and Christian practices in everyday civic life helps clarify why Christianisation was not a clean rupture</w:t>
      </w:r>
      <w:r>
        <w:rPr>
          <w:rFonts w:ascii="Aptos" w:hAnsi="Aptos"/>
          <w:sz w:val="22"/>
          <w:szCs w:val="22"/>
        </w:rPr>
        <w:t xml:space="preserve">. Older rituals and social habits could persist, overlap, or be redirected rather than instantly abolished (Lane Fox, 1986). </w:t>
      </w:r>
      <w:r w:rsidRPr="009D49E7">
        <w:rPr>
          <w:rFonts w:ascii="Aptos" w:hAnsi="Aptos"/>
          <w:sz w:val="22"/>
          <w:szCs w:val="22"/>
        </w:rPr>
        <w:t>Markus likewise frames late antique change as a transformation in the organisation of public and social life, in which Christian identity became embedded through institutions and habits, not simply declared through legislation (Markus, 1990).</w:t>
      </w:r>
      <w:r w:rsidRPr="009D49E7">
        <w:rPr>
          <w:rStyle w:val="eop"/>
          <w:rFonts w:ascii="Aptos" w:hAnsi="Aptos"/>
          <w:sz w:val="22"/>
          <w:szCs w:val="22"/>
        </w:rPr>
        <w:t xml:space="preserve"> </w:t>
      </w:r>
      <w:r>
        <w:rPr>
          <w:rStyle w:val="eop"/>
          <w:rFonts w:ascii="Aptos" w:hAnsi="Aptos"/>
          <w:sz w:val="22"/>
          <w:szCs w:val="22"/>
        </w:rPr>
        <w:t>This is crucial for the present dissertation because it shifts the question from “what did emperor decree?” to “how did cities actually reconfigure their public religion?”.</w:t>
      </w:r>
    </w:p>
    <w:p w14:paraId="31269CDB" w14:textId="7BFC8AA1" w:rsidR="008F66C2" w:rsidRDefault="0060393B" w:rsidP="008926B6">
      <w:pPr>
        <w:pStyle w:val="paragraph"/>
        <w:spacing w:before="0" w:beforeAutospacing="0" w:after="160" w:afterAutospacing="0"/>
        <w:textAlignment w:val="baseline"/>
        <w:rPr>
          <w:rStyle w:val="eop"/>
          <w:rFonts w:ascii="Aptos" w:hAnsi="Aptos"/>
          <w:sz w:val="22"/>
          <w:szCs w:val="22"/>
        </w:rPr>
      </w:pPr>
      <w:r>
        <w:rPr>
          <w:rStyle w:val="eop"/>
          <w:rFonts w:ascii="Aptos" w:hAnsi="Aptos"/>
          <w:sz w:val="22"/>
          <w:szCs w:val="22"/>
        </w:rPr>
        <w:t>A two-way system is needed because even though the Roman Empire Is one political system, the same imperial conditions didn’t produce the same outcomes everywhere. Christianisation did not proceed uniformly, instead it created different civic structures, social compositions and sacred landscapes meant that each city translated imperial change into public life differently. Lane Fox highlights that pagan and Christian practises overlapped for long periods in civic life, meaning Christianisation often involved gradual adaptation rather than immediate replacement (</w:t>
      </w:r>
      <w:r w:rsidR="00793328">
        <w:rPr>
          <w:rStyle w:val="eop"/>
          <w:rFonts w:ascii="Aptos" w:hAnsi="Aptos"/>
          <w:sz w:val="22"/>
          <w:szCs w:val="22"/>
        </w:rPr>
        <w:t xml:space="preserve">Lane </w:t>
      </w:r>
      <w:r>
        <w:rPr>
          <w:rStyle w:val="eop"/>
          <w:rFonts w:ascii="Aptos" w:hAnsi="Aptos"/>
          <w:sz w:val="22"/>
          <w:szCs w:val="22"/>
        </w:rPr>
        <w:t>Fox</w:t>
      </w:r>
      <w:r w:rsidR="00793328">
        <w:rPr>
          <w:rStyle w:val="eop"/>
          <w:rFonts w:ascii="Aptos" w:hAnsi="Aptos"/>
          <w:sz w:val="22"/>
          <w:szCs w:val="22"/>
        </w:rPr>
        <w:t xml:space="preserve">, 1986). </w:t>
      </w:r>
      <w:r w:rsidR="00EC79A5">
        <w:rPr>
          <w:rStyle w:val="eop"/>
          <w:rFonts w:ascii="Aptos" w:hAnsi="Aptos"/>
          <w:sz w:val="22"/>
          <w:szCs w:val="22"/>
        </w:rPr>
        <w:t xml:space="preserve">While </w:t>
      </w:r>
      <w:r w:rsidR="00793328">
        <w:rPr>
          <w:rStyle w:val="eop"/>
          <w:rFonts w:ascii="Aptos" w:hAnsi="Aptos"/>
          <w:sz w:val="22"/>
          <w:szCs w:val="22"/>
        </w:rPr>
        <w:t xml:space="preserve">Cameron’s critique of simplified late antique binaries </w:t>
      </w:r>
      <w:r w:rsidR="00EC79A5">
        <w:rPr>
          <w:rStyle w:val="eop"/>
          <w:rFonts w:ascii="Aptos" w:hAnsi="Aptos"/>
          <w:sz w:val="22"/>
          <w:szCs w:val="22"/>
        </w:rPr>
        <w:t xml:space="preserve">similarly discourages narratives in which paganism collapses everywhere at the same pace or for the same reasons </w:t>
      </w:r>
      <w:r w:rsidR="00793328">
        <w:rPr>
          <w:rStyle w:val="eop"/>
          <w:rFonts w:ascii="Aptos" w:hAnsi="Aptos"/>
          <w:sz w:val="22"/>
          <w:szCs w:val="22"/>
        </w:rPr>
        <w:t xml:space="preserve"> (Cameron, 2011).</w:t>
      </w:r>
      <w:r w:rsidR="00EC79A5">
        <w:rPr>
          <w:rStyle w:val="eop"/>
          <w:rFonts w:ascii="Aptos" w:hAnsi="Aptos"/>
          <w:sz w:val="22"/>
          <w:szCs w:val="22"/>
        </w:rPr>
        <w:t xml:space="preserve"> These studies support a basic methodological premise: laws can change what is possible, but cities change through the choices of local actors working within</w:t>
      </w:r>
      <w:r w:rsidR="004F022D">
        <w:rPr>
          <w:rStyle w:val="eop"/>
          <w:rFonts w:ascii="Aptos" w:hAnsi="Aptos"/>
          <w:sz w:val="22"/>
          <w:szCs w:val="22"/>
        </w:rPr>
        <w:t xml:space="preserve"> those legal and cultural conditions. </w:t>
      </w:r>
    </w:p>
    <w:p w14:paraId="66CA36BE" w14:textId="31E169F6" w:rsidR="005A4876" w:rsidRDefault="004F022D" w:rsidP="008926B6">
      <w:pPr>
        <w:pStyle w:val="paragraph"/>
        <w:spacing w:before="0" w:beforeAutospacing="0" w:after="160" w:afterAutospacing="0"/>
        <w:textAlignment w:val="baseline"/>
        <w:rPr>
          <w:rStyle w:val="eop"/>
          <w:rFonts w:ascii="Aptos" w:hAnsi="Aptos"/>
          <w:sz w:val="22"/>
          <w:szCs w:val="22"/>
        </w:rPr>
      </w:pPr>
      <w:r>
        <w:rPr>
          <w:rStyle w:val="eop"/>
          <w:rFonts w:ascii="Aptos" w:hAnsi="Aptos"/>
          <w:sz w:val="22"/>
          <w:szCs w:val="22"/>
        </w:rPr>
        <w:t xml:space="preserve">The local agency side of the </w:t>
      </w:r>
      <w:r w:rsidR="00127F03">
        <w:rPr>
          <w:rStyle w:val="eop"/>
          <w:rFonts w:ascii="Aptos" w:hAnsi="Aptos"/>
          <w:sz w:val="22"/>
          <w:szCs w:val="22"/>
        </w:rPr>
        <w:t>two-way</w:t>
      </w:r>
      <w:r>
        <w:rPr>
          <w:rStyle w:val="eop"/>
          <w:rFonts w:ascii="Aptos" w:hAnsi="Aptos"/>
          <w:sz w:val="22"/>
          <w:szCs w:val="22"/>
        </w:rPr>
        <w:t xml:space="preserve"> model gives</w:t>
      </w:r>
      <w:r w:rsidR="00127F03">
        <w:rPr>
          <w:rStyle w:val="eop"/>
          <w:rFonts w:ascii="Aptos" w:hAnsi="Aptos"/>
          <w:sz w:val="22"/>
          <w:szCs w:val="22"/>
        </w:rPr>
        <w:t xml:space="preserve"> that second question explanatory power. Local agency refers here to observable urban actors and mechanisms that can be studied. Bishops and clergy implementing discipline and charity; local officials mediating enforcements </w:t>
      </w:r>
      <w:r w:rsidR="00127F03">
        <w:rPr>
          <w:rStyle w:val="eop"/>
          <w:rFonts w:ascii="Aptos" w:hAnsi="Aptos"/>
          <w:sz w:val="22"/>
          <w:szCs w:val="22"/>
        </w:rPr>
        <w:lastRenderedPageBreak/>
        <w:t>and public order; households adopting or resisting new moral and ritual norms; elites funding building and shaping civic respectability; monks and associations mobilising public presence such as crowds and processions. Haas’s study of Alexandria illustrates why these local dynamics matter. He argues that rivalry among communal blocs in a m</w:t>
      </w:r>
      <w:r w:rsidR="009248F5">
        <w:rPr>
          <w:rStyle w:val="eop"/>
          <w:rFonts w:ascii="Aptos" w:hAnsi="Aptos"/>
          <w:sz w:val="22"/>
          <w:szCs w:val="22"/>
        </w:rPr>
        <w:t xml:space="preserve">ulticultural metropolis could generate instability and violence, and that imperial intervention could intensify conflict by empowering one side and destabilising negotiated balances (Haas, 1997).  It is evidence that the same imperial framework could produce unstable outcomes in one city and relatively regulated institutional consolidation in another. Instead, local leadership, crowd mobilisation, and contested sacred topography meditate how policy becomes practice. Frankfurter’s model of Egypt reinforces this broader claim from a different direction, that Christianisation is shaped in local worlds through negotiated continuity and the adaptation of existing social sites, rather than being imposed uniformly from the centre (Frankfurter, 2018). Together, these approaches justify treating local agency </w:t>
      </w:r>
      <w:r w:rsidR="005A4876">
        <w:rPr>
          <w:rStyle w:val="eop"/>
          <w:rFonts w:ascii="Aptos" w:hAnsi="Aptos"/>
          <w:sz w:val="22"/>
          <w:szCs w:val="22"/>
        </w:rPr>
        <w:t xml:space="preserve">as a core driver for Christianisation and not as a mechanical result of imperial preference. </w:t>
      </w:r>
    </w:p>
    <w:p w14:paraId="697CC0B7" w14:textId="567E652E" w:rsidR="005A4876" w:rsidRDefault="005A4876" w:rsidP="008926B6">
      <w:pPr>
        <w:pStyle w:val="paragraph"/>
        <w:spacing w:before="0" w:beforeAutospacing="0" w:after="160" w:afterAutospacing="0"/>
        <w:textAlignment w:val="baseline"/>
        <w:rPr>
          <w:rStyle w:val="eop"/>
          <w:rFonts w:ascii="Aptos" w:hAnsi="Aptos"/>
          <w:sz w:val="22"/>
          <w:szCs w:val="22"/>
        </w:rPr>
      </w:pPr>
      <w:r>
        <w:rPr>
          <w:rStyle w:val="eop"/>
          <w:rFonts w:ascii="Aptos" w:hAnsi="Aptos"/>
          <w:sz w:val="22"/>
          <w:szCs w:val="22"/>
        </w:rPr>
        <w:t>To keep this two-way framework analytically testable, the dissertation operationalises it through consistent set of indicators that capture both imperial conditions and local translate. On the imperial side, laws and edicts, privileges and offices, funding and property, and administrative enforcement establish the ‘permissions and pressures’ under which religious life could be practiced and regulated. On the local side, traditions and calendar, local leadership, space decisions, and identity signals show how those conditions were enacted in practice</w:t>
      </w:r>
      <w:r w:rsidR="00F25F5D">
        <w:rPr>
          <w:rStyle w:val="eop"/>
          <w:rFonts w:ascii="Aptos" w:hAnsi="Aptos"/>
          <w:sz w:val="22"/>
          <w:szCs w:val="22"/>
        </w:rPr>
        <w:t>. Through the reorganisation of public time, the reuse of abandonment of sacred places, the mobilisation of communities, and the public marking of Christian belonging. This approach also underpins the comparative design for the case studies. The same broad imperial framework is held constant, while Carthage, Alexandria, and Hippo Regius allow the analysis to test how different civic structures and profiles produced distinct local pathways to Christian public life. The next section therefore turns to the sources and material evidence used to trace these indicators, and the limitations that shape what can be claimed from each type of evidence.</w:t>
      </w:r>
    </w:p>
    <w:p w14:paraId="20940C0C" w14:textId="303189E2" w:rsidR="00204FBA" w:rsidRDefault="00204FBA" w:rsidP="008926B6">
      <w:pPr>
        <w:pStyle w:val="paragraph"/>
        <w:spacing w:before="0" w:beforeAutospacing="0" w:after="160" w:afterAutospacing="0"/>
        <w:textAlignment w:val="baseline"/>
        <w:rPr>
          <w:rStyle w:val="eop"/>
          <w:rFonts w:ascii="Aptos" w:hAnsi="Aptos"/>
          <w:sz w:val="22"/>
          <w:szCs w:val="22"/>
        </w:rPr>
      </w:pPr>
      <w:r>
        <w:rPr>
          <w:rStyle w:val="eop"/>
          <w:rFonts w:ascii="Aptos" w:hAnsi="Aptos"/>
          <w:sz w:val="22"/>
          <w:szCs w:val="22"/>
        </w:rPr>
        <w:t>1.5</w:t>
      </w:r>
    </w:p>
    <w:p w14:paraId="730528C6" w14:textId="5E322AE7" w:rsidR="008C6766" w:rsidRPr="008C6766" w:rsidRDefault="008C6766" w:rsidP="008C6766">
      <w:pPr>
        <w:pStyle w:val="NormalWeb"/>
        <w:rPr>
          <w:rFonts w:ascii="Aptos" w:hAnsi="Aptos"/>
          <w:sz w:val="22"/>
          <w:szCs w:val="22"/>
        </w:rPr>
      </w:pPr>
      <w:r w:rsidRPr="008C6766">
        <w:rPr>
          <w:rFonts w:ascii="Aptos" w:hAnsi="Aptos"/>
          <w:sz w:val="22"/>
          <w:szCs w:val="22"/>
        </w:rPr>
        <w:t xml:space="preserve">This dissertation relies on </w:t>
      </w:r>
      <w:r w:rsidR="00515F27">
        <w:rPr>
          <w:rFonts w:ascii="Aptos" w:hAnsi="Aptos"/>
          <w:sz w:val="22"/>
          <w:szCs w:val="22"/>
        </w:rPr>
        <w:t xml:space="preserve">a </w:t>
      </w:r>
      <w:r w:rsidRPr="008C6766">
        <w:rPr>
          <w:rFonts w:ascii="Aptos" w:hAnsi="Aptos"/>
          <w:sz w:val="22"/>
          <w:szCs w:val="22"/>
        </w:rPr>
        <w:t xml:space="preserve">mixed evidence base because the transition from pagan civic religion to Christian public life is visible in different ways across the regions. Christianisation reorganises public religion that becomes visible in multiple registers: legal status, institutional authority, sacred space, commemorative practice and everyday administration. In North Africa, religious transformation is most often traced through the built environment and epigraphic evidence, whereas in Egypt it is more clearly visible through the abundance of documentary papyri and administrative records. The aim of this section is therefore to clarify which sources are used, what each can show, and how their limits are managed through triangulation. </w:t>
      </w:r>
    </w:p>
    <w:p w14:paraId="27FA387B" w14:textId="7AE78FE5" w:rsidR="008C6766" w:rsidRPr="008C6766" w:rsidRDefault="008C6766" w:rsidP="008C6766">
      <w:pPr>
        <w:pStyle w:val="NormalWeb"/>
        <w:rPr>
          <w:rFonts w:ascii="Aptos" w:hAnsi="Aptos"/>
          <w:sz w:val="22"/>
          <w:szCs w:val="22"/>
        </w:rPr>
      </w:pPr>
      <w:r w:rsidRPr="008C6766">
        <w:rPr>
          <w:rFonts w:ascii="Aptos" w:hAnsi="Aptos"/>
          <w:sz w:val="22"/>
          <w:szCs w:val="22"/>
        </w:rPr>
        <w:t xml:space="preserve">First, the dissertation uses legal and administrative material to establish the imperial “permissions and pressures” that shaped what could be done quickly. Laws and rescripts are treated as the language of governance showing how the state intended to regulate worship and property as well as an institutional tool available to Christian leaders, rather than as a record of automatic compliance. A useful illustration is the development of </w:t>
      </w:r>
      <w:proofErr w:type="spellStart"/>
      <w:r w:rsidRPr="008C6766">
        <w:rPr>
          <w:rFonts w:ascii="Aptos" w:hAnsi="Aptos"/>
          <w:sz w:val="22"/>
          <w:szCs w:val="22"/>
        </w:rPr>
        <w:t>episcopalis</w:t>
      </w:r>
      <w:proofErr w:type="spellEnd"/>
      <w:r w:rsidRPr="008C6766">
        <w:rPr>
          <w:rFonts w:ascii="Aptos" w:hAnsi="Aptos"/>
          <w:sz w:val="22"/>
          <w:szCs w:val="22"/>
        </w:rPr>
        <w:t xml:space="preserve"> </w:t>
      </w:r>
      <w:proofErr w:type="spellStart"/>
      <w:r w:rsidRPr="008C6766">
        <w:rPr>
          <w:rFonts w:ascii="Aptos" w:hAnsi="Aptos"/>
          <w:sz w:val="22"/>
          <w:szCs w:val="22"/>
        </w:rPr>
        <w:t>audientia</w:t>
      </w:r>
      <w:proofErr w:type="spellEnd"/>
      <w:r w:rsidRPr="008C6766">
        <w:rPr>
          <w:rFonts w:ascii="Aptos" w:hAnsi="Aptos"/>
          <w:sz w:val="22"/>
          <w:szCs w:val="22"/>
        </w:rPr>
        <w:t>, known as the bishop’s court (Humfress, 2011). In practice</w:t>
      </w:r>
      <w:r w:rsidR="007F3EE5">
        <w:rPr>
          <w:rFonts w:ascii="Aptos" w:hAnsi="Aptos"/>
          <w:sz w:val="22"/>
          <w:szCs w:val="22"/>
        </w:rPr>
        <w:t>,</w:t>
      </w:r>
      <w:r w:rsidRPr="008C6766">
        <w:rPr>
          <w:rFonts w:ascii="Aptos" w:hAnsi="Aptos"/>
          <w:sz w:val="22"/>
          <w:szCs w:val="22"/>
        </w:rPr>
        <w:t xml:space="preserve"> this </w:t>
      </w:r>
      <w:r w:rsidR="007F3EE5">
        <w:rPr>
          <w:rFonts w:ascii="Aptos" w:hAnsi="Aptos"/>
          <w:sz w:val="22"/>
          <w:szCs w:val="22"/>
        </w:rPr>
        <w:t>meant that certain</w:t>
      </w:r>
      <w:r w:rsidRPr="008C6766">
        <w:rPr>
          <w:rFonts w:ascii="Aptos" w:hAnsi="Aptos"/>
          <w:sz w:val="22"/>
          <w:szCs w:val="22"/>
        </w:rPr>
        <w:t xml:space="preserve"> disputes </w:t>
      </w:r>
      <w:r w:rsidR="007F3EE5">
        <w:rPr>
          <w:rFonts w:ascii="Aptos" w:hAnsi="Aptos"/>
          <w:sz w:val="22"/>
          <w:szCs w:val="22"/>
        </w:rPr>
        <w:t>could be</w:t>
      </w:r>
      <w:r w:rsidRPr="008C6766">
        <w:rPr>
          <w:rFonts w:ascii="Aptos" w:hAnsi="Aptos"/>
          <w:sz w:val="22"/>
          <w:szCs w:val="22"/>
        </w:rPr>
        <w:t xml:space="preserve"> brought </w:t>
      </w:r>
      <w:r w:rsidR="007F3EE5">
        <w:rPr>
          <w:rFonts w:ascii="Aptos" w:hAnsi="Aptos"/>
          <w:sz w:val="22"/>
          <w:szCs w:val="22"/>
        </w:rPr>
        <w:t>before</w:t>
      </w:r>
      <w:r w:rsidRPr="008C6766">
        <w:rPr>
          <w:rFonts w:ascii="Aptos" w:hAnsi="Aptos"/>
          <w:sz w:val="22"/>
          <w:szCs w:val="22"/>
        </w:rPr>
        <w:t xml:space="preserve"> a bishop </w:t>
      </w:r>
      <w:r w:rsidR="007F3EE5">
        <w:rPr>
          <w:rFonts w:ascii="Aptos" w:hAnsi="Aptos"/>
          <w:sz w:val="22"/>
          <w:szCs w:val="22"/>
        </w:rPr>
        <w:t>for</w:t>
      </w:r>
      <w:r w:rsidRPr="008C6766">
        <w:rPr>
          <w:rFonts w:ascii="Aptos" w:hAnsi="Aptos"/>
          <w:sz w:val="22"/>
          <w:szCs w:val="22"/>
        </w:rPr>
        <w:t xml:space="preserve"> hear</w:t>
      </w:r>
      <w:r w:rsidR="007F3EE5">
        <w:rPr>
          <w:rFonts w:ascii="Aptos" w:hAnsi="Aptos"/>
          <w:sz w:val="22"/>
          <w:szCs w:val="22"/>
        </w:rPr>
        <w:t>ing</w:t>
      </w:r>
      <w:r w:rsidRPr="008C6766">
        <w:rPr>
          <w:rFonts w:ascii="Aptos" w:hAnsi="Aptos"/>
          <w:sz w:val="22"/>
          <w:szCs w:val="22"/>
        </w:rPr>
        <w:t xml:space="preserve"> and settle</w:t>
      </w:r>
      <w:r w:rsidR="007F3EE5">
        <w:rPr>
          <w:rFonts w:ascii="Aptos" w:hAnsi="Aptos"/>
          <w:sz w:val="22"/>
          <w:szCs w:val="22"/>
        </w:rPr>
        <w:t>ment</w:t>
      </w:r>
      <w:r w:rsidRPr="008C6766">
        <w:rPr>
          <w:rFonts w:ascii="Aptos" w:hAnsi="Aptos"/>
          <w:sz w:val="22"/>
          <w:szCs w:val="22"/>
        </w:rPr>
        <w:t xml:space="preserve"> rather than from </w:t>
      </w:r>
      <w:r w:rsidR="007F3EE5">
        <w:rPr>
          <w:rFonts w:ascii="Aptos" w:hAnsi="Aptos"/>
          <w:sz w:val="22"/>
          <w:szCs w:val="22"/>
        </w:rPr>
        <w:t>ordinary</w:t>
      </w:r>
      <w:r w:rsidRPr="008C6766">
        <w:rPr>
          <w:rFonts w:ascii="Aptos" w:hAnsi="Aptos"/>
          <w:sz w:val="22"/>
          <w:szCs w:val="22"/>
        </w:rPr>
        <w:t xml:space="preserve"> civil courts</w:t>
      </w:r>
      <w:r w:rsidR="007F3EE5">
        <w:rPr>
          <w:rFonts w:ascii="Aptos" w:hAnsi="Aptos"/>
          <w:sz w:val="22"/>
          <w:szCs w:val="22"/>
        </w:rPr>
        <w:t xml:space="preserve"> and procedures</w:t>
      </w:r>
      <w:r w:rsidRPr="008C6766">
        <w:rPr>
          <w:rFonts w:ascii="Aptos" w:hAnsi="Aptos"/>
          <w:sz w:val="22"/>
          <w:szCs w:val="22"/>
        </w:rPr>
        <w:t xml:space="preserve">. This </w:t>
      </w:r>
      <w:r w:rsidR="007F3EE5">
        <w:rPr>
          <w:rFonts w:ascii="Aptos" w:hAnsi="Aptos"/>
          <w:sz w:val="22"/>
          <w:szCs w:val="22"/>
        </w:rPr>
        <w:t>helps</w:t>
      </w:r>
      <w:r w:rsidRPr="008C6766">
        <w:rPr>
          <w:rFonts w:ascii="Aptos" w:hAnsi="Aptos"/>
          <w:sz w:val="22"/>
          <w:szCs w:val="22"/>
        </w:rPr>
        <w:t xml:space="preserve"> demonstrates how imperial policy did more than just allow Christianity, it began to integrate bishops into civic systems and within their imperial legal framework (Harris, 1999). </w:t>
      </w:r>
    </w:p>
    <w:p w14:paraId="45558699" w14:textId="20A0BE63" w:rsidR="008C6766" w:rsidRPr="008C6766" w:rsidRDefault="007F3EE5" w:rsidP="008C6766">
      <w:pPr>
        <w:pStyle w:val="NormalWeb"/>
        <w:rPr>
          <w:rFonts w:ascii="Aptos" w:hAnsi="Aptos"/>
          <w:sz w:val="22"/>
          <w:szCs w:val="22"/>
        </w:rPr>
      </w:pPr>
      <w:r>
        <w:rPr>
          <w:rFonts w:ascii="Aptos" w:hAnsi="Aptos"/>
          <w:sz w:val="22"/>
          <w:szCs w:val="22"/>
        </w:rPr>
        <w:lastRenderedPageBreak/>
        <w:t>For the Egyptian context</w:t>
      </w:r>
      <w:r w:rsidR="008C6766" w:rsidRPr="008C6766">
        <w:rPr>
          <w:rFonts w:ascii="Aptos" w:hAnsi="Aptos"/>
          <w:sz w:val="22"/>
          <w:szCs w:val="22"/>
        </w:rPr>
        <w:t xml:space="preserve">, the dissertation relies heavily on </w:t>
      </w:r>
      <w:r>
        <w:rPr>
          <w:rFonts w:ascii="Aptos" w:hAnsi="Aptos"/>
          <w:sz w:val="22"/>
          <w:szCs w:val="22"/>
        </w:rPr>
        <w:t>documentary papyri, which</w:t>
      </w:r>
      <w:r w:rsidR="008C6766" w:rsidRPr="008C6766">
        <w:rPr>
          <w:rFonts w:ascii="Aptos" w:hAnsi="Aptos"/>
          <w:sz w:val="22"/>
          <w:szCs w:val="22"/>
        </w:rPr>
        <w:t xml:space="preserve"> </w:t>
      </w:r>
      <w:r>
        <w:rPr>
          <w:rFonts w:ascii="Aptos" w:hAnsi="Aptos"/>
          <w:sz w:val="22"/>
          <w:szCs w:val="22"/>
        </w:rPr>
        <w:t xml:space="preserve">captures everyday practice rather than only formal policy </w:t>
      </w:r>
      <w:r w:rsidR="008C6766" w:rsidRPr="008C6766">
        <w:rPr>
          <w:rFonts w:ascii="Aptos" w:hAnsi="Aptos"/>
          <w:sz w:val="22"/>
          <w:szCs w:val="22"/>
        </w:rPr>
        <w:t xml:space="preserve">in Alexandria. One </w:t>
      </w:r>
      <w:r w:rsidR="00FD2792">
        <w:rPr>
          <w:rFonts w:ascii="Aptos" w:hAnsi="Aptos"/>
          <w:sz w:val="22"/>
          <w:szCs w:val="22"/>
        </w:rPr>
        <w:t>form of</w:t>
      </w:r>
      <w:r w:rsidR="008C6766" w:rsidRPr="008C6766">
        <w:rPr>
          <w:rFonts w:ascii="Aptos" w:hAnsi="Aptos"/>
          <w:sz w:val="22"/>
          <w:szCs w:val="22"/>
        </w:rPr>
        <w:t xml:space="preserve"> evidence </w:t>
      </w:r>
      <w:r w:rsidR="00FD2792">
        <w:rPr>
          <w:rFonts w:ascii="Aptos" w:hAnsi="Aptos"/>
          <w:sz w:val="22"/>
          <w:szCs w:val="22"/>
        </w:rPr>
        <w:t>comes from</w:t>
      </w:r>
      <w:r w:rsidR="008C6766" w:rsidRPr="008C6766">
        <w:rPr>
          <w:rFonts w:ascii="Aptos" w:hAnsi="Aptos"/>
          <w:sz w:val="22"/>
          <w:szCs w:val="22"/>
        </w:rPr>
        <w:t xml:space="preserve"> documentary papyri produced from the everyday paperwork of petitions, orders and correspondence. </w:t>
      </w:r>
      <w:proofErr w:type="spellStart"/>
      <w:r w:rsidR="008C6766" w:rsidRPr="008C6766">
        <w:rPr>
          <w:rFonts w:ascii="Aptos" w:hAnsi="Aptos"/>
          <w:sz w:val="22"/>
          <w:szCs w:val="22"/>
        </w:rPr>
        <w:t>Luijendijk’s</w:t>
      </w:r>
      <w:proofErr w:type="spellEnd"/>
      <w:r w:rsidR="008C6766" w:rsidRPr="008C6766">
        <w:rPr>
          <w:rFonts w:ascii="Aptos" w:hAnsi="Aptos"/>
          <w:sz w:val="22"/>
          <w:szCs w:val="22"/>
        </w:rPr>
        <w:t xml:space="preserve"> (2008) study of papyri from the Great Persecution proves important here because it shows how documentary texts can register both official enforcement and Christian responses. Later papyri also show churches functioning as economic institutions. The late 19th century discovery of the ancient manuscripts</w:t>
      </w:r>
      <w:r w:rsidR="002751E5">
        <w:rPr>
          <w:rFonts w:ascii="Aptos" w:hAnsi="Aptos"/>
          <w:sz w:val="22"/>
          <w:szCs w:val="22"/>
        </w:rPr>
        <w:t xml:space="preserve"> the</w:t>
      </w:r>
      <w:r w:rsidR="008C6766" w:rsidRPr="008C6766">
        <w:rPr>
          <w:rFonts w:ascii="Aptos" w:hAnsi="Aptos"/>
          <w:sz w:val="22"/>
          <w:szCs w:val="22"/>
        </w:rPr>
        <w:t xml:space="preserve"> Oxyrhynchus papyr</w:t>
      </w:r>
      <w:r w:rsidR="002751E5">
        <w:rPr>
          <w:rFonts w:ascii="Aptos" w:hAnsi="Aptos"/>
          <w:sz w:val="22"/>
          <w:szCs w:val="22"/>
        </w:rPr>
        <w:t>i</w:t>
      </w:r>
      <w:r w:rsidR="008C6766" w:rsidRPr="008C6766">
        <w:rPr>
          <w:rFonts w:ascii="Aptos" w:hAnsi="Aptos"/>
          <w:sz w:val="22"/>
          <w:szCs w:val="22"/>
        </w:rPr>
        <w:t xml:space="preserve"> greatly expanded the evidence for everyday life in Roman and late antique Egypt. Although the collection includes literary and theological texts, much of the contents consisted of mundane records of tax assessments, wills, receipts and private letters. These papyri provide concrete evidence for Christian institutions handling payments and obligations in an administrative record. (Grenfell and Hunt, 1898; Blumell and Wayment, 2015). The papyrological evidence therefore helps balance the dissertations wider source base. Whereas North African evidence often reveals Christianisation through public monuments and urban change, Egyptian papyri preserve the routine administrative traces of religious transformation. Although these documents are not directly Alexandrian. They still represent the wider Egyptian evidence profile that compl</w:t>
      </w:r>
      <w:r w:rsidR="00FD2792">
        <w:rPr>
          <w:rFonts w:ascii="Aptos" w:hAnsi="Aptos"/>
          <w:sz w:val="22"/>
          <w:szCs w:val="22"/>
        </w:rPr>
        <w:t>e</w:t>
      </w:r>
      <w:r w:rsidR="008C6766" w:rsidRPr="008C6766">
        <w:rPr>
          <w:rFonts w:ascii="Aptos" w:hAnsi="Aptos"/>
          <w:sz w:val="22"/>
          <w:szCs w:val="22"/>
        </w:rPr>
        <w:t xml:space="preserve">ments the African material record. </w:t>
      </w:r>
    </w:p>
    <w:p w14:paraId="7D197318" w14:textId="17FFD320" w:rsidR="008C6766" w:rsidRPr="008C6766" w:rsidRDefault="008C6766" w:rsidP="008C6766">
      <w:pPr>
        <w:pStyle w:val="NormalWeb"/>
        <w:rPr>
          <w:rFonts w:ascii="Aptos" w:hAnsi="Aptos"/>
          <w:sz w:val="22"/>
          <w:szCs w:val="22"/>
        </w:rPr>
      </w:pPr>
      <w:r w:rsidRPr="008C6766">
        <w:rPr>
          <w:rFonts w:ascii="Aptos" w:hAnsi="Aptos"/>
          <w:sz w:val="22"/>
          <w:szCs w:val="22"/>
        </w:rPr>
        <w:t xml:space="preserve">Ecclesiastical narrative sources form another important part of the dissertation’s evidence base because they preserve Christian interpretations of persecution, conversion, episcopal authority, and religious conflict. Eusebius’ Ecclesiastical History is important for the earlier part of the dissertation because it provides one of the major surviving Christian narratives of the Church from its origins to the age of Constantine, including the persecutions before imperial favour (Eusebius, 1989). Written by Eusebius, bishop of Caesarea, in the early fourth century, the work is useful for setting up the ‘top-down’ side of the dissertation, because he records how the emperors, edicts and imperial favour affected the status of Christianity across the empire. However, Eusebius must be read critically as he presents the rise of Christianity as part of providential Christian history rather than as a neutral historical process (Eusebius, 1989; Cameron and Hall, 1999). For the Carthage case study, Cyprian’s letters are particularly valuable because they reveal the organisation and authority of the North African Church before Constantine. The writings provide evidence for episcopal leadership and correspondence between Christian communities, </w:t>
      </w:r>
      <w:r w:rsidR="00FD2792">
        <w:rPr>
          <w:rFonts w:ascii="Aptos" w:hAnsi="Aptos"/>
          <w:sz w:val="22"/>
          <w:szCs w:val="22"/>
        </w:rPr>
        <w:t>showing</w:t>
      </w:r>
      <w:r w:rsidRPr="008C6766">
        <w:rPr>
          <w:rFonts w:ascii="Aptos" w:hAnsi="Aptos"/>
          <w:sz w:val="22"/>
          <w:szCs w:val="22"/>
        </w:rPr>
        <w:t xml:space="preserve"> how local Christian authority existed before Christianity became publicly supported by the Roman state (Cyprian, 1984–1989). Martyr narratives are also useful, especially for North Africa. Texts such as the Acts of the Scillitan Martyrs, the Passion of Perpetua and Felicity, the Passion of Cyprian, and later Donatist martyr stories show how martyrdom became part of Christian identity and communal memory in the region (Musurillo, 1972; Tilley, 1996). In the North African context, martyr memory was especially important because both Catholic and Donatist communities appealed to the legacy of persecution to legitimise their own claims to be the true Church. Overall, ecclesiastical narrative sources are valuable because of their bias</w:t>
      </w:r>
      <w:r w:rsidR="002751E5">
        <w:rPr>
          <w:rFonts w:ascii="Aptos" w:hAnsi="Aptos"/>
          <w:sz w:val="22"/>
          <w:szCs w:val="22"/>
        </w:rPr>
        <w:t>:</w:t>
      </w:r>
      <w:r w:rsidRPr="008C6766">
        <w:rPr>
          <w:rFonts w:ascii="Aptos" w:hAnsi="Aptos"/>
          <w:sz w:val="22"/>
          <w:szCs w:val="22"/>
        </w:rPr>
        <w:t xml:space="preserve"> they show how Christian writers wanted the events of persecution, conversion and conflict to be understood and remembered.</w:t>
      </w:r>
    </w:p>
    <w:p w14:paraId="1CB96A7D" w14:textId="11D6300B" w:rsidR="00975B27" w:rsidRPr="00A96718" w:rsidRDefault="00D05E4B" w:rsidP="003A5DAF">
      <w:pPr>
        <w:pStyle w:val="NormalWeb"/>
        <w:rPr>
          <w:rFonts w:ascii="Aptos" w:hAnsi="Aptos"/>
          <w:sz w:val="22"/>
          <w:szCs w:val="22"/>
        </w:rPr>
      </w:pPr>
      <w:r>
        <w:rPr>
          <w:rFonts w:ascii="Aptos" w:hAnsi="Aptos"/>
          <w:sz w:val="22"/>
          <w:szCs w:val="22"/>
        </w:rPr>
        <w:t>T</w:t>
      </w:r>
      <w:r w:rsidR="0036541E">
        <w:rPr>
          <w:rFonts w:ascii="Aptos" w:hAnsi="Aptos"/>
          <w:sz w:val="22"/>
          <w:szCs w:val="22"/>
        </w:rPr>
        <w:t>he dissertation also uses</w:t>
      </w:r>
      <w:r w:rsidR="00497A06">
        <w:rPr>
          <w:rFonts w:ascii="Aptos" w:hAnsi="Aptos"/>
          <w:sz w:val="22"/>
          <w:szCs w:val="22"/>
        </w:rPr>
        <w:t xml:space="preserve"> </w:t>
      </w:r>
      <w:r w:rsidR="0036541E">
        <w:rPr>
          <w:rFonts w:ascii="Aptos" w:hAnsi="Aptos"/>
          <w:sz w:val="22"/>
          <w:szCs w:val="22"/>
        </w:rPr>
        <w:t xml:space="preserve">African conciliar and canonical evidence </w:t>
      </w:r>
      <w:r w:rsidR="00497A06">
        <w:rPr>
          <w:rFonts w:ascii="Aptos" w:hAnsi="Aptos"/>
          <w:sz w:val="22"/>
          <w:szCs w:val="22"/>
        </w:rPr>
        <w:t>includ</w:t>
      </w:r>
      <w:r w:rsidR="0036541E">
        <w:rPr>
          <w:rFonts w:ascii="Aptos" w:hAnsi="Aptos"/>
          <w:sz w:val="22"/>
          <w:szCs w:val="22"/>
        </w:rPr>
        <w:t>ing</w:t>
      </w:r>
      <w:r w:rsidR="00497A06">
        <w:rPr>
          <w:rFonts w:ascii="Aptos" w:hAnsi="Aptos"/>
          <w:sz w:val="22"/>
          <w:szCs w:val="22"/>
        </w:rPr>
        <w:t xml:space="preserve"> council canons, conference acts and the ecclesiastical rulings produced by bishops. They are especially important because the churches in North Africa held frequent councils and made collective episcopal decisions together as </w:t>
      </w:r>
      <w:r w:rsidR="0036541E">
        <w:rPr>
          <w:rFonts w:ascii="Aptos" w:hAnsi="Aptos"/>
          <w:sz w:val="22"/>
          <w:szCs w:val="22"/>
        </w:rPr>
        <w:t>a collective body of church leaders</w:t>
      </w:r>
      <w:r w:rsidR="003A5DAF">
        <w:rPr>
          <w:rFonts w:ascii="Aptos" w:hAnsi="Aptos"/>
          <w:sz w:val="22"/>
          <w:szCs w:val="22"/>
        </w:rPr>
        <w:t xml:space="preserve"> </w:t>
      </w:r>
      <w:r w:rsidR="003A5DAF" w:rsidRPr="003A5DAF">
        <w:rPr>
          <w:rFonts w:ascii="Aptos" w:hAnsi="Aptos"/>
          <w:sz w:val="22"/>
          <w:szCs w:val="22"/>
        </w:rPr>
        <w:t>(Merdinger, 1997)</w:t>
      </w:r>
      <w:r w:rsidR="00497A06">
        <w:rPr>
          <w:rFonts w:ascii="Aptos" w:hAnsi="Aptos"/>
          <w:sz w:val="22"/>
          <w:szCs w:val="22"/>
        </w:rPr>
        <w:t>.</w:t>
      </w:r>
      <w:r w:rsidR="00A96718">
        <w:rPr>
          <w:rFonts w:ascii="Aptos" w:hAnsi="Aptos"/>
          <w:sz w:val="22"/>
          <w:szCs w:val="22"/>
        </w:rPr>
        <w:t xml:space="preserve"> This is then reflected in the later collection known as the Code of Canons of the African </w:t>
      </w:r>
      <w:r w:rsidR="0036541E">
        <w:rPr>
          <w:rFonts w:ascii="Aptos" w:hAnsi="Aptos"/>
          <w:sz w:val="22"/>
          <w:szCs w:val="22"/>
        </w:rPr>
        <w:t>C</w:t>
      </w:r>
      <w:r w:rsidR="00A96718">
        <w:rPr>
          <w:rFonts w:ascii="Aptos" w:hAnsi="Aptos"/>
          <w:sz w:val="22"/>
          <w:szCs w:val="22"/>
        </w:rPr>
        <w:t>hurch, associated with Carthage in 418-419</w:t>
      </w:r>
      <w:r w:rsidR="0036541E">
        <w:rPr>
          <w:rFonts w:ascii="Aptos" w:hAnsi="Aptos"/>
          <w:sz w:val="22"/>
          <w:szCs w:val="22"/>
        </w:rPr>
        <w:t>, which gathered and reaffirmed earlier African canons (Munier, 1974)</w:t>
      </w:r>
      <w:r w:rsidR="00A96718">
        <w:rPr>
          <w:rFonts w:ascii="Aptos" w:hAnsi="Aptos"/>
          <w:sz w:val="22"/>
          <w:szCs w:val="22"/>
        </w:rPr>
        <w:t>.</w:t>
      </w:r>
      <w:r w:rsidR="00497A06">
        <w:rPr>
          <w:rFonts w:ascii="Aptos" w:hAnsi="Aptos"/>
          <w:sz w:val="22"/>
          <w:szCs w:val="22"/>
        </w:rPr>
        <w:t xml:space="preserve"> </w:t>
      </w:r>
      <w:r w:rsidR="0036541E">
        <w:rPr>
          <w:rFonts w:ascii="Aptos" w:hAnsi="Aptos"/>
          <w:sz w:val="22"/>
          <w:szCs w:val="22"/>
        </w:rPr>
        <w:t>P</w:t>
      </w:r>
      <w:r w:rsidR="00497A06">
        <w:rPr>
          <w:rFonts w:ascii="Aptos" w:hAnsi="Aptos"/>
          <w:sz w:val="22"/>
          <w:szCs w:val="22"/>
        </w:rPr>
        <w:t xml:space="preserve">ut simply, imperial legislation tells us what the emperors ordered, but the conciliar evidence shows what bishops tried to regulate in practice. </w:t>
      </w:r>
      <w:r w:rsidR="0051720A">
        <w:rPr>
          <w:rFonts w:ascii="Aptos" w:hAnsi="Aptos"/>
          <w:sz w:val="22"/>
          <w:szCs w:val="22"/>
        </w:rPr>
        <w:t xml:space="preserve">For the dissertation, these </w:t>
      </w:r>
      <w:r w:rsidR="0051720A">
        <w:rPr>
          <w:rFonts w:ascii="Aptos" w:hAnsi="Aptos"/>
          <w:sz w:val="22"/>
          <w:szCs w:val="22"/>
        </w:rPr>
        <w:lastRenderedPageBreak/>
        <w:t>sources</w:t>
      </w:r>
      <w:r w:rsidR="003A5DAF">
        <w:rPr>
          <w:rFonts w:ascii="Aptos" w:hAnsi="Aptos"/>
          <w:sz w:val="22"/>
          <w:szCs w:val="22"/>
        </w:rPr>
        <w:t xml:space="preserve"> clarif</w:t>
      </w:r>
      <w:r w:rsidR="0051720A">
        <w:rPr>
          <w:rFonts w:ascii="Aptos" w:hAnsi="Aptos"/>
          <w:sz w:val="22"/>
          <w:szCs w:val="22"/>
        </w:rPr>
        <w:t>y</w:t>
      </w:r>
      <w:r w:rsidR="003A5DAF">
        <w:rPr>
          <w:rFonts w:ascii="Aptos" w:hAnsi="Aptos"/>
          <w:sz w:val="22"/>
          <w:szCs w:val="22"/>
        </w:rPr>
        <w:t xml:space="preserve"> the bishop’s role in actively shaping Christian life through rules about clergy, baptism, discipline, church property, schism, appeals and relations with rival Christian groups. </w:t>
      </w:r>
    </w:p>
    <w:p w14:paraId="2B41D268" w14:textId="39BB2949" w:rsidR="00975B27" w:rsidRPr="002751E5" w:rsidRDefault="00D05E4B" w:rsidP="008926B6">
      <w:pPr>
        <w:pStyle w:val="paragraph"/>
        <w:spacing w:before="0" w:beforeAutospacing="0" w:after="160" w:afterAutospacing="0"/>
        <w:textAlignment w:val="baseline"/>
        <w:rPr>
          <w:rFonts w:ascii="Aptos" w:hAnsi="Aptos"/>
          <w:sz w:val="22"/>
          <w:szCs w:val="22"/>
        </w:rPr>
      </w:pPr>
      <w:r w:rsidRPr="002751E5">
        <w:rPr>
          <w:rFonts w:ascii="Aptos" w:hAnsi="Aptos"/>
          <w:sz w:val="22"/>
          <w:szCs w:val="22"/>
        </w:rPr>
        <w:t>For Hippo</w:t>
      </w:r>
      <w:r w:rsidR="001428AF" w:rsidRPr="002751E5">
        <w:rPr>
          <w:rFonts w:ascii="Aptos" w:hAnsi="Aptos"/>
          <w:sz w:val="22"/>
          <w:szCs w:val="22"/>
        </w:rPr>
        <w:t>,</w:t>
      </w:r>
      <w:r w:rsidRPr="002751E5">
        <w:rPr>
          <w:rFonts w:ascii="Aptos" w:hAnsi="Aptos"/>
          <w:sz w:val="22"/>
          <w:szCs w:val="22"/>
        </w:rPr>
        <w:t xml:space="preserve"> the dissertation uses Augustine’s </w:t>
      </w:r>
      <w:r w:rsidRPr="002751E5">
        <w:rPr>
          <w:rStyle w:val="Strong"/>
          <w:rFonts w:ascii="Aptos" w:hAnsi="Aptos"/>
          <w:b w:val="0"/>
          <w:bCs w:val="0"/>
          <w:sz w:val="22"/>
          <w:szCs w:val="22"/>
        </w:rPr>
        <w:t>sermons and letters</w:t>
      </w:r>
      <w:r w:rsidRPr="002751E5">
        <w:rPr>
          <w:rFonts w:ascii="Aptos" w:hAnsi="Aptos"/>
          <w:sz w:val="22"/>
          <w:szCs w:val="22"/>
        </w:rPr>
        <w:t xml:space="preserve"> as its strongest window onto local practice, because they show a bishop responding to the everyday problems of </w:t>
      </w:r>
      <w:r w:rsidR="001428AF" w:rsidRPr="002751E5">
        <w:rPr>
          <w:rFonts w:ascii="Aptos" w:hAnsi="Aptos"/>
          <w:sz w:val="22"/>
          <w:szCs w:val="22"/>
        </w:rPr>
        <w:t>his</w:t>
      </w:r>
      <w:r w:rsidRPr="002751E5">
        <w:rPr>
          <w:rFonts w:ascii="Aptos" w:hAnsi="Aptos"/>
          <w:sz w:val="22"/>
          <w:szCs w:val="22"/>
        </w:rPr>
        <w:t xml:space="preserve"> community.</w:t>
      </w:r>
      <w:r w:rsidRPr="002751E5">
        <w:rPr>
          <w:rFonts w:ascii="Aptos" w:hAnsi="Aptos"/>
          <w:sz w:val="22"/>
          <w:szCs w:val="22"/>
        </w:rPr>
        <w:t xml:space="preserve"> They are central to </w:t>
      </w:r>
      <w:r w:rsidR="001428AF" w:rsidRPr="002751E5">
        <w:rPr>
          <w:rFonts w:ascii="Aptos" w:hAnsi="Aptos"/>
          <w:sz w:val="22"/>
          <w:szCs w:val="22"/>
        </w:rPr>
        <w:t xml:space="preserve">the </w:t>
      </w:r>
      <w:r w:rsidRPr="002751E5">
        <w:rPr>
          <w:rFonts w:ascii="Aptos" w:hAnsi="Aptos"/>
          <w:sz w:val="22"/>
          <w:szCs w:val="22"/>
        </w:rPr>
        <w:t>Hippo Regius case study because they provide the clearest evidence for how Christianisation operated at the local and pastoral level. His sermons reveal the repeated concerns of</w:t>
      </w:r>
      <w:r w:rsidR="001428AF" w:rsidRPr="002751E5">
        <w:rPr>
          <w:rFonts w:ascii="Aptos" w:hAnsi="Aptos"/>
          <w:sz w:val="22"/>
          <w:szCs w:val="22"/>
        </w:rPr>
        <w:t xml:space="preserve"> episcopal </w:t>
      </w:r>
      <w:r w:rsidRPr="002751E5">
        <w:rPr>
          <w:rFonts w:ascii="Aptos" w:hAnsi="Aptos"/>
          <w:sz w:val="22"/>
          <w:szCs w:val="22"/>
        </w:rPr>
        <w:t>teaching</w:t>
      </w:r>
      <w:r w:rsidR="001428AF" w:rsidRPr="002751E5">
        <w:rPr>
          <w:rFonts w:ascii="Aptos" w:hAnsi="Aptos"/>
          <w:sz w:val="22"/>
          <w:szCs w:val="22"/>
        </w:rPr>
        <w:t xml:space="preserve">, </w:t>
      </w:r>
      <w:r w:rsidRPr="002751E5">
        <w:rPr>
          <w:rFonts w:ascii="Aptos" w:hAnsi="Aptos"/>
          <w:sz w:val="22"/>
          <w:szCs w:val="22"/>
        </w:rPr>
        <w:t>includ</w:t>
      </w:r>
      <w:r w:rsidR="001428AF" w:rsidRPr="002751E5">
        <w:rPr>
          <w:rFonts w:ascii="Aptos" w:hAnsi="Aptos"/>
          <w:sz w:val="22"/>
          <w:szCs w:val="22"/>
        </w:rPr>
        <w:t>ing</w:t>
      </w:r>
      <w:r w:rsidRPr="002751E5">
        <w:rPr>
          <w:rFonts w:ascii="Aptos" w:hAnsi="Aptos"/>
          <w:sz w:val="22"/>
          <w:szCs w:val="22"/>
        </w:rPr>
        <w:t xml:space="preserve"> moral discipline, religious habits, biblical instruction and the correction of practices that bishops considered improper. Alongside the sermons, </w:t>
      </w:r>
      <w:r w:rsidR="001428AF" w:rsidRPr="002751E5">
        <w:rPr>
          <w:rFonts w:ascii="Aptos" w:hAnsi="Aptos"/>
          <w:sz w:val="22"/>
          <w:szCs w:val="22"/>
        </w:rPr>
        <w:t>Augustine’s</w:t>
      </w:r>
      <w:r w:rsidRPr="002751E5">
        <w:rPr>
          <w:rFonts w:ascii="Aptos" w:hAnsi="Aptos"/>
          <w:sz w:val="22"/>
          <w:szCs w:val="22"/>
        </w:rPr>
        <w:t xml:space="preserve"> letters </w:t>
      </w:r>
      <w:r w:rsidR="001428AF" w:rsidRPr="002751E5">
        <w:rPr>
          <w:rFonts w:ascii="Aptos" w:hAnsi="Aptos"/>
          <w:sz w:val="22"/>
          <w:szCs w:val="22"/>
        </w:rPr>
        <w:t>are</w:t>
      </w:r>
      <w:r w:rsidRPr="002751E5">
        <w:rPr>
          <w:rFonts w:ascii="Aptos" w:hAnsi="Aptos"/>
          <w:sz w:val="22"/>
          <w:szCs w:val="22"/>
        </w:rPr>
        <w:t xml:space="preserve"> valuable </w:t>
      </w:r>
      <w:r w:rsidR="001428AF" w:rsidRPr="002751E5">
        <w:rPr>
          <w:rFonts w:ascii="Aptos" w:hAnsi="Aptos"/>
          <w:sz w:val="22"/>
          <w:szCs w:val="22"/>
        </w:rPr>
        <w:t>because they show him</w:t>
      </w:r>
      <w:r w:rsidRPr="002751E5">
        <w:rPr>
          <w:rFonts w:ascii="Aptos" w:hAnsi="Aptos"/>
          <w:sz w:val="22"/>
          <w:szCs w:val="22"/>
        </w:rPr>
        <w:t xml:space="preserve"> responding to specific disputes</w:t>
      </w:r>
      <w:r w:rsidR="001428AF" w:rsidRPr="002751E5">
        <w:rPr>
          <w:rFonts w:ascii="Aptos" w:hAnsi="Aptos"/>
          <w:sz w:val="22"/>
          <w:szCs w:val="22"/>
        </w:rPr>
        <w:t>, individuals, officials and rival Christian groups.</w:t>
      </w:r>
      <w:r w:rsidRPr="002751E5">
        <w:rPr>
          <w:rFonts w:ascii="Aptos" w:hAnsi="Aptos"/>
          <w:sz w:val="22"/>
          <w:szCs w:val="22"/>
        </w:rPr>
        <w:t xml:space="preserve"> </w:t>
      </w:r>
      <w:r w:rsidR="001428AF" w:rsidRPr="002751E5">
        <w:rPr>
          <w:rFonts w:ascii="Aptos" w:hAnsi="Aptos"/>
          <w:sz w:val="22"/>
          <w:szCs w:val="22"/>
        </w:rPr>
        <w:t>They are especially important for understanding the Donatist controversy and the attempt to define and defend Catholic authority against other Christian claims in North Africa</w:t>
      </w:r>
      <w:r w:rsidR="002751E5" w:rsidRPr="002751E5">
        <w:rPr>
          <w:rFonts w:ascii="Aptos" w:hAnsi="Aptos"/>
          <w:sz w:val="22"/>
          <w:szCs w:val="22"/>
        </w:rPr>
        <w:t xml:space="preserve"> </w:t>
      </w:r>
      <w:r w:rsidR="002751E5" w:rsidRPr="002751E5">
        <w:rPr>
          <w:rFonts w:ascii="Aptos" w:hAnsi="Aptos"/>
          <w:sz w:val="22"/>
          <w:szCs w:val="22"/>
        </w:rPr>
        <w:t>(Augustine, 1990–1995; Augustine, 1992–1997; Frend, 1952; Tilley, 1997)</w:t>
      </w:r>
      <w:r w:rsidR="001428AF" w:rsidRPr="002751E5">
        <w:rPr>
          <w:rFonts w:ascii="Aptos" w:hAnsi="Aptos"/>
          <w:sz w:val="22"/>
          <w:szCs w:val="22"/>
        </w:rPr>
        <w:t>.</w:t>
      </w:r>
    </w:p>
    <w:p w14:paraId="565317D6" w14:textId="4C5327E6" w:rsidR="00432801" w:rsidRDefault="002751E5" w:rsidP="008926B6">
      <w:pPr>
        <w:pStyle w:val="paragraph"/>
        <w:spacing w:before="0" w:beforeAutospacing="0" w:after="160" w:afterAutospacing="0"/>
        <w:textAlignment w:val="baseline"/>
        <w:rPr>
          <w:rStyle w:val="Strong"/>
          <w:rFonts w:ascii="Aptos" w:hAnsi="Aptos"/>
          <w:b w:val="0"/>
          <w:bCs w:val="0"/>
          <w:sz w:val="22"/>
          <w:szCs w:val="22"/>
        </w:rPr>
      </w:pPr>
      <w:r>
        <w:rPr>
          <w:rFonts w:ascii="Aptos" w:hAnsi="Aptos"/>
          <w:sz w:val="22"/>
          <w:szCs w:val="22"/>
        </w:rPr>
        <w:t xml:space="preserve">Finally, this study uses archaeological, epigraphic, and built environment evidence to trace the material visibility of Christianisation within North Africa. Religious transformation was not only </w:t>
      </w:r>
      <w:r w:rsidR="00432801">
        <w:rPr>
          <w:rFonts w:ascii="Aptos" w:hAnsi="Aptos"/>
          <w:sz w:val="22"/>
          <w:szCs w:val="22"/>
        </w:rPr>
        <w:t xml:space="preserve">shown through texts and letters but in physical form as it reshaped cities and communities. The archaeology shows how Christianisation involved a reorganisation of public and sacred space, making Christianity become a part of the visible landscape of North Africa. </w:t>
      </w:r>
      <w:r w:rsidR="00432801" w:rsidRPr="00432801">
        <w:rPr>
          <w:rStyle w:val="Strong"/>
          <w:rFonts w:ascii="Aptos" w:hAnsi="Aptos"/>
          <w:b w:val="0"/>
          <w:bCs w:val="0"/>
          <w:sz w:val="22"/>
          <w:szCs w:val="22"/>
        </w:rPr>
        <w:t>Damous-el-Karita</w:t>
      </w:r>
      <w:r w:rsidR="00432801">
        <w:rPr>
          <w:rStyle w:val="Strong"/>
          <w:rFonts w:ascii="Aptos" w:hAnsi="Aptos"/>
          <w:b w:val="0"/>
          <w:bCs w:val="0"/>
          <w:sz w:val="22"/>
          <w:szCs w:val="22"/>
        </w:rPr>
        <w:t xml:space="preserve"> is a useful example </w:t>
      </w:r>
      <w:r w:rsidR="00C61E6D">
        <w:rPr>
          <w:rStyle w:val="Strong"/>
          <w:rFonts w:ascii="Aptos" w:hAnsi="Aptos"/>
          <w:b w:val="0"/>
          <w:bCs w:val="0"/>
          <w:sz w:val="22"/>
          <w:szCs w:val="22"/>
        </w:rPr>
        <w:t xml:space="preserve">for the Carthage case study as it illustrates Christian space on a large urban scale. Dolenz’s excavation report presents it as one of the most important Christian pilgrimage complexes in North Africa (Dolenz, 2001). Christian identity </w:t>
      </w:r>
      <w:r w:rsidR="00FB37BB">
        <w:rPr>
          <w:rStyle w:val="Strong"/>
          <w:rFonts w:ascii="Aptos" w:hAnsi="Aptos"/>
          <w:b w:val="0"/>
          <w:bCs w:val="0"/>
          <w:sz w:val="22"/>
          <w:szCs w:val="22"/>
        </w:rPr>
        <w:t xml:space="preserve">was </w:t>
      </w:r>
      <w:r w:rsidR="00C61E6D">
        <w:rPr>
          <w:rStyle w:val="Strong"/>
          <w:rFonts w:ascii="Aptos" w:hAnsi="Aptos"/>
          <w:b w:val="0"/>
          <w:bCs w:val="0"/>
          <w:sz w:val="22"/>
          <w:szCs w:val="22"/>
        </w:rPr>
        <w:t xml:space="preserve">also publicly visible through epigraphy. </w:t>
      </w:r>
      <w:r w:rsidR="00FB37BB">
        <w:rPr>
          <w:rStyle w:val="Strong"/>
          <w:rFonts w:ascii="Aptos" w:hAnsi="Aptos"/>
          <w:b w:val="0"/>
          <w:bCs w:val="0"/>
          <w:sz w:val="22"/>
          <w:szCs w:val="22"/>
        </w:rPr>
        <w:t xml:space="preserve">Funerary inscriptions, in particular, show how </w:t>
      </w:r>
      <w:r w:rsidR="00C61E6D">
        <w:rPr>
          <w:rStyle w:val="Strong"/>
          <w:rFonts w:ascii="Aptos" w:hAnsi="Aptos"/>
          <w:b w:val="0"/>
          <w:bCs w:val="0"/>
          <w:sz w:val="22"/>
          <w:szCs w:val="22"/>
        </w:rPr>
        <w:t>Christian names</w:t>
      </w:r>
      <w:r w:rsidR="00FB37BB">
        <w:rPr>
          <w:rStyle w:val="Strong"/>
          <w:rFonts w:ascii="Aptos" w:hAnsi="Aptos"/>
          <w:b w:val="0"/>
          <w:bCs w:val="0"/>
          <w:sz w:val="22"/>
          <w:szCs w:val="22"/>
        </w:rPr>
        <w:t xml:space="preserve">, </w:t>
      </w:r>
      <w:r w:rsidR="00C61E6D">
        <w:rPr>
          <w:rStyle w:val="Strong"/>
          <w:rFonts w:ascii="Aptos" w:hAnsi="Aptos"/>
          <w:b w:val="0"/>
          <w:bCs w:val="0"/>
          <w:sz w:val="22"/>
          <w:szCs w:val="22"/>
        </w:rPr>
        <w:t>symbol</w:t>
      </w:r>
      <w:r w:rsidR="00FB37BB">
        <w:rPr>
          <w:rStyle w:val="Strong"/>
          <w:rFonts w:ascii="Aptos" w:hAnsi="Aptos"/>
          <w:b w:val="0"/>
          <w:bCs w:val="0"/>
          <w:sz w:val="22"/>
          <w:szCs w:val="22"/>
        </w:rPr>
        <w:t>s and commemorative formulae became embedded in burial settings and other public displays, allowing individuals and communities to express their Christian identity in visible and lasting forms (Ennabli,1991).</w:t>
      </w:r>
    </w:p>
    <w:p w14:paraId="0DBDF88C" w14:textId="45F0ADB3" w:rsidR="005A4876" w:rsidRPr="00FF0399" w:rsidRDefault="00FD2792" w:rsidP="008926B6">
      <w:pPr>
        <w:pStyle w:val="paragraph"/>
        <w:spacing w:before="0" w:beforeAutospacing="0" w:after="160" w:afterAutospacing="0"/>
        <w:textAlignment w:val="baseline"/>
        <w:rPr>
          <w:rFonts w:ascii="Aptos" w:hAnsi="Aptos"/>
          <w:sz w:val="22"/>
          <w:szCs w:val="22"/>
        </w:rPr>
      </w:pPr>
      <w:r>
        <w:rPr>
          <w:rStyle w:val="Strong"/>
          <w:rFonts w:ascii="Aptos" w:hAnsi="Aptos"/>
          <w:b w:val="0"/>
          <w:bCs w:val="0"/>
          <w:sz w:val="22"/>
          <w:szCs w:val="22"/>
        </w:rPr>
        <w:t>The dissertation</w:t>
      </w:r>
      <w:r w:rsidR="008961E6">
        <w:rPr>
          <w:rStyle w:val="Strong"/>
          <w:rFonts w:ascii="Aptos" w:hAnsi="Aptos"/>
          <w:b w:val="0"/>
          <w:bCs w:val="0"/>
          <w:sz w:val="22"/>
          <w:szCs w:val="22"/>
        </w:rPr>
        <w:t xml:space="preserve"> proceeds in six chapters. Chapter 2 establishes the wider imperial context from the third to the fifth centuries, tracing the movement from periods of persecution and legal insecurity to toleration and the increasing public authority of Christianity. It provides the chronological framework against which the three local case studies are assessed. Chapter 3 turns to Carthage, examining how Christianisation developed in a major North African urban centre</w:t>
      </w:r>
      <w:r w:rsidR="00FF0399">
        <w:rPr>
          <w:rStyle w:val="Strong"/>
          <w:rFonts w:ascii="Aptos" w:hAnsi="Aptos"/>
          <w:b w:val="0"/>
          <w:bCs w:val="0"/>
          <w:sz w:val="22"/>
          <w:szCs w:val="22"/>
        </w:rPr>
        <w:t xml:space="preserve">. Chapter 4 considers Alexandria as a contrasting eastern and multilingual metropolis, where Christianisation rises through the religious plurality. Chapter 5 focuses on Hippo Regius, using Augustine’s sermons and letters to examine Christianisation at the level of local pastoral practice. Chapter 6 then compares the three case studies through the dissertation’s indicator framework, assessing how laws, institutions, sacred space and leadership developed differently in each city. The conclusion draws these findings together and argues the process of Christianisation under Roman influence and local development as a negotiated transformation produced through the interaction of imperial permissions and city level agency.  </w:t>
      </w:r>
    </w:p>
    <w:p w14:paraId="44994542" w14:textId="77777777" w:rsidR="008926B6" w:rsidRDefault="008926B6" w:rsidP="008926B6">
      <w:pPr>
        <w:pStyle w:val="paragraph"/>
        <w:spacing w:before="0" w:beforeAutospacing="0" w:after="160" w:afterAutospacing="0"/>
        <w:textAlignment w:val="baseline"/>
      </w:pPr>
      <w:r>
        <w:rPr>
          <w:rStyle w:val="normaltextrun"/>
          <w:rFonts w:ascii="Aptos" w:hAnsi="Aptos"/>
          <w:sz w:val="22"/>
          <w:szCs w:val="22"/>
        </w:rPr>
        <w:t>Chapter 2:</w:t>
      </w:r>
      <w:r>
        <w:rPr>
          <w:rStyle w:val="eop"/>
          <w:rFonts w:ascii="Aptos" w:hAnsi="Aptos"/>
          <w:sz w:val="22"/>
          <w:szCs w:val="22"/>
        </w:rPr>
        <w:t> </w:t>
      </w:r>
    </w:p>
    <w:p w14:paraId="4702C274" w14:textId="77777777" w:rsidR="008926B6" w:rsidRDefault="008926B6" w:rsidP="008926B6">
      <w:pPr>
        <w:pStyle w:val="paragraph"/>
        <w:spacing w:before="0" w:beforeAutospacing="0" w:after="160" w:afterAutospacing="0"/>
        <w:textAlignment w:val="baseline"/>
      </w:pPr>
      <w:r>
        <w:rPr>
          <w:rStyle w:val="normaltextrun"/>
          <w:rFonts w:ascii="Aptos" w:hAnsi="Aptos"/>
          <w:sz w:val="22"/>
          <w:szCs w:val="22"/>
        </w:rPr>
        <w:t>This chapter sets the shared context for Carthage, Alexandria, and Hippo Regius by tracing how imperial politics and law reshaped public religion between c. 235 and 439. I use a consistent set of indicators, laws &amp; edicts</w:t>
      </w:r>
      <w:r>
        <w:rPr>
          <w:rStyle w:val="normaltextrun"/>
          <w:rFonts w:ascii="Aptos" w:hAnsi="Aptos"/>
          <w:b/>
          <w:bCs/>
          <w:sz w:val="22"/>
          <w:szCs w:val="22"/>
        </w:rPr>
        <w:t xml:space="preserve">, </w:t>
      </w:r>
      <w:r>
        <w:rPr>
          <w:rStyle w:val="normaltextrun"/>
          <w:rFonts w:ascii="Aptos" w:hAnsi="Aptos"/>
          <w:sz w:val="22"/>
          <w:szCs w:val="22"/>
        </w:rPr>
        <w:t>architecture &amp; landscape</w:t>
      </w:r>
      <w:r>
        <w:rPr>
          <w:rStyle w:val="normaltextrun"/>
          <w:rFonts w:ascii="Aptos" w:hAnsi="Aptos"/>
          <w:b/>
          <w:bCs/>
          <w:sz w:val="22"/>
          <w:szCs w:val="22"/>
        </w:rPr>
        <w:t xml:space="preserve">, </w:t>
      </w:r>
      <w:r>
        <w:rPr>
          <w:rStyle w:val="normaltextrun"/>
          <w:rFonts w:ascii="Aptos" w:hAnsi="Aptos"/>
          <w:sz w:val="22"/>
          <w:szCs w:val="22"/>
        </w:rPr>
        <w:t>language &amp; administration</w:t>
      </w:r>
      <w:r>
        <w:rPr>
          <w:rStyle w:val="normaltextrun"/>
          <w:rFonts w:ascii="Aptos" w:hAnsi="Aptos"/>
          <w:b/>
          <w:bCs/>
          <w:sz w:val="22"/>
          <w:szCs w:val="22"/>
        </w:rPr>
        <w:t xml:space="preserve">, </w:t>
      </w:r>
      <w:r>
        <w:rPr>
          <w:rStyle w:val="normaltextrun"/>
          <w:rFonts w:ascii="Aptos" w:hAnsi="Aptos"/>
          <w:sz w:val="22"/>
          <w:szCs w:val="22"/>
        </w:rPr>
        <w:t>privileges &amp; offices</w:t>
      </w:r>
      <w:r>
        <w:rPr>
          <w:rStyle w:val="normaltextrun"/>
          <w:rFonts w:ascii="Aptos" w:hAnsi="Aptos"/>
          <w:b/>
          <w:bCs/>
          <w:sz w:val="22"/>
          <w:szCs w:val="22"/>
        </w:rPr>
        <w:t xml:space="preserve">, </w:t>
      </w:r>
      <w:r>
        <w:rPr>
          <w:rStyle w:val="normaltextrun"/>
          <w:rFonts w:ascii="Aptos" w:hAnsi="Aptos"/>
          <w:sz w:val="22"/>
          <w:szCs w:val="22"/>
        </w:rPr>
        <w:t>funding &amp; property</w:t>
      </w:r>
      <w:r>
        <w:rPr>
          <w:rStyle w:val="normaltextrun"/>
          <w:rFonts w:ascii="Aptos" w:hAnsi="Aptos"/>
          <w:b/>
          <w:bCs/>
          <w:sz w:val="22"/>
          <w:szCs w:val="22"/>
        </w:rPr>
        <w:t xml:space="preserve">, </w:t>
      </w:r>
      <w:r>
        <w:rPr>
          <w:rStyle w:val="normaltextrun"/>
          <w:rFonts w:ascii="Aptos" w:hAnsi="Aptos"/>
          <w:sz w:val="22"/>
          <w:szCs w:val="22"/>
        </w:rPr>
        <w:t>traditions &amp; calendar</w:t>
      </w:r>
      <w:r>
        <w:rPr>
          <w:rStyle w:val="normaltextrun"/>
          <w:rFonts w:ascii="Aptos" w:hAnsi="Aptos"/>
          <w:b/>
          <w:bCs/>
          <w:sz w:val="22"/>
          <w:szCs w:val="22"/>
        </w:rPr>
        <w:t xml:space="preserve">, </w:t>
      </w:r>
      <w:r>
        <w:rPr>
          <w:rStyle w:val="normaltextrun"/>
          <w:rFonts w:ascii="Aptos" w:hAnsi="Aptos"/>
          <w:sz w:val="22"/>
          <w:szCs w:val="22"/>
        </w:rPr>
        <w:t>local leaders</w:t>
      </w:r>
      <w:r>
        <w:rPr>
          <w:rStyle w:val="normaltextrun"/>
          <w:rFonts w:ascii="Aptos" w:hAnsi="Aptos"/>
          <w:b/>
          <w:bCs/>
          <w:sz w:val="22"/>
          <w:szCs w:val="22"/>
        </w:rPr>
        <w:t xml:space="preserve">, </w:t>
      </w:r>
      <w:r>
        <w:rPr>
          <w:rStyle w:val="normaltextrun"/>
          <w:rFonts w:ascii="Aptos" w:hAnsi="Aptos"/>
          <w:sz w:val="22"/>
          <w:szCs w:val="22"/>
        </w:rPr>
        <w:t>space decisions, and identity signals. These will be applied to later chapters to measure the pace, form and extent of Christianisation, and the imperial and local drivers in each city. By phases (235–305; 303–311; 313; 379–395; 391–392; 429–43</w:t>
      </w:r>
      <w:r>
        <w:rPr>
          <w:rStyle w:val="normaltextrun"/>
          <w:rFonts w:ascii="Aptos" w:hAnsi="Aptos"/>
          <w:color w:val="000000"/>
          <w:sz w:val="22"/>
          <w:szCs w:val="22"/>
        </w:rPr>
        <w:t xml:space="preserve">9), </w:t>
      </w:r>
      <w:r>
        <w:rPr>
          <w:rStyle w:val="normaltextrun"/>
          <w:rFonts w:ascii="Aptos" w:hAnsi="Aptos"/>
          <w:color w:val="BF4E14"/>
          <w:sz w:val="22"/>
          <w:szCs w:val="22"/>
        </w:rPr>
        <w:t xml:space="preserve">I organise this chapter by stating the empire wide changes and its effect for Carthage, Alexandria, and Hippo Regius. Then examining how those imperial conditions played out on the ground and what this sets up for each of the case studies. </w:t>
      </w:r>
      <w:r>
        <w:rPr>
          <w:rStyle w:val="normaltextrun"/>
          <w:rFonts w:ascii="Aptos" w:hAnsi="Aptos"/>
          <w:sz w:val="22"/>
          <w:szCs w:val="22"/>
        </w:rPr>
        <w:t xml:space="preserve">Defining </w:t>
      </w:r>
      <w:r>
        <w:rPr>
          <w:rStyle w:val="normaltextrun"/>
          <w:rFonts w:ascii="Aptos" w:hAnsi="Aptos"/>
          <w:sz w:val="22"/>
          <w:szCs w:val="22"/>
        </w:rPr>
        <w:lastRenderedPageBreak/>
        <w:t>the permissions and pressures under which each city negotiated its own path from pagan to Christian public life. </w:t>
      </w:r>
      <w:r>
        <w:rPr>
          <w:rStyle w:val="eop"/>
          <w:rFonts w:ascii="Aptos" w:hAnsi="Aptos"/>
          <w:sz w:val="22"/>
          <w:szCs w:val="22"/>
        </w:rPr>
        <w:t> </w:t>
      </w:r>
    </w:p>
    <w:p w14:paraId="4FEAAEF0" w14:textId="77777777" w:rsidR="008926B6" w:rsidRDefault="008926B6" w:rsidP="008926B6">
      <w:pPr>
        <w:pStyle w:val="paragraph"/>
        <w:spacing w:before="0" w:beforeAutospacing="0" w:after="160" w:afterAutospacing="0"/>
        <w:textAlignment w:val="baseline"/>
      </w:pPr>
      <w:r>
        <w:rPr>
          <w:rStyle w:val="normaltextrun"/>
          <w:rFonts w:ascii="Aptos" w:hAnsi="Aptos"/>
          <w:sz w:val="22"/>
          <w:szCs w:val="22"/>
        </w:rPr>
        <w:t>Across the later third century, the urban baseline remained pagan by default, still running on a public pagan order – temples, sacrifices, priesthoods and imperial vows structured the calendar (Leone, 2013: 15–33; Haas, 1997: 1–20.). Between 235 and 284, imperial instability and economic strain coincided with the continued pagan civic cult, while small Christian communities were legally vulnerable in North Africa (Leone, 2013: 15–20). </w:t>
      </w:r>
      <w:r>
        <w:rPr>
          <w:rStyle w:val="eop"/>
          <w:rFonts w:ascii="Aptos" w:hAnsi="Aptos"/>
          <w:sz w:val="22"/>
          <w:szCs w:val="22"/>
        </w:rPr>
        <w:t> </w:t>
      </w:r>
    </w:p>
    <w:p w14:paraId="7945FC02" w14:textId="77777777" w:rsidR="008926B6" w:rsidRDefault="008926B6" w:rsidP="008926B6">
      <w:pPr>
        <w:pStyle w:val="paragraph"/>
        <w:spacing w:before="0" w:beforeAutospacing="0" w:after="160" w:afterAutospacing="0"/>
        <w:textAlignment w:val="baseline"/>
      </w:pPr>
      <w:r>
        <w:rPr>
          <w:rStyle w:val="normaltextrun"/>
          <w:rFonts w:ascii="Aptos" w:hAnsi="Aptos"/>
          <w:sz w:val="22"/>
          <w:szCs w:val="22"/>
        </w:rPr>
        <w:t>In 250, Decius issued the libelli to enforce public sacrifice to Roman gods, promoting traditional Roman piety and loyalty between the people, a measure especially well documented in Egyptian papyri</w:t>
      </w:r>
      <w:r>
        <w:rPr>
          <w:rStyle w:val="normaltextrun"/>
          <w:rFonts w:ascii="Aptos" w:hAnsi="Aptos"/>
        </w:rPr>
        <w:t xml:space="preserve"> </w:t>
      </w:r>
      <w:r>
        <w:rPr>
          <w:rStyle w:val="normaltextrun"/>
          <w:rFonts w:ascii="Aptos" w:hAnsi="Aptos"/>
          <w:sz w:val="22"/>
          <w:szCs w:val="22"/>
        </w:rPr>
        <w:t>(</w:t>
      </w:r>
      <w:proofErr w:type="spellStart"/>
      <w:r>
        <w:rPr>
          <w:rStyle w:val="normaltextrun"/>
          <w:rFonts w:ascii="Aptos" w:hAnsi="Aptos"/>
          <w:sz w:val="22"/>
          <w:szCs w:val="22"/>
        </w:rPr>
        <w:t>Luijendijk</w:t>
      </w:r>
      <w:proofErr w:type="spellEnd"/>
      <w:r>
        <w:rPr>
          <w:rStyle w:val="normaltextrun"/>
          <w:rFonts w:ascii="Aptos" w:hAnsi="Aptos"/>
          <w:sz w:val="22"/>
          <w:szCs w:val="22"/>
        </w:rPr>
        <w:t>, 2008: 343–349). Christians, forbidden by their beliefs from idol worship, could not comply. The refusal meant arrests and even death, leading to the empire wide persecution of Christians. </w:t>
      </w:r>
      <w:r>
        <w:rPr>
          <w:rStyle w:val="eop"/>
          <w:rFonts w:ascii="Aptos" w:hAnsi="Aptos"/>
          <w:sz w:val="22"/>
          <w:szCs w:val="22"/>
        </w:rPr>
        <w:t> </w:t>
      </w:r>
    </w:p>
    <w:p w14:paraId="0CE1DC3B" w14:textId="77777777" w:rsidR="008926B6" w:rsidRDefault="008926B6" w:rsidP="008926B6">
      <w:pPr>
        <w:pStyle w:val="paragraph"/>
        <w:spacing w:before="0" w:beforeAutospacing="0" w:after="160" w:afterAutospacing="0"/>
        <w:textAlignment w:val="baseline"/>
      </w:pPr>
      <w:r>
        <w:rPr>
          <w:rStyle w:val="normaltextrun"/>
          <w:rFonts w:ascii="Aptos" w:hAnsi="Aptos"/>
          <w:sz w:val="22"/>
          <w:szCs w:val="22"/>
        </w:rPr>
        <w:t>Under Valerian (257-260), two edicts were issued to further target the persecutions whilst maintaining the Romans traditional faith. The first edict forbade Christians to meet and were restricted to enter cemetery zones, where worship and burial took place. Bishops and deacons were ordered to perform sacrifice or face exile as was recorded from Dionysius of Alexandria’s report, preserved by Eusebius (Eusebius, HE 7.10-7.11). The measures hardened from the second edict targeting the clergy and assemblies. This ultimately brought the execution of the African bishop Cyprian of Carthage in 258, a memory that would shape North African Christianity and debates (Britannica</w:t>
      </w:r>
      <w:r>
        <w:rPr>
          <w:rStyle w:val="normaltextrun"/>
          <w:rFonts w:ascii="Aptos" w:hAnsi="Aptos"/>
        </w:rPr>
        <w:t xml:space="preserve">, </w:t>
      </w:r>
      <w:r>
        <w:rPr>
          <w:rStyle w:val="normaltextrun"/>
          <w:rFonts w:ascii="Aptos" w:hAnsi="Aptos"/>
          <w:sz w:val="22"/>
          <w:szCs w:val="22"/>
        </w:rPr>
        <w:t xml:space="preserve">2025/ (Eusebius, </w:t>
      </w:r>
      <w:r>
        <w:rPr>
          <w:rStyle w:val="normaltextrun"/>
          <w:rFonts w:ascii="Aptos" w:hAnsi="Aptos"/>
          <w:i/>
          <w:iCs/>
          <w:sz w:val="22"/>
          <w:szCs w:val="22"/>
        </w:rPr>
        <w:t>HE</w:t>
      </w:r>
      <w:r>
        <w:rPr>
          <w:rStyle w:val="normaltextrun"/>
          <w:rFonts w:ascii="Aptos" w:hAnsi="Aptos"/>
          <w:sz w:val="22"/>
          <w:szCs w:val="22"/>
        </w:rPr>
        <w:t xml:space="preserve"> 7.10–11; </w:t>
      </w:r>
      <w:proofErr w:type="spellStart"/>
      <w:r>
        <w:rPr>
          <w:rStyle w:val="normaltextrun"/>
          <w:rFonts w:ascii="Aptos" w:hAnsi="Aptos"/>
          <w:sz w:val="22"/>
          <w:szCs w:val="22"/>
        </w:rPr>
        <w:t>Possidius</w:t>
      </w:r>
      <w:proofErr w:type="spellEnd"/>
      <w:r>
        <w:rPr>
          <w:rStyle w:val="normaltextrun"/>
          <w:rFonts w:ascii="Aptos" w:hAnsi="Aptos"/>
          <w:sz w:val="22"/>
          <w:szCs w:val="22"/>
        </w:rPr>
        <w:t>, 2000: xv–xvi).</w:t>
      </w:r>
      <w:r>
        <w:rPr>
          <w:rStyle w:val="eop"/>
          <w:rFonts w:ascii="Aptos" w:hAnsi="Aptos"/>
          <w:sz w:val="22"/>
          <w:szCs w:val="22"/>
        </w:rPr>
        <w:t> </w:t>
      </w:r>
    </w:p>
    <w:p w14:paraId="4FCA6E84" w14:textId="77777777" w:rsidR="008926B6" w:rsidRDefault="008926B6" w:rsidP="008926B6">
      <w:pPr>
        <w:pStyle w:val="paragraph"/>
        <w:spacing w:before="0" w:beforeAutospacing="0" w:after="160" w:afterAutospacing="0"/>
        <w:textAlignment w:val="baseline"/>
      </w:pPr>
      <w:r>
        <w:rPr>
          <w:rStyle w:val="normaltextrun"/>
          <w:rFonts w:ascii="Aptos" w:hAnsi="Aptos"/>
          <w:sz w:val="22"/>
          <w:szCs w:val="22"/>
        </w:rPr>
        <w:t xml:space="preserve">Using the set indicators, starting with traditions &amp; calendar, city festivals and imperial vows organised the public year, while Christian fasts and vigils remained marginal. In space decisions, temples and </w:t>
      </w:r>
      <w:proofErr w:type="spellStart"/>
      <w:r>
        <w:rPr>
          <w:rStyle w:val="normaltextrun"/>
          <w:rFonts w:ascii="Aptos" w:hAnsi="Aptos"/>
          <w:sz w:val="22"/>
          <w:szCs w:val="22"/>
        </w:rPr>
        <w:t>serapea</w:t>
      </w:r>
      <w:proofErr w:type="spellEnd"/>
      <w:r>
        <w:rPr>
          <w:rStyle w:val="normaltextrun"/>
          <w:rFonts w:ascii="Aptos" w:hAnsi="Aptos"/>
          <w:sz w:val="22"/>
          <w:szCs w:val="22"/>
        </w:rPr>
        <w:t xml:space="preserve"> fixed the main routes and foundation that later Christian processions and basilicas would have to reuse or reroute. In identity signals, inscriptions and tombstones predominantly used classical formulas. In language &amp; administration and privileges &amp; offices, the Christian corporate footprint was thin as there was of yet no state preference for Christian institutions (Leone, 2023; Haas, 1997). This sets up the distinct city trajectories explored in the case studies. In Carthage, once the empire allowed Christianity and pushed back on public pagan rites, local elites in Carthage finalised the changes by holding council church meetings, writing church canons and donorships for building basilicas. Alexandria, known for their language diversity and pagan temples initially clashed when imperial policy favoured Christianity. After that, the city settled into daily Christian life in both Greek and Coptic. In the smaller port of Hippo Regius, change happened quietly through the parish life, including sermons, arbitration, charity and burials.  </w:t>
      </w:r>
      <w:r>
        <w:rPr>
          <w:rStyle w:val="eop"/>
          <w:rFonts w:ascii="Aptos" w:hAnsi="Aptos"/>
          <w:sz w:val="22"/>
          <w:szCs w:val="22"/>
        </w:rPr>
        <w:t> </w:t>
      </w:r>
    </w:p>
    <w:p w14:paraId="23FEA8CE" w14:textId="77777777" w:rsidR="008926B6" w:rsidRDefault="008926B6" w:rsidP="008926B6">
      <w:pPr>
        <w:pStyle w:val="paragraph"/>
        <w:spacing w:before="0" w:beforeAutospacing="0" w:after="160" w:afterAutospacing="0"/>
        <w:textAlignment w:val="baseline"/>
      </w:pPr>
      <w:r>
        <w:rPr>
          <w:rStyle w:val="eop"/>
          <w:rFonts w:ascii="Aptos" w:hAnsi="Aptos"/>
          <w:sz w:val="22"/>
          <w:szCs w:val="22"/>
        </w:rPr>
        <w:t> </w:t>
      </w:r>
    </w:p>
    <w:p w14:paraId="7B9E9B0F" w14:textId="7780B888" w:rsidR="008926B6" w:rsidRDefault="008926B6" w:rsidP="008926B6">
      <w:pPr>
        <w:pStyle w:val="paragraph"/>
        <w:spacing w:before="0" w:beforeAutospacing="0" w:after="160" w:afterAutospacing="0"/>
        <w:textAlignment w:val="baseline"/>
      </w:pPr>
      <w:r>
        <w:rPr>
          <w:rStyle w:val="normaltextrun"/>
          <w:rFonts w:ascii="Aptos" w:hAnsi="Aptos"/>
          <w:sz w:val="22"/>
          <w:szCs w:val="22"/>
        </w:rPr>
        <w:t xml:space="preserve">The year 311 introduced Galerius’ Edict of Toleration, formally halting the persecutions and allowing Christians to exist and assemble again. Then due to Licinius’ letter the Christians are granted freedom of </w:t>
      </w:r>
      <w:r w:rsidR="00F1642B">
        <w:rPr>
          <w:rStyle w:val="normaltextrun"/>
          <w:rFonts w:ascii="Aptos" w:hAnsi="Aptos"/>
          <w:sz w:val="22"/>
          <w:szCs w:val="22"/>
        </w:rPr>
        <w:t>religion,</w:t>
      </w:r>
      <w:r>
        <w:rPr>
          <w:rStyle w:val="normaltextrun"/>
          <w:rFonts w:ascii="Aptos" w:hAnsi="Aptos"/>
          <w:sz w:val="22"/>
          <w:szCs w:val="22"/>
        </w:rPr>
        <w:t xml:space="preserve"> and all the confiscated Christian property and meeting places are then restored just two years later. 311-313 removes the legal barriers and fear initially held prior to this period, due to the legal toleration. Though these events do not quite create the state church but is a legal advancement to the religious landscape. To keep the discussion consistent across all three cities, I analyse change through a fixed set of indicators. I begin with</w:t>
      </w:r>
      <w:r>
        <w:rPr>
          <w:rStyle w:val="normaltextrun"/>
          <w:rFonts w:ascii="Aptos" w:hAnsi="Aptos"/>
          <w:b/>
          <w:bCs/>
          <w:sz w:val="22"/>
          <w:szCs w:val="22"/>
        </w:rPr>
        <w:t xml:space="preserve"> </w:t>
      </w:r>
      <w:r>
        <w:rPr>
          <w:rStyle w:val="normaltextrun"/>
          <w:rFonts w:ascii="Aptos" w:hAnsi="Aptos"/>
          <w:sz w:val="22"/>
          <w:szCs w:val="22"/>
        </w:rPr>
        <w:t xml:space="preserve">funding and property, because legal restitution and new endowments are often the earliest conditions for visible Christian institutions. Due to property restoration, churches can again be legally used and begin the long process of repair, rebuilding and endowment, that later shows up archaeologically and epigraphically. Furthermore, bishops and clergy can act openly as recognised community leaders, which brings the following set of indicators, privileges and offices. Constantine’s early correspondence </w:t>
      </w:r>
      <w:r w:rsidR="00432801">
        <w:rPr>
          <w:rStyle w:val="normaltextrun"/>
          <w:rFonts w:ascii="Aptos" w:hAnsi="Aptos"/>
          <w:sz w:val="22"/>
          <w:szCs w:val="22"/>
        </w:rPr>
        <w:t>shows</w:t>
      </w:r>
      <w:r>
        <w:rPr>
          <w:rStyle w:val="normaltextrun"/>
          <w:rFonts w:ascii="Aptos" w:hAnsi="Aptos"/>
          <w:sz w:val="22"/>
          <w:szCs w:val="22"/>
        </w:rPr>
        <w:t xml:space="preserve"> the direction of clerical travel in Africa and </w:t>
      </w:r>
      <w:r w:rsidR="00251E44">
        <w:rPr>
          <w:rStyle w:val="normaltextrun"/>
          <w:rFonts w:ascii="Aptos" w:hAnsi="Aptos"/>
          <w:sz w:val="22"/>
          <w:szCs w:val="22"/>
        </w:rPr>
        <w:lastRenderedPageBreak/>
        <w:t>reveals</w:t>
      </w:r>
      <w:r>
        <w:rPr>
          <w:rStyle w:val="normaltextrun"/>
          <w:rFonts w:ascii="Aptos" w:hAnsi="Aptos"/>
          <w:sz w:val="22"/>
          <w:szCs w:val="22"/>
        </w:rPr>
        <w:t xml:space="preserve"> all those associated with the Catholic church were to be protected from certain civic burdens. Onto the language and administration, with the corporate life legal, Christians communities can keep and circulate official letters, lists and administrative notices. This becomes especially important for Egypt, where later papyri preserve how the Church acts as an institution, so Christianisation shows up as routine administration. These legal changes did not produce the same results everywhere. In the case studies that follow, they created different starting conditions in Carthage, Alexandria and Hippo Regius. In Carthage, the shift of 311-313 creates the legal platform for Africa’s later council and elite patronage that will shape the city’s later Christianisation. Toleration and restitution did not erase Alexandria’s plural religious landscape but allowed the church to function as a recognised urban institution in a complex city, setting up later moments when policy and local conflict reshape sacred space and processions. In Hippo Regius, the importance of 311-313 is less about dramatic public confrontation and more about practical continuity and growth. The significance was the quiet parish growth through routine local structures involving worship, charity, burial and community organisation rather than an immediate monumental change. </w:t>
      </w:r>
      <w:r>
        <w:rPr>
          <w:rStyle w:val="eop"/>
          <w:rFonts w:ascii="Aptos" w:hAnsi="Aptos"/>
          <w:sz w:val="22"/>
          <w:szCs w:val="22"/>
        </w:rPr>
        <w:t> </w:t>
      </w:r>
    </w:p>
    <w:p w14:paraId="0EAF7F72" w14:textId="77777777" w:rsidR="008926B6" w:rsidRDefault="008926B6" w:rsidP="008926B6">
      <w:pPr>
        <w:pStyle w:val="paragraph"/>
        <w:spacing w:before="0" w:beforeAutospacing="0" w:after="160" w:afterAutospacing="0"/>
        <w:textAlignment w:val="baseline"/>
      </w:pPr>
      <w:r>
        <w:rPr>
          <w:rStyle w:val="eop"/>
          <w:rFonts w:ascii="Aptos" w:hAnsi="Aptos"/>
          <w:sz w:val="22"/>
          <w:szCs w:val="22"/>
        </w:rPr>
        <w:t> </w:t>
      </w:r>
    </w:p>
    <w:p w14:paraId="7DB8E897" w14:textId="77777777" w:rsidR="008926B6" w:rsidRDefault="008926B6" w:rsidP="008926B6">
      <w:pPr>
        <w:pStyle w:val="paragraph"/>
        <w:spacing w:before="0" w:beforeAutospacing="0" w:after="160" w:afterAutospacing="0"/>
        <w:textAlignment w:val="baseline"/>
      </w:pPr>
      <w:r>
        <w:rPr>
          <w:rStyle w:val="normaltextrun"/>
          <w:rFonts w:ascii="Aptos" w:hAnsi="Aptos"/>
          <w:sz w:val="22"/>
          <w:szCs w:val="22"/>
        </w:rPr>
        <w:t xml:space="preserve">A decisive shift occurs from 380 to 392, when the empire begins to privilege Nicene Christianity and apply sustained pressure on public pagan rites. This phase matters because it turns toleration into a new public default. </w:t>
      </w:r>
      <w:r>
        <w:rPr>
          <w:rStyle w:val="normaltextrun"/>
          <w:rFonts w:ascii="Aptos" w:hAnsi="Aptos"/>
          <w:color w:val="EE0000"/>
          <w:sz w:val="22"/>
          <w:szCs w:val="22"/>
        </w:rPr>
        <w:t xml:space="preserve">The legal climate changes in ways that directly affect our indicators. We should expect clearer shifts in public time, sacred space, civic authority, and visible identity than in the earlier toleration phase. </w:t>
      </w:r>
      <w:r>
        <w:rPr>
          <w:rStyle w:val="normaltextrun"/>
          <w:rFonts w:ascii="Aptos" w:hAnsi="Aptos"/>
          <w:sz w:val="22"/>
          <w:szCs w:val="22"/>
        </w:rPr>
        <w:t xml:space="preserve">The Orthodoxy is reinforced institutionally when the first council of Constantinople in 381 reaffirms and expands the Nicene creed across the empire. Thus, tightening the reign of what was considered the correct Christian belief as opposed to the rival Christian groups which were labelled as heretical. This is the moment where Roman influence becomes more than toleration, it becomes direction setting, officialising and enforcing the state preferred kind of Christianity. </w:t>
      </w:r>
      <w:r>
        <w:rPr>
          <w:rStyle w:val="normaltextrun"/>
          <w:rFonts w:ascii="Aptos" w:hAnsi="Aptos"/>
          <w:color w:val="EE0000"/>
          <w:sz w:val="22"/>
          <w:szCs w:val="22"/>
        </w:rPr>
        <w:t>Simultaneously the pressure against the public pagan cult restricted public sacrifice and temple centred cult. </w:t>
      </w:r>
      <w:r>
        <w:rPr>
          <w:rStyle w:val="eop"/>
          <w:rFonts w:ascii="Aptos" w:hAnsi="Aptos"/>
          <w:color w:val="EE0000"/>
          <w:sz w:val="22"/>
          <w:szCs w:val="22"/>
        </w:rPr>
        <w:t> </w:t>
      </w:r>
    </w:p>
    <w:p w14:paraId="39BFE131" w14:textId="77777777" w:rsidR="008926B6" w:rsidRDefault="008926B6" w:rsidP="008926B6">
      <w:pPr>
        <w:pStyle w:val="paragraph"/>
        <w:spacing w:before="0" w:beforeAutospacing="0" w:after="160" w:afterAutospacing="0"/>
        <w:textAlignment w:val="baseline"/>
      </w:pPr>
      <w:r>
        <w:rPr>
          <w:rStyle w:val="normaltextrun"/>
          <w:rFonts w:ascii="Aptos" w:hAnsi="Aptos"/>
          <w:sz w:val="22"/>
          <w:szCs w:val="22"/>
        </w:rPr>
        <w:t xml:space="preserve">‘Architecture and landscape’ provide the clearest early signals of this shift, because new basilicas, altered sacred routes, and selective temple reuse are visible consequences of Nicene preference. Since now Christianity is aligned with imperial legitimacy, it becomes politically and financially easier to build Christian buildings. Raising funds, securing sites and building basilicas in prominent places without opposition. This results with a shift in the routes and focal points as churches and shrines become the new public nodes. Processions and crowd movement are redirected away from older cult centres and onto churches. This is the clearest way to show that law becomes landscape. This legal climate also reshaped who held authority in cities. The bishops increasingly gained recognised public roles through privileges, judicial functions, and council governance. This meant the Church could function as a real public institution, running charities, enforcing discipline and providing resolution for disputes. Religion becomes part of the city’s everyday system which makes conversion and long-term loyalty much more likely. In this phase ‘identity signals’ become easier to read because Nicene Christianity privileged status makes openly presenting as a Christian less risky and more socially accepted. The clearest form is funerary epigraphy, words such as ‘in pace’ and Christian symbols spread widely in Late Antique burials, especially in North Africa where mosaic epitaphs in church are common (Fenwick et al. 2023, pp.125-126). Now to identify how these indicators affected each city from 380 to 392.  In Carthage, the Nicene preference creates the conditions for a more regulated, institutionally confident church. This phase prepares Carthage’s later pattern of a respectable civic Christianity, expressed through canons, donors and reshaping the martyr cemetery landscape. In Alexandria, Nicene preference matters because it lands in a city with major cult landmarks and intense communal politics. The pressure on public cult is more likely to generate high visibility conflicts over space and </w:t>
      </w:r>
      <w:r>
        <w:rPr>
          <w:rStyle w:val="normaltextrun"/>
          <w:rFonts w:ascii="Aptos" w:hAnsi="Aptos"/>
          <w:sz w:val="22"/>
          <w:szCs w:val="22"/>
        </w:rPr>
        <w:lastRenderedPageBreak/>
        <w:t>symbols. The same imperial shift tends to work less through spectacle and more through capacity within Hippo Regius. It strengthens bishops as local authorities, makes church charity more viable, and supports steady habit change at parish level. This phase sets up Hippo’s later pattern, which is Christianisation through routine</w:t>
      </w:r>
      <w:r>
        <w:rPr>
          <w:rStyle w:val="normaltextrun"/>
          <w:rFonts w:ascii="Aptos" w:hAnsi="Aptos"/>
          <w:color w:val="EE0000"/>
          <w:sz w:val="22"/>
          <w:szCs w:val="22"/>
        </w:rPr>
        <w:t>, preaching, arbitration, welfare, burial,</w:t>
      </w:r>
      <w:r>
        <w:rPr>
          <w:rStyle w:val="normaltextrun"/>
          <w:rFonts w:ascii="Aptos" w:hAnsi="Aptos"/>
          <w:sz w:val="22"/>
          <w:szCs w:val="22"/>
        </w:rPr>
        <w:t xml:space="preserve"> rather than a single dramatic urban confrontation.       </w:t>
      </w:r>
      <w:r>
        <w:rPr>
          <w:rStyle w:val="eop"/>
          <w:rFonts w:ascii="Aptos" w:hAnsi="Aptos"/>
          <w:sz w:val="22"/>
          <w:szCs w:val="22"/>
        </w:rPr>
        <w:t> </w:t>
      </w:r>
    </w:p>
    <w:p w14:paraId="112EE3B4" w14:textId="77777777" w:rsidR="008926B6" w:rsidRDefault="008926B6" w:rsidP="008926B6">
      <w:pPr>
        <w:pStyle w:val="paragraph"/>
        <w:spacing w:before="0" w:beforeAutospacing="0" w:after="160" w:afterAutospacing="0"/>
        <w:textAlignment w:val="baseline"/>
      </w:pPr>
      <w:r>
        <w:rPr>
          <w:rStyle w:val="normaltextrun"/>
          <w:rFonts w:ascii="Aptos" w:hAnsi="Aptos"/>
          <w:sz w:val="22"/>
          <w:szCs w:val="22"/>
        </w:rPr>
        <w:t xml:space="preserve">The period 429-439 marks a structural break for North Africa. The vandal movement began to change the political conditions under which African Christianity operated. Under Gaiseric, the vandals crossed into Africa and advanced rapidly; Hippo Regius was taken after a siege during which Augustine died (430), and the sequence of conquests that followed culminated in Carthage’s seizure which shifted the regions centre of power away from the western Roman administration. This matters for the dissertation because it changes the ‘imperial weather’ in Africa. This pivot applies to Carthage and Hippo, while Alexandria remains outside the vandal sphere, continuing under eastern Roman conditions (Fournier, 2017; Conant, 2022). In this final turning point for African Christianisation, church property stops being a stable platform for growth and becomes a contested asset of rule. Under Roman preference funding and property would usually track institutional expansion (buildings, clergy support, charity, burial space). After the capture of Carthage, church property became a lever of rule rather than a stable base for growth, as key churches (including St Restituta) were transferred to the regime’s clergy and confiscations likely extended to the church’s landed estates </w:t>
      </w:r>
      <w:r>
        <w:rPr>
          <w:rStyle w:val="normaltextrun"/>
          <w:rFonts w:ascii="Aptos" w:hAnsi="Aptos"/>
          <w:i/>
          <w:iCs/>
          <w:sz w:val="22"/>
          <w:szCs w:val="22"/>
        </w:rPr>
        <w:t>(Mawdsley, 2018, p. 165).</w:t>
      </w:r>
      <w:r>
        <w:rPr>
          <w:rStyle w:val="normaltextrun"/>
          <w:rFonts w:ascii="Aptos" w:hAnsi="Aptos"/>
          <w:sz w:val="22"/>
          <w:szCs w:val="22"/>
        </w:rPr>
        <w:t xml:space="preserve"> This matters because if a church can’t control property, it can’t reliably fund clergy, charity, repairs, burial or infrastructure.</w:t>
      </w:r>
      <w:r>
        <w:rPr>
          <w:rStyle w:val="eop"/>
          <w:rFonts w:ascii="Aptos" w:hAnsi="Aptos"/>
          <w:sz w:val="22"/>
          <w:szCs w:val="22"/>
        </w:rPr>
        <w:t> </w:t>
      </w:r>
    </w:p>
    <w:p w14:paraId="4EE22E22" w14:textId="1CDCD421" w:rsidR="008926B6" w:rsidRDefault="008926B6" w:rsidP="008926B6">
      <w:pPr>
        <w:pStyle w:val="paragraph"/>
        <w:spacing w:before="0" w:beforeAutospacing="0" w:after="160" w:afterAutospacing="0"/>
        <w:textAlignment w:val="baseline"/>
      </w:pPr>
      <w:r>
        <w:rPr>
          <w:rStyle w:val="normaltextrun"/>
          <w:rFonts w:ascii="Aptos" w:hAnsi="Aptos"/>
          <w:sz w:val="22"/>
          <w:szCs w:val="22"/>
        </w:rPr>
        <w:t xml:space="preserve">Hydatius reports that Gaiseric expelled the bishop and clergy of Carthage and handed the catholic churches to the Arians (Hydatius, 1993, Chron. 110, p. 95). This is a direct link between conquest, clergy removal, and transfer of church assets. So, in this case when the ownership or access becomes unstable, Christianisation can become fragmented forcing communities to rely more on local strategies (patrons, informal worship, saints’ cult and burial networks) to maintain continuity. This is exactly the ‘two-way process’ point, the imperial pressure creates constraints, but local practices decide continuity. This phase also redefines who controls over the existing basilicas and cathedrals. Hydatius explicitly describes catholic churches being handed to Arians after 439 (Hydatius, 1993, Chron. 110). This changes the Christianisation process because the most visible public expression of Christianity, cathedral worship, preaching, and clerical authority can now be channelled through the confession backed by the new regime. Contemporary scholarship notes that Geiseric’s early policies included prohibitions on Nicene meetings in Carthage, the confiscation of some ecclesiastical properties, and the exile of </w:t>
      </w:r>
      <w:r w:rsidR="00612D0B">
        <w:rPr>
          <w:rStyle w:val="normaltextrun"/>
          <w:rFonts w:ascii="Aptos" w:hAnsi="Aptos"/>
          <w:sz w:val="22"/>
          <w:szCs w:val="22"/>
        </w:rPr>
        <w:t>clerics</w:t>
      </w:r>
      <w:r>
        <w:rPr>
          <w:rStyle w:val="normaltextrun"/>
          <w:rFonts w:ascii="Aptos" w:hAnsi="Aptos"/>
          <w:sz w:val="22"/>
          <w:szCs w:val="22"/>
        </w:rPr>
        <w:t>, while the bishop Quodvultdeus and his clergy were banished after the conquest (Giovan do Nascimento and Magalhães de Oliveira, 2021, p. 202; González Salinero, 1996, p. 447).</w:t>
      </w:r>
      <w:r>
        <w:rPr>
          <w:rStyle w:val="normaltextrun"/>
          <w:rFonts w:ascii="Aptos" w:hAnsi="Aptos"/>
        </w:rPr>
        <w:t xml:space="preserve"> </w:t>
      </w:r>
      <w:r>
        <w:rPr>
          <w:rStyle w:val="normaltextrun"/>
          <w:rFonts w:ascii="Aptos" w:hAnsi="Aptos"/>
          <w:sz w:val="22"/>
          <w:szCs w:val="22"/>
        </w:rPr>
        <w:t>Crucially, this does not mean Christianity collapses: Whelan emphasises that evidence for widespread church destruction or abandonment is limited and that churches remained in use, so the period is best read as confessional contest (Whelan, 2018, pp. 8–9). Having established the shared turning points and the indicators used to track change, the dissertation now moves from imperial conditions to city-level evidence. Chapters 3–5 apply this framework to Carthage, Alexandria, and Hippo Regius, before Chapter 6 draws the comparative synthesis.</w:t>
      </w:r>
      <w:r>
        <w:rPr>
          <w:rStyle w:val="eop"/>
          <w:rFonts w:ascii="Aptos" w:hAnsi="Aptos"/>
          <w:sz w:val="22"/>
          <w:szCs w:val="22"/>
        </w:rPr>
        <w:t> </w:t>
      </w:r>
    </w:p>
    <w:p w14:paraId="43A7E974" w14:textId="77777777" w:rsidR="00CB0365" w:rsidRDefault="00CB0365" w:rsidP="008926B6">
      <w:pPr>
        <w:pStyle w:val="paragraph"/>
        <w:spacing w:before="0" w:beforeAutospacing="0" w:after="160" w:afterAutospacing="0"/>
        <w:textAlignment w:val="baseline"/>
        <w:rPr>
          <w:rStyle w:val="normaltextrun"/>
          <w:rFonts w:ascii="Aptos" w:hAnsi="Aptos"/>
          <w:color w:val="BF4E14"/>
          <w:sz w:val="22"/>
          <w:szCs w:val="22"/>
        </w:rPr>
      </w:pPr>
    </w:p>
    <w:p w14:paraId="3497BC73" w14:textId="77777777" w:rsidR="00FF2831" w:rsidRDefault="00FF2831" w:rsidP="008926B6">
      <w:pPr>
        <w:pStyle w:val="paragraph"/>
        <w:spacing w:before="0" w:beforeAutospacing="0" w:after="160" w:afterAutospacing="0"/>
        <w:textAlignment w:val="baseline"/>
        <w:rPr>
          <w:rStyle w:val="normaltextrun"/>
          <w:rFonts w:ascii="Aptos" w:hAnsi="Aptos"/>
          <w:color w:val="BF4E14"/>
          <w:sz w:val="22"/>
          <w:szCs w:val="22"/>
        </w:rPr>
      </w:pPr>
    </w:p>
    <w:p w14:paraId="7E1C5EBA" w14:textId="77777777" w:rsidR="00FF2831" w:rsidRDefault="00FF2831" w:rsidP="008926B6">
      <w:pPr>
        <w:pStyle w:val="paragraph"/>
        <w:spacing w:before="0" w:beforeAutospacing="0" w:after="160" w:afterAutospacing="0"/>
        <w:textAlignment w:val="baseline"/>
        <w:rPr>
          <w:rStyle w:val="normaltextrun"/>
          <w:rFonts w:ascii="Aptos" w:hAnsi="Aptos"/>
          <w:color w:val="BF4E14"/>
          <w:sz w:val="22"/>
          <w:szCs w:val="22"/>
        </w:rPr>
      </w:pPr>
    </w:p>
    <w:p w14:paraId="20819D6C" w14:textId="77777777" w:rsidR="00FF2831" w:rsidRDefault="00FF2831" w:rsidP="008926B6">
      <w:pPr>
        <w:pStyle w:val="paragraph"/>
        <w:spacing w:before="0" w:beforeAutospacing="0" w:after="160" w:afterAutospacing="0"/>
        <w:textAlignment w:val="baseline"/>
        <w:rPr>
          <w:rStyle w:val="normaltextrun"/>
          <w:rFonts w:ascii="Aptos" w:hAnsi="Aptos"/>
          <w:color w:val="BF4E14"/>
          <w:sz w:val="22"/>
          <w:szCs w:val="22"/>
        </w:rPr>
      </w:pPr>
    </w:p>
    <w:p w14:paraId="628500FE" w14:textId="38B7144A" w:rsidR="00985135" w:rsidRDefault="00985135" w:rsidP="008926B6">
      <w:pPr>
        <w:pStyle w:val="paragraph"/>
        <w:spacing w:before="0" w:beforeAutospacing="0" w:after="160" w:afterAutospacing="0"/>
        <w:textAlignment w:val="baseline"/>
        <w:rPr>
          <w:rStyle w:val="normaltextrun"/>
          <w:rFonts w:ascii="Aptos" w:hAnsi="Aptos"/>
          <w:color w:val="000000" w:themeColor="text1"/>
          <w:sz w:val="22"/>
          <w:szCs w:val="22"/>
        </w:rPr>
      </w:pPr>
      <w:r>
        <w:rPr>
          <w:rStyle w:val="normaltextrun"/>
          <w:rFonts w:ascii="Aptos" w:hAnsi="Aptos"/>
          <w:color w:val="000000" w:themeColor="text1"/>
          <w:sz w:val="22"/>
          <w:szCs w:val="22"/>
        </w:rPr>
        <w:lastRenderedPageBreak/>
        <w:t>Chapter 3: Carthage</w:t>
      </w:r>
    </w:p>
    <w:p w14:paraId="1AE9BE15" w14:textId="71444A30" w:rsidR="00FF2831" w:rsidRPr="007C38E4" w:rsidRDefault="003D380D" w:rsidP="008926B6">
      <w:pPr>
        <w:pStyle w:val="paragraph"/>
        <w:spacing w:before="0" w:beforeAutospacing="0" w:after="160" w:afterAutospacing="0"/>
        <w:textAlignment w:val="baseline"/>
        <w:rPr>
          <w:rStyle w:val="normaltextrun"/>
          <w:rFonts w:ascii="Aptos" w:hAnsi="Aptos"/>
          <w:sz w:val="22"/>
          <w:szCs w:val="22"/>
        </w:rPr>
      </w:pPr>
      <w:r w:rsidRPr="00C45E51">
        <w:rPr>
          <w:rStyle w:val="normaltextrun"/>
          <w:rFonts w:ascii="Aptos" w:hAnsi="Aptos"/>
          <w:color w:val="000000" w:themeColor="text1"/>
          <w:sz w:val="22"/>
          <w:szCs w:val="22"/>
        </w:rPr>
        <w:t xml:space="preserve">Carthage provides the dissertation’s clearest example of institutional Christianisation in Latin North Africa. </w:t>
      </w:r>
      <w:r w:rsidR="00FF2831" w:rsidRPr="00C45E51">
        <w:rPr>
          <w:rStyle w:val="normaltextrun"/>
          <w:rFonts w:ascii="Aptos" w:hAnsi="Aptos"/>
          <w:color w:val="000000" w:themeColor="text1"/>
          <w:sz w:val="22"/>
          <w:szCs w:val="22"/>
        </w:rPr>
        <w:t>This was a city where Christian authority became organised through bishops, councils and public memory</w:t>
      </w:r>
      <w:r w:rsidR="00DB55E4" w:rsidRPr="00C45E51">
        <w:rPr>
          <w:rStyle w:val="normaltextrun"/>
          <w:rFonts w:ascii="Aptos" w:hAnsi="Aptos"/>
          <w:color w:val="000000" w:themeColor="text1"/>
          <w:sz w:val="22"/>
          <w:szCs w:val="22"/>
        </w:rPr>
        <w:t>, making it useful for testing how local structures translated imperial change into Christian public life. Carthaginian Christianity already possessed a developed local structure before Constantine</w:t>
      </w:r>
      <w:r w:rsidR="00C45E51" w:rsidRPr="00C45E51">
        <w:rPr>
          <w:rStyle w:val="normaltextrun"/>
          <w:rFonts w:ascii="Aptos" w:hAnsi="Aptos"/>
          <w:color w:val="000000" w:themeColor="text1"/>
          <w:sz w:val="22"/>
          <w:szCs w:val="22"/>
        </w:rPr>
        <w:t xml:space="preserve">. The writings and episcopal activity of Cyprian, together with the mid-third century councils, show that North African </w:t>
      </w:r>
      <w:r w:rsidR="00C45E51">
        <w:rPr>
          <w:rStyle w:val="normaltextrun"/>
          <w:rFonts w:ascii="Aptos" w:hAnsi="Aptos"/>
          <w:color w:val="000000" w:themeColor="text1"/>
          <w:sz w:val="22"/>
          <w:szCs w:val="22"/>
        </w:rPr>
        <w:t>Christianity possessed structures of leadership, discipline</w:t>
      </w:r>
      <w:r w:rsidR="00C45E51" w:rsidRPr="00C45E51">
        <w:rPr>
          <w:rStyle w:val="normaltextrun"/>
          <w:rFonts w:ascii="Aptos" w:hAnsi="Aptos"/>
          <w:color w:val="000000" w:themeColor="text1"/>
          <w:sz w:val="22"/>
          <w:szCs w:val="22"/>
        </w:rPr>
        <w:t xml:space="preserve"> </w:t>
      </w:r>
      <w:r w:rsidR="00C45E51">
        <w:rPr>
          <w:rStyle w:val="normaltextrun"/>
          <w:rFonts w:ascii="Aptos" w:hAnsi="Aptos"/>
          <w:color w:val="000000" w:themeColor="text1"/>
          <w:sz w:val="22"/>
          <w:szCs w:val="22"/>
        </w:rPr>
        <w:t>and regional communication before imperial patronage made Christianity publicly secure</w:t>
      </w:r>
      <w:r w:rsidR="00E21012">
        <w:rPr>
          <w:rStyle w:val="normaltextrun"/>
          <w:rFonts w:ascii="Aptos" w:hAnsi="Aptos"/>
          <w:color w:val="000000" w:themeColor="text1"/>
          <w:sz w:val="22"/>
          <w:szCs w:val="22"/>
        </w:rPr>
        <w:t xml:space="preserve"> </w:t>
      </w:r>
      <w:r w:rsidR="00E21012" w:rsidRPr="00E21012">
        <w:rPr>
          <w:rFonts w:ascii="Aptos" w:hAnsi="Aptos"/>
          <w:sz w:val="22"/>
          <w:szCs w:val="22"/>
        </w:rPr>
        <w:t xml:space="preserve">(Cyprian, </w:t>
      </w:r>
      <w:r w:rsidR="00E21012" w:rsidRPr="00E21012">
        <w:rPr>
          <w:rStyle w:val="Emphasis"/>
          <w:rFonts w:ascii="Aptos" w:hAnsi="Aptos"/>
          <w:sz w:val="22"/>
          <w:szCs w:val="22"/>
        </w:rPr>
        <w:t>Ep.</w:t>
      </w:r>
      <w:r w:rsidR="00E21012" w:rsidRPr="00E21012">
        <w:rPr>
          <w:rFonts w:ascii="Aptos" w:hAnsi="Aptos"/>
          <w:sz w:val="22"/>
          <w:szCs w:val="22"/>
        </w:rPr>
        <w:t xml:space="preserve"> 55; Cyprian, </w:t>
      </w:r>
      <w:r w:rsidR="00E21012" w:rsidRPr="00E21012">
        <w:rPr>
          <w:rStyle w:val="Emphasis"/>
          <w:rFonts w:ascii="Aptos" w:hAnsi="Aptos"/>
          <w:sz w:val="22"/>
          <w:szCs w:val="22"/>
        </w:rPr>
        <w:t>Sententiae episcoporum</w:t>
      </w:r>
      <w:r w:rsidR="00E21012" w:rsidRPr="00E21012">
        <w:rPr>
          <w:rFonts w:ascii="Aptos" w:hAnsi="Aptos"/>
          <w:sz w:val="22"/>
          <w:szCs w:val="22"/>
        </w:rPr>
        <w:t>; Burns and Jensen, 2014).</w:t>
      </w:r>
      <w:r w:rsidR="00B14AA2">
        <w:rPr>
          <w:rFonts w:ascii="Aptos" w:hAnsi="Aptos"/>
          <w:sz w:val="22"/>
          <w:szCs w:val="22"/>
        </w:rPr>
        <w:t xml:space="preserve"> </w:t>
      </w:r>
      <w:r w:rsidR="00197A01">
        <w:rPr>
          <w:rFonts w:ascii="Aptos" w:hAnsi="Aptos"/>
          <w:sz w:val="22"/>
          <w:szCs w:val="22"/>
        </w:rPr>
        <w:t>This chapter will emphasise institutional Christianisation being organised and traced through bishops, councils, church property, public authority and disputes over legitimate Christianity. This links directly to the two-way model</w:t>
      </w:r>
      <w:r w:rsidR="00B14AA2">
        <w:rPr>
          <w:rFonts w:ascii="Aptos" w:hAnsi="Aptos"/>
          <w:sz w:val="22"/>
          <w:szCs w:val="22"/>
        </w:rPr>
        <w:t xml:space="preserve">; </w:t>
      </w:r>
      <w:r w:rsidR="00197A01">
        <w:rPr>
          <w:rFonts w:ascii="Aptos" w:hAnsi="Aptos"/>
          <w:sz w:val="22"/>
          <w:szCs w:val="22"/>
        </w:rPr>
        <w:t xml:space="preserve">imperial law changed the conditions, but the local </w:t>
      </w:r>
      <w:r w:rsidR="00B14AA2">
        <w:rPr>
          <w:rFonts w:ascii="Aptos" w:hAnsi="Aptos"/>
          <w:sz w:val="22"/>
          <w:szCs w:val="22"/>
        </w:rPr>
        <w:t>leaders</w:t>
      </w:r>
      <w:r w:rsidR="00197A01">
        <w:rPr>
          <w:rFonts w:ascii="Aptos" w:hAnsi="Aptos"/>
          <w:sz w:val="22"/>
          <w:szCs w:val="22"/>
        </w:rPr>
        <w:t xml:space="preserve"> shaped how those conditions worked in practice. </w:t>
      </w:r>
      <w:r w:rsidR="00342DE7">
        <w:rPr>
          <w:rFonts w:ascii="Aptos" w:hAnsi="Aptos"/>
          <w:sz w:val="22"/>
          <w:szCs w:val="22"/>
        </w:rPr>
        <w:t>At the same</w:t>
      </w:r>
      <w:r w:rsidR="00B14AA2">
        <w:rPr>
          <w:rFonts w:ascii="Aptos" w:hAnsi="Aptos"/>
          <w:sz w:val="22"/>
          <w:szCs w:val="22"/>
        </w:rPr>
        <w:t xml:space="preserve"> time</w:t>
      </w:r>
      <w:r w:rsidR="00342DE7">
        <w:rPr>
          <w:rFonts w:ascii="Aptos" w:hAnsi="Aptos"/>
          <w:sz w:val="22"/>
          <w:szCs w:val="22"/>
        </w:rPr>
        <w:t xml:space="preserve">, martyr memory </w:t>
      </w:r>
      <w:r w:rsidR="00525EB0">
        <w:rPr>
          <w:rFonts w:ascii="Aptos" w:hAnsi="Aptos"/>
          <w:sz w:val="22"/>
          <w:szCs w:val="22"/>
        </w:rPr>
        <w:t>gave the Christian community a powerful sense of sacred history, visible in traditions surrounding figures such as Perpetua, Felicity and Cyprian</w:t>
      </w:r>
      <w:r w:rsidR="00B14AA2">
        <w:rPr>
          <w:rFonts w:ascii="Aptos" w:hAnsi="Aptos"/>
          <w:sz w:val="22"/>
          <w:szCs w:val="22"/>
        </w:rPr>
        <w:t xml:space="preserve"> </w:t>
      </w:r>
      <w:r w:rsidR="00B14AA2" w:rsidRPr="00B14AA2">
        <w:rPr>
          <w:rFonts w:ascii="Aptos" w:hAnsi="Aptos"/>
          <w:sz w:val="22"/>
          <w:szCs w:val="22"/>
        </w:rPr>
        <w:t>(Musurillo, 1972; Tilley, 1996)</w:t>
      </w:r>
      <w:r w:rsidR="00525EB0" w:rsidRPr="00B14AA2">
        <w:rPr>
          <w:rFonts w:ascii="Aptos" w:hAnsi="Aptos"/>
          <w:sz w:val="22"/>
          <w:szCs w:val="22"/>
        </w:rPr>
        <w:t xml:space="preserve">.  </w:t>
      </w:r>
      <w:r w:rsidR="00525EB0" w:rsidRPr="00525EB0">
        <w:rPr>
          <w:rFonts w:ascii="Aptos" w:hAnsi="Aptos"/>
          <w:sz w:val="22"/>
          <w:szCs w:val="22"/>
        </w:rPr>
        <w:t>This became especially important when later Catholic and Donatist communities competed over which group represented the true African Church</w:t>
      </w:r>
      <w:r w:rsidR="00B14AA2">
        <w:rPr>
          <w:rFonts w:ascii="Aptos" w:hAnsi="Aptos"/>
          <w:sz w:val="22"/>
          <w:szCs w:val="22"/>
        </w:rPr>
        <w:t xml:space="preserve"> </w:t>
      </w:r>
      <w:r w:rsidR="00B14AA2" w:rsidRPr="00B14AA2">
        <w:rPr>
          <w:rFonts w:ascii="Aptos" w:hAnsi="Aptos"/>
          <w:sz w:val="22"/>
          <w:szCs w:val="22"/>
        </w:rPr>
        <w:t>(Frend, 1952; Tilley, 1997)</w:t>
      </w:r>
      <w:r w:rsidR="00525EB0" w:rsidRPr="00B14AA2">
        <w:rPr>
          <w:rFonts w:ascii="Aptos" w:hAnsi="Aptos"/>
          <w:sz w:val="22"/>
          <w:szCs w:val="22"/>
        </w:rPr>
        <w:t>.</w:t>
      </w:r>
      <w:r w:rsidR="00525EB0">
        <w:rPr>
          <w:rFonts w:ascii="Aptos" w:hAnsi="Aptos"/>
          <w:sz w:val="22"/>
          <w:szCs w:val="22"/>
        </w:rPr>
        <w:t xml:space="preserve"> Christianisation </w:t>
      </w:r>
      <w:r w:rsidR="00D147D7">
        <w:rPr>
          <w:rFonts w:ascii="Aptos" w:hAnsi="Aptos"/>
          <w:sz w:val="22"/>
          <w:szCs w:val="22"/>
        </w:rPr>
        <w:t xml:space="preserve">in Carthage was not just a transition from pagan to Christian but involved internal conflicts within the Christian communities. This included both Donatists and Catholics claiming legitimacy </w:t>
      </w:r>
      <w:r w:rsidR="00B14AA2">
        <w:rPr>
          <w:rFonts w:ascii="Aptos" w:hAnsi="Aptos"/>
          <w:sz w:val="22"/>
          <w:szCs w:val="22"/>
        </w:rPr>
        <w:t>within the Church</w:t>
      </w:r>
      <w:r w:rsidR="00D147D7">
        <w:rPr>
          <w:rFonts w:ascii="Aptos" w:hAnsi="Aptos"/>
          <w:sz w:val="22"/>
          <w:szCs w:val="22"/>
        </w:rPr>
        <w:t xml:space="preserve">, showing Christianisation as a negotiated and contested process.  </w:t>
      </w:r>
      <w:r w:rsidR="00D147D7" w:rsidRPr="00D147D7">
        <w:rPr>
          <w:rFonts w:ascii="Aptos" w:hAnsi="Aptos"/>
          <w:sz w:val="22"/>
          <w:szCs w:val="22"/>
        </w:rPr>
        <w:t>The chapter will also move beyond texts by examining how Christianisation became visible in the built environment.</w:t>
      </w:r>
      <w:r w:rsidR="00D147D7">
        <w:rPr>
          <w:rFonts w:ascii="Aptos" w:hAnsi="Aptos"/>
          <w:sz w:val="22"/>
          <w:szCs w:val="22"/>
        </w:rPr>
        <w:t xml:space="preserve"> Damous-el-Karita is the strongest site example that show</w:t>
      </w:r>
      <w:r w:rsidR="008E61EF">
        <w:rPr>
          <w:rFonts w:ascii="Aptos" w:hAnsi="Aptos"/>
          <w:sz w:val="22"/>
          <w:szCs w:val="22"/>
        </w:rPr>
        <w:t xml:space="preserve"> Christian space operating at an urban scale, while funerary inscriptions show Christian identity becoming publicly legible in burial and commemoration</w:t>
      </w:r>
      <w:r w:rsidR="00B14AA2">
        <w:rPr>
          <w:rFonts w:ascii="Aptos" w:hAnsi="Aptos"/>
          <w:sz w:val="22"/>
          <w:szCs w:val="22"/>
        </w:rPr>
        <w:t xml:space="preserve"> </w:t>
      </w:r>
      <w:r w:rsidR="00B14AA2" w:rsidRPr="00B14AA2">
        <w:rPr>
          <w:rFonts w:ascii="Aptos" w:hAnsi="Aptos"/>
          <w:sz w:val="22"/>
          <w:szCs w:val="22"/>
        </w:rPr>
        <w:t>(Dolenz, 2001)</w:t>
      </w:r>
      <w:r w:rsidR="008E61EF" w:rsidRPr="00B14AA2">
        <w:rPr>
          <w:rFonts w:ascii="Aptos" w:hAnsi="Aptos"/>
          <w:sz w:val="22"/>
          <w:szCs w:val="22"/>
        </w:rPr>
        <w:t xml:space="preserve">. </w:t>
      </w:r>
      <w:r w:rsidR="00B14AA2" w:rsidRPr="00D147D7">
        <w:rPr>
          <w:rFonts w:ascii="Aptos" w:hAnsi="Aptos"/>
          <w:sz w:val="22"/>
          <w:szCs w:val="22"/>
        </w:rPr>
        <w:t>Carthage therefore shows Christianisation not as a single imperial event, but as a long process in which imperial support, local episcopal authority, contested Christian identity and material transformation combined to reshape public life.</w:t>
      </w:r>
      <w:r w:rsidR="00B14AA2">
        <w:rPr>
          <w:rFonts w:ascii="Aptos" w:hAnsi="Aptos"/>
          <w:sz w:val="22"/>
          <w:szCs w:val="22"/>
        </w:rPr>
        <w:t xml:space="preserve"> </w:t>
      </w:r>
      <w:r w:rsidR="008E61EF">
        <w:rPr>
          <w:rFonts w:ascii="Aptos" w:hAnsi="Aptos"/>
          <w:sz w:val="22"/>
          <w:szCs w:val="22"/>
        </w:rPr>
        <w:t>Finally, the chapter will close with the Vandal capture of Carthage in 439 because this marks a major change in the Roman political framework that had shaped African Christianisation</w:t>
      </w:r>
      <w:r w:rsidR="00E46C4E">
        <w:rPr>
          <w:rFonts w:ascii="Aptos" w:hAnsi="Aptos"/>
          <w:sz w:val="22"/>
          <w:szCs w:val="22"/>
        </w:rPr>
        <w:t xml:space="preserve"> (Merrills and Miles, 2010)</w:t>
      </w:r>
      <w:r w:rsidR="008E61EF">
        <w:rPr>
          <w:rFonts w:ascii="Aptos" w:hAnsi="Aptos"/>
          <w:sz w:val="22"/>
          <w:szCs w:val="22"/>
        </w:rPr>
        <w:t xml:space="preserve">. The </w:t>
      </w:r>
      <w:r w:rsidR="00B14AA2">
        <w:rPr>
          <w:rFonts w:ascii="Aptos" w:hAnsi="Aptos"/>
          <w:sz w:val="22"/>
          <w:szCs w:val="22"/>
        </w:rPr>
        <w:t>V</w:t>
      </w:r>
      <w:r w:rsidR="008E61EF">
        <w:rPr>
          <w:rFonts w:ascii="Aptos" w:hAnsi="Aptos"/>
          <w:sz w:val="22"/>
          <w:szCs w:val="22"/>
        </w:rPr>
        <w:t xml:space="preserve">andal seizure </w:t>
      </w:r>
      <w:r w:rsidR="00B14AA2">
        <w:rPr>
          <w:rFonts w:ascii="Aptos" w:hAnsi="Aptos"/>
          <w:sz w:val="22"/>
          <w:szCs w:val="22"/>
        </w:rPr>
        <w:t>is widely treated as a major moment in the erosion of western Roman authority in North Africa.</w:t>
      </w:r>
    </w:p>
    <w:p w14:paraId="3EB541E7" w14:textId="7BA41848" w:rsidR="00FF2831" w:rsidRDefault="004E427F" w:rsidP="008926B6">
      <w:pPr>
        <w:pStyle w:val="paragraph"/>
        <w:spacing w:before="0" w:beforeAutospacing="0" w:after="160" w:afterAutospacing="0"/>
        <w:textAlignment w:val="baseline"/>
        <w:rPr>
          <w:rFonts w:ascii="Aptos" w:hAnsi="Aptos"/>
          <w:sz w:val="22"/>
          <w:szCs w:val="22"/>
        </w:rPr>
      </w:pPr>
      <w:r w:rsidRPr="004E427F">
        <w:rPr>
          <w:rFonts w:ascii="Aptos" w:hAnsi="Aptos"/>
          <w:sz w:val="22"/>
          <w:szCs w:val="22"/>
        </w:rPr>
        <w:t>Before examining Carthage’s Christian institutions, it is necessary to establish the civic and religious landscape that Christianity entered and later transformed.</w:t>
      </w:r>
      <w:r>
        <w:rPr>
          <w:rFonts w:ascii="Aptos" w:hAnsi="Aptos"/>
          <w:sz w:val="22"/>
          <w:szCs w:val="22"/>
        </w:rPr>
        <w:t xml:space="preserve"> Carthage was one of the most significant urban centres of Roman North Africa. Its position on the Tunisian coast gave it strong Mediterranean connections </w:t>
      </w:r>
      <w:r w:rsidR="002171B2">
        <w:rPr>
          <w:rFonts w:ascii="Aptos" w:hAnsi="Aptos"/>
          <w:sz w:val="22"/>
          <w:szCs w:val="22"/>
        </w:rPr>
        <w:t>through</w:t>
      </w:r>
      <w:r>
        <w:rPr>
          <w:rFonts w:ascii="Aptos" w:hAnsi="Aptos"/>
          <w:sz w:val="22"/>
          <w:szCs w:val="22"/>
        </w:rPr>
        <w:t xml:space="preserve"> shipping </w:t>
      </w:r>
      <w:r w:rsidR="002171B2">
        <w:rPr>
          <w:rFonts w:ascii="Aptos" w:hAnsi="Aptos"/>
          <w:sz w:val="22"/>
          <w:szCs w:val="22"/>
        </w:rPr>
        <w:t xml:space="preserve">routes </w:t>
      </w:r>
      <w:r>
        <w:rPr>
          <w:rFonts w:ascii="Aptos" w:hAnsi="Aptos"/>
          <w:sz w:val="22"/>
          <w:szCs w:val="22"/>
        </w:rPr>
        <w:t>between Sicily and North Africa</w:t>
      </w:r>
      <w:r w:rsidR="002171B2">
        <w:rPr>
          <w:rFonts w:ascii="Aptos" w:hAnsi="Aptos"/>
          <w:sz w:val="22"/>
          <w:szCs w:val="22"/>
        </w:rPr>
        <w:t xml:space="preserve"> </w:t>
      </w:r>
      <w:r w:rsidR="002171B2" w:rsidRPr="002171B2">
        <w:rPr>
          <w:rFonts w:ascii="Aptos" w:hAnsi="Aptos"/>
          <w:sz w:val="22"/>
          <w:szCs w:val="22"/>
        </w:rPr>
        <w:t>(Encyclopaedia Britannica, 2026)</w:t>
      </w:r>
      <w:r w:rsidRPr="002171B2">
        <w:rPr>
          <w:rFonts w:ascii="Aptos" w:hAnsi="Aptos"/>
          <w:sz w:val="22"/>
          <w:szCs w:val="22"/>
        </w:rPr>
        <w:t>.</w:t>
      </w:r>
      <w:r w:rsidRPr="002171B2">
        <w:rPr>
          <w:rFonts w:ascii="Aptos" w:hAnsi="Aptos"/>
        </w:rPr>
        <w:t xml:space="preserve"> </w:t>
      </w:r>
      <w:r w:rsidR="0083439D">
        <w:rPr>
          <w:rFonts w:ascii="Aptos" w:hAnsi="Aptos"/>
          <w:sz w:val="22"/>
          <w:szCs w:val="22"/>
        </w:rPr>
        <w:t xml:space="preserve">As a major port city, it was linked to the movement of people, goods and ideas between North Africa and the wider Roman world. This maritime setting matters because </w:t>
      </w:r>
      <w:r w:rsidR="00D72CEE">
        <w:rPr>
          <w:rFonts w:ascii="Aptos" w:hAnsi="Aptos"/>
          <w:sz w:val="22"/>
          <w:szCs w:val="22"/>
        </w:rPr>
        <w:t xml:space="preserve">it shows that </w:t>
      </w:r>
      <w:r w:rsidR="0083439D">
        <w:rPr>
          <w:rFonts w:ascii="Aptos" w:hAnsi="Aptos"/>
          <w:sz w:val="22"/>
          <w:szCs w:val="22"/>
        </w:rPr>
        <w:t>religious change in Carthage did not occur in isolation</w:t>
      </w:r>
      <w:r w:rsidR="00D72CEE">
        <w:rPr>
          <w:rFonts w:ascii="Aptos" w:hAnsi="Aptos"/>
          <w:sz w:val="22"/>
          <w:szCs w:val="22"/>
        </w:rPr>
        <w:t xml:space="preserve">. </w:t>
      </w:r>
    </w:p>
    <w:p w14:paraId="4F24206E" w14:textId="108616FD" w:rsidR="003923F4" w:rsidRDefault="00D72CEE" w:rsidP="008926B6">
      <w:pPr>
        <w:pStyle w:val="paragraph"/>
        <w:spacing w:before="0" w:beforeAutospacing="0" w:after="160" w:afterAutospacing="0"/>
        <w:textAlignment w:val="baseline"/>
        <w:rPr>
          <w:rFonts w:ascii="Aptos" w:hAnsi="Aptos"/>
          <w:sz w:val="22"/>
          <w:szCs w:val="22"/>
        </w:rPr>
      </w:pPr>
      <w:r>
        <w:rPr>
          <w:rFonts w:ascii="Aptos" w:hAnsi="Aptos"/>
          <w:sz w:val="22"/>
          <w:szCs w:val="22"/>
        </w:rPr>
        <w:t xml:space="preserve">Before Christian dominance, religion in Carthage was deeply embedded in the structures of the city. </w:t>
      </w:r>
      <w:r w:rsidR="00DF415A">
        <w:rPr>
          <w:rFonts w:ascii="Aptos" w:hAnsi="Aptos"/>
          <w:sz w:val="22"/>
          <w:szCs w:val="22"/>
        </w:rPr>
        <w:t>Pagan worship was not simply a matter of private belief, but was expressed through temples, sacrifices, priesthoods, festivals and public ceremonies that affected the urban landscape</w:t>
      </w:r>
      <w:r w:rsidR="002171B2">
        <w:rPr>
          <w:rFonts w:ascii="Aptos" w:hAnsi="Aptos"/>
          <w:sz w:val="22"/>
          <w:szCs w:val="22"/>
        </w:rPr>
        <w:t xml:space="preserve"> </w:t>
      </w:r>
      <w:r w:rsidR="002171B2" w:rsidRPr="002171B2">
        <w:rPr>
          <w:rFonts w:ascii="Aptos" w:hAnsi="Aptos"/>
          <w:sz w:val="22"/>
          <w:szCs w:val="22"/>
        </w:rPr>
        <w:t>(Rives, 1995)</w:t>
      </w:r>
      <w:r w:rsidR="00DF415A" w:rsidRPr="002171B2">
        <w:rPr>
          <w:rFonts w:ascii="Aptos" w:hAnsi="Aptos"/>
          <w:sz w:val="22"/>
          <w:szCs w:val="22"/>
        </w:rPr>
        <w:t>.</w:t>
      </w:r>
      <w:r w:rsidR="00DF415A">
        <w:rPr>
          <w:rFonts w:ascii="Aptos" w:hAnsi="Aptos"/>
          <w:sz w:val="22"/>
          <w:szCs w:val="22"/>
        </w:rPr>
        <w:t xml:space="preserve"> Christianisation therefore involved not only the reuse or decline of older sacred spaces, but also the gradual reshaping of the city’s calendar and communal system. Public religion was also connected to civic authority</w:t>
      </w:r>
      <w:r w:rsidR="00D50842">
        <w:rPr>
          <w:rFonts w:ascii="Aptos" w:hAnsi="Aptos"/>
          <w:sz w:val="22"/>
          <w:szCs w:val="22"/>
        </w:rPr>
        <w:t xml:space="preserve"> as it gave local elites the opportunity to display status through funding buildings, ceremonies and civi</w:t>
      </w:r>
      <w:r w:rsidR="002171B2">
        <w:rPr>
          <w:rFonts w:ascii="Aptos" w:hAnsi="Aptos"/>
          <w:sz w:val="22"/>
          <w:szCs w:val="22"/>
        </w:rPr>
        <w:t>c</w:t>
      </w:r>
      <w:r w:rsidR="00D50842">
        <w:rPr>
          <w:rFonts w:ascii="Aptos" w:hAnsi="Aptos"/>
          <w:sz w:val="22"/>
          <w:szCs w:val="22"/>
        </w:rPr>
        <w:t xml:space="preserve"> benefactions. </w:t>
      </w:r>
      <w:r w:rsidR="00D50842" w:rsidRPr="00D50842">
        <w:rPr>
          <w:rFonts w:ascii="Aptos" w:hAnsi="Aptos"/>
          <w:sz w:val="22"/>
          <w:szCs w:val="22"/>
        </w:rPr>
        <w:t>This means that the transformation from pagan civic religion to Christian public life involved more than a change in personal belief. It affected the way public space, authority and communal identity were organised.</w:t>
      </w:r>
      <w:r w:rsidR="003923F4">
        <w:rPr>
          <w:rFonts w:ascii="Aptos" w:hAnsi="Aptos"/>
          <w:sz w:val="22"/>
          <w:szCs w:val="22"/>
        </w:rPr>
        <w:t xml:space="preserve"> </w:t>
      </w:r>
      <w:r w:rsidR="003923F4" w:rsidRPr="003923F4">
        <w:rPr>
          <w:rFonts w:ascii="Aptos" w:hAnsi="Aptos"/>
          <w:sz w:val="22"/>
          <w:szCs w:val="22"/>
        </w:rPr>
        <w:t xml:space="preserve">Sacrifice is especially important here because it was one of the clearest ways in which religious loyalty became publicly visible. To take part in sacrifice was not only to perform a religious act, but also to participate in the civic order of the city and the wider Roman world. This helps explain why Christian refusal to sacrifice could be treated as </w:t>
      </w:r>
      <w:r w:rsidR="003923F4" w:rsidRPr="003923F4">
        <w:rPr>
          <w:rFonts w:ascii="Aptos" w:hAnsi="Aptos"/>
          <w:sz w:val="22"/>
          <w:szCs w:val="22"/>
        </w:rPr>
        <w:lastRenderedPageBreak/>
        <w:t xml:space="preserve">socially disruptive before Christianity became </w:t>
      </w:r>
      <w:r w:rsidR="000D1CC8">
        <w:rPr>
          <w:rFonts w:ascii="Aptos" w:hAnsi="Aptos"/>
          <w:sz w:val="22"/>
          <w:szCs w:val="22"/>
        </w:rPr>
        <w:t>fixed</w:t>
      </w:r>
      <w:r w:rsidR="003923F4" w:rsidRPr="003923F4">
        <w:rPr>
          <w:rFonts w:ascii="Aptos" w:hAnsi="Aptos"/>
          <w:sz w:val="22"/>
          <w:szCs w:val="22"/>
        </w:rPr>
        <w:t>.</w:t>
      </w:r>
      <w:r w:rsidR="003923F4">
        <w:rPr>
          <w:rFonts w:ascii="Aptos" w:hAnsi="Aptos"/>
          <w:sz w:val="22"/>
          <w:szCs w:val="22"/>
        </w:rPr>
        <w:t xml:space="preserve"> It was not simply just a rejection of private beliefs; they were refusing to contribute on the rituals that were part of a bigger society tradition that maintained the relationship between the cities and imperial authority.  This makes the later rise of Christian life more significant, because Christianisation gradually changed what counted as acceptable public worship.  </w:t>
      </w:r>
    </w:p>
    <w:p w14:paraId="5A7860E3" w14:textId="382A7054" w:rsidR="00FF2831" w:rsidRPr="003D2C67" w:rsidRDefault="003923F4" w:rsidP="008926B6">
      <w:pPr>
        <w:pStyle w:val="paragraph"/>
        <w:spacing w:before="0" w:beforeAutospacing="0" w:after="160" w:afterAutospacing="0"/>
        <w:textAlignment w:val="baseline"/>
        <w:rPr>
          <w:rStyle w:val="normaltextrun"/>
          <w:rFonts w:ascii="Aptos" w:hAnsi="Aptos"/>
          <w:sz w:val="22"/>
          <w:szCs w:val="22"/>
        </w:rPr>
      </w:pPr>
      <w:r>
        <w:rPr>
          <w:rFonts w:ascii="Aptos" w:hAnsi="Aptos"/>
          <w:sz w:val="22"/>
          <w:szCs w:val="22"/>
        </w:rPr>
        <w:t>Though</w:t>
      </w:r>
      <w:r w:rsidR="00BE004C">
        <w:rPr>
          <w:rFonts w:ascii="Aptos" w:hAnsi="Aptos"/>
          <w:sz w:val="22"/>
          <w:szCs w:val="22"/>
        </w:rPr>
        <w:t xml:space="preserve"> Carthage was a Roman city at that time, it was still deeply layered in cultural memory of older Punic and local African traditions. This remained within Roman religious forms. The cult of Tanit, which was identified in Roman form with Juno Caelestis, is an example of this continuity and adaptation</w:t>
      </w:r>
      <w:r w:rsidR="002171B2">
        <w:rPr>
          <w:rFonts w:ascii="Aptos" w:hAnsi="Aptos"/>
          <w:sz w:val="22"/>
          <w:szCs w:val="22"/>
        </w:rPr>
        <w:t xml:space="preserve">. It also shows how </w:t>
      </w:r>
      <w:r w:rsidR="00D51F1B" w:rsidRPr="00D51F1B">
        <w:rPr>
          <w:rFonts w:ascii="Aptos" w:hAnsi="Aptos"/>
          <w:sz w:val="22"/>
          <w:szCs w:val="22"/>
        </w:rPr>
        <w:t>older local traditions could continue within Roman religious language and institutions</w:t>
      </w:r>
      <w:r w:rsidR="002171B2">
        <w:rPr>
          <w:rFonts w:ascii="Aptos" w:hAnsi="Aptos"/>
          <w:sz w:val="22"/>
          <w:szCs w:val="22"/>
        </w:rPr>
        <w:t xml:space="preserve"> </w:t>
      </w:r>
      <w:r w:rsidR="002171B2" w:rsidRPr="002171B2">
        <w:rPr>
          <w:rFonts w:ascii="Aptos" w:hAnsi="Aptos"/>
          <w:sz w:val="22"/>
          <w:szCs w:val="22"/>
        </w:rPr>
        <w:t>(Rives, 1995)</w:t>
      </w:r>
      <w:r w:rsidR="00BE004C" w:rsidRPr="00D51F1B">
        <w:rPr>
          <w:rFonts w:ascii="Aptos" w:hAnsi="Aptos"/>
          <w:sz w:val="22"/>
          <w:szCs w:val="22"/>
        </w:rPr>
        <w:t>.</w:t>
      </w:r>
      <w:r w:rsidR="00BE004C" w:rsidRPr="00D51F1B">
        <w:rPr>
          <w:rFonts w:ascii="Aptos" w:hAnsi="Aptos"/>
          <w:sz w:val="21"/>
          <w:szCs w:val="21"/>
        </w:rPr>
        <w:t xml:space="preserve"> </w:t>
      </w:r>
      <w:r w:rsidR="00BE004C">
        <w:rPr>
          <w:rFonts w:ascii="Aptos" w:hAnsi="Aptos"/>
          <w:sz w:val="22"/>
          <w:szCs w:val="22"/>
        </w:rPr>
        <w:t>This perfectly demonstrates that Carthage was therefore not simply a Roman city with a single religious identity. It was a layered urban space in which Roman civic religion, local African memory and older Punic traditions could overlap</w:t>
      </w:r>
      <w:r w:rsidR="00D51F1B">
        <w:rPr>
          <w:rFonts w:ascii="Aptos" w:hAnsi="Aptos"/>
          <w:sz w:val="22"/>
          <w:szCs w:val="22"/>
        </w:rPr>
        <w:t>. Christianisation therefor</w:t>
      </w:r>
      <w:r w:rsidR="002171B2">
        <w:rPr>
          <w:rFonts w:ascii="Aptos" w:hAnsi="Aptos"/>
          <w:sz w:val="22"/>
          <w:szCs w:val="22"/>
        </w:rPr>
        <w:t>e</w:t>
      </w:r>
      <w:r w:rsidR="00D51F1B">
        <w:rPr>
          <w:rFonts w:ascii="Aptos" w:hAnsi="Aptos"/>
          <w:sz w:val="22"/>
          <w:szCs w:val="22"/>
        </w:rPr>
        <w:t xml:space="preserve"> entered a city with an already complex sacred landscape. </w:t>
      </w:r>
    </w:p>
    <w:p w14:paraId="613F55B1" w14:textId="6CED6155" w:rsidR="00FF2831" w:rsidRDefault="002F16B9" w:rsidP="008926B6">
      <w:pPr>
        <w:pStyle w:val="paragraph"/>
        <w:spacing w:before="0" w:beforeAutospacing="0" w:after="160" w:afterAutospacing="0"/>
        <w:textAlignment w:val="baseline"/>
        <w:rPr>
          <w:rStyle w:val="normaltextrun"/>
          <w:rFonts w:ascii="Aptos" w:hAnsi="Aptos"/>
          <w:color w:val="000000" w:themeColor="text1"/>
          <w:sz w:val="22"/>
          <w:szCs w:val="22"/>
        </w:rPr>
      </w:pPr>
      <w:r w:rsidRPr="002F16B9">
        <w:rPr>
          <w:rFonts w:ascii="Aptos" w:hAnsi="Aptos"/>
          <w:sz w:val="22"/>
          <w:szCs w:val="22"/>
        </w:rPr>
        <w:t>For this dissertation, the importance of this background is that Christianisation in Carthage should be understood as a reorganisation of public life</w:t>
      </w:r>
      <w:r w:rsidRPr="002F16B9">
        <w:rPr>
          <w:rFonts w:ascii="Aptos" w:hAnsi="Aptos"/>
          <w:sz w:val="22"/>
          <w:szCs w:val="22"/>
        </w:rPr>
        <w:t xml:space="preserve"> rather than as a simple replacement.</w:t>
      </w:r>
      <w:r w:rsidR="003D2C67">
        <w:rPr>
          <w:rFonts w:ascii="Aptos" w:hAnsi="Aptos"/>
          <w:sz w:val="22"/>
          <w:szCs w:val="22"/>
        </w:rPr>
        <w:t xml:space="preserve"> Imperial laws could alter the legal status of Christianity including what forms of worship were permitted or restricted. </w:t>
      </w:r>
      <w:r w:rsidR="006D1F8E">
        <w:rPr>
          <w:rFonts w:ascii="Aptos" w:hAnsi="Aptos"/>
          <w:sz w:val="22"/>
          <w:szCs w:val="22"/>
        </w:rPr>
        <w:t>However,</w:t>
      </w:r>
      <w:r w:rsidR="003D2C67">
        <w:rPr>
          <w:rFonts w:ascii="Aptos" w:hAnsi="Aptos"/>
          <w:sz w:val="22"/>
          <w:szCs w:val="22"/>
        </w:rPr>
        <w:t xml:space="preserve"> the law alone could not </w:t>
      </w:r>
      <w:r w:rsidR="002171B2">
        <w:rPr>
          <w:rFonts w:ascii="Aptos" w:hAnsi="Aptos"/>
          <w:sz w:val="22"/>
          <w:szCs w:val="22"/>
        </w:rPr>
        <w:t xml:space="preserve">by themselves inspire a </w:t>
      </w:r>
      <w:r w:rsidR="003D2C67">
        <w:rPr>
          <w:rFonts w:ascii="Aptos" w:hAnsi="Aptos"/>
          <w:sz w:val="22"/>
          <w:szCs w:val="22"/>
        </w:rPr>
        <w:t xml:space="preserve">practical transformation of the city as much of that depended on how older religious spaces, rituals and identities were challenged, reused or replaced. </w:t>
      </w:r>
      <w:r w:rsidR="006D1F8E" w:rsidRPr="006D1F8E">
        <w:rPr>
          <w:rFonts w:ascii="Aptos" w:hAnsi="Aptos"/>
          <w:color w:val="000000" w:themeColor="text1"/>
          <w:sz w:val="22"/>
          <w:szCs w:val="22"/>
        </w:rPr>
        <w:t>Archaeological approaches to late antique North Africa, especially Leone’s work on the end of pagan urban traditions, show that religious change must be studied through the material city as well as through texts</w:t>
      </w:r>
      <w:r w:rsidR="002171B2">
        <w:rPr>
          <w:rFonts w:ascii="Aptos" w:hAnsi="Aptos"/>
          <w:color w:val="000000" w:themeColor="text1"/>
          <w:sz w:val="22"/>
          <w:szCs w:val="22"/>
        </w:rPr>
        <w:t xml:space="preserve"> </w:t>
      </w:r>
      <w:r w:rsidR="002171B2" w:rsidRPr="002171B2">
        <w:rPr>
          <w:rStyle w:val="Strong"/>
          <w:rFonts w:ascii="Aptos" w:hAnsi="Aptos"/>
          <w:b w:val="0"/>
          <w:bCs w:val="0"/>
          <w:sz w:val="22"/>
          <w:szCs w:val="22"/>
        </w:rPr>
        <w:t>(Leone, 2013)</w:t>
      </w:r>
      <w:r w:rsidR="006D1F8E" w:rsidRPr="002171B2">
        <w:rPr>
          <w:rFonts w:ascii="Aptos" w:hAnsi="Aptos"/>
          <w:b/>
          <w:bCs/>
          <w:color w:val="000000" w:themeColor="text1"/>
          <w:sz w:val="22"/>
          <w:szCs w:val="22"/>
        </w:rPr>
        <w:t>.</w:t>
      </w:r>
      <w:r w:rsidR="006D1F8E">
        <w:rPr>
          <w:rFonts w:ascii="Aptos" w:hAnsi="Aptos"/>
          <w:color w:val="000000" w:themeColor="text1"/>
          <w:sz w:val="22"/>
          <w:szCs w:val="22"/>
        </w:rPr>
        <w:t xml:space="preserve"> </w:t>
      </w:r>
      <w:r w:rsidR="006D1F8E" w:rsidRPr="006D1F8E">
        <w:rPr>
          <w:rFonts w:ascii="Aptos" w:hAnsi="Aptos"/>
          <w:sz w:val="22"/>
          <w:szCs w:val="22"/>
        </w:rPr>
        <w:t>The process had to be worked out locally through buildings, leadership, patronage, burial practice and communal identity.</w:t>
      </w:r>
      <w:r w:rsidR="006D1F8E">
        <w:rPr>
          <w:rFonts w:ascii="Aptos" w:hAnsi="Aptos"/>
          <w:sz w:val="22"/>
          <w:szCs w:val="22"/>
        </w:rPr>
        <w:t xml:space="preserve"> </w:t>
      </w:r>
      <w:r w:rsidR="006D1F8E" w:rsidRPr="006D1F8E">
        <w:rPr>
          <w:rFonts w:ascii="Aptos" w:hAnsi="Aptos"/>
          <w:sz w:val="22"/>
          <w:szCs w:val="22"/>
        </w:rPr>
        <w:t>Carthage therefore provides a strong case for studying how imperial change interacted with local sacred geography. The next section builds on this by examining how Christian communities in Carthage had already developed leadership, discipline and regional organisation before Constantine’s patronage made Christianity publicly secure.</w:t>
      </w:r>
    </w:p>
    <w:p w14:paraId="66E99DAD" w14:textId="277D75D1" w:rsidR="002171B2" w:rsidRDefault="004E460A" w:rsidP="008926B6">
      <w:pPr>
        <w:pStyle w:val="paragraph"/>
        <w:spacing w:before="0" w:beforeAutospacing="0" w:after="160" w:afterAutospacing="0"/>
        <w:textAlignment w:val="baseline"/>
        <w:rPr>
          <w:rStyle w:val="normaltextrun"/>
          <w:rFonts w:ascii="Aptos" w:hAnsi="Aptos"/>
          <w:color w:val="000000" w:themeColor="text1"/>
          <w:sz w:val="22"/>
          <w:szCs w:val="22"/>
        </w:rPr>
      </w:pPr>
      <w:r>
        <w:rPr>
          <w:rStyle w:val="normaltextrun"/>
          <w:rFonts w:ascii="Aptos" w:hAnsi="Aptos"/>
          <w:color w:val="000000" w:themeColor="text1"/>
          <w:sz w:val="22"/>
          <w:szCs w:val="22"/>
        </w:rPr>
        <w:t>3.3</w:t>
      </w:r>
    </w:p>
    <w:p w14:paraId="11880D57" w14:textId="7A8866EA" w:rsidR="002171B2" w:rsidRPr="003503AD" w:rsidRDefault="006F2AF3" w:rsidP="008926B6">
      <w:pPr>
        <w:pStyle w:val="paragraph"/>
        <w:spacing w:before="0" w:beforeAutospacing="0" w:after="160" w:afterAutospacing="0"/>
        <w:textAlignment w:val="baseline"/>
        <w:rPr>
          <w:rStyle w:val="normaltextrun"/>
          <w:rFonts w:ascii="Aptos" w:hAnsi="Aptos"/>
          <w:sz w:val="22"/>
          <w:szCs w:val="22"/>
        </w:rPr>
      </w:pPr>
      <w:r>
        <w:rPr>
          <w:rFonts w:ascii="Aptos" w:hAnsi="Aptos"/>
          <w:sz w:val="22"/>
          <w:szCs w:val="22"/>
        </w:rPr>
        <w:t>The importance of Carthage lies in the fact that b</w:t>
      </w:r>
      <w:r w:rsidR="004E460A" w:rsidRPr="0005448A">
        <w:rPr>
          <w:rFonts w:ascii="Aptos" w:hAnsi="Aptos"/>
          <w:sz w:val="22"/>
          <w:szCs w:val="22"/>
        </w:rPr>
        <w:t>efore imperial patronage made Christianity publicly s</w:t>
      </w:r>
      <w:r w:rsidR="000D1CC8">
        <w:rPr>
          <w:rFonts w:ascii="Aptos" w:hAnsi="Aptos"/>
          <w:sz w:val="22"/>
          <w:szCs w:val="22"/>
        </w:rPr>
        <w:t>table</w:t>
      </w:r>
      <w:r w:rsidR="004E460A" w:rsidRPr="0005448A">
        <w:rPr>
          <w:rFonts w:ascii="Aptos" w:hAnsi="Aptos"/>
          <w:sz w:val="22"/>
          <w:szCs w:val="22"/>
        </w:rPr>
        <w:t xml:space="preserve">, Carthage already had an organised and articulate Christian </w:t>
      </w:r>
      <w:r w:rsidR="003503AD" w:rsidRPr="0005448A">
        <w:rPr>
          <w:rFonts w:ascii="Aptos" w:hAnsi="Aptos"/>
          <w:sz w:val="22"/>
          <w:szCs w:val="22"/>
        </w:rPr>
        <w:t>community.</w:t>
      </w:r>
      <w:r w:rsidR="00F85BCE">
        <w:rPr>
          <w:rFonts w:ascii="Aptos" w:hAnsi="Aptos"/>
          <w:sz w:val="22"/>
          <w:szCs w:val="22"/>
        </w:rPr>
        <w:t xml:space="preserve"> </w:t>
      </w:r>
      <w:r w:rsidR="003503AD">
        <w:rPr>
          <w:rFonts w:ascii="Aptos" w:hAnsi="Aptos"/>
          <w:sz w:val="22"/>
          <w:szCs w:val="22"/>
        </w:rPr>
        <w:t>This challenges any simple model in which Christianisation begins with Constantine</w:t>
      </w:r>
      <w:r w:rsidR="00F85BCE">
        <w:rPr>
          <w:rFonts w:ascii="Aptos" w:hAnsi="Aptos"/>
          <w:sz w:val="22"/>
          <w:szCs w:val="22"/>
        </w:rPr>
        <w:t xml:space="preserve">. </w:t>
      </w:r>
      <w:r w:rsidR="003503AD">
        <w:rPr>
          <w:rFonts w:ascii="Aptos" w:hAnsi="Aptos"/>
          <w:sz w:val="22"/>
          <w:szCs w:val="22"/>
        </w:rPr>
        <w:t>Instead, the evidence shows b</w:t>
      </w:r>
      <w:r w:rsidR="003503AD">
        <w:rPr>
          <w:rFonts w:ascii="Aptos" w:hAnsi="Aptos"/>
          <w:sz w:val="22"/>
          <w:szCs w:val="22"/>
        </w:rPr>
        <w:t>y the third century, the city already had Christian writers, bishops, disputes, councils and systems of discipline</w:t>
      </w:r>
      <w:r w:rsidR="003503AD">
        <w:rPr>
          <w:rFonts w:ascii="Aptos" w:hAnsi="Aptos"/>
          <w:sz w:val="22"/>
          <w:szCs w:val="22"/>
        </w:rPr>
        <w:t xml:space="preserve">. </w:t>
      </w:r>
      <w:r>
        <w:rPr>
          <w:rFonts w:ascii="Aptos" w:hAnsi="Aptos"/>
          <w:sz w:val="22"/>
          <w:szCs w:val="22"/>
        </w:rPr>
        <w:t xml:space="preserve">This makes Carthage a valuable case study for the dissertation’s two-way model, because imperial favour later strengthened a Christian community that already possessed local structures of authority. </w:t>
      </w:r>
    </w:p>
    <w:p w14:paraId="64814426" w14:textId="01124C1C" w:rsidR="00C3220E" w:rsidRDefault="00F85BCE" w:rsidP="00A34301">
      <w:pPr>
        <w:pStyle w:val="paragraph"/>
        <w:spacing w:before="0" w:beforeAutospacing="0" w:after="160" w:afterAutospacing="0"/>
        <w:textAlignment w:val="baseline"/>
        <w:rPr>
          <w:rFonts w:ascii="Aptos" w:hAnsi="Aptos"/>
          <w:color w:val="000000"/>
          <w:sz w:val="22"/>
          <w:szCs w:val="22"/>
        </w:rPr>
      </w:pPr>
      <w:r>
        <w:rPr>
          <w:rStyle w:val="normaltextrun"/>
          <w:rFonts w:ascii="Aptos" w:hAnsi="Aptos"/>
          <w:color w:val="000000" w:themeColor="text1"/>
          <w:sz w:val="22"/>
          <w:szCs w:val="22"/>
        </w:rPr>
        <w:t>Tertullian was one of the most important early Latin Christian writers with Britannica describing him as an early theologian, polemicist and moralist</w:t>
      </w:r>
      <w:r w:rsidR="003C4187">
        <w:rPr>
          <w:rStyle w:val="normaltextrun"/>
          <w:rFonts w:ascii="Aptos" w:hAnsi="Aptos"/>
          <w:color w:val="000000" w:themeColor="text1"/>
          <w:sz w:val="22"/>
          <w:szCs w:val="22"/>
        </w:rPr>
        <w:t xml:space="preserve"> </w:t>
      </w:r>
      <w:r w:rsidR="003C4187" w:rsidRPr="003C4187">
        <w:rPr>
          <w:rFonts w:ascii="Aptos" w:hAnsi="Aptos"/>
          <w:sz w:val="22"/>
          <w:szCs w:val="22"/>
        </w:rPr>
        <w:t>(Encyclopaedia Britannica, 2026)</w:t>
      </w:r>
      <w:r w:rsidRPr="003C4187">
        <w:rPr>
          <w:rStyle w:val="normaltextrun"/>
          <w:rFonts w:ascii="Aptos" w:hAnsi="Aptos"/>
          <w:color w:val="000000" w:themeColor="text1"/>
          <w:sz w:val="22"/>
          <w:szCs w:val="22"/>
        </w:rPr>
        <w:t>.</w:t>
      </w:r>
      <w:r>
        <w:rPr>
          <w:rStyle w:val="normaltextrun"/>
          <w:rFonts w:ascii="Aptos" w:hAnsi="Aptos"/>
          <w:color w:val="000000" w:themeColor="text1"/>
          <w:sz w:val="22"/>
          <w:szCs w:val="22"/>
        </w:rPr>
        <w:t xml:space="preserve">  </w:t>
      </w:r>
      <w:r w:rsidR="00A34301">
        <w:rPr>
          <w:rStyle w:val="normaltextrun"/>
          <w:rFonts w:ascii="Aptos" w:hAnsi="Aptos"/>
          <w:color w:val="000000" w:themeColor="text1"/>
          <w:sz w:val="22"/>
          <w:szCs w:val="22"/>
        </w:rPr>
        <w:t>His written works are useful for showing that Christianity in Carthage was already intellectually active before Constantine. He was writing in the late second and</w:t>
      </w:r>
      <w:r w:rsidR="003C4187">
        <w:rPr>
          <w:rStyle w:val="normaltextrun"/>
          <w:rFonts w:ascii="Aptos" w:hAnsi="Aptos"/>
          <w:color w:val="000000" w:themeColor="text1"/>
          <w:sz w:val="22"/>
          <w:szCs w:val="22"/>
        </w:rPr>
        <w:t xml:space="preserve"> early</w:t>
      </w:r>
      <w:r w:rsidR="00A34301">
        <w:rPr>
          <w:rStyle w:val="normaltextrun"/>
          <w:rFonts w:ascii="Aptos" w:hAnsi="Aptos"/>
          <w:color w:val="000000" w:themeColor="text1"/>
          <w:sz w:val="22"/>
          <w:szCs w:val="22"/>
        </w:rPr>
        <w:t xml:space="preserve"> third century, before Christianity had imperial support. He illustrates Christians in Carthage during this period as already defending their beliefs, criticising aspects of pagan civic life and setting themselves apart from traditional civic religion. </w:t>
      </w:r>
      <w:r w:rsidR="00A34301" w:rsidRPr="00A34301">
        <w:rPr>
          <w:rFonts w:ascii="Aptos" w:hAnsi="Aptos"/>
          <w:color w:val="000000"/>
          <w:sz w:val="22"/>
          <w:szCs w:val="22"/>
        </w:rPr>
        <w:t>Tertullian’s significance</w:t>
      </w:r>
      <w:r w:rsidR="009524CD">
        <w:rPr>
          <w:rFonts w:ascii="Aptos" w:hAnsi="Aptos"/>
          <w:color w:val="000000"/>
          <w:sz w:val="22"/>
          <w:szCs w:val="22"/>
        </w:rPr>
        <w:t xml:space="preserve"> should be used carefully</w:t>
      </w:r>
      <w:r w:rsidR="00A34301" w:rsidRPr="00A34301">
        <w:rPr>
          <w:rFonts w:ascii="Aptos" w:hAnsi="Aptos"/>
          <w:color w:val="000000"/>
          <w:sz w:val="22"/>
          <w:szCs w:val="22"/>
        </w:rPr>
        <w:t>, since his later Montanist sympathies complicate his position</w:t>
      </w:r>
      <w:r w:rsidR="009524CD">
        <w:rPr>
          <w:rFonts w:ascii="Aptos" w:hAnsi="Aptos"/>
          <w:color w:val="000000"/>
          <w:sz w:val="22"/>
          <w:szCs w:val="22"/>
        </w:rPr>
        <w:t xml:space="preserve"> and cannot simply be treated as a straightforward representative of later Catholic authority</w:t>
      </w:r>
      <w:r w:rsidR="00A34301" w:rsidRPr="00A34301">
        <w:rPr>
          <w:rFonts w:ascii="Aptos" w:hAnsi="Aptos"/>
          <w:color w:val="000000"/>
          <w:sz w:val="22"/>
          <w:szCs w:val="22"/>
        </w:rPr>
        <w:t xml:space="preserve">, but that he reveals the confidence and visibility of Christian debate in early Carthage (Tertullian, </w:t>
      </w:r>
      <w:proofErr w:type="spellStart"/>
      <w:r w:rsidR="00A34301" w:rsidRPr="00A34301">
        <w:rPr>
          <w:rFonts w:ascii="Aptos" w:hAnsi="Aptos"/>
          <w:i/>
          <w:iCs/>
          <w:color w:val="000000"/>
          <w:sz w:val="22"/>
          <w:szCs w:val="22"/>
        </w:rPr>
        <w:t>Apologeticum</w:t>
      </w:r>
      <w:proofErr w:type="spellEnd"/>
      <w:r w:rsidR="00A34301" w:rsidRPr="00A34301">
        <w:rPr>
          <w:rFonts w:ascii="Aptos" w:hAnsi="Aptos"/>
          <w:color w:val="000000"/>
          <w:sz w:val="22"/>
          <w:szCs w:val="22"/>
        </w:rPr>
        <w:t>; Burns and Jensen, 2014).</w:t>
      </w:r>
      <w:r w:rsidR="00A34301">
        <w:rPr>
          <w:rFonts w:ascii="Aptos" w:hAnsi="Aptos"/>
          <w:color w:val="000000"/>
          <w:sz w:val="22"/>
          <w:szCs w:val="22"/>
        </w:rPr>
        <w:t xml:space="preserve"> </w:t>
      </w:r>
      <w:r w:rsidR="009524CD">
        <w:rPr>
          <w:rFonts w:ascii="Aptos" w:hAnsi="Aptos"/>
          <w:color w:val="000000"/>
          <w:sz w:val="22"/>
          <w:szCs w:val="22"/>
        </w:rPr>
        <w:t>H</w:t>
      </w:r>
      <w:r w:rsidR="00A34301">
        <w:rPr>
          <w:rFonts w:ascii="Aptos" w:hAnsi="Aptos"/>
          <w:color w:val="000000"/>
          <w:sz w:val="22"/>
          <w:szCs w:val="22"/>
        </w:rPr>
        <w:t xml:space="preserve">is </w:t>
      </w:r>
      <w:r w:rsidR="009524CD">
        <w:rPr>
          <w:rFonts w:ascii="Aptos" w:hAnsi="Aptos"/>
          <w:color w:val="000000"/>
          <w:sz w:val="22"/>
          <w:szCs w:val="22"/>
        </w:rPr>
        <w:t xml:space="preserve">value for this chapter lies more in showing the strength of early Christian debate and identity formation in Carthage than in proving settled institutional unity </w:t>
      </w:r>
      <w:r w:rsidR="009524CD" w:rsidRPr="00A34301">
        <w:rPr>
          <w:rFonts w:ascii="Aptos" w:hAnsi="Aptos"/>
          <w:color w:val="000000"/>
          <w:sz w:val="22"/>
          <w:szCs w:val="22"/>
        </w:rPr>
        <w:t>(Burns and Jensen, 2014</w:t>
      </w:r>
      <w:r w:rsidR="009524CD">
        <w:rPr>
          <w:rFonts w:ascii="Aptos" w:hAnsi="Aptos"/>
          <w:color w:val="000000"/>
          <w:sz w:val="22"/>
          <w:szCs w:val="22"/>
        </w:rPr>
        <w:t>).</w:t>
      </w:r>
    </w:p>
    <w:p w14:paraId="0D86D543" w14:textId="40866A07" w:rsidR="002171B2" w:rsidRPr="00A2564E" w:rsidRDefault="004261E0" w:rsidP="008926B6">
      <w:pPr>
        <w:pStyle w:val="paragraph"/>
        <w:spacing w:before="0" w:beforeAutospacing="0" w:after="160" w:afterAutospacing="0"/>
        <w:textAlignment w:val="baseline"/>
        <w:rPr>
          <w:rStyle w:val="normaltextrun"/>
          <w:rFonts w:ascii="Aptos" w:hAnsi="Aptos"/>
          <w:color w:val="000000"/>
          <w:sz w:val="22"/>
          <w:szCs w:val="22"/>
        </w:rPr>
      </w:pPr>
      <w:r>
        <w:rPr>
          <w:rFonts w:ascii="Aptos" w:hAnsi="Aptos"/>
          <w:color w:val="000000"/>
          <w:sz w:val="22"/>
          <w:szCs w:val="22"/>
        </w:rPr>
        <w:lastRenderedPageBreak/>
        <w:t xml:space="preserve">Cyprian </w:t>
      </w:r>
      <w:r w:rsidR="002E4ECD">
        <w:rPr>
          <w:rFonts w:ascii="Aptos" w:hAnsi="Aptos"/>
          <w:color w:val="000000"/>
          <w:sz w:val="22"/>
          <w:szCs w:val="22"/>
        </w:rPr>
        <w:t xml:space="preserve">gives even stronger evidence for early Christian organisation. As bishop of Carthage in the mid-third century, he is also identified by Britannica as </w:t>
      </w:r>
      <w:r w:rsidR="00974E64">
        <w:rPr>
          <w:rFonts w:ascii="Aptos" w:hAnsi="Aptos"/>
          <w:color w:val="000000"/>
          <w:sz w:val="22"/>
          <w:szCs w:val="22"/>
        </w:rPr>
        <w:t xml:space="preserve">an </w:t>
      </w:r>
      <w:r w:rsidR="002E4ECD">
        <w:rPr>
          <w:rFonts w:ascii="Aptos" w:hAnsi="Aptos"/>
          <w:color w:val="000000"/>
          <w:sz w:val="22"/>
          <w:szCs w:val="22"/>
        </w:rPr>
        <w:t>early Christian theologian and leader who led the Christians of North Africa during Roman persecution</w:t>
      </w:r>
      <w:r w:rsidR="00974E64">
        <w:rPr>
          <w:rFonts w:ascii="Aptos" w:hAnsi="Aptos"/>
          <w:color w:val="000000"/>
          <w:sz w:val="22"/>
          <w:szCs w:val="22"/>
        </w:rPr>
        <w:t xml:space="preserve"> </w:t>
      </w:r>
      <w:r w:rsidR="00A2564E">
        <w:rPr>
          <w:rFonts w:ascii="Aptos" w:hAnsi="Aptos"/>
          <w:color w:val="000000"/>
          <w:sz w:val="22"/>
          <w:szCs w:val="22"/>
        </w:rPr>
        <w:t xml:space="preserve">and was eventually executed in 258 </w:t>
      </w:r>
      <w:r w:rsidR="00974E64">
        <w:rPr>
          <w:rFonts w:ascii="Aptos" w:hAnsi="Aptos"/>
          <w:color w:val="000000"/>
          <w:sz w:val="22"/>
          <w:szCs w:val="22"/>
        </w:rPr>
        <w:t>(Encyclopaedia Britannica, 2026)</w:t>
      </w:r>
      <w:r w:rsidR="002E4ECD">
        <w:rPr>
          <w:rFonts w:ascii="Aptos" w:hAnsi="Aptos"/>
          <w:color w:val="000000"/>
          <w:sz w:val="22"/>
          <w:szCs w:val="22"/>
        </w:rPr>
        <w:t xml:space="preserve">. </w:t>
      </w:r>
      <w:r w:rsidR="00974E64">
        <w:rPr>
          <w:rFonts w:ascii="Aptos" w:hAnsi="Aptos"/>
          <w:color w:val="000000"/>
          <w:sz w:val="22"/>
          <w:szCs w:val="22"/>
        </w:rPr>
        <w:t xml:space="preserve">His letters carry particular weight because they were written during a period of crisis, especially around the Decian and Valerian persecutions, rather than from the security of a later Christian empire. </w:t>
      </w:r>
      <w:r w:rsidR="00A2564E">
        <w:rPr>
          <w:rFonts w:ascii="Aptos" w:hAnsi="Aptos"/>
          <w:color w:val="000000"/>
          <w:sz w:val="22"/>
          <w:szCs w:val="22"/>
        </w:rPr>
        <w:t xml:space="preserve">Their value lies in the fact that they preserve the practical operation of episcopal leadership during crisis. They </w:t>
      </w:r>
      <w:r w:rsidR="002E4ECD">
        <w:rPr>
          <w:rFonts w:ascii="Aptos" w:hAnsi="Aptos"/>
          <w:color w:val="000000"/>
          <w:sz w:val="22"/>
          <w:szCs w:val="22"/>
        </w:rPr>
        <w:t xml:space="preserve">reveal the inner workings of the Church </w:t>
      </w:r>
      <w:r w:rsidR="006E366E">
        <w:rPr>
          <w:rFonts w:ascii="Aptos" w:hAnsi="Aptos"/>
          <w:color w:val="000000"/>
          <w:sz w:val="22"/>
          <w:szCs w:val="22"/>
        </w:rPr>
        <w:t>and show him acting as a leader of a real community with practical problems</w:t>
      </w:r>
      <w:r w:rsidR="00A2564E">
        <w:rPr>
          <w:rFonts w:ascii="Aptos" w:hAnsi="Aptos"/>
          <w:color w:val="000000"/>
          <w:sz w:val="22"/>
          <w:szCs w:val="22"/>
        </w:rPr>
        <w:t xml:space="preserve"> </w:t>
      </w:r>
      <w:r w:rsidR="00A2564E" w:rsidRPr="001E00F2">
        <w:rPr>
          <w:rFonts w:ascii="Aptos" w:hAnsi="Aptos" w:cs="Calibri"/>
          <w:color w:val="000000"/>
          <w:sz w:val="22"/>
          <w:szCs w:val="22"/>
        </w:rPr>
        <w:t>(Cyprian, 1984–1989).</w:t>
      </w:r>
      <w:r w:rsidR="006E366E" w:rsidRPr="006E366E">
        <w:rPr>
          <w:rFonts w:ascii="Aptos" w:hAnsi="Aptos" w:cs="Calibri"/>
          <w:color w:val="000000"/>
          <w:sz w:val="22"/>
          <w:szCs w:val="22"/>
        </w:rPr>
        <w:t>They reveal a bishop managing clergy, responding to disputes, communicating with other churches and trying to preserve unity during periods of persecution.</w:t>
      </w:r>
      <w:r w:rsidR="006E366E">
        <w:rPr>
          <w:rStyle w:val="normaltextrun"/>
          <w:rFonts w:ascii="Aptos" w:hAnsi="Aptos"/>
          <w:color w:val="000000" w:themeColor="text1"/>
          <w:sz w:val="22"/>
          <w:szCs w:val="22"/>
        </w:rPr>
        <w:t xml:space="preserve"> </w:t>
      </w:r>
      <w:r w:rsidR="006E366E">
        <w:rPr>
          <w:rFonts w:ascii="Aptos" w:hAnsi="Aptos"/>
          <w:color w:val="000000"/>
          <w:sz w:val="22"/>
          <w:szCs w:val="22"/>
        </w:rPr>
        <w:t>This is crucial for the dissertation because it shows that the bishop’s authority was already central to Christian communal life before imperial favour</w:t>
      </w:r>
      <w:r w:rsidR="009C70AF">
        <w:rPr>
          <w:rFonts w:ascii="Aptos" w:hAnsi="Aptos"/>
          <w:color w:val="000000"/>
          <w:sz w:val="22"/>
          <w:szCs w:val="22"/>
        </w:rPr>
        <w:t>.</w:t>
      </w:r>
      <w:r w:rsidR="009C70AF" w:rsidRPr="009C70AF">
        <w:rPr>
          <w:rFonts w:ascii="Aptos" w:hAnsi="Aptos"/>
          <w:color w:val="000000"/>
          <w:sz w:val="22"/>
          <w:szCs w:val="22"/>
        </w:rPr>
        <w:t xml:space="preserve"> </w:t>
      </w:r>
      <w:r w:rsidR="009C70AF" w:rsidRPr="009C70AF">
        <w:rPr>
          <w:rFonts w:ascii="Aptos" w:hAnsi="Aptos"/>
          <w:sz w:val="22"/>
          <w:szCs w:val="22"/>
        </w:rPr>
        <w:t>His episcopate therefore supports the wider argument that imperial patronage later strengthened existing local church structures rather than creating them from nothing.</w:t>
      </w:r>
      <w:r w:rsidR="009C70AF">
        <w:rPr>
          <w:rFonts w:ascii="Aptos" w:hAnsi="Aptos"/>
          <w:sz w:val="22"/>
          <w:szCs w:val="22"/>
        </w:rPr>
        <w:t xml:space="preserve"> </w:t>
      </w:r>
      <w:r w:rsidR="001E00F2" w:rsidRPr="001E00F2">
        <w:rPr>
          <w:rFonts w:ascii="Aptos" w:hAnsi="Aptos" w:cs="Calibri"/>
          <w:color w:val="000000"/>
          <w:sz w:val="22"/>
          <w:szCs w:val="22"/>
        </w:rPr>
        <w:t xml:space="preserve">The bishop was not only a preacher or teacher, but a figure responsible for discipline, unity and the organisation of the Christian community </w:t>
      </w:r>
      <w:r w:rsidR="00974E64">
        <w:rPr>
          <w:rFonts w:ascii="Aptos" w:hAnsi="Aptos" w:cs="Calibri"/>
          <w:color w:val="000000"/>
          <w:sz w:val="22"/>
          <w:szCs w:val="22"/>
        </w:rPr>
        <w:t>(Burns and Jensen, 2014).</w:t>
      </w:r>
      <w:r w:rsidR="00C67B40">
        <w:rPr>
          <w:rFonts w:ascii="Aptos" w:hAnsi="Aptos" w:cs="Calibri"/>
          <w:color w:val="000000"/>
          <w:sz w:val="22"/>
          <w:szCs w:val="22"/>
        </w:rPr>
        <w:t xml:space="preserve"> </w:t>
      </w:r>
      <w:r w:rsidR="00C67B40" w:rsidRPr="00C67B40">
        <w:rPr>
          <w:rFonts w:ascii="Aptos" w:hAnsi="Aptos"/>
          <w:sz w:val="22"/>
          <w:szCs w:val="22"/>
        </w:rPr>
        <w:t>Together, Tertullian and Cyprian represent two stages in the early development of Christianity in Carthage: Tertullian reflects the emergence of a confident Christian intellectual voice, while Cyprian reveals the growth of episcopal structures capable of organising and governing the community.</w:t>
      </w:r>
    </w:p>
    <w:p w14:paraId="2022FBE8" w14:textId="73C46555" w:rsidR="00A2564E" w:rsidRPr="007202FC" w:rsidRDefault="00B067AF" w:rsidP="008926B6">
      <w:pPr>
        <w:pStyle w:val="paragraph"/>
        <w:spacing w:before="0" w:beforeAutospacing="0" w:after="160" w:afterAutospacing="0"/>
        <w:textAlignment w:val="baseline"/>
        <w:rPr>
          <w:rStyle w:val="normaltextrun"/>
        </w:rPr>
      </w:pPr>
      <w:r>
        <w:rPr>
          <w:rStyle w:val="normaltextrun"/>
          <w:rFonts w:ascii="Aptos" w:hAnsi="Aptos"/>
          <w:color w:val="000000" w:themeColor="text1"/>
          <w:sz w:val="22"/>
          <w:szCs w:val="22"/>
        </w:rPr>
        <w:t xml:space="preserve">The Decian persecution was </w:t>
      </w:r>
      <w:r w:rsidR="00E83F7B">
        <w:rPr>
          <w:rStyle w:val="normaltextrun"/>
          <w:rFonts w:ascii="Aptos" w:hAnsi="Aptos"/>
          <w:color w:val="000000" w:themeColor="text1"/>
          <w:sz w:val="22"/>
          <w:szCs w:val="22"/>
        </w:rPr>
        <w:t>a significant moment</w:t>
      </w:r>
      <w:r>
        <w:rPr>
          <w:rStyle w:val="normaltextrun"/>
          <w:rFonts w:ascii="Aptos" w:hAnsi="Aptos"/>
          <w:color w:val="000000" w:themeColor="text1"/>
          <w:sz w:val="22"/>
          <w:szCs w:val="22"/>
        </w:rPr>
        <w:t xml:space="preserve"> of </w:t>
      </w:r>
      <w:r w:rsidR="007202FC">
        <w:rPr>
          <w:rStyle w:val="normaltextrun"/>
          <w:rFonts w:ascii="Aptos" w:hAnsi="Aptos"/>
          <w:color w:val="000000" w:themeColor="text1"/>
          <w:sz w:val="22"/>
          <w:szCs w:val="22"/>
        </w:rPr>
        <w:t>testing public religious loyalty</w:t>
      </w:r>
      <w:r>
        <w:rPr>
          <w:rStyle w:val="normaltextrun"/>
          <w:rFonts w:ascii="Aptos" w:hAnsi="Aptos"/>
          <w:color w:val="000000" w:themeColor="text1"/>
          <w:sz w:val="22"/>
          <w:szCs w:val="22"/>
        </w:rPr>
        <w:t xml:space="preserve"> as the requirement of sacrifice </w:t>
      </w:r>
      <w:r w:rsidR="007202FC">
        <w:rPr>
          <w:rStyle w:val="normaltextrun"/>
          <w:rFonts w:ascii="Aptos" w:hAnsi="Aptos"/>
          <w:color w:val="000000" w:themeColor="text1"/>
          <w:sz w:val="22"/>
          <w:szCs w:val="22"/>
        </w:rPr>
        <w:t xml:space="preserve">placed Christians under pressure because refusal could bring </w:t>
      </w:r>
      <w:r w:rsidR="00E83F7B">
        <w:rPr>
          <w:rStyle w:val="normaltextrun"/>
          <w:rFonts w:ascii="Aptos" w:hAnsi="Aptos"/>
          <w:color w:val="000000" w:themeColor="text1"/>
          <w:sz w:val="22"/>
          <w:szCs w:val="22"/>
        </w:rPr>
        <w:t>punishment</w:t>
      </w:r>
      <w:r>
        <w:rPr>
          <w:rStyle w:val="normaltextrun"/>
          <w:rFonts w:ascii="Aptos" w:hAnsi="Aptos"/>
          <w:color w:val="000000" w:themeColor="text1"/>
          <w:sz w:val="22"/>
          <w:szCs w:val="22"/>
        </w:rPr>
        <w:t xml:space="preserve">. The </w:t>
      </w:r>
      <w:r>
        <w:rPr>
          <w:rStyle w:val="normaltextrun"/>
          <w:rFonts w:ascii="Aptos" w:hAnsi="Aptos"/>
          <w:color w:val="000000" w:themeColor="text1"/>
          <w:sz w:val="22"/>
          <w:szCs w:val="22"/>
        </w:rPr>
        <w:t>lapsed controversy</w:t>
      </w:r>
      <w:r>
        <w:rPr>
          <w:rStyle w:val="normaltextrun"/>
          <w:rFonts w:ascii="Aptos" w:hAnsi="Aptos"/>
          <w:color w:val="000000" w:themeColor="text1"/>
          <w:sz w:val="22"/>
          <w:szCs w:val="22"/>
        </w:rPr>
        <w:t xml:space="preserve"> emerged after the persecution, when some Christians sacrificed or obtained certificates of sacrifice in order to avoid punishment</w:t>
      </w:r>
      <w:r w:rsidR="00E83F7B" w:rsidRPr="00E83F7B">
        <w:rPr>
          <w:rStyle w:val="normaltextrun"/>
          <w:rFonts w:ascii="Aptos" w:hAnsi="Aptos"/>
          <w:color w:val="000000" w:themeColor="text1"/>
          <w:sz w:val="22"/>
          <w:szCs w:val="22"/>
        </w:rPr>
        <w:t xml:space="preserve"> </w:t>
      </w:r>
      <w:r w:rsidR="00E83F7B" w:rsidRPr="00E83F7B">
        <w:rPr>
          <w:rFonts w:ascii="Aptos" w:hAnsi="Aptos"/>
          <w:sz w:val="22"/>
          <w:szCs w:val="22"/>
        </w:rPr>
        <w:t xml:space="preserve">(Cyprian, </w:t>
      </w:r>
      <w:r w:rsidR="00E83F7B" w:rsidRPr="00E83F7B">
        <w:rPr>
          <w:rStyle w:val="Emphasis"/>
          <w:rFonts w:ascii="Aptos" w:hAnsi="Aptos"/>
          <w:sz w:val="22"/>
          <w:szCs w:val="22"/>
        </w:rPr>
        <w:t>De lapsis</w:t>
      </w:r>
      <w:r w:rsidR="00E83F7B" w:rsidRPr="00E83F7B">
        <w:rPr>
          <w:rFonts w:ascii="Aptos" w:hAnsi="Aptos"/>
          <w:sz w:val="22"/>
          <w:szCs w:val="22"/>
        </w:rPr>
        <w:t>; Burns and Jensen, 2014).</w:t>
      </w:r>
      <w:r w:rsidR="00E83F7B" w:rsidRPr="00E83F7B">
        <w:rPr>
          <w:rStyle w:val="normaltextrun"/>
          <w:rFonts w:ascii="Aptos" w:hAnsi="Aptos"/>
          <w:color w:val="000000" w:themeColor="text1"/>
          <w:sz w:val="22"/>
          <w:szCs w:val="22"/>
        </w:rPr>
        <w:t xml:space="preserve"> </w:t>
      </w:r>
      <w:r>
        <w:rPr>
          <w:rStyle w:val="normaltextrun"/>
          <w:rFonts w:ascii="Aptos" w:hAnsi="Aptos"/>
          <w:color w:val="000000" w:themeColor="text1"/>
          <w:sz w:val="22"/>
          <w:szCs w:val="22"/>
        </w:rPr>
        <w:t xml:space="preserve">These Christians were known as the lapsed, and their possible return to the </w:t>
      </w:r>
      <w:r w:rsidR="00E83F7B">
        <w:rPr>
          <w:rStyle w:val="normaltextrun"/>
          <w:rFonts w:ascii="Aptos" w:hAnsi="Aptos"/>
          <w:color w:val="000000" w:themeColor="text1"/>
          <w:sz w:val="22"/>
          <w:szCs w:val="22"/>
        </w:rPr>
        <w:t>C</w:t>
      </w:r>
      <w:r>
        <w:rPr>
          <w:rStyle w:val="normaltextrun"/>
          <w:rFonts w:ascii="Aptos" w:hAnsi="Aptos"/>
          <w:color w:val="000000" w:themeColor="text1"/>
          <w:sz w:val="22"/>
          <w:szCs w:val="22"/>
        </w:rPr>
        <w:t xml:space="preserve">hurch created a major disciplinary problem. Because sacrifice was a public act of loyalty to the Roman gods, Christian participation in it raised serious questions about apostasy, repentance and whether the person could </w:t>
      </w:r>
      <w:r w:rsidR="00A63268">
        <w:rPr>
          <w:rStyle w:val="normaltextrun"/>
          <w:rFonts w:ascii="Aptos" w:hAnsi="Aptos"/>
          <w:color w:val="000000" w:themeColor="text1"/>
          <w:sz w:val="22"/>
          <w:szCs w:val="22"/>
        </w:rPr>
        <w:t xml:space="preserve">return to </w:t>
      </w:r>
      <w:r w:rsidR="00E83F7B">
        <w:rPr>
          <w:rStyle w:val="normaltextrun"/>
          <w:rFonts w:ascii="Aptos" w:hAnsi="Aptos"/>
          <w:color w:val="000000" w:themeColor="text1"/>
          <w:sz w:val="22"/>
          <w:szCs w:val="22"/>
        </w:rPr>
        <w:t xml:space="preserve">full membership of the Christian </w:t>
      </w:r>
      <w:r w:rsidR="00A63268">
        <w:rPr>
          <w:rStyle w:val="normaltextrun"/>
          <w:rFonts w:ascii="Aptos" w:hAnsi="Aptos"/>
          <w:color w:val="000000" w:themeColor="text1"/>
          <w:sz w:val="22"/>
          <w:szCs w:val="22"/>
        </w:rPr>
        <w:t xml:space="preserve">community. </w:t>
      </w:r>
      <w:r w:rsidR="00A63268" w:rsidRPr="00A63268">
        <w:rPr>
          <w:rFonts w:ascii="Aptos" w:hAnsi="Aptos"/>
          <w:sz w:val="22"/>
          <w:szCs w:val="22"/>
        </w:rPr>
        <w:t>The lapsed controversy shows the Carthaginian Church actively regulating discipline and belonging before Christianity</w:t>
      </w:r>
      <w:r w:rsidR="003B639B">
        <w:rPr>
          <w:rFonts w:ascii="Aptos" w:hAnsi="Aptos"/>
          <w:sz w:val="22"/>
          <w:szCs w:val="22"/>
        </w:rPr>
        <w:t xml:space="preserve"> </w:t>
      </w:r>
      <w:r w:rsidR="00A63268" w:rsidRPr="00A63268">
        <w:rPr>
          <w:rFonts w:ascii="Aptos" w:hAnsi="Aptos"/>
          <w:sz w:val="22"/>
          <w:szCs w:val="22"/>
        </w:rPr>
        <w:t xml:space="preserve"> had imperial support.</w:t>
      </w:r>
      <w:r w:rsidR="00A63268">
        <w:rPr>
          <w:rFonts w:ascii="Aptos" w:hAnsi="Aptos"/>
          <w:sz w:val="22"/>
          <w:szCs w:val="22"/>
        </w:rPr>
        <w:t xml:space="preserve"> </w:t>
      </w:r>
      <w:r w:rsidR="00E83F7B">
        <w:rPr>
          <w:rFonts w:ascii="Aptos" w:hAnsi="Aptos"/>
          <w:sz w:val="22"/>
          <w:szCs w:val="22"/>
        </w:rPr>
        <w:t>Opposing issues</w:t>
      </w:r>
      <w:r w:rsidR="00A63268">
        <w:rPr>
          <w:rFonts w:ascii="Aptos" w:hAnsi="Aptos"/>
          <w:sz w:val="22"/>
          <w:szCs w:val="22"/>
        </w:rPr>
        <w:t xml:space="preserve"> regarding if a lapsed person could return brought other opposing issues, how they should be restored and who had the authority to make that decision. Cyprian</w:t>
      </w:r>
      <w:r w:rsidR="00E83F7B">
        <w:rPr>
          <w:rFonts w:ascii="Aptos" w:hAnsi="Aptos"/>
          <w:sz w:val="22"/>
          <w:szCs w:val="22"/>
        </w:rPr>
        <w:t>’s</w:t>
      </w:r>
      <w:r w:rsidR="00A63268">
        <w:rPr>
          <w:rFonts w:ascii="Aptos" w:hAnsi="Aptos"/>
          <w:sz w:val="22"/>
          <w:szCs w:val="22"/>
        </w:rPr>
        <w:t xml:space="preserve"> response was disciplinary rather than simply harsh</w:t>
      </w:r>
      <w:r w:rsidR="00E83F7B">
        <w:rPr>
          <w:rFonts w:ascii="Aptos" w:hAnsi="Aptos"/>
          <w:sz w:val="22"/>
          <w:szCs w:val="22"/>
        </w:rPr>
        <w:t>, because he did not</w:t>
      </w:r>
      <w:r w:rsidR="00A63268">
        <w:rPr>
          <w:rFonts w:ascii="Aptos" w:hAnsi="Aptos"/>
          <w:sz w:val="22"/>
          <w:szCs w:val="22"/>
        </w:rPr>
        <w:t xml:space="preserve"> reject </w:t>
      </w:r>
      <w:r w:rsidR="00E83F7B">
        <w:rPr>
          <w:rFonts w:ascii="Aptos" w:hAnsi="Aptos"/>
          <w:sz w:val="22"/>
          <w:szCs w:val="22"/>
        </w:rPr>
        <w:t>restoration entirely</w:t>
      </w:r>
      <w:r w:rsidR="00A63268">
        <w:rPr>
          <w:rFonts w:ascii="Aptos" w:hAnsi="Aptos"/>
          <w:sz w:val="22"/>
          <w:szCs w:val="22"/>
        </w:rPr>
        <w:t xml:space="preserve">. He argued against immediate reinstatement without confession and penance, insisting that restoration had to be regulated through proper </w:t>
      </w:r>
      <w:r w:rsidR="00E83F7B">
        <w:rPr>
          <w:rFonts w:ascii="Aptos" w:hAnsi="Aptos"/>
          <w:sz w:val="22"/>
          <w:szCs w:val="22"/>
        </w:rPr>
        <w:t>C</w:t>
      </w:r>
      <w:r w:rsidR="00A63268">
        <w:rPr>
          <w:rFonts w:ascii="Aptos" w:hAnsi="Aptos"/>
          <w:sz w:val="22"/>
          <w:szCs w:val="22"/>
        </w:rPr>
        <w:t xml:space="preserve">hurch order. The controversy also exposed tension between different forms of authority. </w:t>
      </w:r>
      <w:r w:rsidR="007E28C1">
        <w:rPr>
          <w:rFonts w:ascii="Aptos" w:hAnsi="Aptos"/>
          <w:sz w:val="22"/>
          <w:szCs w:val="22"/>
        </w:rPr>
        <w:t>Some confessors and clergy wanted to restore the lapsed quickly</w:t>
      </w:r>
      <w:r w:rsidR="00E83F7B">
        <w:rPr>
          <w:rFonts w:ascii="Aptos" w:hAnsi="Aptos"/>
          <w:sz w:val="22"/>
          <w:szCs w:val="22"/>
        </w:rPr>
        <w:t>.</w:t>
      </w:r>
      <w:r w:rsidR="007E28C1">
        <w:rPr>
          <w:rFonts w:ascii="Aptos" w:hAnsi="Aptos"/>
          <w:sz w:val="22"/>
          <w:szCs w:val="22"/>
        </w:rPr>
        <w:t xml:space="preserve"> </w:t>
      </w:r>
      <w:r w:rsidR="00E83F7B">
        <w:rPr>
          <w:rFonts w:ascii="Aptos" w:hAnsi="Aptos"/>
          <w:sz w:val="22"/>
          <w:szCs w:val="22"/>
        </w:rPr>
        <w:t>T</w:t>
      </w:r>
      <w:r w:rsidR="007E28C1">
        <w:rPr>
          <w:rFonts w:ascii="Aptos" w:hAnsi="Aptos"/>
          <w:sz w:val="22"/>
          <w:szCs w:val="22"/>
        </w:rPr>
        <w:t xml:space="preserve">he confessors had moral prestige as they suffered for the faith and were sought after for help for the lapsed Christians. </w:t>
      </w:r>
      <w:r w:rsidR="007202FC">
        <w:rPr>
          <w:rFonts w:ascii="Aptos" w:hAnsi="Aptos"/>
          <w:sz w:val="22"/>
          <w:szCs w:val="22"/>
        </w:rPr>
        <w:t xml:space="preserve">Cyprian respected the confessors but rejected the idea that their authority could override </w:t>
      </w:r>
      <w:r w:rsidR="00E83F7B">
        <w:rPr>
          <w:rFonts w:ascii="Aptos" w:hAnsi="Aptos"/>
          <w:sz w:val="22"/>
          <w:szCs w:val="22"/>
        </w:rPr>
        <w:t>C</w:t>
      </w:r>
      <w:r w:rsidR="007202FC">
        <w:rPr>
          <w:rFonts w:ascii="Aptos" w:hAnsi="Aptos"/>
          <w:sz w:val="22"/>
          <w:szCs w:val="22"/>
        </w:rPr>
        <w:t xml:space="preserve">hurch discipline. This is important for the dissertation because it shows that the Carthaginian Church already possessed mechanisms of discipline and authority before Constantine. </w:t>
      </w:r>
      <w:r w:rsidR="00E83F7B">
        <w:rPr>
          <w:rFonts w:ascii="Aptos" w:hAnsi="Aptos"/>
          <w:sz w:val="22"/>
          <w:szCs w:val="22"/>
        </w:rPr>
        <w:t>I</w:t>
      </w:r>
      <w:r w:rsidR="007202FC">
        <w:rPr>
          <w:rFonts w:ascii="Aptos" w:hAnsi="Aptos"/>
          <w:sz w:val="22"/>
          <w:szCs w:val="22"/>
        </w:rPr>
        <w:t>t also anticipates later North African conflicts, especially Donatism, where purity, legitimacy and the identity of the true Church became central issues</w:t>
      </w:r>
      <w:r w:rsidR="007202FC">
        <w:t xml:space="preserve"> </w:t>
      </w:r>
      <w:r w:rsidRPr="007202FC">
        <w:rPr>
          <w:rFonts w:ascii="Aptos" w:hAnsi="Aptos"/>
          <w:sz w:val="22"/>
          <w:szCs w:val="22"/>
        </w:rPr>
        <w:t xml:space="preserve">(Cyprian, </w:t>
      </w:r>
      <w:r w:rsidRPr="007202FC">
        <w:rPr>
          <w:rStyle w:val="Emphasis"/>
          <w:rFonts w:ascii="Aptos" w:hAnsi="Aptos"/>
          <w:sz w:val="22"/>
          <w:szCs w:val="22"/>
        </w:rPr>
        <w:t>Ep.</w:t>
      </w:r>
      <w:r w:rsidRPr="007202FC">
        <w:rPr>
          <w:rFonts w:ascii="Aptos" w:hAnsi="Aptos"/>
          <w:sz w:val="22"/>
          <w:szCs w:val="22"/>
        </w:rPr>
        <w:t xml:space="preserve"> 55; Cyprian, </w:t>
      </w:r>
      <w:r w:rsidRPr="00E83F7B">
        <w:rPr>
          <w:rStyle w:val="Emphasis"/>
          <w:rFonts w:ascii="Aptos" w:hAnsi="Aptos"/>
          <w:sz w:val="22"/>
          <w:szCs w:val="22"/>
        </w:rPr>
        <w:t>De lapsis</w:t>
      </w:r>
      <w:r w:rsidRPr="007202FC">
        <w:rPr>
          <w:rFonts w:ascii="Aptos" w:hAnsi="Aptos"/>
          <w:sz w:val="22"/>
          <w:szCs w:val="22"/>
        </w:rPr>
        <w:t>; Burns and Jensen, 2014).</w:t>
      </w:r>
    </w:p>
    <w:p w14:paraId="5AF7D0B9" w14:textId="77777777" w:rsidR="00A2564E" w:rsidRDefault="00A2564E" w:rsidP="008926B6">
      <w:pPr>
        <w:pStyle w:val="paragraph"/>
        <w:spacing w:before="0" w:beforeAutospacing="0" w:after="160" w:afterAutospacing="0"/>
        <w:textAlignment w:val="baseline"/>
        <w:rPr>
          <w:rStyle w:val="normaltextrun"/>
          <w:rFonts w:ascii="Aptos" w:hAnsi="Aptos"/>
          <w:color w:val="000000" w:themeColor="text1"/>
          <w:sz w:val="22"/>
          <w:szCs w:val="22"/>
        </w:rPr>
      </w:pPr>
    </w:p>
    <w:p w14:paraId="1EBA3DD2" w14:textId="324DD206" w:rsidR="00336D2A" w:rsidRPr="000662AE" w:rsidRDefault="003E32EA" w:rsidP="008926B6">
      <w:pPr>
        <w:pStyle w:val="paragraph"/>
        <w:spacing w:before="0" w:beforeAutospacing="0" w:after="160" w:afterAutospacing="0"/>
        <w:textAlignment w:val="baseline"/>
        <w:rPr>
          <w:rStyle w:val="normaltextrun"/>
          <w:rFonts w:ascii="Aptos" w:hAnsi="Aptos"/>
          <w:sz w:val="22"/>
          <w:szCs w:val="22"/>
        </w:rPr>
      </w:pPr>
      <w:r w:rsidRPr="003E32EA">
        <w:rPr>
          <w:rFonts w:ascii="Aptos" w:hAnsi="Aptos"/>
          <w:sz w:val="22"/>
          <w:szCs w:val="22"/>
        </w:rPr>
        <w:t>While Cyprian’s letters show episcopal authority at the level of the local community, the mid-third-century councils show that Carthage was also part of a wider African episcopal network.</w:t>
      </w:r>
      <w:r>
        <w:rPr>
          <w:rFonts w:ascii="Aptos" w:hAnsi="Aptos"/>
          <w:sz w:val="22"/>
          <w:szCs w:val="22"/>
        </w:rPr>
        <w:t xml:space="preserve"> The strongest example is the </w:t>
      </w:r>
      <w:r w:rsidR="000662AE">
        <w:rPr>
          <w:rFonts w:ascii="Aptos" w:hAnsi="Aptos"/>
          <w:sz w:val="22"/>
          <w:szCs w:val="22"/>
        </w:rPr>
        <w:t>C</w:t>
      </w:r>
      <w:r>
        <w:rPr>
          <w:rFonts w:ascii="Aptos" w:hAnsi="Aptos"/>
          <w:sz w:val="22"/>
          <w:szCs w:val="22"/>
        </w:rPr>
        <w:t xml:space="preserve">ouncil of Carthage in 256 where the main issue was the baptism of heretics, also called the rebaptism controversy. </w:t>
      </w:r>
      <w:r w:rsidRPr="003E32EA">
        <w:rPr>
          <w:rFonts w:ascii="Aptos" w:hAnsi="Aptos"/>
          <w:sz w:val="22"/>
          <w:szCs w:val="22"/>
        </w:rPr>
        <w:t xml:space="preserve">This was </w:t>
      </w:r>
      <w:r w:rsidRPr="003E32EA">
        <w:rPr>
          <w:rFonts w:ascii="Aptos" w:hAnsi="Aptos"/>
          <w:sz w:val="22"/>
          <w:szCs w:val="22"/>
        </w:rPr>
        <w:t xml:space="preserve">preserved in the </w:t>
      </w:r>
      <w:r w:rsidRPr="003E32EA">
        <w:rPr>
          <w:rStyle w:val="Emphasis"/>
          <w:rFonts w:ascii="Aptos" w:hAnsi="Aptos"/>
          <w:sz w:val="22"/>
          <w:szCs w:val="22"/>
        </w:rPr>
        <w:t>Sententiae episcoporum</w:t>
      </w:r>
      <w:r w:rsidRPr="003E32EA">
        <w:rPr>
          <w:rFonts w:ascii="Aptos" w:hAnsi="Aptos"/>
          <w:sz w:val="22"/>
          <w:szCs w:val="22"/>
        </w:rPr>
        <w:t>, which records the judgements of eighty-seven bishops from Africa, Numidia and Mauretania</w:t>
      </w:r>
      <w:r w:rsidR="00336D2A">
        <w:rPr>
          <w:rFonts w:ascii="Aptos" w:hAnsi="Aptos"/>
          <w:sz w:val="22"/>
          <w:szCs w:val="22"/>
        </w:rPr>
        <w:t xml:space="preserve"> on the matter</w:t>
      </w:r>
      <w:r w:rsidR="000662AE">
        <w:rPr>
          <w:rFonts w:ascii="Aptos" w:hAnsi="Aptos"/>
          <w:sz w:val="22"/>
          <w:szCs w:val="22"/>
        </w:rPr>
        <w:t xml:space="preserve"> </w:t>
      </w:r>
      <w:r w:rsidR="000662AE" w:rsidRPr="000662AE">
        <w:rPr>
          <w:rFonts w:ascii="Aptos" w:hAnsi="Aptos"/>
          <w:sz w:val="22"/>
          <w:szCs w:val="22"/>
        </w:rPr>
        <w:t xml:space="preserve">(Cyprian, </w:t>
      </w:r>
      <w:r w:rsidR="000662AE" w:rsidRPr="000662AE">
        <w:rPr>
          <w:rStyle w:val="Emphasis"/>
          <w:rFonts w:ascii="Aptos" w:hAnsi="Aptos"/>
          <w:sz w:val="22"/>
          <w:szCs w:val="22"/>
        </w:rPr>
        <w:t>Sententiae episcoporum</w:t>
      </w:r>
      <w:r w:rsidR="000662AE" w:rsidRPr="000662AE">
        <w:rPr>
          <w:rFonts w:ascii="Aptos" w:hAnsi="Aptos"/>
          <w:sz w:val="22"/>
          <w:szCs w:val="22"/>
        </w:rPr>
        <w:t>; Dunn, 2006</w:t>
      </w:r>
      <w:r w:rsidR="000662AE">
        <w:rPr>
          <w:rFonts w:ascii="Aptos" w:hAnsi="Aptos"/>
          <w:sz w:val="22"/>
          <w:szCs w:val="22"/>
        </w:rPr>
        <w:t>)</w:t>
      </w:r>
      <w:r w:rsidR="00336D2A">
        <w:rPr>
          <w:rFonts w:ascii="Aptos" w:hAnsi="Aptos"/>
          <w:sz w:val="22"/>
          <w:szCs w:val="22"/>
        </w:rPr>
        <w:t xml:space="preserve">. The issue was whether baptism performed outside the recognised Church should be accepted as valid, or </w:t>
      </w:r>
      <w:r w:rsidR="00336D2A">
        <w:rPr>
          <w:rFonts w:ascii="Aptos" w:hAnsi="Aptos"/>
          <w:sz w:val="22"/>
          <w:szCs w:val="22"/>
        </w:rPr>
        <w:lastRenderedPageBreak/>
        <w:t>whether converts from heretical o</w:t>
      </w:r>
      <w:r w:rsidR="000662AE">
        <w:rPr>
          <w:rFonts w:ascii="Aptos" w:hAnsi="Aptos"/>
          <w:sz w:val="22"/>
          <w:szCs w:val="22"/>
        </w:rPr>
        <w:t>r</w:t>
      </w:r>
      <w:r w:rsidR="00336D2A">
        <w:rPr>
          <w:rFonts w:ascii="Aptos" w:hAnsi="Aptos"/>
          <w:sz w:val="22"/>
          <w:szCs w:val="22"/>
        </w:rPr>
        <w:t xml:space="preserve"> schismatic groups required baptism again. Cyprian and the African bishops generally argued that baptism outside the Church was not valid. This was controversial because the Roman bishop Stephen disagreed with the African position. This was not only a technical argument about ritual detail but instead raised wider questions about the boundaries of the Church, the authority of bishops and who had the right to define legitimate Christian practice. </w:t>
      </w:r>
      <w:r w:rsidR="000D1CC8">
        <w:rPr>
          <w:rFonts w:ascii="Aptos" w:hAnsi="Aptos"/>
          <w:sz w:val="22"/>
          <w:szCs w:val="22"/>
        </w:rPr>
        <w:t xml:space="preserve">The evidence </w:t>
      </w:r>
      <w:r w:rsidR="00A774BF">
        <w:rPr>
          <w:rFonts w:ascii="Aptos" w:hAnsi="Aptos"/>
          <w:sz w:val="22"/>
          <w:szCs w:val="22"/>
        </w:rPr>
        <w:t xml:space="preserve">proves </w:t>
      </w:r>
      <w:r w:rsidR="000D1CC8">
        <w:rPr>
          <w:rFonts w:ascii="Aptos" w:hAnsi="Aptos"/>
          <w:sz w:val="22"/>
          <w:szCs w:val="22"/>
        </w:rPr>
        <w:t xml:space="preserve"> beneficial for showing Christianisation as institution building. The importance of the council is reflected in Carthage </w:t>
      </w:r>
      <w:r w:rsidR="00336D2A">
        <w:rPr>
          <w:rFonts w:ascii="Aptos" w:hAnsi="Aptos"/>
          <w:sz w:val="22"/>
          <w:szCs w:val="22"/>
        </w:rPr>
        <w:t>functioning as a regional centre</w:t>
      </w:r>
      <w:r w:rsidR="000D1CC8">
        <w:rPr>
          <w:rFonts w:ascii="Aptos" w:hAnsi="Aptos"/>
          <w:sz w:val="22"/>
          <w:szCs w:val="22"/>
        </w:rPr>
        <w:t xml:space="preserve">. African bishops were already using councils to regulate discipline, baptism and legitimacy before imperial patronage made Christianity publicly assured. This further supports the two-way model of imperial laws changing the conditions later and the local bishops already </w:t>
      </w:r>
      <w:r w:rsidR="000662AE">
        <w:rPr>
          <w:rFonts w:ascii="Aptos" w:hAnsi="Aptos"/>
          <w:sz w:val="22"/>
          <w:szCs w:val="22"/>
        </w:rPr>
        <w:t>possessing</w:t>
      </w:r>
      <w:r w:rsidR="000D1CC8">
        <w:rPr>
          <w:rFonts w:ascii="Aptos" w:hAnsi="Aptos"/>
          <w:sz w:val="22"/>
          <w:szCs w:val="22"/>
        </w:rPr>
        <w:t xml:space="preserve"> system</w:t>
      </w:r>
      <w:r w:rsidR="000662AE">
        <w:rPr>
          <w:rFonts w:ascii="Aptos" w:hAnsi="Aptos"/>
          <w:sz w:val="22"/>
          <w:szCs w:val="22"/>
        </w:rPr>
        <w:t>s</w:t>
      </w:r>
      <w:r w:rsidR="000D1CC8">
        <w:rPr>
          <w:rFonts w:ascii="Aptos" w:hAnsi="Aptos"/>
          <w:sz w:val="22"/>
          <w:szCs w:val="22"/>
        </w:rPr>
        <w:t xml:space="preserve"> of </w:t>
      </w:r>
      <w:r w:rsidR="000662AE">
        <w:rPr>
          <w:rFonts w:ascii="Aptos" w:hAnsi="Aptos"/>
          <w:sz w:val="22"/>
          <w:szCs w:val="22"/>
        </w:rPr>
        <w:t>regulation and authority with the</w:t>
      </w:r>
      <w:r w:rsidR="000D1CC8">
        <w:rPr>
          <w:rFonts w:ascii="Aptos" w:hAnsi="Aptos"/>
          <w:sz w:val="22"/>
          <w:szCs w:val="22"/>
        </w:rPr>
        <w:t xml:space="preserve"> Church</w:t>
      </w:r>
      <w:r w:rsidR="000662AE">
        <w:rPr>
          <w:rFonts w:ascii="Aptos" w:hAnsi="Aptos"/>
          <w:sz w:val="22"/>
          <w:szCs w:val="22"/>
        </w:rPr>
        <w:t xml:space="preserve"> </w:t>
      </w:r>
      <w:r w:rsidR="000662AE" w:rsidRPr="000662AE">
        <w:rPr>
          <w:rFonts w:ascii="Aptos" w:hAnsi="Aptos"/>
          <w:sz w:val="22"/>
          <w:szCs w:val="22"/>
        </w:rPr>
        <w:t xml:space="preserve">(Cyprian, </w:t>
      </w:r>
      <w:r w:rsidR="000662AE" w:rsidRPr="000662AE">
        <w:rPr>
          <w:rStyle w:val="Emphasis"/>
          <w:rFonts w:ascii="Aptos" w:hAnsi="Aptos"/>
          <w:sz w:val="22"/>
          <w:szCs w:val="22"/>
        </w:rPr>
        <w:t>Sententiae episcoporum</w:t>
      </w:r>
      <w:r w:rsidR="000662AE" w:rsidRPr="000662AE">
        <w:rPr>
          <w:rFonts w:ascii="Aptos" w:hAnsi="Aptos"/>
          <w:sz w:val="22"/>
          <w:szCs w:val="22"/>
        </w:rPr>
        <w:t>; Dunn, 2006)</w:t>
      </w:r>
      <w:r w:rsidR="000662AE" w:rsidRPr="000662AE">
        <w:rPr>
          <w:rFonts w:ascii="Aptos" w:hAnsi="Aptos"/>
          <w:sz w:val="22"/>
          <w:szCs w:val="22"/>
        </w:rPr>
        <w:t>.</w:t>
      </w:r>
      <w:r w:rsidR="000662AE">
        <w:rPr>
          <w:rFonts w:ascii="Aptos" w:hAnsi="Aptos"/>
          <w:sz w:val="22"/>
          <w:szCs w:val="22"/>
        </w:rPr>
        <w:t xml:space="preserve"> </w:t>
      </w:r>
      <w:r w:rsidR="000662AE" w:rsidRPr="000662AE">
        <w:rPr>
          <w:rFonts w:ascii="Aptos" w:hAnsi="Aptos"/>
          <w:sz w:val="22"/>
          <w:szCs w:val="22"/>
        </w:rPr>
        <w:t xml:space="preserve">This section has shown that Carthaginian Christianity had already developed important local foundations before imperial </w:t>
      </w:r>
      <w:r w:rsidR="000662AE" w:rsidRPr="00A774BF">
        <w:rPr>
          <w:rFonts w:ascii="Aptos" w:hAnsi="Aptos"/>
          <w:sz w:val="22"/>
          <w:szCs w:val="22"/>
        </w:rPr>
        <w:t>patronage</w:t>
      </w:r>
      <w:r w:rsidR="00A774BF">
        <w:rPr>
          <w:rFonts w:ascii="Aptos" w:hAnsi="Aptos"/>
          <w:sz w:val="22"/>
          <w:szCs w:val="22"/>
        </w:rPr>
        <w:t xml:space="preserve">. Rather than creating Christian authority from nothing, </w:t>
      </w:r>
      <w:r w:rsidR="00A774BF" w:rsidRPr="00A774BF">
        <w:rPr>
          <w:rFonts w:ascii="Aptos" w:hAnsi="Aptos"/>
          <w:sz w:val="22"/>
          <w:szCs w:val="22"/>
        </w:rPr>
        <w:t>imperial patronage later changed the public position of the Church by strengthening structures that had already developed within Carthaginian and wider North African Christianity. The next section builds on this by examining how persecution and martyr memory gave those communities a powerful sacred past and a language of legitimacy</w:t>
      </w:r>
      <w:r w:rsidR="00A774BF">
        <w:rPr>
          <w:rFonts w:ascii="Aptos" w:hAnsi="Aptos"/>
          <w:sz w:val="22"/>
          <w:szCs w:val="22"/>
        </w:rPr>
        <w:t xml:space="preserve">. </w:t>
      </w:r>
    </w:p>
    <w:p w14:paraId="2CA46A62" w14:textId="7CF6CB3C" w:rsidR="00A2564E" w:rsidRPr="00E76659" w:rsidRDefault="00E76659" w:rsidP="008926B6">
      <w:pPr>
        <w:pStyle w:val="paragraph"/>
        <w:spacing w:before="0" w:beforeAutospacing="0" w:after="160" w:afterAutospacing="0"/>
        <w:textAlignment w:val="baseline"/>
        <w:rPr>
          <w:rFonts w:ascii="Aptos" w:hAnsi="Aptos"/>
          <w:color w:val="E97132" w:themeColor="accent2"/>
          <w:sz w:val="22"/>
          <w:szCs w:val="22"/>
        </w:rPr>
      </w:pPr>
      <w:r w:rsidRPr="00E76659">
        <w:rPr>
          <w:rFonts w:ascii="Aptos" w:hAnsi="Aptos"/>
          <w:sz w:val="22"/>
          <w:szCs w:val="22"/>
        </w:rPr>
        <w:t>This section has shown that Carthaginian Christianity had already developed important local foundations before imperial patronage.</w:t>
      </w:r>
      <w:r>
        <w:rPr>
          <w:rFonts w:ascii="Aptos" w:hAnsi="Aptos"/>
          <w:sz w:val="22"/>
          <w:szCs w:val="22"/>
        </w:rPr>
        <w:t xml:space="preserve"> Tertullian shows that Christians in Carthage had a confident intellectual voice, defending their beliefs and setting themselves apart from pagan civic religion. Following Cyprian who reveals the next stages of a practical church organisation shows the episcopal authority already operating through leadership, discipline and communication within his letters. </w:t>
      </w:r>
      <w:r w:rsidRPr="00E76659">
        <w:rPr>
          <w:rFonts w:ascii="Aptos" w:hAnsi="Aptos"/>
          <w:sz w:val="22"/>
          <w:szCs w:val="22"/>
        </w:rPr>
        <w:t>The lapsed controversy demonstrates that the Church was already regulating discipline, repentance and belonging.</w:t>
      </w:r>
      <w:r>
        <w:rPr>
          <w:rFonts w:ascii="Aptos" w:hAnsi="Aptos"/>
          <w:sz w:val="22"/>
          <w:szCs w:val="22"/>
        </w:rPr>
        <w:t xml:space="preserve"> Then we see </w:t>
      </w:r>
      <w:r w:rsidRPr="00E76659">
        <w:rPr>
          <w:rFonts w:ascii="Aptos" w:hAnsi="Aptos"/>
          <w:sz w:val="22"/>
          <w:szCs w:val="22"/>
        </w:rPr>
        <w:t>the</w:t>
      </w:r>
      <w:r w:rsidRPr="00E76659">
        <w:rPr>
          <w:rFonts w:ascii="Aptos" w:hAnsi="Aptos"/>
          <w:sz w:val="22"/>
          <w:szCs w:val="22"/>
        </w:rPr>
        <w:t xml:space="preserve"> mid-third-century councils show that Carthage functioned within a wider African network of collective episcopal decision-making.</w:t>
      </w:r>
      <w:r>
        <w:rPr>
          <w:rFonts w:ascii="Aptos" w:hAnsi="Aptos"/>
          <w:sz w:val="22"/>
          <w:szCs w:val="22"/>
        </w:rPr>
        <w:t xml:space="preserve"> We learn here that imperial support did matter, but it did not create Christian authority from nothing. Instead, it strengthened structures that had already developed locally. </w:t>
      </w:r>
      <w:r w:rsidRPr="00E76659">
        <w:rPr>
          <w:rFonts w:ascii="Aptos" w:hAnsi="Aptos"/>
          <w:sz w:val="22"/>
          <w:szCs w:val="22"/>
        </w:rPr>
        <w:t>The next section builds on this by examining how persecution and martyr memory gave Carthaginian Christians a sacred past and a language of legitimacy.</w:t>
      </w:r>
    </w:p>
    <w:p w14:paraId="21CC91EA" w14:textId="591A0297" w:rsidR="000662AE" w:rsidRPr="00E76659" w:rsidRDefault="00E76659" w:rsidP="008926B6">
      <w:pPr>
        <w:pStyle w:val="paragraph"/>
        <w:spacing w:before="0" w:beforeAutospacing="0" w:after="160" w:afterAutospacing="0"/>
        <w:textAlignment w:val="baseline"/>
        <w:rPr>
          <w:rFonts w:ascii="Aptos" w:hAnsi="Aptos"/>
          <w:color w:val="000000" w:themeColor="text1"/>
          <w:sz w:val="22"/>
          <w:szCs w:val="22"/>
        </w:rPr>
      </w:pPr>
      <w:r w:rsidRPr="00E76659">
        <w:rPr>
          <w:rFonts w:ascii="Aptos" w:hAnsi="Aptos"/>
          <w:color w:val="000000" w:themeColor="text1"/>
          <w:sz w:val="22"/>
          <w:szCs w:val="22"/>
        </w:rPr>
        <w:t>3.4</w:t>
      </w:r>
    </w:p>
    <w:p w14:paraId="656ABB89" w14:textId="1FFD558B" w:rsidR="00E76659" w:rsidRPr="00E76659" w:rsidRDefault="00E76659" w:rsidP="008926B6">
      <w:pPr>
        <w:pStyle w:val="paragraph"/>
        <w:spacing w:before="0" w:beforeAutospacing="0" w:after="160" w:afterAutospacing="0"/>
        <w:textAlignment w:val="baseline"/>
        <w:rPr>
          <w:rFonts w:ascii="Aptos" w:hAnsi="Aptos"/>
          <w:color w:val="E97132" w:themeColor="accent2"/>
          <w:sz w:val="22"/>
          <w:szCs w:val="22"/>
        </w:rPr>
      </w:pPr>
      <w:r w:rsidRPr="00E76659">
        <w:rPr>
          <w:rFonts w:ascii="Aptos" w:hAnsi="Aptos"/>
          <w:sz w:val="22"/>
          <w:szCs w:val="22"/>
        </w:rPr>
        <w:t>Persecution was important not only because Christians suffered, but because martyrdom became one of the ways Carthaginian Christians remembered and defined themselves.</w:t>
      </w:r>
      <w:r>
        <w:rPr>
          <w:rFonts w:ascii="Aptos" w:hAnsi="Aptos"/>
          <w:sz w:val="22"/>
          <w:szCs w:val="22"/>
        </w:rPr>
        <w:t xml:space="preserve"> Martyrs were examples of courage, faithfulness and loyalty to God, creating stories of witness that shaped community and identity. T</w:t>
      </w:r>
      <w:r w:rsidRPr="00E76659">
        <w:rPr>
          <w:rFonts w:ascii="Aptos" w:hAnsi="Aptos"/>
          <w:sz w:val="22"/>
          <w:szCs w:val="22"/>
        </w:rPr>
        <w:t xml:space="preserve">hese memories helped connect later Christian communities </w:t>
      </w:r>
      <w:r w:rsidRPr="00E76659">
        <w:rPr>
          <w:rFonts w:ascii="Aptos" w:hAnsi="Aptos"/>
          <w:sz w:val="22"/>
          <w:szCs w:val="22"/>
        </w:rPr>
        <w:t>to a sacred past of suffering and resistance, giving them a powerful language through which to express legitimacy and belonging</w:t>
      </w:r>
      <w:r w:rsidRPr="00E76659">
        <w:rPr>
          <w:rFonts w:ascii="Aptos" w:hAnsi="Aptos"/>
          <w:sz w:val="22"/>
          <w:szCs w:val="22"/>
        </w:rPr>
        <w:t xml:space="preserve">. </w:t>
      </w:r>
      <w:r w:rsidRPr="00E76659">
        <w:rPr>
          <w:rFonts w:ascii="Aptos" w:hAnsi="Aptos"/>
          <w:sz w:val="22"/>
          <w:szCs w:val="22"/>
        </w:rPr>
        <w:t>In Carthage, traditions surrounding figures such as Perpetua, Felicity and Cyprian made martyr memory central to Christian identity before imperial favour made Christianity publicly secure.</w:t>
      </w:r>
    </w:p>
    <w:p w14:paraId="574CE4E5" w14:textId="1D1D1AAF" w:rsidR="000662AE" w:rsidRPr="00E76659" w:rsidRDefault="00E76659" w:rsidP="008926B6">
      <w:pPr>
        <w:pStyle w:val="paragraph"/>
        <w:spacing w:before="0" w:beforeAutospacing="0" w:after="160" w:afterAutospacing="0"/>
        <w:textAlignment w:val="baseline"/>
        <w:rPr>
          <w:rFonts w:ascii="Aptos" w:hAnsi="Aptos"/>
          <w:color w:val="E97132" w:themeColor="accent2"/>
          <w:sz w:val="22"/>
          <w:szCs w:val="22"/>
        </w:rPr>
      </w:pPr>
      <w:r w:rsidRPr="00E76659">
        <w:rPr>
          <w:rFonts w:ascii="Aptos" w:hAnsi="Aptos"/>
          <w:sz w:val="22"/>
          <w:szCs w:val="22"/>
        </w:rPr>
        <w:t xml:space="preserve">Early North African martyr texts show that martyr memory was already central to Christian identity before Constantine. The </w:t>
      </w:r>
      <w:r w:rsidRPr="00E76659">
        <w:rPr>
          <w:rStyle w:val="Emphasis"/>
          <w:rFonts w:ascii="Aptos" w:hAnsi="Aptos"/>
          <w:sz w:val="22"/>
          <w:szCs w:val="22"/>
        </w:rPr>
        <w:t>Acts of the Scillitan Martyrs</w:t>
      </w:r>
      <w:r w:rsidRPr="00E76659">
        <w:rPr>
          <w:rFonts w:ascii="Aptos" w:hAnsi="Aptos"/>
          <w:sz w:val="22"/>
          <w:szCs w:val="22"/>
        </w:rPr>
        <w:t xml:space="preserve"> provide an early example of North African Christians being tried at Carthage under Roman authority.</w:t>
      </w:r>
      <w:r w:rsidRPr="00E76659">
        <w:rPr>
          <w:rFonts w:ascii="Aptos" w:hAnsi="Aptos"/>
          <w:sz w:val="22"/>
          <w:szCs w:val="22"/>
        </w:rPr>
        <w:t xml:space="preserve"> </w:t>
      </w:r>
      <w:r>
        <w:rPr>
          <w:rFonts w:ascii="Aptos" w:hAnsi="Aptos"/>
          <w:sz w:val="22"/>
          <w:szCs w:val="22"/>
        </w:rPr>
        <w:t>The significance lies less in the detail of the event itself and more in what the text represents which is an early African memory of Christian refusal under Roman authority.</w:t>
      </w:r>
      <w:r>
        <w:rPr>
          <w:rFonts w:ascii="Aptos" w:hAnsi="Aptos"/>
          <w:sz w:val="22"/>
          <w:szCs w:val="22"/>
        </w:rPr>
        <w:t xml:space="preserve"> </w:t>
      </w:r>
      <w:r w:rsidRPr="00E76659">
        <w:rPr>
          <w:rFonts w:ascii="Aptos" w:hAnsi="Aptos"/>
          <w:sz w:val="22"/>
          <w:szCs w:val="22"/>
        </w:rPr>
        <w:t xml:space="preserve">Britannica describes the </w:t>
      </w:r>
      <w:r w:rsidRPr="00E76659">
        <w:rPr>
          <w:rStyle w:val="Emphasis"/>
          <w:rFonts w:ascii="Aptos" w:hAnsi="Aptos"/>
          <w:sz w:val="22"/>
          <w:szCs w:val="22"/>
        </w:rPr>
        <w:t>Acts of the Scillitan Martyrs</w:t>
      </w:r>
      <w:r w:rsidRPr="00E76659">
        <w:rPr>
          <w:rFonts w:ascii="Aptos" w:hAnsi="Aptos"/>
          <w:sz w:val="22"/>
          <w:szCs w:val="22"/>
        </w:rPr>
        <w:t xml:space="preserve"> as the earliest authentic document on Christianity in North Africa and the earliest specimen of Christian Latin</w:t>
      </w:r>
      <w:r>
        <w:rPr>
          <w:rFonts w:ascii="Aptos" w:hAnsi="Aptos"/>
          <w:sz w:val="22"/>
          <w:szCs w:val="22"/>
        </w:rPr>
        <w:t xml:space="preserve"> </w:t>
      </w:r>
      <w:r w:rsidRPr="00E76659">
        <w:rPr>
          <w:rFonts w:ascii="Aptos" w:hAnsi="Aptos"/>
          <w:sz w:val="22"/>
          <w:szCs w:val="22"/>
        </w:rPr>
        <w:t>(Encyclopaedia Britannica, 2026).</w:t>
      </w:r>
      <w:r>
        <w:rPr>
          <w:rFonts w:ascii="Aptos" w:hAnsi="Aptos"/>
          <w:sz w:val="22"/>
          <w:szCs w:val="22"/>
        </w:rPr>
        <w:t xml:space="preserve"> They are useful for showing that martyr memory in Africa had deep roots before Constantine. </w:t>
      </w:r>
      <w:r w:rsidR="00D328A8">
        <w:rPr>
          <w:rFonts w:ascii="Aptos" w:hAnsi="Aptos"/>
          <w:sz w:val="22"/>
          <w:szCs w:val="22"/>
        </w:rPr>
        <w:t>T</w:t>
      </w:r>
      <w:r>
        <w:rPr>
          <w:rFonts w:ascii="Aptos" w:hAnsi="Aptos"/>
          <w:sz w:val="22"/>
          <w:szCs w:val="22"/>
        </w:rPr>
        <w:t xml:space="preserve">he passion of Perpetua </w:t>
      </w:r>
      <w:r w:rsidRPr="00E76659">
        <w:rPr>
          <w:rFonts w:ascii="Aptos" w:hAnsi="Aptos"/>
          <w:sz w:val="22"/>
          <w:szCs w:val="22"/>
        </w:rPr>
        <w:t>and Felicity provides a stronger Carthage-centred example of martyr memory.</w:t>
      </w:r>
      <w:r w:rsidR="00165FEB">
        <w:rPr>
          <w:rFonts w:ascii="Aptos" w:hAnsi="Aptos"/>
          <w:sz w:val="22"/>
          <w:szCs w:val="22"/>
        </w:rPr>
        <w:t xml:space="preserve"> The execution of Perpetua within Carthage’s arena is an account that also presents her own prison narrative. Felicity was also imprisoned and martyred with Perpetua, but her background </w:t>
      </w:r>
      <w:r w:rsidR="00165FEB">
        <w:rPr>
          <w:rFonts w:ascii="Aptos" w:hAnsi="Aptos"/>
          <w:sz w:val="22"/>
          <w:szCs w:val="22"/>
        </w:rPr>
        <w:lastRenderedPageBreak/>
        <w:t xml:space="preserve">differed as an enslaved woman. Their story became one of the most famous early Christian martyr narratives presenting the process of witness involving prison, visions, family pressure, courage and public execution. Because part of the narrative is presented in Perpetua’s own voice, it became especially powerful as a remembered example of faithfulness. </w:t>
      </w:r>
    </w:p>
    <w:p w14:paraId="66D58C9F" w14:textId="77777777" w:rsidR="000662AE" w:rsidRDefault="000662AE" w:rsidP="008926B6">
      <w:pPr>
        <w:pStyle w:val="paragraph"/>
        <w:spacing w:before="0" w:beforeAutospacing="0" w:after="160" w:afterAutospacing="0"/>
        <w:textAlignment w:val="baseline"/>
        <w:rPr>
          <w:color w:val="E97132" w:themeColor="accent2"/>
        </w:rPr>
      </w:pPr>
    </w:p>
    <w:p w14:paraId="2EC4E693" w14:textId="77777777" w:rsidR="000662AE" w:rsidRDefault="000662AE" w:rsidP="008926B6">
      <w:pPr>
        <w:pStyle w:val="paragraph"/>
        <w:spacing w:before="0" w:beforeAutospacing="0" w:after="160" w:afterAutospacing="0"/>
        <w:textAlignment w:val="baseline"/>
        <w:rPr>
          <w:color w:val="E97132" w:themeColor="accent2"/>
        </w:rPr>
      </w:pPr>
    </w:p>
    <w:p w14:paraId="52A2E54F" w14:textId="77777777" w:rsidR="000662AE" w:rsidRDefault="000662AE" w:rsidP="008926B6">
      <w:pPr>
        <w:pStyle w:val="paragraph"/>
        <w:spacing w:before="0" w:beforeAutospacing="0" w:after="160" w:afterAutospacing="0"/>
        <w:textAlignment w:val="baseline"/>
        <w:rPr>
          <w:color w:val="E97132" w:themeColor="accent2"/>
        </w:rPr>
      </w:pPr>
    </w:p>
    <w:p w14:paraId="1F3E4524" w14:textId="77777777" w:rsidR="000662AE" w:rsidRDefault="000662AE" w:rsidP="008926B6">
      <w:pPr>
        <w:pStyle w:val="paragraph"/>
        <w:spacing w:before="0" w:beforeAutospacing="0" w:after="160" w:afterAutospacing="0"/>
        <w:textAlignment w:val="baseline"/>
        <w:rPr>
          <w:color w:val="E97132" w:themeColor="accent2"/>
        </w:rPr>
      </w:pPr>
    </w:p>
    <w:p w14:paraId="1DFFC867" w14:textId="77777777" w:rsidR="000662AE" w:rsidRDefault="000662AE" w:rsidP="008926B6">
      <w:pPr>
        <w:pStyle w:val="paragraph"/>
        <w:spacing w:before="0" w:beforeAutospacing="0" w:after="160" w:afterAutospacing="0"/>
        <w:textAlignment w:val="baseline"/>
        <w:rPr>
          <w:color w:val="E97132" w:themeColor="accent2"/>
        </w:rPr>
      </w:pPr>
    </w:p>
    <w:p w14:paraId="42BAEDA4" w14:textId="77777777" w:rsidR="000662AE" w:rsidRDefault="000662AE" w:rsidP="008926B6">
      <w:pPr>
        <w:pStyle w:val="paragraph"/>
        <w:spacing w:before="0" w:beforeAutospacing="0" w:after="160" w:afterAutospacing="0"/>
        <w:textAlignment w:val="baseline"/>
        <w:rPr>
          <w:color w:val="E97132" w:themeColor="accent2"/>
        </w:rPr>
      </w:pPr>
    </w:p>
    <w:p w14:paraId="3F52C086" w14:textId="77777777" w:rsidR="000662AE" w:rsidRDefault="000662AE" w:rsidP="008926B6">
      <w:pPr>
        <w:pStyle w:val="paragraph"/>
        <w:spacing w:before="0" w:beforeAutospacing="0" w:after="160" w:afterAutospacing="0"/>
        <w:textAlignment w:val="baseline"/>
        <w:rPr>
          <w:color w:val="E97132" w:themeColor="accent2"/>
        </w:rPr>
      </w:pPr>
    </w:p>
    <w:p w14:paraId="6B06E042" w14:textId="77777777" w:rsidR="000662AE" w:rsidRDefault="000662AE" w:rsidP="008926B6">
      <w:pPr>
        <w:pStyle w:val="paragraph"/>
        <w:spacing w:before="0" w:beforeAutospacing="0" w:after="160" w:afterAutospacing="0"/>
        <w:textAlignment w:val="baseline"/>
        <w:rPr>
          <w:rStyle w:val="normaltextrun"/>
          <w:rFonts w:ascii="Aptos" w:hAnsi="Aptos"/>
          <w:color w:val="000000" w:themeColor="text1"/>
          <w:sz w:val="22"/>
          <w:szCs w:val="22"/>
        </w:rPr>
      </w:pPr>
    </w:p>
    <w:p w14:paraId="0C58678F" w14:textId="77777777" w:rsidR="00A2564E" w:rsidRDefault="00A2564E" w:rsidP="008926B6">
      <w:pPr>
        <w:pStyle w:val="paragraph"/>
        <w:spacing w:before="0" w:beforeAutospacing="0" w:after="160" w:afterAutospacing="0"/>
        <w:textAlignment w:val="baseline"/>
        <w:rPr>
          <w:rStyle w:val="normaltextrun"/>
          <w:rFonts w:ascii="Aptos" w:hAnsi="Aptos"/>
          <w:color w:val="000000" w:themeColor="text1"/>
          <w:sz w:val="22"/>
          <w:szCs w:val="22"/>
        </w:rPr>
      </w:pPr>
    </w:p>
    <w:p w14:paraId="564A3E5B" w14:textId="77777777" w:rsidR="00A2564E" w:rsidRDefault="00A2564E" w:rsidP="008926B6">
      <w:pPr>
        <w:pStyle w:val="paragraph"/>
        <w:spacing w:before="0" w:beforeAutospacing="0" w:after="160" w:afterAutospacing="0"/>
        <w:textAlignment w:val="baseline"/>
        <w:rPr>
          <w:rStyle w:val="normaltextrun"/>
          <w:rFonts w:ascii="Aptos" w:hAnsi="Aptos"/>
          <w:color w:val="000000" w:themeColor="text1"/>
          <w:sz w:val="22"/>
          <w:szCs w:val="22"/>
        </w:rPr>
      </w:pPr>
    </w:p>
    <w:p w14:paraId="33BD096F" w14:textId="77777777" w:rsidR="00A2564E" w:rsidRDefault="00A2564E" w:rsidP="008926B6">
      <w:pPr>
        <w:pStyle w:val="paragraph"/>
        <w:spacing w:before="0" w:beforeAutospacing="0" w:after="160" w:afterAutospacing="0"/>
        <w:textAlignment w:val="baseline"/>
        <w:rPr>
          <w:rStyle w:val="normaltextrun"/>
          <w:rFonts w:ascii="Aptos" w:hAnsi="Aptos"/>
          <w:color w:val="000000" w:themeColor="text1"/>
          <w:sz w:val="22"/>
          <w:szCs w:val="22"/>
        </w:rPr>
      </w:pPr>
    </w:p>
    <w:p w14:paraId="3C16F05C" w14:textId="77777777" w:rsidR="00A2564E" w:rsidRDefault="00A2564E" w:rsidP="008926B6">
      <w:pPr>
        <w:pStyle w:val="paragraph"/>
        <w:spacing w:before="0" w:beforeAutospacing="0" w:after="160" w:afterAutospacing="0"/>
        <w:textAlignment w:val="baseline"/>
        <w:rPr>
          <w:rStyle w:val="normaltextrun"/>
          <w:rFonts w:ascii="Aptos" w:hAnsi="Aptos"/>
          <w:color w:val="000000" w:themeColor="text1"/>
          <w:sz w:val="22"/>
          <w:szCs w:val="22"/>
        </w:rPr>
      </w:pPr>
    </w:p>
    <w:p w14:paraId="1562006E" w14:textId="77777777" w:rsidR="00A2564E" w:rsidRDefault="00A2564E" w:rsidP="008926B6">
      <w:pPr>
        <w:pStyle w:val="paragraph"/>
        <w:spacing w:before="0" w:beforeAutospacing="0" w:after="160" w:afterAutospacing="0"/>
        <w:textAlignment w:val="baseline"/>
        <w:rPr>
          <w:rStyle w:val="normaltextrun"/>
          <w:rFonts w:ascii="Aptos" w:hAnsi="Aptos"/>
          <w:color w:val="000000" w:themeColor="text1"/>
          <w:sz w:val="22"/>
          <w:szCs w:val="22"/>
        </w:rPr>
      </w:pPr>
    </w:p>
    <w:p w14:paraId="6CB7F7F6" w14:textId="77777777" w:rsidR="00A2564E" w:rsidRDefault="00A2564E" w:rsidP="008926B6">
      <w:pPr>
        <w:pStyle w:val="paragraph"/>
        <w:spacing w:before="0" w:beforeAutospacing="0" w:after="160" w:afterAutospacing="0"/>
        <w:textAlignment w:val="baseline"/>
        <w:rPr>
          <w:rStyle w:val="normaltextrun"/>
          <w:rFonts w:ascii="Aptos" w:hAnsi="Aptos"/>
          <w:color w:val="000000" w:themeColor="text1"/>
          <w:sz w:val="22"/>
          <w:szCs w:val="22"/>
        </w:rPr>
      </w:pPr>
    </w:p>
    <w:p w14:paraId="086E1B42" w14:textId="77777777" w:rsidR="00A2564E" w:rsidRDefault="00A2564E" w:rsidP="008926B6">
      <w:pPr>
        <w:pStyle w:val="paragraph"/>
        <w:spacing w:before="0" w:beforeAutospacing="0" w:after="160" w:afterAutospacing="0"/>
        <w:textAlignment w:val="baseline"/>
        <w:rPr>
          <w:rStyle w:val="normaltextrun"/>
          <w:rFonts w:ascii="Aptos" w:hAnsi="Aptos"/>
          <w:color w:val="000000" w:themeColor="text1"/>
          <w:sz w:val="22"/>
          <w:szCs w:val="22"/>
        </w:rPr>
      </w:pPr>
    </w:p>
    <w:p w14:paraId="611B2FDD" w14:textId="77777777" w:rsidR="002171B2" w:rsidRPr="002171B2" w:rsidRDefault="002171B2" w:rsidP="008926B6">
      <w:pPr>
        <w:pStyle w:val="paragraph"/>
        <w:spacing w:before="0" w:beforeAutospacing="0" w:after="160" w:afterAutospacing="0"/>
        <w:textAlignment w:val="baseline"/>
        <w:rPr>
          <w:rStyle w:val="normaltextrun"/>
          <w:rFonts w:ascii="Aptos" w:hAnsi="Aptos"/>
          <w:color w:val="000000" w:themeColor="text1"/>
          <w:sz w:val="22"/>
          <w:szCs w:val="22"/>
        </w:rPr>
      </w:pPr>
    </w:p>
    <w:p w14:paraId="5CE91C66" w14:textId="77777777" w:rsidR="00FF2831" w:rsidRDefault="00FF2831" w:rsidP="008926B6">
      <w:pPr>
        <w:pStyle w:val="paragraph"/>
        <w:spacing w:before="0" w:beforeAutospacing="0" w:after="160" w:afterAutospacing="0"/>
        <w:textAlignment w:val="baseline"/>
        <w:rPr>
          <w:rStyle w:val="normaltextrun"/>
          <w:rFonts w:ascii="Aptos" w:hAnsi="Aptos"/>
          <w:color w:val="BF4E14"/>
          <w:sz w:val="22"/>
          <w:szCs w:val="22"/>
        </w:rPr>
      </w:pPr>
    </w:p>
    <w:p w14:paraId="1237B817" w14:textId="77777777" w:rsidR="00FF2831" w:rsidRDefault="00FF2831" w:rsidP="008926B6">
      <w:pPr>
        <w:pStyle w:val="paragraph"/>
        <w:spacing w:before="0" w:beforeAutospacing="0" w:after="160" w:afterAutospacing="0"/>
        <w:textAlignment w:val="baseline"/>
        <w:rPr>
          <w:rStyle w:val="normaltextrun"/>
          <w:rFonts w:ascii="Aptos" w:hAnsi="Aptos"/>
          <w:color w:val="BF4E14"/>
          <w:sz w:val="22"/>
          <w:szCs w:val="22"/>
        </w:rPr>
      </w:pPr>
    </w:p>
    <w:p w14:paraId="313D4C93" w14:textId="77777777" w:rsidR="000D1CC8" w:rsidRDefault="000D1CC8" w:rsidP="008926B6">
      <w:pPr>
        <w:pStyle w:val="paragraph"/>
        <w:spacing w:before="0" w:beforeAutospacing="0" w:after="160" w:afterAutospacing="0"/>
        <w:textAlignment w:val="baseline"/>
        <w:rPr>
          <w:rStyle w:val="normaltextrun"/>
          <w:rFonts w:ascii="Aptos" w:hAnsi="Aptos"/>
          <w:color w:val="BF4E14"/>
          <w:sz w:val="22"/>
          <w:szCs w:val="22"/>
        </w:rPr>
      </w:pPr>
    </w:p>
    <w:p w14:paraId="4A352A7E" w14:textId="4453BA90" w:rsidR="008926B6" w:rsidRPr="007C2AD5" w:rsidRDefault="008926B6" w:rsidP="008926B6">
      <w:pPr>
        <w:pStyle w:val="paragraph"/>
        <w:spacing w:before="0" w:beforeAutospacing="0" w:after="160" w:afterAutospacing="0"/>
        <w:textAlignment w:val="baseline"/>
        <w:rPr>
          <w:rFonts w:ascii="Aptos" w:hAnsi="Aptos"/>
          <w:color w:val="0070C0"/>
        </w:rPr>
      </w:pPr>
      <w:r w:rsidRPr="007C2AD5">
        <w:rPr>
          <w:rStyle w:val="normaltextrun"/>
          <w:rFonts w:ascii="Aptos" w:hAnsi="Aptos"/>
          <w:color w:val="0070C0"/>
        </w:rPr>
        <w:t>Bibliography:</w:t>
      </w:r>
      <w:r w:rsidRPr="007C2AD5">
        <w:rPr>
          <w:rStyle w:val="eop"/>
          <w:rFonts w:ascii="Aptos" w:hAnsi="Aptos"/>
          <w:color w:val="0070C0"/>
        </w:rPr>
        <w:t> </w:t>
      </w:r>
    </w:p>
    <w:p w14:paraId="77B304BB" w14:textId="77777777" w:rsidR="008C6766" w:rsidRPr="00A2564E" w:rsidRDefault="008C6766" w:rsidP="008C6766">
      <w:pPr>
        <w:pStyle w:val="NormalWeb"/>
        <w:rPr>
          <w:rFonts w:ascii="Aptos" w:hAnsi="Aptos"/>
          <w:sz w:val="22"/>
          <w:szCs w:val="22"/>
        </w:rPr>
      </w:pPr>
      <w:r w:rsidRPr="00A2564E">
        <w:rPr>
          <w:rFonts w:ascii="Aptos" w:hAnsi="Aptos"/>
          <w:sz w:val="22"/>
          <w:szCs w:val="22"/>
        </w:rPr>
        <w:t xml:space="preserve">Abun-Nasr, J.M. (2026) ‘Christianity and the Donatist controversy’, in North Africa: Ancient North Africa. Encyclopaedia Britannica. </w:t>
      </w:r>
    </w:p>
    <w:p w14:paraId="767E72C1" w14:textId="38BD01C6" w:rsidR="002751E5" w:rsidRPr="00A2564E" w:rsidRDefault="002751E5" w:rsidP="008C6766">
      <w:pPr>
        <w:pStyle w:val="NormalWeb"/>
        <w:rPr>
          <w:rFonts w:ascii="Aptos" w:hAnsi="Aptos"/>
          <w:sz w:val="22"/>
          <w:szCs w:val="22"/>
        </w:rPr>
      </w:pPr>
      <w:r w:rsidRPr="00A2564E">
        <w:rPr>
          <w:rFonts w:ascii="Aptos" w:hAnsi="Aptos"/>
          <w:sz w:val="22"/>
          <w:szCs w:val="22"/>
        </w:rPr>
        <w:t xml:space="preserve">Augustine (1990–1997) </w:t>
      </w:r>
      <w:r w:rsidRPr="00A2564E">
        <w:rPr>
          <w:rStyle w:val="Emphasis"/>
          <w:rFonts w:ascii="Aptos" w:hAnsi="Aptos"/>
          <w:sz w:val="22"/>
          <w:szCs w:val="22"/>
        </w:rPr>
        <w:t>Sermons</w:t>
      </w:r>
      <w:r w:rsidRPr="00A2564E">
        <w:rPr>
          <w:rFonts w:ascii="Aptos" w:hAnsi="Aptos"/>
          <w:sz w:val="22"/>
          <w:szCs w:val="22"/>
        </w:rPr>
        <w:t xml:space="preserve">. Translated by E. Hill. Edited by J.E. Rotelle. </w:t>
      </w:r>
      <w:r w:rsidRPr="00A2564E">
        <w:rPr>
          <w:rStyle w:val="Emphasis"/>
          <w:rFonts w:ascii="Aptos" w:hAnsi="Aptos"/>
          <w:sz w:val="22"/>
          <w:szCs w:val="22"/>
        </w:rPr>
        <w:t>The Works of Saint Augustine: A Translation for the 21st Century</w:t>
      </w:r>
      <w:r w:rsidRPr="00A2564E">
        <w:rPr>
          <w:rFonts w:ascii="Aptos" w:hAnsi="Aptos"/>
          <w:sz w:val="22"/>
          <w:szCs w:val="22"/>
        </w:rPr>
        <w:t>, Part III, vols 1–11. Brooklyn/Hyde Park, NY: New City Press.</w:t>
      </w:r>
    </w:p>
    <w:p w14:paraId="5CD3D9A4" w14:textId="0376FB69" w:rsidR="002751E5" w:rsidRPr="00A2564E" w:rsidRDefault="002751E5" w:rsidP="008C6766">
      <w:pPr>
        <w:pStyle w:val="NormalWeb"/>
        <w:rPr>
          <w:rFonts w:ascii="Aptos" w:hAnsi="Aptos"/>
          <w:sz w:val="22"/>
          <w:szCs w:val="22"/>
        </w:rPr>
      </w:pPr>
      <w:r w:rsidRPr="00A2564E">
        <w:rPr>
          <w:rFonts w:ascii="Aptos" w:hAnsi="Aptos"/>
          <w:sz w:val="22"/>
          <w:szCs w:val="22"/>
        </w:rPr>
        <w:t xml:space="preserve">Augustine (2001–2005) </w:t>
      </w:r>
      <w:r w:rsidRPr="00A2564E">
        <w:rPr>
          <w:rStyle w:val="Emphasis"/>
          <w:rFonts w:ascii="Aptos" w:hAnsi="Aptos"/>
          <w:sz w:val="22"/>
          <w:szCs w:val="22"/>
        </w:rPr>
        <w:t>Letters</w:t>
      </w:r>
      <w:r w:rsidRPr="00A2564E">
        <w:rPr>
          <w:rFonts w:ascii="Aptos" w:hAnsi="Aptos"/>
          <w:sz w:val="22"/>
          <w:szCs w:val="22"/>
        </w:rPr>
        <w:t xml:space="preserve">. Translated by R. Teske. Edited by J.E. </w:t>
      </w:r>
      <w:proofErr w:type="spellStart"/>
      <w:r w:rsidRPr="00A2564E">
        <w:rPr>
          <w:rFonts w:ascii="Aptos" w:hAnsi="Aptos"/>
          <w:sz w:val="22"/>
          <w:szCs w:val="22"/>
        </w:rPr>
        <w:t>Rotelle</w:t>
      </w:r>
      <w:proofErr w:type="spellEnd"/>
      <w:r w:rsidRPr="00A2564E">
        <w:rPr>
          <w:rFonts w:ascii="Aptos" w:hAnsi="Aptos"/>
          <w:sz w:val="22"/>
          <w:szCs w:val="22"/>
        </w:rPr>
        <w:t xml:space="preserve"> and B. Ramsey. </w:t>
      </w:r>
      <w:r w:rsidRPr="00A2564E">
        <w:rPr>
          <w:rStyle w:val="Emphasis"/>
          <w:rFonts w:ascii="Aptos" w:hAnsi="Aptos"/>
          <w:sz w:val="22"/>
          <w:szCs w:val="22"/>
        </w:rPr>
        <w:t>The Works of Saint Augustine: A Translation for the 21st Century</w:t>
      </w:r>
      <w:r w:rsidRPr="00A2564E">
        <w:rPr>
          <w:rFonts w:ascii="Aptos" w:hAnsi="Aptos"/>
          <w:sz w:val="22"/>
          <w:szCs w:val="22"/>
        </w:rPr>
        <w:t>, Part II, vols 1–4. Hyde Park, NY: New City Press.</w:t>
      </w:r>
    </w:p>
    <w:p w14:paraId="3CCE8EAC" w14:textId="7E93F4F8" w:rsidR="0005448A" w:rsidRPr="00A2564E" w:rsidRDefault="0005448A" w:rsidP="008C6766">
      <w:pPr>
        <w:pStyle w:val="NormalWeb"/>
        <w:rPr>
          <w:rFonts w:ascii="Aptos" w:hAnsi="Aptos"/>
          <w:sz w:val="22"/>
          <w:szCs w:val="22"/>
        </w:rPr>
      </w:pPr>
      <w:proofErr w:type="spellStart"/>
      <w:r w:rsidRPr="00A2564E">
        <w:rPr>
          <w:rFonts w:ascii="Aptos" w:hAnsi="Aptos"/>
          <w:sz w:val="22"/>
          <w:szCs w:val="22"/>
        </w:rPr>
        <w:t>B</w:t>
      </w:r>
      <w:r w:rsidRPr="00A2564E">
        <w:rPr>
          <w:rFonts w:ascii="Aptos" w:hAnsi="Aptos"/>
          <w:sz w:val="22"/>
          <w:szCs w:val="22"/>
        </w:rPr>
        <w:t>évenot</w:t>
      </w:r>
      <w:proofErr w:type="spellEnd"/>
      <w:r w:rsidRPr="00A2564E">
        <w:rPr>
          <w:rFonts w:ascii="Aptos" w:hAnsi="Aptos"/>
          <w:sz w:val="22"/>
          <w:szCs w:val="22"/>
        </w:rPr>
        <w:t xml:space="preserve">, M. ed. and trans. (1957) </w:t>
      </w:r>
      <w:r w:rsidRPr="00A2564E">
        <w:rPr>
          <w:rStyle w:val="Emphasis"/>
          <w:rFonts w:ascii="Aptos" w:hAnsi="Aptos"/>
          <w:sz w:val="22"/>
          <w:szCs w:val="22"/>
        </w:rPr>
        <w:t>The Lapsed; The Unity of the Catholic Church</w:t>
      </w:r>
      <w:r w:rsidRPr="00A2564E">
        <w:rPr>
          <w:rFonts w:ascii="Aptos" w:hAnsi="Aptos"/>
          <w:sz w:val="22"/>
          <w:szCs w:val="22"/>
        </w:rPr>
        <w:t>. Ancient Christian Writers 25. New York: Newman Press.</w:t>
      </w:r>
    </w:p>
    <w:p w14:paraId="29C96B4D" w14:textId="77777777" w:rsidR="008C6766" w:rsidRPr="00A2564E" w:rsidRDefault="008C6766" w:rsidP="008C6766">
      <w:pPr>
        <w:pStyle w:val="NormalWeb"/>
        <w:rPr>
          <w:rFonts w:ascii="Aptos" w:hAnsi="Aptos"/>
          <w:sz w:val="22"/>
          <w:szCs w:val="22"/>
        </w:rPr>
      </w:pPr>
      <w:r w:rsidRPr="00A2564E">
        <w:rPr>
          <w:rFonts w:ascii="Aptos" w:hAnsi="Aptos"/>
          <w:sz w:val="22"/>
          <w:szCs w:val="22"/>
        </w:rPr>
        <w:lastRenderedPageBreak/>
        <w:t xml:space="preserve">Blumell, L.H. and Wayment, T.A. (eds.) (2015) Christian Oxyrhynchus: Texts, Documents, and Sources. Waco, TX: Baylor University Press. </w:t>
      </w:r>
    </w:p>
    <w:p w14:paraId="2F263C12" w14:textId="77777777" w:rsidR="008C6766" w:rsidRPr="00A2564E" w:rsidRDefault="008C6766" w:rsidP="008C6766">
      <w:pPr>
        <w:pStyle w:val="NormalWeb"/>
        <w:rPr>
          <w:rFonts w:ascii="Aptos" w:hAnsi="Aptos"/>
          <w:sz w:val="22"/>
          <w:szCs w:val="22"/>
        </w:rPr>
      </w:pPr>
      <w:r w:rsidRPr="00A2564E">
        <w:rPr>
          <w:rFonts w:ascii="Aptos" w:hAnsi="Aptos"/>
          <w:sz w:val="22"/>
          <w:szCs w:val="22"/>
        </w:rPr>
        <w:t xml:space="preserve">Brown, P. (2000) Augustine of Hippo: A Biography. Revised </w:t>
      </w:r>
      <w:proofErr w:type="spellStart"/>
      <w:r w:rsidRPr="00A2564E">
        <w:rPr>
          <w:rFonts w:ascii="Aptos" w:hAnsi="Aptos"/>
          <w:sz w:val="22"/>
          <w:szCs w:val="22"/>
        </w:rPr>
        <w:t>edn</w:t>
      </w:r>
      <w:proofErr w:type="spellEnd"/>
      <w:r w:rsidRPr="00A2564E">
        <w:rPr>
          <w:rFonts w:ascii="Aptos" w:hAnsi="Aptos"/>
          <w:sz w:val="22"/>
          <w:szCs w:val="22"/>
        </w:rPr>
        <w:t xml:space="preserve"> with a new epilogue. Berkeley, CA: University of California Press. </w:t>
      </w:r>
    </w:p>
    <w:p w14:paraId="5A1D5EF4" w14:textId="2F8E9E51" w:rsidR="00E21012" w:rsidRPr="00A2564E" w:rsidRDefault="00E21012" w:rsidP="008C6766">
      <w:pPr>
        <w:pStyle w:val="NormalWeb"/>
        <w:rPr>
          <w:rFonts w:ascii="Aptos" w:hAnsi="Aptos"/>
          <w:sz w:val="22"/>
          <w:szCs w:val="22"/>
        </w:rPr>
      </w:pPr>
      <w:r w:rsidRPr="00A2564E">
        <w:rPr>
          <w:rFonts w:ascii="Aptos" w:hAnsi="Aptos"/>
          <w:sz w:val="22"/>
          <w:szCs w:val="22"/>
        </w:rPr>
        <w:t xml:space="preserve">Burns, J. P. and Jensen, R. M. (2014) </w:t>
      </w:r>
      <w:r w:rsidRPr="00A2564E">
        <w:rPr>
          <w:rStyle w:val="Emphasis"/>
          <w:rFonts w:ascii="Aptos" w:hAnsi="Aptos"/>
          <w:sz w:val="22"/>
          <w:szCs w:val="22"/>
        </w:rPr>
        <w:t>Christianity in Roman Africa: The Development of Its Practices and Beliefs</w:t>
      </w:r>
      <w:r w:rsidRPr="00A2564E">
        <w:rPr>
          <w:rFonts w:ascii="Aptos" w:hAnsi="Aptos"/>
          <w:sz w:val="22"/>
          <w:szCs w:val="22"/>
        </w:rPr>
        <w:t>. Grand Rapids, MI: Eerdmans.</w:t>
      </w:r>
    </w:p>
    <w:p w14:paraId="68DB42DF" w14:textId="77777777" w:rsidR="008C6766" w:rsidRPr="00A2564E" w:rsidRDefault="008C6766" w:rsidP="008C6766">
      <w:pPr>
        <w:pStyle w:val="NormalWeb"/>
        <w:rPr>
          <w:rFonts w:ascii="Aptos" w:hAnsi="Aptos"/>
          <w:sz w:val="22"/>
          <w:szCs w:val="22"/>
        </w:rPr>
      </w:pPr>
      <w:r w:rsidRPr="00A2564E">
        <w:rPr>
          <w:rFonts w:ascii="Aptos" w:hAnsi="Aptos"/>
          <w:sz w:val="22"/>
          <w:szCs w:val="22"/>
        </w:rPr>
        <w:t xml:space="preserve">Cameron, A. (2011) The Last Pagans of Rome. Oxford: Oxford University Press. </w:t>
      </w:r>
    </w:p>
    <w:p w14:paraId="3EA15807" w14:textId="77777777" w:rsidR="008C6766" w:rsidRPr="00A2564E" w:rsidRDefault="008C6766" w:rsidP="008C6766">
      <w:pPr>
        <w:pStyle w:val="NormalWeb"/>
        <w:rPr>
          <w:rFonts w:ascii="Aptos" w:hAnsi="Aptos"/>
          <w:sz w:val="22"/>
          <w:szCs w:val="22"/>
        </w:rPr>
      </w:pPr>
      <w:r w:rsidRPr="00A2564E">
        <w:rPr>
          <w:rFonts w:ascii="Aptos" w:hAnsi="Aptos"/>
          <w:sz w:val="22"/>
          <w:szCs w:val="22"/>
        </w:rPr>
        <w:t xml:space="preserve">Cameron, A. and Hall, S.G. (1999) ‘Introduction’. In: Eusebius, Life of Constantine. Oxford: Clarendon Press. </w:t>
      </w:r>
    </w:p>
    <w:p w14:paraId="447900A5" w14:textId="2CF634C2" w:rsidR="00A532AE" w:rsidRPr="00A2564E" w:rsidRDefault="00A532AE" w:rsidP="008C6766">
      <w:pPr>
        <w:pStyle w:val="NormalWeb"/>
        <w:rPr>
          <w:rFonts w:ascii="Aptos" w:hAnsi="Aptos"/>
          <w:sz w:val="22"/>
          <w:szCs w:val="22"/>
        </w:rPr>
      </w:pPr>
      <w:r w:rsidRPr="00A2564E">
        <w:rPr>
          <w:rFonts w:ascii="Aptos" w:hAnsi="Aptos"/>
          <w:sz w:val="22"/>
          <w:szCs w:val="22"/>
        </w:rPr>
        <w:t xml:space="preserve">Clarke, G. W. trans. (1984–1989) </w:t>
      </w:r>
      <w:r w:rsidRPr="00A2564E">
        <w:rPr>
          <w:rStyle w:val="Emphasis"/>
          <w:rFonts w:ascii="Aptos" w:hAnsi="Aptos"/>
          <w:sz w:val="22"/>
          <w:szCs w:val="22"/>
        </w:rPr>
        <w:t>The Letters of St. Cyprian of Carthage</w:t>
      </w:r>
      <w:r w:rsidRPr="00A2564E">
        <w:rPr>
          <w:rFonts w:ascii="Aptos" w:hAnsi="Aptos"/>
          <w:sz w:val="22"/>
          <w:szCs w:val="22"/>
        </w:rPr>
        <w:t>. 4 vols. Ancient Christian Writers 43–46. New York: Newman Press.</w:t>
      </w:r>
    </w:p>
    <w:p w14:paraId="4EBAD76A" w14:textId="77777777" w:rsidR="008C6766" w:rsidRPr="00A2564E" w:rsidRDefault="008C6766" w:rsidP="008C6766">
      <w:pPr>
        <w:pStyle w:val="NormalWeb"/>
        <w:rPr>
          <w:rFonts w:ascii="Aptos" w:hAnsi="Aptos"/>
          <w:sz w:val="22"/>
          <w:szCs w:val="22"/>
        </w:rPr>
      </w:pPr>
      <w:r w:rsidRPr="00A2564E">
        <w:rPr>
          <w:rFonts w:ascii="Aptos" w:hAnsi="Aptos"/>
          <w:sz w:val="22"/>
          <w:szCs w:val="22"/>
        </w:rPr>
        <w:t xml:space="preserve">Conant, J.P. (2022) ‘The Vandals’, in Hitchner, R.B. (ed.) A Companion to North Africa in Antiquity. Chichester: Wiley-Blackwell, pp. 375–390. </w:t>
      </w:r>
    </w:p>
    <w:p w14:paraId="70E6D34C" w14:textId="77777777" w:rsidR="008C6766" w:rsidRPr="00A2564E" w:rsidRDefault="008C6766" w:rsidP="008C6766">
      <w:pPr>
        <w:pStyle w:val="NormalWeb"/>
        <w:rPr>
          <w:rFonts w:ascii="Aptos" w:hAnsi="Aptos"/>
          <w:sz w:val="22"/>
          <w:szCs w:val="22"/>
        </w:rPr>
      </w:pPr>
      <w:r w:rsidRPr="00A2564E">
        <w:rPr>
          <w:rFonts w:ascii="Aptos" w:hAnsi="Aptos"/>
          <w:sz w:val="22"/>
          <w:szCs w:val="22"/>
        </w:rPr>
        <w:t xml:space="preserve">Cyprian (1984–1989) The Letters of St. Cyprian of Carthage. Translated and annotated by G.W. Clarke. 4 vols. New York: Newman Press. </w:t>
      </w:r>
    </w:p>
    <w:p w14:paraId="3A51125C" w14:textId="3093E5A7" w:rsidR="00E21012" w:rsidRPr="00A2564E" w:rsidRDefault="00E21012" w:rsidP="008C6766">
      <w:pPr>
        <w:pStyle w:val="NormalWeb"/>
        <w:rPr>
          <w:rFonts w:ascii="Aptos" w:hAnsi="Aptos"/>
          <w:sz w:val="22"/>
          <w:szCs w:val="22"/>
        </w:rPr>
      </w:pPr>
      <w:r w:rsidRPr="00A2564E">
        <w:rPr>
          <w:rFonts w:ascii="Aptos" w:hAnsi="Aptos"/>
          <w:sz w:val="22"/>
          <w:szCs w:val="22"/>
        </w:rPr>
        <w:t xml:space="preserve">Cyprian (2004) </w:t>
      </w:r>
      <w:r w:rsidRPr="00A2564E">
        <w:rPr>
          <w:rStyle w:val="Emphasis"/>
          <w:rFonts w:ascii="Aptos" w:hAnsi="Aptos"/>
          <w:sz w:val="22"/>
          <w:szCs w:val="22"/>
        </w:rPr>
        <w:t xml:space="preserve">Sententiae episcoporum </w:t>
      </w:r>
      <w:proofErr w:type="spellStart"/>
      <w:r w:rsidRPr="00A2564E">
        <w:rPr>
          <w:rStyle w:val="Emphasis"/>
          <w:rFonts w:ascii="Aptos" w:hAnsi="Aptos"/>
          <w:sz w:val="22"/>
          <w:szCs w:val="22"/>
        </w:rPr>
        <w:t>numero</w:t>
      </w:r>
      <w:proofErr w:type="spellEnd"/>
      <w:r w:rsidRPr="00A2564E">
        <w:rPr>
          <w:rStyle w:val="Emphasis"/>
          <w:rFonts w:ascii="Aptos" w:hAnsi="Aptos"/>
          <w:sz w:val="22"/>
          <w:szCs w:val="22"/>
        </w:rPr>
        <w:t xml:space="preserve"> LXXXVII de </w:t>
      </w:r>
      <w:proofErr w:type="spellStart"/>
      <w:r w:rsidRPr="00A2564E">
        <w:rPr>
          <w:rStyle w:val="Emphasis"/>
          <w:rFonts w:ascii="Aptos" w:hAnsi="Aptos"/>
          <w:sz w:val="22"/>
          <w:szCs w:val="22"/>
        </w:rPr>
        <w:t>haereticis</w:t>
      </w:r>
      <w:proofErr w:type="spellEnd"/>
      <w:r w:rsidRPr="00A2564E">
        <w:rPr>
          <w:rStyle w:val="Emphasis"/>
          <w:rFonts w:ascii="Aptos" w:hAnsi="Aptos"/>
          <w:sz w:val="22"/>
          <w:szCs w:val="22"/>
        </w:rPr>
        <w:t xml:space="preserve"> </w:t>
      </w:r>
      <w:proofErr w:type="spellStart"/>
      <w:r w:rsidRPr="00A2564E">
        <w:rPr>
          <w:rStyle w:val="Emphasis"/>
          <w:rFonts w:ascii="Aptos" w:hAnsi="Aptos"/>
          <w:sz w:val="22"/>
          <w:szCs w:val="22"/>
        </w:rPr>
        <w:t>baptizandis</w:t>
      </w:r>
      <w:proofErr w:type="spellEnd"/>
      <w:r w:rsidRPr="00A2564E">
        <w:rPr>
          <w:rFonts w:ascii="Aptos" w:hAnsi="Aptos"/>
          <w:sz w:val="22"/>
          <w:szCs w:val="22"/>
        </w:rPr>
        <w:t xml:space="preserve">. Edited by G. F. Diercks. Corpus </w:t>
      </w:r>
      <w:proofErr w:type="spellStart"/>
      <w:r w:rsidRPr="00A2564E">
        <w:rPr>
          <w:rFonts w:ascii="Aptos" w:hAnsi="Aptos"/>
          <w:sz w:val="22"/>
          <w:szCs w:val="22"/>
        </w:rPr>
        <w:t>Christianorum</w:t>
      </w:r>
      <w:proofErr w:type="spellEnd"/>
      <w:r w:rsidRPr="00A2564E">
        <w:rPr>
          <w:rFonts w:ascii="Aptos" w:hAnsi="Aptos"/>
          <w:sz w:val="22"/>
          <w:szCs w:val="22"/>
        </w:rPr>
        <w:t xml:space="preserve"> Series Latina 3E. Turnhout: </w:t>
      </w:r>
      <w:proofErr w:type="spellStart"/>
      <w:r w:rsidRPr="00A2564E">
        <w:rPr>
          <w:rFonts w:ascii="Aptos" w:hAnsi="Aptos"/>
          <w:sz w:val="22"/>
          <w:szCs w:val="22"/>
        </w:rPr>
        <w:t>Brepols</w:t>
      </w:r>
      <w:proofErr w:type="spellEnd"/>
      <w:r w:rsidRPr="00A2564E">
        <w:rPr>
          <w:rFonts w:ascii="Aptos" w:hAnsi="Aptos"/>
          <w:sz w:val="22"/>
          <w:szCs w:val="22"/>
        </w:rPr>
        <w:t>.</w:t>
      </w:r>
    </w:p>
    <w:p w14:paraId="3E8AAD11" w14:textId="77777777" w:rsidR="00C61E6D" w:rsidRPr="00A2564E" w:rsidRDefault="008C6766" w:rsidP="008C6766">
      <w:pPr>
        <w:pStyle w:val="NormalWeb"/>
        <w:rPr>
          <w:rFonts w:ascii="Aptos" w:hAnsi="Aptos"/>
          <w:sz w:val="22"/>
          <w:szCs w:val="22"/>
        </w:rPr>
      </w:pPr>
      <w:r w:rsidRPr="00A2564E">
        <w:rPr>
          <w:rFonts w:ascii="Aptos" w:hAnsi="Aptos"/>
          <w:sz w:val="22"/>
          <w:szCs w:val="22"/>
        </w:rPr>
        <w:t>Dijkstra, J.H.F. (2020) ‘Crowd Behaviour and the Destruction of the Serapeum at Alexandria in 391/392 CE’, in Dijkstra, J.H.F. and Raschle, C.R. (eds) Religious Violence in the Ancient World: From Classical Athens to Late Antiquity. Cambridge: Cambridge University Press, pp. 286–305.</w:t>
      </w:r>
    </w:p>
    <w:p w14:paraId="624509FC" w14:textId="5221C42A" w:rsidR="008C6766" w:rsidRPr="00A2564E" w:rsidRDefault="00C61E6D" w:rsidP="008C6766">
      <w:pPr>
        <w:pStyle w:val="NormalWeb"/>
        <w:rPr>
          <w:rFonts w:ascii="Aptos" w:hAnsi="Aptos"/>
          <w:sz w:val="22"/>
          <w:szCs w:val="22"/>
        </w:rPr>
      </w:pPr>
      <w:r w:rsidRPr="00A2564E">
        <w:rPr>
          <w:rFonts w:ascii="Aptos" w:hAnsi="Aptos"/>
          <w:sz w:val="22"/>
          <w:szCs w:val="22"/>
        </w:rPr>
        <w:t xml:space="preserve">Dolenz, H. (2001) </w:t>
      </w:r>
      <w:r w:rsidRPr="00A2564E">
        <w:rPr>
          <w:rStyle w:val="Emphasis"/>
          <w:rFonts w:ascii="Aptos" w:hAnsi="Aptos"/>
          <w:sz w:val="22"/>
          <w:szCs w:val="22"/>
        </w:rPr>
        <w:t xml:space="preserve">Damous-el-Karita: Die </w:t>
      </w:r>
      <w:proofErr w:type="spellStart"/>
      <w:r w:rsidRPr="00A2564E">
        <w:rPr>
          <w:rStyle w:val="Emphasis"/>
          <w:rFonts w:ascii="Aptos" w:hAnsi="Aptos"/>
          <w:sz w:val="22"/>
          <w:szCs w:val="22"/>
        </w:rPr>
        <w:t>österreichisch-tunesischen</w:t>
      </w:r>
      <w:proofErr w:type="spellEnd"/>
      <w:r w:rsidRPr="00A2564E">
        <w:rPr>
          <w:rStyle w:val="Emphasis"/>
          <w:rFonts w:ascii="Aptos" w:hAnsi="Aptos"/>
          <w:sz w:val="22"/>
          <w:szCs w:val="22"/>
        </w:rPr>
        <w:t xml:space="preserve"> </w:t>
      </w:r>
      <w:proofErr w:type="spellStart"/>
      <w:r w:rsidRPr="00A2564E">
        <w:rPr>
          <w:rStyle w:val="Emphasis"/>
          <w:rFonts w:ascii="Aptos" w:hAnsi="Aptos"/>
          <w:sz w:val="22"/>
          <w:szCs w:val="22"/>
        </w:rPr>
        <w:t>Ausgrabungen</w:t>
      </w:r>
      <w:proofErr w:type="spellEnd"/>
      <w:r w:rsidRPr="00A2564E">
        <w:rPr>
          <w:rStyle w:val="Emphasis"/>
          <w:rFonts w:ascii="Aptos" w:hAnsi="Aptos"/>
          <w:sz w:val="22"/>
          <w:szCs w:val="22"/>
        </w:rPr>
        <w:t xml:space="preserve"> der Jahre 1996 und 1997 </w:t>
      </w:r>
      <w:proofErr w:type="spellStart"/>
      <w:r w:rsidRPr="00A2564E">
        <w:rPr>
          <w:rStyle w:val="Emphasis"/>
          <w:rFonts w:ascii="Aptos" w:hAnsi="Aptos"/>
          <w:sz w:val="22"/>
          <w:szCs w:val="22"/>
        </w:rPr>
        <w:t>im</w:t>
      </w:r>
      <w:proofErr w:type="spellEnd"/>
      <w:r w:rsidRPr="00A2564E">
        <w:rPr>
          <w:rStyle w:val="Emphasis"/>
          <w:rFonts w:ascii="Aptos" w:hAnsi="Aptos"/>
          <w:sz w:val="22"/>
          <w:szCs w:val="22"/>
        </w:rPr>
        <w:t xml:space="preserve"> </w:t>
      </w:r>
      <w:proofErr w:type="spellStart"/>
      <w:r w:rsidRPr="00A2564E">
        <w:rPr>
          <w:rStyle w:val="Emphasis"/>
          <w:rFonts w:ascii="Aptos" w:hAnsi="Aptos"/>
          <w:sz w:val="22"/>
          <w:szCs w:val="22"/>
        </w:rPr>
        <w:t>Saalbau</w:t>
      </w:r>
      <w:proofErr w:type="spellEnd"/>
      <w:r w:rsidRPr="00A2564E">
        <w:rPr>
          <w:rStyle w:val="Emphasis"/>
          <w:rFonts w:ascii="Aptos" w:hAnsi="Aptos"/>
          <w:sz w:val="22"/>
          <w:szCs w:val="22"/>
        </w:rPr>
        <w:t xml:space="preserve"> und der Memoria des </w:t>
      </w:r>
      <w:proofErr w:type="spellStart"/>
      <w:r w:rsidRPr="00A2564E">
        <w:rPr>
          <w:rStyle w:val="Emphasis"/>
          <w:rFonts w:ascii="Aptos" w:hAnsi="Aptos"/>
          <w:sz w:val="22"/>
          <w:szCs w:val="22"/>
        </w:rPr>
        <w:t>Pilgerheiligtumes</w:t>
      </w:r>
      <w:proofErr w:type="spellEnd"/>
      <w:r w:rsidRPr="00A2564E">
        <w:rPr>
          <w:rStyle w:val="Emphasis"/>
          <w:rFonts w:ascii="Aptos" w:hAnsi="Aptos"/>
          <w:sz w:val="22"/>
          <w:szCs w:val="22"/>
        </w:rPr>
        <w:t xml:space="preserve"> Damous-el-Karita in </w:t>
      </w:r>
      <w:proofErr w:type="spellStart"/>
      <w:r w:rsidRPr="00A2564E">
        <w:rPr>
          <w:rStyle w:val="Emphasis"/>
          <w:rFonts w:ascii="Aptos" w:hAnsi="Aptos"/>
          <w:sz w:val="22"/>
          <w:szCs w:val="22"/>
        </w:rPr>
        <w:t>Karthago</w:t>
      </w:r>
      <w:proofErr w:type="spellEnd"/>
      <w:r w:rsidRPr="00A2564E">
        <w:rPr>
          <w:rFonts w:ascii="Aptos" w:hAnsi="Aptos"/>
          <w:sz w:val="22"/>
          <w:szCs w:val="22"/>
        </w:rPr>
        <w:t xml:space="preserve">. Vienna: </w:t>
      </w:r>
      <w:proofErr w:type="spellStart"/>
      <w:r w:rsidRPr="00A2564E">
        <w:rPr>
          <w:rFonts w:ascii="Aptos" w:hAnsi="Aptos"/>
          <w:sz w:val="22"/>
          <w:szCs w:val="22"/>
        </w:rPr>
        <w:t>Österreichisches</w:t>
      </w:r>
      <w:proofErr w:type="spellEnd"/>
      <w:r w:rsidRPr="00A2564E">
        <w:rPr>
          <w:rFonts w:ascii="Aptos" w:hAnsi="Aptos"/>
          <w:sz w:val="22"/>
          <w:szCs w:val="22"/>
        </w:rPr>
        <w:t xml:space="preserve"> </w:t>
      </w:r>
      <w:proofErr w:type="spellStart"/>
      <w:r w:rsidRPr="00A2564E">
        <w:rPr>
          <w:rFonts w:ascii="Aptos" w:hAnsi="Aptos"/>
          <w:sz w:val="22"/>
          <w:szCs w:val="22"/>
        </w:rPr>
        <w:t>Archäologisches</w:t>
      </w:r>
      <w:proofErr w:type="spellEnd"/>
      <w:r w:rsidRPr="00A2564E">
        <w:rPr>
          <w:rFonts w:ascii="Aptos" w:hAnsi="Aptos"/>
          <w:sz w:val="22"/>
          <w:szCs w:val="22"/>
        </w:rPr>
        <w:t xml:space="preserve"> </w:t>
      </w:r>
      <w:proofErr w:type="spellStart"/>
      <w:r w:rsidRPr="00A2564E">
        <w:rPr>
          <w:rFonts w:ascii="Aptos" w:hAnsi="Aptos"/>
          <w:sz w:val="22"/>
          <w:szCs w:val="22"/>
        </w:rPr>
        <w:t>Institut</w:t>
      </w:r>
      <w:proofErr w:type="spellEnd"/>
      <w:r w:rsidRPr="00A2564E">
        <w:rPr>
          <w:rFonts w:ascii="Aptos" w:hAnsi="Aptos"/>
          <w:sz w:val="22"/>
          <w:szCs w:val="22"/>
        </w:rPr>
        <w:t>.</w:t>
      </w:r>
      <w:r w:rsidR="008C6766" w:rsidRPr="00A2564E">
        <w:rPr>
          <w:rFonts w:ascii="Aptos" w:hAnsi="Aptos"/>
          <w:sz w:val="22"/>
          <w:szCs w:val="22"/>
        </w:rPr>
        <w:t xml:space="preserve"> </w:t>
      </w:r>
    </w:p>
    <w:p w14:paraId="78E59967" w14:textId="2065B6D5" w:rsidR="0005448A" w:rsidRPr="00A2564E" w:rsidRDefault="0005448A" w:rsidP="008C6766">
      <w:pPr>
        <w:pStyle w:val="NormalWeb"/>
        <w:rPr>
          <w:rFonts w:ascii="Aptos" w:hAnsi="Aptos"/>
          <w:sz w:val="22"/>
          <w:szCs w:val="22"/>
        </w:rPr>
      </w:pPr>
      <w:r w:rsidRPr="00A2564E">
        <w:rPr>
          <w:rFonts w:ascii="Aptos" w:hAnsi="Aptos"/>
          <w:sz w:val="22"/>
          <w:szCs w:val="22"/>
        </w:rPr>
        <w:t xml:space="preserve">Dunn, G.D. (2006) ‘Validity of Baptism and Ordination in the African Response to the “Rebaptism” Crisis: Cyprian of Carthage’s Synod of Spring 256’, </w:t>
      </w:r>
      <w:r w:rsidRPr="00A2564E">
        <w:rPr>
          <w:rStyle w:val="Emphasis"/>
          <w:rFonts w:ascii="Aptos" w:hAnsi="Aptos"/>
          <w:sz w:val="22"/>
          <w:szCs w:val="22"/>
        </w:rPr>
        <w:t>Theological Studies</w:t>
      </w:r>
      <w:r w:rsidRPr="00A2564E">
        <w:rPr>
          <w:rFonts w:ascii="Aptos" w:hAnsi="Aptos"/>
          <w:sz w:val="22"/>
          <w:szCs w:val="22"/>
        </w:rPr>
        <w:t>, 67(2), pp. 257–274.</w:t>
      </w:r>
    </w:p>
    <w:p w14:paraId="79BB0A98" w14:textId="6206A558" w:rsidR="002171B2" w:rsidRPr="00A2564E" w:rsidRDefault="002171B2" w:rsidP="008C6766">
      <w:pPr>
        <w:pStyle w:val="NormalWeb"/>
        <w:rPr>
          <w:rFonts w:ascii="Aptos" w:hAnsi="Aptos"/>
          <w:sz w:val="22"/>
          <w:szCs w:val="22"/>
        </w:rPr>
      </w:pPr>
      <w:r w:rsidRPr="00A2564E">
        <w:rPr>
          <w:rFonts w:ascii="Aptos" w:hAnsi="Aptos"/>
          <w:sz w:val="22"/>
          <w:szCs w:val="22"/>
        </w:rPr>
        <w:t xml:space="preserve">Encyclopaedia Britannica (2026) ‘Carthage’. </w:t>
      </w:r>
      <w:r w:rsidRPr="00A2564E">
        <w:rPr>
          <w:rStyle w:val="Emphasis"/>
          <w:rFonts w:ascii="Aptos" w:hAnsi="Aptos"/>
          <w:sz w:val="22"/>
          <w:szCs w:val="22"/>
        </w:rPr>
        <w:t>Encyclopaedia Britannica</w:t>
      </w:r>
      <w:r w:rsidRPr="00A2564E">
        <w:rPr>
          <w:rFonts w:ascii="Aptos" w:hAnsi="Aptos"/>
          <w:sz w:val="22"/>
          <w:szCs w:val="22"/>
        </w:rPr>
        <w:t xml:space="preserve">. Available at: Britannica. Accessed: </w:t>
      </w:r>
      <w:r w:rsidR="004261E0" w:rsidRPr="00A2564E">
        <w:rPr>
          <w:rFonts w:ascii="Aptos" w:hAnsi="Aptos"/>
          <w:sz w:val="22"/>
          <w:szCs w:val="22"/>
        </w:rPr>
        <w:t>29 April</w:t>
      </w:r>
      <w:r w:rsidRPr="00A2564E">
        <w:rPr>
          <w:rFonts w:ascii="Aptos" w:hAnsi="Aptos"/>
          <w:sz w:val="22"/>
          <w:szCs w:val="22"/>
        </w:rPr>
        <w:t xml:space="preserve"> 2026.</w:t>
      </w:r>
    </w:p>
    <w:p w14:paraId="4B37AC6B" w14:textId="7029570E" w:rsidR="00A2564E" w:rsidRPr="00A2564E" w:rsidRDefault="00A2564E" w:rsidP="008C6766">
      <w:pPr>
        <w:pStyle w:val="NormalWeb"/>
        <w:rPr>
          <w:rFonts w:ascii="Aptos" w:hAnsi="Aptos"/>
          <w:sz w:val="22"/>
          <w:szCs w:val="22"/>
        </w:rPr>
      </w:pPr>
      <w:r w:rsidRPr="00A2564E">
        <w:rPr>
          <w:rFonts w:ascii="Aptos" w:eastAsiaTheme="minorHAnsi" w:hAnsi="Aptos" w:cstheme="minorBidi"/>
          <w:kern w:val="2"/>
          <w:sz w:val="22"/>
          <w:szCs w:val="22"/>
          <w:lang w:eastAsia="en-US"/>
          <w14:ligatures w14:val="standardContextual"/>
        </w:rPr>
        <w:t xml:space="preserve">Encyclopaedia Britannica (2026) ‘St. Cyprian’. </w:t>
      </w:r>
      <w:r w:rsidRPr="00A2564E">
        <w:rPr>
          <w:rFonts w:ascii="Aptos" w:eastAsiaTheme="minorHAnsi" w:hAnsi="Aptos" w:cstheme="minorBidi"/>
          <w:i/>
          <w:iCs/>
          <w:kern w:val="2"/>
          <w:sz w:val="22"/>
          <w:szCs w:val="22"/>
          <w:lang w:eastAsia="en-US"/>
          <w14:ligatures w14:val="standardContextual"/>
        </w:rPr>
        <w:t>Encyclopaedia Britannica</w:t>
      </w:r>
      <w:r w:rsidRPr="00A2564E">
        <w:rPr>
          <w:rFonts w:ascii="Aptos" w:eastAsiaTheme="minorHAnsi" w:hAnsi="Aptos" w:cstheme="minorBidi"/>
          <w:kern w:val="2"/>
          <w:sz w:val="22"/>
          <w:szCs w:val="22"/>
          <w:lang w:eastAsia="en-US"/>
          <w14:ligatures w14:val="standardContextual"/>
        </w:rPr>
        <w:t xml:space="preserve">. Available at: </w:t>
      </w:r>
      <w:hyperlink r:id="rId7" w:tgtFrame="_new" w:history="1">
        <w:r w:rsidRPr="00A2564E">
          <w:rPr>
            <w:rFonts w:ascii="Aptos" w:eastAsiaTheme="minorHAnsi" w:hAnsi="Aptos" w:cstheme="minorBidi"/>
            <w:color w:val="0000FF"/>
            <w:kern w:val="2"/>
            <w:sz w:val="22"/>
            <w:szCs w:val="22"/>
            <w:u w:val="single"/>
            <w:lang w:eastAsia="en-US"/>
            <w14:ligatures w14:val="standardContextual"/>
          </w:rPr>
          <w:t>https://www.britannica.com/biography/Saint-Cyprian-Christian-bishop</w:t>
        </w:r>
      </w:hyperlink>
      <w:r w:rsidRPr="00A2564E">
        <w:rPr>
          <w:rFonts w:ascii="Aptos" w:eastAsiaTheme="minorHAnsi" w:hAnsi="Aptos" w:cstheme="minorBidi"/>
          <w:kern w:val="2"/>
          <w:sz w:val="22"/>
          <w:szCs w:val="22"/>
          <w:lang w:eastAsia="en-US"/>
          <w14:ligatures w14:val="standardContextual"/>
        </w:rPr>
        <w:t xml:space="preserve"> (Accessed: </w:t>
      </w:r>
      <w:r w:rsidR="001617CF">
        <w:rPr>
          <w:rFonts w:ascii="Aptos" w:eastAsiaTheme="minorHAnsi" w:hAnsi="Aptos" w:cstheme="minorBidi"/>
          <w:kern w:val="2"/>
          <w:sz w:val="22"/>
          <w:szCs w:val="22"/>
          <w:lang w:eastAsia="en-US"/>
          <w14:ligatures w14:val="standardContextual"/>
        </w:rPr>
        <w:t xml:space="preserve">29 April </w:t>
      </w:r>
      <w:r w:rsidRPr="00A2564E">
        <w:rPr>
          <w:rFonts w:ascii="Aptos" w:eastAsiaTheme="minorHAnsi" w:hAnsi="Aptos" w:cstheme="minorBidi"/>
          <w:kern w:val="2"/>
          <w:sz w:val="22"/>
          <w:szCs w:val="22"/>
          <w:lang w:eastAsia="en-US"/>
          <w14:ligatures w14:val="standardContextual"/>
        </w:rPr>
        <w:t>2026).</w:t>
      </w:r>
    </w:p>
    <w:p w14:paraId="41D6CE80" w14:textId="358D5696" w:rsidR="004261E0" w:rsidRPr="00A2564E" w:rsidRDefault="004261E0" w:rsidP="008C6766">
      <w:pPr>
        <w:pStyle w:val="NormalWeb"/>
        <w:rPr>
          <w:rFonts w:ascii="Aptos" w:hAnsi="Aptos"/>
          <w:sz w:val="22"/>
          <w:szCs w:val="22"/>
        </w:rPr>
      </w:pPr>
      <w:r w:rsidRPr="00A2564E">
        <w:rPr>
          <w:rFonts w:ascii="Aptos" w:hAnsi="Aptos"/>
          <w:sz w:val="22"/>
          <w:szCs w:val="22"/>
        </w:rPr>
        <w:t xml:space="preserve">Encyclopaedia Britannica (2026) ‘Tertullian’. </w:t>
      </w:r>
      <w:r w:rsidRPr="00A2564E">
        <w:rPr>
          <w:rStyle w:val="Emphasis"/>
          <w:rFonts w:ascii="Aptos" w:hAnsi="Aptos"/>
          <w:sz w:val="22"/>
          <w:szCs w:val="22"/>
        </w:rPr>
        <w:t>Encyclopaedia Britannica</w:t>
      </w:r>
      <w:r w:rsidRPr="00A2564E">
        <w:rPr>
          <w:rFonts w:ascii="Aptos" w:hAnsi="Aptos"/>
          <w:sz w:val="22"/>
          <w:szCs w:val="22"/>
        </w:rPr>
        <w:t xml:space="preserve">. Available at: </w:t>
      </w:r>
      <w:hyperlink r:id="rId8" w:tgtFrame="_new" w:history="1">
        <w:r w:rsidRPr="00A2564E">
          <w:rPr>
            <w:rStyle w:val="Hyperlink"/>
            <w:rFonts w:ascii="Aptos" w:hAnsi="Aptos"/>
            <w:sz w:val="22"/>
            <w:szCs w:val="22"/>
          </w:rPr>
          <w:t>https://www.britannica.com/biography/Tertullian</w:t>
        </w:r>
      </w:hyperlink>
      <w:r w:rsidRPr="00A2564E">
        <w:rPr>
          <w:rFonts w:ascii="Aptos" w:hAnsi="Aptos"/>
          <w:sz w:val="22"/>
          <w:szCs w:val="22"/>
        </w:rPr>
        <w:t xml:space="preserve"> (Accessed: </w:t>
      </w:r>
      <w:r w:rsidRPr="00A2564E">
        <w:rPr>
          <w:rFonts w:ascii="Aptos" w:hAnsi="Aptos"/>
          <w:sz w:val="22"/>
          <w:szCs w:val="22"/>
        </w:rPr>
        <w:t>30 April</w:t>
      </w:r>
      <w:r w:rsidRPr="00A2564E">
        <w:rPr>
          <w:rFonts w:ascii="Aptos" w:hAnsi="Aptos"/>
          <w:sz w:val="22"/>
          <w:szCs w:val="22"/>
        </w:rPr>
        <w:t xml:space="preserve"> 2026).</w:t>
      </w:r>
    </w:p>
    <w:p w14:paraId="0D9D00A9" w14:textId="77777777" w:rsidR="008C6766" w:rsidRPr="00A2564E" w:rsidRDefault="008C6766" w:rsidP="008C6766">
      <w:pPr>
        <w:pStyle w:val="NormalWeb"/>
        <w:rPr>
          <w:rFonts w:ascii="Aptos" w:hAnsi="Aptos"/>
          <w:sz w:val="22"/>
          <w:szCs w:val="22"/>
        </w:rPr>
      </w:pPr>
      <w:proofErr w:type="spellStart"/>
      <w:r w:rsidRPr="00A2564E">
        <w:rPr>
          <w:rFonts w:ascii="Aptos" w:hAnsi="Aptos"/>
          <w:sz w:val="22"/>
          <w:szCs w:val="22"/>
        </w:rPr>
        <w:t>Ennabli</w:t>
      </w:r>
      <w:proofErr w:type="spellEnd"/>
      <w:r w:rsidRPr="00A2564E">
        <w:rPr>
          <w:rFonts w:ascii="Aptos" w:hAnsi="Aptos"/>
          <w:sz w:val="22"/>
          <w:szCs w:val="22"/>
        </w:rPr>
        <w:t xml:space="preserve">, L. (1991) </w:t>
      </w:r>
      <w:proofErr w:type="gramStart"/>
      <w:r w:rsidRPr="00A2564E">
        <w:rPr>
          <w:rFonts w:ascii="Aptos" w:hAnsi="Aptos"/>
          <w:sz w:val="22"/>
          <w:szCs w:val="22"/>
        </w:rPr>
        <w:t>Les</w:t>
      </w:r>
      <w:proofErr w:type="gramEnd"/>
      <w:r w:rsidRPr="00A2564E">
        <w:rPr>
          <w:rFonts w:ascii="Aptos" w:hAnsi="Aptos"/>
          <w:sz w:val="22"/>
          <w:szCs w:val="22"/>
        </w:rPr>
        <w:t xml:space="preserve"> inscriptions </w:t>
      </w:r>
      <w:proofErr w:type="spellStart"/>
      <w:r w:rsidRPr="00A2564E">
        <w:rPr>
          <w:rFonts w:ascii="Aptos" w:hAnsi="Aptos"/>
          <w:sz w:val="22"/>
          <w:szCs w:val="22"/>
        </w:rPr>
        <w:t>funéraires</w:t>
      </w:r>
      <w:proofErr w:type="spellEnd"/>
      <w:r w:rsidRPr="00A2564E">
        <w:rPr>
          <w:rFonts w:ascii="Aptos" w:hAnsi="Aptos"/>
          <w:sz w:val="22"/>
          <w:szCs w:val="22"/>
        </w:rPr>
        <w:t xml:space="preserve"> </w:t>
      </w:r>
      <w:proofErr w:type="spellStart"/>
      <w:r w:rsidRPr="00A2564E">
        <w:rPr>
          <w:rFonts w:ascii="Aptos" w:hAnsi="Aptos"/>
          <w:sz w:val="22"/>
          <w:szCs w:val="22"/>
        </w:rPr>
        <w:t>chrétiennes</w:t>
      </w:r>
      <w:proofErr w:type="spellEnd"/>
      <w:r w:rsidRPr="00A2564E">
        <w:rPr>
          <w:rFonts w:ascii="Aptos" w:hAnsi="Aptos"/>
          <w:sz w:val="22"/>
          <w:szCs w:val="22"/>
        </w:rPr>
        <w:t xml:space="preserve"> de Carthage. III: Carthage intra et extra </w:t>
      </w:r>
      <w:proofErr w:type="spellStart"/>
      <w:r w:rsidRPr="00A2564E">
        <w:rPr>
          <w:rFonts w:ascii="Aptos" w:hAnsi="Aptos"/>
          <w:sz w:val="22"/>
          <w:szCs w:val="22"/>
        </w:rPr>
        <w:t>muros</w:t>
      </w:r>
      <w:proofErr w:type="spellEnd"/>
      <w:r w:rsidRPr="00A2564E">
        <w:rPr>
          <w:rFonts w:ascii="Aptos" w:hAnsi="Aptos"/>
          <w:sz w:val="22"/>
          <w:szCs w:val="22"/>
        </w:rPr>
        <w:t xml:space="preserve">. Rome: École française de Rome. </w:t>
      </w:r>
    </w:p>
    <w:p w14:paraId="5B2F0D63" w14:textId="77777777" w:rsidR="008C6766" w:rsidRPr="00A2564E" w:rsidRDefault="008C6766" w:rsidP="008C6766">
      <w:pPr>
        <w:pStyle w:val="NormalWeb"/>
        <w:rPr>
          <w:rFonts w:ascii="Aptos" w:hAnsi="Aptos"/>
          <w:sz w:val="22"/>
          <w:szCs w:val="22"/>
        </w:rPr>
      </w:pPr>
      <w:r w:rsidRPr="00A2564E">
        <w:rPr>
          <w:rFonts w:ascii="Aptos" w:hAnsi="Aptos"/>
          <w:sz w:val="22"/>
          <w:szCs w:val="22"/>
        </w:rPr>
        <w:lastRenderedPageBreak/>
        <w:t xml:space="preserve">Fenwick, C., </w:t>
      </w:r>
      <w:proofErr w:type="spellStart"/>
      <w:r w:rsidRPr="00A2564E">
        <w:rPr>
          <w:rFonts w:ascii="Aptos" w:hAnsi="Aptos"/>
          <w:sz w:val="22"/>
          <w:szCs w:val="22"/>
        </w:rPr>
        <w:t>Chaouali</w:t>
      </w:r>
      <w:proofErr w:type="spellEnd"/>
      <w:r w:rsidRPr="00A2564E">
        <w:rPr>
          <w:rFonts w:ascii="Aptos" w:hAnsi="Aptos"/>
          <w:sz w:val="22"/>
          <w:szCs w:val="22"/>
        </w:rPr>
        <w:t xml:space="preserve">, M., Alexander, M., Booms, D., Cox, S.L., Di Muro, A., </w:t>
      </w:r>
      <w:proofErr w:type="spellStart"/>
      <w:r w:rsidRPr="00A2564E">
        <w:rPr>
          <w:rFonts w:ascii="Aptos" w:hAnsi="Aptos"/>
          <w:sz w:val="22"/>
          <w:szCs w:val="22"/>
        </w:rPr>
        <w:t>Höpken</w:t>
      </w:r>
      <w:proofErr w:type="spellEnd"/>
      <w:r w:rsidRPr="00A2564E">
        <w:rPr>
          <w:rFonts w:ascii="Aptos" w:hAnsi="Aptos"/>
          <w:sz w:val="22"/>
          <w:szCs w:val="22"/>
        </w:rPr>
        <w:t xml:space="preserve">, C., Hopkinson, G., Möller, H., Nikita, E., Radini, A. and Ray, N. (2023) ‘Bulla Regia II: Excavations in the Christian cemetery’, Libyan Studies, 54, pp. 123–134. </w:t>
      </w:r>
    </w:p>
    <w:p w14:paraId="37217F6F" w14:textId="77777777" w:rsidR="008C6766" w:rsidRPr="00A2564E" w:rsidRDefault="008C6766" w:rsidP="008C6766">
      <w:pPr>
        <w:pStyle w:val="NormalWeb"/>
        <w:rPr>
          <w:rFonts w:ascii="Aptos" w:hAnsi="Aptos"/>
          <w:sz w:val="22"/>
          <w:szCs w:val="22"/>
        </w:rPr>
      </w:pPr>
      <w:r w:rsidRPr="00A2564E">
        <w:rPr>
          <w:rFonts w:ascii="Aptos" w:hAnsi="Aptos"/>
          <w:sz w:val="22"/>
          <w:szCs w:val="22"/>
        </w:rPr>
        <w:t xml:space="preserve">Fournier, É. (2017) ‘The Vandal Conquest of North Africa: The Origins of a Historiographical Persona’, The Journal of Ecclesiastical History. </w:t>
      </w:r>
    </w:p>
    <w:p w14:paraId="1B229174" w14:textId="77777777" w:rsidR="008C6766" w:rsidRPr="00A2564E" w:rsidRDefault="008C6766" w:rsidP="008C6766">
      <w:pPr>
        <w:pStyle w:val="NormalWeb"/>
        <w:rPr>
          <w:rFonts w:ascii="Aptos" w:hAnsi="Aptos"/>
          <w:sz w:val="22"/>
          <w:szCs w:val="22"/>
        </w:rPr>
      </w:pPr>
      <w:proofErr w:type="spellStart"/>
      <w:r w:rsidRPr="00A2564E">
        <w:rPr>
          <w:rFonts w:ascii="Aptos" w:hAnsi="Aptos"/>
          <w:sz w:val="22"/>
          <w:szCs w:val="22"/>
        </w:rPr>
        <w:t>Fowden</w:t>
      </w:r>
      <w:proofErr w:type="spellEnd"/>
      <w:r w:rsidRPr="00A2564E">
        <w:rPr>
          <w:rFonts w:ascii="Aptos" w:hAnsi="Aptos"/>
          <w:sz w:val="22"/>
          <w:szCs w:val="22"/>
        </w:rPr>
        <w:t xml:space="preserve">, G. (2019) ‘Alexandria between Antiquity and Islam: Commerce and concepts in First Millennium Afro-Eurasia’. Cambridge: University of Cambridge Repository. </w:t>
      </w:r>
    </w:p>
    <w:p w14:paraId="1832D799" w14:textId="77777777" w:rsidR="008C6766" w:rsidRPr="00A2564E" w:rsidRDefault="008C6766" w:rsidP="008C6766">
      <w:pPr>
        <w:pStyle w:val="NormalWeb"/>
        <w:rPr>
          <w:rFonts w:ascii="Aptos" w:hAnsi="Aptos"/>
          <w:sz w:val="22"/>
          <w:szCs w:val="22"/>
        </w:rPr>
      </w:pPr>
      <w:r w:rsidRPr="00A2564E">
        <w:rPr>
          <w:rFonts w:ascii="Aptos" w:hAnsi="Aptos"/>
          <w:sz w:val="22"/>
          <w:szCs w:val="22"/>
        </w:rPr>
        <w:t xml:space="preserve">Frankfurter, D. (2018) Christianizing Egypt: Syncretism and Local Worlds in Late Antiquity. Princeton, NJ: Princeton University Press. </w:t>
      </w:r>
    </w:p>
    <w:p w14:paraId="40F3299D" w14:textId="051C2CF7" w:rsidR="001110E1" w:rsidRPr="00A2564E" w:rsidRDefault="001110E1" w:rsidP="008C6766">
      <w:pPr>
        <w:pStyle w:val="NormalWeb"/>
        <w:rPr>
          <w:rFonts w:ascii="Aptos" w:hAnsi="Aptos"/>
          <w:sz w:val="22"/>
          <w:szCs w:val="22"/>
        </w:rPr>
      </w:pPr>
      <w:r w:rsidRPr="00A2564E">
        <w:rPr>
          <w:rFonts w:ascii="Aptos" w:hAnsi="Aptos"/>
          <w:sz w:val="22"/>
          <w:szCs w:val="22"/>
        </w:rPr>
        <w:t xml:space="preserve">Frend, W.H.C. (1952) </w:t>
      </w:r>
      <w:r w:rsidRPr="00A2564E">
        <w:rPr>
          <w:rStyle w:val="Emphasis"/>
          <w:rFonts w:ascii="Aptos" w:hAnsi="Aptos"/>
          <w:sz w:val="22"/>
          <w:szCs w:val="22"/>
        </w:rPr>
        <w:t>The Donatist Church: A Movement of Protest in Roman North Africa</w:t>
      </w:r>
      <w:r w:rsidRPr="00A2564E">
        <w:rPr>
          <w:rFonts w:ascii="Aptos" w:hAnsi="Aptos"/>
          <w:sz w:val="22"/>
          <w:szCs w:val="22"/>
        </w:rPr>
        <w:t>. Oxford: Clarendon Press.</w:t>
      </w:r>
    </w:p>
    <w:p w14:paraId="7185D4DB" w14:textId="77777777" w:rsidR="008C6766" w:rsidRPr="00A2564E" w:rsidRDefault="008C6766" w:rsidP="008C6766">
      <w:pPr>
        <w:pStyle w:val="NormalWeb"/>
        <w:rPr>
          <w:rFonts w:ascii="Aptos" w:hAnsi="Aptos"/>
          <w:sz w:val="22"/>
          <w:szCs w:val="22"/>
        </w:rPr>
      </w:pPr>
      <w:r w:rsidRPr="00A2564E">
        <w:rPr>
          <w:rFonts w:ascii="Aptos" w:hAnsi="Aptos"/>
          <w:sz w:val="22"/>
          <w:szCs w:val="22"/>
        </w:rPr>
        <w:t xml:space="preserve">Frend, W.H.C. (2025) ‘St. Cyprian’. Encyclopaedia Britannica. </w:t>
      </w:r>
    </w:p>
    <w:p w14:paraId="3643D251" w14:textId="77777777" w:rsidR="008C6766" w:rsidRPr="00A2564E" w:rsidRDefault="008C6766" w:rsidP="008C6766">
      <w:pPr>
        <w:pStyle w:val="NormalWeb"/>
        <w:rPr>
          <w:rFonts w:ascii="Aptos" w:hAnsi="Aptos"/>
          <w:sz w:val="22"/>
          <w:szCs w:val="22"/>
        </w:rPr>
      </w:pPr>
      <w:r w:rsidRPr="00A2564E">
        <w:rPr>
          <w:rFonts w:ascii="Aptos" w:hAnsi="Aptos"/>
          <w:sz w:val="22"/>
          <w:szCs w:val="22"/>
        </w:rPr>
        <w:t xml:space="preserve">Giovan do Nascimento, G. and Magalhães de Oliveira, J.C. (2021) ‘The conditions of communication of exiled clerics in Vandal Africa in the works of Victor of Vita and Fulgentius of </w:t>
      </w:r>
      <w:proofErr w:type="spellStart"/>
      <w:r w:rsidRPr="00A2564E">
        <w:rPr>
          <w:rFonts w:ascii="Aptos" w:hAnsi="Aptos"/>
          <w:sz w:val="22"/>
          <w:szCs w:val="22"/>
        </w:rPr>
        <w:t>Ruspe</w:t>
      </w:r>
      <w:proofErr w:type="spellEnd"/>
      <w:r w:rsidRPr="00A2564E">
        <w:rPr>
          <w:rFonts w:ascii="Aptos" w:hAnsi="Aptos"/>
          <w:sz w:val="22"/>
          <w:szCs w:val="22"/>
        </w:rPr>
        <w:t xml:space="preserve">’, Heródoto, 6(2), pp. 198–219. doi:10.34024/herodoto.2021.v6.13932. </w:t>
      </w:r>
    </w:p>
    <w:p w14:paraId="62E83189" w14:textId="77777777" w:rsidR="008C6766" w:rsidRPr="00A2564E" w:rsidRDefault="008C6766" w:rsidP="008C6766">
      <w:pPr>
        <w:pStyle w:val="NormalWeb"/>
        <w:rPr>
          <w:rFonts w:ascii="Aptos" w:hAnsi="Aptos"/>
          <w:sz w:val="22"/>
          <w:szCs w:val="22"/>
        </w:rPr>
      </w:pPr>
      <w:r w:rsidRPr="00A2564E">
        <w:rPr>
          <w:rFonts w:ascii="Aptos" w:hAnsi="Aptos"/>
          <w:sz w:val="22"/>
          <w:szCs w:val="22"/>
        </w:rPr>
        <w:t xml:space="preserve">González Salinero, R. (1996) ‘The anti-Judaism of </w:t>
      </w:r>
      <w:proofErr w:type="spellStart"/>
      <w:r w:rsidRPr="00A2564E">
        <w:rPr>
          <w:rFonts w:ascii="Aptos" w:hAnsi="Aptos"/>
          <w:sz w:val="22"/>
          <w:szCs w:val="22"/>
        </w:rPr>
        <w:t>Quodvultdeus</w:t>
      </w:r>
      <w:proofErr w:type="spellEnd"/>
      <w:r w:rsidRPr="00A2564E">
        <w:rPr>
          <w:rFonts w:ascii="Aptos" w:hAnsi="Aptos"/>
          <w:sz w:val="22"/>
          <w:szCs w:val="22"/>
        </w:rPr>
        <w:t xml:space="preserve"> in the Vandal and Catholic context of the 5th century in North Africa’, Revue des études </w:t>
      </w:r>
      <w:proofErr w:type="spellStart"/>
      <w:r w:rsidRPr="00A2564E">
        <w:rPr>
          <w:rFonts w:ascii="Aptos" w:hAnsi="Aptos"/>
          <w:sz w:val="22"/>
          <w:szCs w:val="22"/>
        </w:rPr>
        <w:t>juives</w:t>
      </w:r>
      <w:proofErr w:type="spellEnd"/>
      <w:r w:rsidRPr="00A2564E">
        <w:rPr>
          <w:rFonts w:ascii="Aptos" w:hAnsi="Aptos"/>
          <w:sz w:val="22"/>
          <w:szCs w:val="22"/>
        </w:rPr>
        <w:t xml:space="preserve">, 155(3–4), pp. 447–459. </w:t>
      </w:r>
    </w:p>
    <w:p w14:paraId="00C132E2" w14:textId="77777777" w:rsidR="008C6766" w:rsidRPr="00A2564E" w:rsidRDefault="008C6766" w:rsidP="008C6766">
      <w:pPr>
        <w:pStyle w:val="NormalWeb"/>
        <w:rPr>
          <w:rFonts w:ascii="Aptos" w:hAnsi="Aptos"/>
          <w:sz w:val="22"/>
          <w:szCs w:val="22"/>
        </w:rPr>
      </w:pPr>
      <w:r w:rsidRPr="00A2564E">
        <w:rPr>
          <w:rFonts w:ascii="Aptos" w:hAnsi="Aptos"/>
          <w:sz w:val="22"/>
          <w:szCs w:val="22"/>
        </w:rPr>
        <w:t xml:space="preserve">Grenfell, B.P. and Hunt, A.S. (1898) The Oxyrhynchus Papyri. Part I. London: Egypt Exploration Fund. </w:t>
      </w:r>
    </w:p>
    <w:p w14:paraId="0EC9C0FA" w14:textId="77777777" w:rsidR="008C6766" w:rsidRPr="00A2564E" w:rsidRDefault="008C6766" w:rsidP="008C6766">
      <w:pPr>
        <w:pStyle w:val="NormalWeb"/>
        <w:rPr>
          <w:rFonts w:ascii="Aptos" w:hAnsi="Aptos"/>
          <w:sz w:val="22"/>
          <w:szCs w:val="22"/>
        </w:rPr>
      </w:pPr>
      <w:r w:rsidRPr="00A2564E">
        <w:rPr>
          <w:rFonts w:ascii="Aptos" w:hAnsi="Aptos"/>
          <w:sz w:val="22"/>
          <w:szCs w:val="22"/>
        </w:rPr>
        <w:t xml:space="preserve">Haas, C. (1997) Alexandria in Late Antiquity: Topography and Social Conflict. Baltimore, MD: Johns Hopkins University Press. </w:t>
      </w:r>
    </w:p>
    <w:p w14:paraId="6CFCE520" w14:textId="77777777" w:rsidR="008C6766" w:rsidRPr="00A2564E" w:rsidRDefault="008C6766" w:rsidP="008C6766">
      <w:pPr>
        <w:pStyle w:val="NormalWeb"/>
        <w:rPr>
          <w:rFonts w:ascii="Aptos" w:hAnsi="Aptos"/>
          <w:sz w:val="22"/>
          <w:szCs w:val="22"/>
        </w:rPr>
      </w:pPr>
      <w:r w:rsidRPr="00A2564E">
        <w:rPr>
          <w:rFonts w:ascii="Aptos" w:hAnsi="Aptos"/>
          <w:sz w:val="22"/>
          <w:szCs w:val="22"/>
        </w:rPr>
        <w:t>Harries, J. (1999) Law and Empire in Late Antiquity. Cambridge: Cambridge University Press, pp. 191–211 (</w:t>
      </w:r>
      <w:proofErr w:type="spellStart"/>
      <w:r w:rsidRPr="00A2564E">
        <w:rPr>
          <w:rFonts w:ascii="Aptos" w:hAnsi="Aptos"/>
          <w:sz w:val="22"/>
          <w:szCs w:val="22"/>
        </w:rPr>
        <w:t>ch.</w:t>
      </w:r>
      <w:proofErr w:type="spellEnd"/>
      <w:r w:rsidRPr="00A2564E">
        <w:rPr>
          <w:rFonts w:ascii="Aptos" w:hAnsi="Aptos"/>
          <w:sz w:val="22"/>
          <w:szCs w:val="22"/>
        </w:rPr>
        <w:t xml:space="preserve"> ‘Dispute settlement II: </w:t>
      </w:r>
      <w:proofErr w:type="spellStart"/>
      <w:r w:rsidRPr="00A2564E">
        <w:rPr>
          <w:rFonts w:ascii="Aptos" w:hAnsi="Aptos"/>
          <w:sz w:val="22"/>
          <w:szCs w:val="22"/>
        </w:rPr>
        <w:t>episcopalis</w:t>
      </w:r>
      <w:proofErr w:type="spellEnd"/>
      <w:r w:rsidRPr="00A2564E">
        <w:rPr>
          <w:rFonts w:ascii="Aptos" w:hAnsi="Aptos"/>
          <w:sz w:val="22"/>
          <w:szCs w:val="22"/>
        </w:rPr>
        <w:t xml:space="preserve"> </w:t>
      </w:r>
      <w:proofErr w:type="spellStart"/>
      <w:r w:rsidRPr="00A2564E">
        <w:rPr>
          <w:rFonts w:ascii="Aptos" w:hAnsi="Aptos"/>
          <w:sz w:val="22"/>
          <w:szCs w:val="22"/>
        </w:rPr>
        <w:t>audientia</w:t>
      </w:r>
      <w:proofErr w:type="spellEnd"/>
      <w:r w:rsidRPr="00A2564E">
        <w:rPr>
          <w:rFonts w:ascii="Aptos" w:hAnsi="Aptos"/>
          <w:sz w:val="22"/>
          <w:szCs w:val="22"/>
        </w:rPr>
        <w:t xml:space="preserve">’). </w:t>
      </w:r>
    </w:p>
    <w:p w14:paraId="3CEEEBB5" w14:textId="77777777" w:rsidR="008C6766" w:rsidRPr="003A5DAF" w:rsidRDefault="008C6766" w:rsidP="008C6766">
      <w:pPr>
        <w:pStyle w:val="NormalWeb"/>
        <w:rPr>
          <w:rFonts w:ascii="Aptos" w:hAnsi="Aptos"/>
          <w:sz w:val="22"/>
          <w:szCs w:val="22"/>
        </w:rPr>
      </w:pPr>
      <w:r w:rsidRPr="003A5DAF">
        <w:rPr>
          <w:rFonts w:ascii="Aptos" w:hAnsi="Aptos"/>
          <w:sz w:val="22"/>
          <w:szCs w:val="22"/>
        </w:rPr>
        <w:t xml:space="preserve">Humfress, C. (2011) ‘Bishops and law courts in late antiquity: How (not) to make sense of the legal evidence’, Journal of Early Christian Studies, 19(3), pp. 375–400. </w:t>
      </w:r>
    </w:p>
    <w:p w14:paraId="34D55034" w14:textId="77777777" w:rsidR="008C6766" w:rsidRPr="003A5DAF" w:rsidRDefault="008C6766" w:rsidP="008C6766">
      <w:pPr>
        <w:pStyle w:val="NormalWeb"/>
        <w:rPr>
          <w:rFonts w:ascii="Aptos" w:hAnsi="Aptos"/>
          <w:sz w:val="22"/>
          <w:szCs w:val="22"/>
        </w:rPr>
      </w:pPr>
      <w:r w:rsidRPr="003A5DAF">
        <w:rPr>
          <w:rFonts w:ascii="Aptos" w:hAnsi="Aptos"/>
          <w:sz w:val="22"/>
          <w:szCs w:val="22"/>
        </w:rPr>
        <w:t xml:space="preserve">Hunt, P. (2026) ‘Carthage’, Encyclopaedia Britannica. Available at: https://www.britannica.com/place/Carthage-ancient-city-Tunisia (Accessed: 17 April 2026). </w:t>
      </w:r>
    </w:p>
    <w:p w14:paraId="76729F5F" w14:textId="77777777" w:rsidR="008C6766" w:rsidRPr="003A5DAF" w:rsidRDefault="008C6766" w:rsidP="008C6766">
      <w:pPr>
        <w:pStyle w:val="NormalWeb"/>
        <w:rPr>
          <w:rFonts w:ascii="Aptos" w:hAnsi="Aptos"/>
          <w:sz w:val="22"/>
          <w:szCs w:val="22"/>
        </w:rPr>
      </w:pPr>
      <w:proofErr w:type="spellStart"/>
      <w:r w:rsidRPr="003A5DAF">
        <w:rPr>
          <w:rFonts w:ascii="Aptos" w:hAnsi="Aptos"/>
          <w:sz w:val="22"/>
          <w:szCs w:val="22"/>
        </w:rPr>
        <w:t>Hydatius</w:t>
      </w:r>
      <w:proofErr w:type="spellEnd"/>
      <w:r w:rsidRPr="003A5DAF">
        <w:rPr>
          <w:rFonts w:ascii="Aptos" w:hAnsi="Aptos"/>
          <w:sz w:val="22"/>
          <w:szCs w:val="22"/>
        </w:rPr>
        <w:t xml:space="preserve"> (1993) The Chronicle of </w:t>
      </w:r>
      <w:proofErr w:type="spellStart"/>
      <w:r w:rsidRPr="003A5DAF">
        <w:rPr>
          <w:rFonts w:ascii="Aptos" w:hAnsi="Aptos"/>
          <w:sz w:val="22"/>
          <w:szCs w:val="22"/>
        </w:rPr>
        <w:t>Hydatius</w:t>
      </w:r>
      <w:proofErr w:type="spellEnd"/>
      <w:r w:rsidRPr="003A5DAF">
        <w:rPr>
          <w:rFonts w:ascii="Aptos" w:hAnsi="Aptos"/>
          <w:sz w:val="22"/>
          <w:szCs w:val="22"/>
        </w:rPr>
        <w:t xml:space="preserve"> and the </w:t>
      </w:r>
      <w:proofErr w:type="spellStart"/>
      <w:r w:rsidRPr="003A5DAF">
        <w:rPr>
          <w:rFonts w:ascii="Aptos" w:hAnsi="Aptos"/>
          <w:sz w:val="22"/>
          <w:szCs w:val="22"/>
        </w:rPr>
        <w:t>Consularia</w:t>
      </w:r>
      <w:proofErr w:type="spellEnd"/>
      <w:r w:rsidRPr="003A5DAF">
        <w:rPr>
          <w:rFonts w:ascii="Aptos" w:hAnsi="Aptos"/>
          <w:sz w:val="22"/>
          <w:szCs w:val="22"/>
        </w:rPr>
        <w:t xml:space="preserve"> </w:t>
      </w:r>
      <w:proofErr w:type="spellStart"/>
      <w:r w:rsidRPr="003A5DAF">
        <w:rPr>
          <w:rFonts w:ascii="Aptos" w:hAnsi="Aptos"/>
          <w:sz w:val="22"/>
          <w:szCs w:val="22"/>
        </w:rPr>
        <w:t>Constantinopolitana</w:t>
      </w:r>
      <w:proofErr w:type="spellEnd"/>
      <w:r w:rsidRPr="003A5DAF">
        <w:rPr>
          <w:rFonts w:ascii="Aptos" w:hAnsi="Aptos"/>
          <w:sz w:val="22"/>
          <w:szCs w:val="22"/>
        </w:rPr>
        <w:t xml:space="preserve">: Two Contemporary Accounts of the Final Years of the Roman Empire. Edited and translated by R.W. Burgess. Oxford: Clarendon Press. </w:t>
      </w:r>
    </w:p>
    <w:p w14:paraId="26590077" w14:textId="77777777" w:rsidR="008C6766" w:rsidRPr="003A5DAF" w:rsidRDefault="008C6766" w:rsidP="008C6766">
      <w:pPr>
        <w:pStyle w:val="NormalWeb"/>
        <w:rPr>
          <w:rFonts w:ascii="Aptos" w:hAnsi="Aptos"/>
          <w:sz w:val="22"/>
          <w:szCs w:val="22"/>
        </w:rPr>
      </w:pPr>
      <w:r w:rsidRPr="003A5DAF">
        <w:rPr>
          <w:rFonts w:ascii="Aptos" w:hAnsi="Aptos"/>
          <w:sz w:val="22"/>
          <w:szCs w:val="22"/>
        </w:rPr>
        <w:t xml:space="preserve">Lane Fox, R. (1986) Pagans and Christians. London: Viking. </w:t>
      </w:r>
    </w:p>
    <w:p w14:paraId="3F739FEF" w14:textId="77777777" w:rsidR="008C6766" w:rsidRPr="003A5DAF" w:rsidRDefault="008C6766" w:rsidP="008C6766">
      <w:pPr>
        <w:pStyle w:val="NormalWeb"/>
        <w:rPr>
          <w:rFonts w:ascii="Aptos" w:hAnsi="Aptos"/>
          <w:sz w:val="22"/>
          <w:szCs w:val="22"/>
        </w:rPr>
      </w:pPr>
      <w:r w:rsidRPr="003A5DAF">
        <w:rPr>
          <w:rFonts w:ascii="Aptos" w:hAnsi="Aptos"/>
          <w:sz w:val="22"/>
          <w:szCs w:val="22"/>
        </w:rPr>
        <w:t xml:space="preserve">Leone, A. (2013) The End of the Pagan City: Religion, Economy, and Urbanism in Late Antique North Africa. Oxford: Oxford University Press. </w:t>
      </w:r>
    </w:p>
    <w:p w14:paraId="51CB7155" w14:textId="77777777" w:rsidR="008C6766" w:rsidRPr="003A5DAF" w:rsidRDefault="008C6766" w:rsidP="008C6766">
      <w:pPr>
        <w:pStyle w:val="NormalWeb"/>
        <w:rPr>
          <w:rFonts w:ascii="Aptos" w:hAnsi="Aptos"/>
          <w:sz w:val="22"/>
          <w:szCs w:val="22"/>
        </w:rPr>
      </w:pPr>
      <w:proofErr w:type="spellStart"/>
      <w:r w:rsidRPr="003A5DAF">
        <w:rPr>
          <w:rFonts w:ascii="Aptos" w:hAnsi="Aptos"/>
          <w:sz w:val="22"/>
          <w:szCs w:val="22"/>
        </w:rPr>
        <w:t>Luijendijk</w:t>
      </w:r>
      <w:proofErr w:type="spellEnd"/>
      <w:r w:rsidRPr="003A5DAF">
        <w:rPr>
          <w:rFonts w:ascii="Aptos" w:hAnsi="Aptos"/>
          <w:sz w:val="22"/>
          <w:szCs w:val="22"/>
        </w:rPr>
        <w:t xml:space="preserve">, A. (2008) ‘Papyri from the Great Persecution: Roman and Christian Perspectives’, Journal of Early Christian Studies, 16(3), pp. 341–369. </w:t>
      </w:r>
      <w:proofErr w:type="spellStart"/>
      <w:r w:rsidRPr="003A5DAF">
        <w:rPr>
          <w:rFonts w:ascii="Aptos" w:hAnsi="Aptos"/>
          <w:sz w:val="22"/>
          <w:szCs w:val="22"/>
        </w:rPr>
        <w:t>doi</w:t>
      </w:r>
      <w:proofErr w:type="spellEnd"/>
      <w:r w:rsidRPr="003A5DAF">
        <w:rPr>
          <w:rFonts w:ascii="Aptos" w:hAnsi="Aptos"/>
          <w:sz w:val="22"/>
          <w:szCs w:val="22"/>
        </w:rPr>
        <w:t xml:space="preserve">: 10.1353/earl.0.0183. </w:t>
      </w:r>
    </w:p>
    <w:p w14:paraId="04C7BE19" w14:textId="77777777" w:rsidR="008C6766" w:rsidRPr="003A5DAF" w:rsidRDefault="008C6766" w:rsidP="008C6766">
      <w:pPr>
        <w:pStyle w:val="NormalWeb"/>
        <w:rPr>
          <w:rFonts w:ascii="Aptos" w:hAnsi="Aptos"/>
          <w:sz w:val="22"/>
          <w:szCs w:val="22"/>
        </w:rPr>
      </w:pPr>
      <w:r w:rsidRPr="003A5DAF">
        <w:rPr>
          <w:rFonts w:ascii="Aptos" w:hAnsi="Aptos"/>
          <w:sz w:val="22"/>
          <w:szCs w:val="22"/>
        </w:rPr>
        <w:lastRenderedPageBreak/>
        <w:t xml:space="preserve">MacMullen, R. (1984) Christianizing the Roman Empire (A.D. 100–400). New Haven, CT: Yale University Press. </w:t>
      </w:r>
    </w:p>
    <w:p w14:paraId="7DD46DFD" w14:textId="77777777" w:rsidR="008C6766" w:rsidRPr="003A5DAF" w:rsidRDefault="008C6766" w:rsidP="008C6766">
      <w:pPr>
        <w:pStyle w:val="NormalWeb"/>
        <w:rPr>
          <w:rFonts w:ascii="Aptos" w:hAnsi="Aptos"/>
          <w:sz w:val="22"/>
          <w:szCs w:val="22"/>
        </w:rPr>
      </w:pPr>
      <w:r w:rsidRPr="003A5DAF">
        <w:rPr>
          <w:rFonts w:ascii="Aptos" w:hAnsi="Aptos"/>
          <w:sz w:val="22"/>
          <w:szCs w:val="22"/>
        </w:rPr>
        <w:t xml:space="preserve">Maier, H.O. (2025) ‘Clement of Alexandria’, Oxford Research </w:t>
      </w:r>
      <w:proofErr w:type="spellStart"/>
      <w:r w:rsidRPr="003A5DAF">
        <w:rPr>
          <w:rFonts w:ascii="Aptos" w:hAnsi="Aptos"/>
          <w:sz w:val="22"/>
          <w:szCs w:val="22"/>
        </w:rPr>
        <w:t>Encyclopedia</w:t>
      </w:r>
      <w:proofErr w:type="spellEnd"/>
      <w:r w:rsidRPr="003A5DAF">
        <w:rPr>
          <w:rFonts w:ascii="Aptos" w:hAnsi="Aptos"/>
          <w:sz w:val="22"/>
          <w:szCs w:val="22"/>
        </w:rPr>
        <w:t xml:space="preserve"> of Religion. Oxford: Oxford University Press. </w:t>
      </w:r>
    </w:p>
    <w:p w14:paraId="598C89DB" w14:textId="77777777" w:rsidR="008C6766" w:rsidRPr="003A5DAF" w:rsidRDefault="008C6766" w:rsidP="008C6766">
      <w:pPr>
        <w:pStyle w:val="NormalWeb"/>
        <w:rPr>
          <w:rFonts w:ascii="Aptos" w:hAnsi="Aptos"/>
          <w:sz w:val="22"/>
          <w:szCs w:val="22"/>
        </w:rPr>
      </w:pPr>
      <w:r w:rsidRPr="003A5DAF">
        <w:rPr>
          <w:rFonts w:ascii="Aptos" w:hAnsi="Aptos"/>
          <w:sz w:val="22"/>
          <w:szCs w:val="22"/>
        </w:rPr>
        <w:t xml:space="preserve">Markus, R.A. (1990) The End of Ancient Christianity. Cambridge: Cambridge University Press. </w:t>
      </w:r>
    </w:p>
    <w:p w14:paraId="7F9175A4" w14:textId="77777777" w:rsidR="008C6766" w:rsidRPr="003A5DAF" w:rsidRDefault="008C6766" w:rsidP="008C6766">
      <w:pPr>
        <w:pStyle w:val="NormalWeb"/>
        <w:rPr>
          <w:rFonts w:ascii="Aptos" w:hAnsi="Aptos"/>
          <w:sz w:val="22"/>
          <w:szCs w:val="22"/>
        </w:rPr>
      </w:pPr>
      <w:r w:rsidRPr="003A5DAF">
        <w:rPr>
          <w:rFonts w:ascii="Aptos" w:hAnsi="Aptos"/>
          <w:sz w:val="22"/>
          <w:szCs w:val="22"/>
        </w:rPr>
        <w:t xml:space="preserve">Mawdsley, E. (2018) The Barbarians Are Coming! A Response to the Migration Period in the North African Provinces, 400–700 AD. PhD thesis. University of Leeds. </w:t>
      </w:r>
    </w:p>
    <w:p w14:paraId="55154A95" w14:textId="043A6DFD" w:rsidR="003A5DAF" w:rsidRDefault="003A5DAF" w:rsidP="008C6766">
      <w:pPr>
        <w:pStyle w:val="NormalWeb"/>
        <w:rPr>
          <w:rFonts w:ascii="Aptos" w:hAnsi="Aptos"/>
          <w:sz w:val="22"/>
          <w:szCs w:val="22"/>
        </w:rPr>
      </w:pPr>
      <w:r w:rsidRPr="003A5DAF">
        <w:rPr>
          <w:rFonts w:ascii="Aptos" w:hAnsi="Aptos"/>
          <w:sz w:val="22"/>
          <w:szCs w:val="22"/>
        </w:rPr>
        <w:t xml:space="preserve">Merdinger, J. E. (1997) </w:t>
      </w:r>
      <w:r w:rsidRPr="003A5DAF">
        <w:rPr>
          <w:rStyle w:val="Emphasis"/>
          <w:rFonts w:ascii="Aptos" w:hAnsi="Aptos"/>
          <w:sz w:val="22"/>
          <w:szCs w:val="22"/>
        </w:rPr>
        <w:t>Rome and the African Church in the Time of Augustine</w:t>
      </w:r>
      <w:r w:rsidRPr="003A5DAF">
        <w:rPr>
          <w:rFonts w:ascii="Aptos" w:hAnsi="Aptos"/>
          <w:sz w:val="22"/>
          <w:szCs w:val="22"/>
        </w:rPr>
        <w:t>. New Haven: Yale University Press.</w:t>
      </w:r>
    </w:p>
    <w:p w14:paraId="0845A977" w14:textId="4EE0E853" w:rsidR="00E46C4E" w:rsidRPr="00E46C4E" w:rsidRDefault="00E46C4E" w:rsidP="008C6766">
      <w:pPr>
        <w:pStyle w:val="NormalWeb"/>
        <w:rPr>
          <w:rFonts w:ascii="Aptos" w:hAnsi="Aptos"/>
          <w:sz w:val="21"/>
          <w:szCs w:val="21"/>
        </w:rPr>
      </w:pPr>
      <w:r w:rsidRPr="00E46C4E">
        <w:rPr>
          <w:rFonts w:ascii="Aptos" w:hAnsi="Aptos"/>
          <w:sz w:val="22"/>
          <w:szCs w:val="22"/>
        </w:rPr>
        <w:t xml:space="preserve">Merrills, A.H. and Miles, R. (2010) </w:t>
      </w:r>
      <w:r w:rsidRPr="00E46C4E">
        <w:rPr>
          <w:rStyle w:val="Emphasis"/>
          <w:rFonts w:ascii="Aptos" w:hAnsi="Aptos"/>
          <w:sz w:val="22"/>
          <w:szCs w:val="22"/>
        </w:rPr>
        <w:t>The Vandals</w:t>
      </w:r>
      <w:r w:rsidRPr="00E46C4E">
        <w:rPr>
          <w:rFonts w:ascii="Aptos" w:hAnsi="Aptos"/>
          <w:sz w:val="22"/>
          <w:szCs w:val="22"/>
        </w:rPr>
        <w:t>. Chichester: Wiley-Blackwell.</w:t>
      </w:r>
    </w:p>
    <w:p w14:paraId="5ABAA23A" w14:textId="6F3FE3AF" w:rsidR="003A5DAF" w:rsidRPr="003A5DAF" w:rsidRDefault="003A5DAF" w:rsidP="008C6766">
      <w:pPr>
        <w:pStyle w:val="NormalWeb"/>
        <w:rPr>
          <w:rFonts w:ascii="Aptos" w:hAnsi="Aptos"/>
          <w:sz w:val="22"/>
          <w:szCs w:val="22"/>
        </w:rPr>
      </w:pPr>
      <w:r w:rsidRPr="003A5DAF">
        <w:rPr>
          <w:rFonts w:ascii="Aptos" w:hAnsi="Aptos"/>
          <w:sz w:val="22"/>
          <w:szCs w:val="22"/>
        </w:rPr>
        <w:t xml:space="preserve">Munier, C. ed. (1974) </w:t>
      </w:r>
      <w:proofErr w:type="spellStart"/>
      <w:r w:rsidRPr="003A5DAF">
        <w:rPr>
          <w:rStyle w:val="Emphasis"/>
          <w:rFonts w:ascii="Aptos" w:hAnsi="Aptos"/>
          <w:sz w:val="22"/>
          <w:szCs w:val="22"/>
        </w:rPr>
        <w:t>Concilia</w:t>
      </w:r>
      <w:proofErr w:type="spellEnd"/>
      <w:r w:rsidRPr="003A5DAF">
        <w:rPr>
          <w:rStyle w:val="Emphasis"/>
          <w:rFonts w:ascii="Aptos" w:hAnsi="Aptos"/>
          <w:sz w:val="22"/>
          <w:szCs w:val="22"/>
        </w:rPr>
        <w:t xml:space="preserve"> Africae A. 345–A. 525</w:t>
      </w:r>
      <w:r w:rsidRPr="003A5DAF">
        <w:rPr>
          <w:rFonts w:ascii="Aptos" w:hAnsi="Aptos"/>
          <w:sz w:val="22"/>
          <w:szCs w:val="22"/>
        </w:rPr>
        <w:t xml:space="preserve">. Corpus </w:t>
      </w:r>
      <w:proofErr w:type="spellStart"/>
      <w:r w:rsidRPr="003A5DAF">
        <w:rPr>
          <w:rFonts w:ascii="Aptos" w:hAnsi="Aptos"/>
          <w:sz w:val="22"/>
          <w:szCs w:val="22"/>
        </w:rPr>
        <w:t>Christianorum</w:t>
      </w:r>
      <w:proofErr w:type="spellEnd"/>
      <w:r w:rsidRPr="003A5DAF">
        <w:rPr>
          <w:rFonts w:ascii="Aptos" w:hAnsi="Aptos"/>
          <w:sz w:val="22"/>
          <w:szCs w:val="22"/>
        </w:rPr>
        <w:t xml:space="preserve"> Series Latina 149. Turnhout: </w:t>
      </w:r>
      <w:proofErr w:type="spellStart"/>
      <w:r w:rsidRPr="003A5DAF">
        <w:rPr>
          <w:rFonts w:ascii="Aptos" w:hAnsi="Aptos"/>
          <w:sz w:val="22"/>
          <w:szCs w:val="22"/>
        </w:rPr>
        <w:t>Brepols</w:t>
      </w:r>
      <w:proofErr w:type="spellEnd"/>
      <w:r w:rsidRPr="003A5DAF">
        <w:rPr>
          <w:rFonts w:ascii="Aptos" w:hAnsi="Aptos"/>
          <w:sz w:val="22"/>
          <w:szCs w:val="22"/>
        </w:rPr>
        <w:t>.</w:t>
      </w:r>
    </w:p>
    <w:p w14:paraId="0A5B01AD" w14:textId="77777777" w:rsidR="008C6766" w:rsidRPr="003A5DAF" w:rsidRDefault="008C6766" w:rsidP="008C6766">
      <w:pPr>
        <w:pStyle w:val="NormalWeb"/>
        <w:rPr>
          <w:rFonts w:ascii="Aptos" w:hAnsi="Aptos"/>
          <w:sz w:val="22"/>
          <w:szCs w:val="22"/>
        </w:rPr>
      </w:pPr>
      <w:r w:rsidRPr="003A5DAF">
        <w:rPr>
          <w:rFonts w:ascii="Aptos" w:hAnsi="Aptos"/>
          <w:sz w:val="22"/>
          <w:szCs w:val="22"/>
        </w:rPr>
        <w:t xml:space="preserve">Musurillo, H. (ed. and trans.) (1972) The Acts of the Christian Martyrs. Oxford: Clarendon Press. </w:t>
      </w:r>
    </w:p>
    <w:p w14:paraId="605C0F4E" w14:textId="77777777" w:rsidR="008C6766" w:rsidRDefault="008C6766" w:rsidP="008C6766">
      <w:pPr>
        <w:pStyle w:val="NormalWeb"/>
        <w:rPr>
          <w:rFonts w:ascii="Aptos" w:hAnsi="Aptos"/>
          <w:sz w:val="22"/>
          <w:szCs w:val="22"/>
        </w:rPr>
      </w:pPr>
      <w:r w:rsidRPr="003A5DAF">
        <w:rPr>
          <w:rFonts w:ascii="Aptos" w:hAnsi="Aptos"/>
          <w:sz w:val="22"/>
          <w:szCs w:val="22"/>
        </w:rPr>
        <w:t xml:space="preserve">Price, S. (2012) ‘Religious mobility in the Roman Empire’, The Journal of Roman Studies, 102, pp. 1–19. </w:t>
      </w:r>
    </w:p>
    <w:p w14:paraId="04CDEB72" w14:textId="33439372" w:rsidR="002171B2" w:rsidRPr="002171B2" w:rsidRDefault="002171B2" w:rsidP="008C6766">
      <w:pPr>
        <w:pStyle w:val="NormalWeb"/>
        <w:rPr>
          <w:rFonts w:ascii="Aptos" w:hAnsi="Aptos"/>
          <w:sz w:val="22"/>
          <w:szCs w:val="22"/>
        </w:rPr>
      </w:pPr>
      <w:r w:rsidRPr="002171B2">
        <w:rPr>
          <w:rFonts w:ascii="Aptos" w:hAnsi="Aptos"/>
          <w:sz w:val="22"/>
          <w:szCs w:val="22"/>
        </w:rPr>
        <w:t xml:space="preserve">Rives, J.B. (1995) </w:t>
      </w:r>
      <w:r w:rsidRPr="002171B2">
        <w:rPr>
          <w:rStyle w:val="Emphasis"/>
          <w:rFonts w:ascii="Aptos" w:hAnsi="Aptos"/>
          <w:sz w:val="22"/>
          <w:szCs w:val="22"/>
        </w:rPr>
        <w:t>Religion and Authority in Roman Carthage from Augustus to Constantine</w:t>
      </w:r>
      <w:r w:rsidRPr="002171B2">
        <w:rPr>
          <w:rFonts w:ascii="Aptos" w:hAnsi="Aptos"/>
          <w:sz w:val="22"/>
          <w:szCs w:val="22"/>
        </w:rPr>
        <w:t>. Oxford: Clarendon Press.</w:t>
      </w:r>
    </w:p>
    <w:p w14:paraId="46C40BC9" w14:textId="77777777" w:rsidR="008C6766" w:rsidRPr="003A5DAF" w:rsidRDefault="008C6766" w:rsidP="008C6766">
      <w:pPr>
        <w:pStyle w:val="NormalWeb"/>
        <w:rPr>
          <w:rFonts w:ascii="Aptos" w:hAnsi="Aptos"/>
          <w:sz w:val="22"/>
          <w:szCs w:val="22"/>
        </w:rPr>
      </w:pPr>
      <w:r w:rsidRPr="003A5DAF">
        <w:rPr>
          <w:rFonts w:ascii="Aptos" w:hAnsi="Aptos"/>
          <w:sz w:val="22"/>
          <w:szCs w:val="22"/>
        </w:rPr>
        <w:t xml:space="preserve">Rizos, E. (2016) ‘E01666: The Latin Martyrdom of *Perpetua and her Companions (martyrs of Carthage, S00009)…’, The Cult of Saints in Late Antiquity (University of Oxford). Available at: https://doi.org/10.25446/oxford.13926299 (Accessed: 16 April 2026). </w:t>
      </w:r>
    </w:p>
    <w:p w14:paraId="6A04FFCC" w14:textId="77777777" w:rsidR="008C6766" w:rsidRPr="003A5DAF" w:rsidRDefault="008C6766" w:rsidP="008C6766">
      <w:pPr>
        <w:pStyle w:val="NormalWeb"/>
        <w:rPr>
          <w:rFonts w:ascii="Aptos" w:hAnsi="Aptos"/>
          <w:sz w:val="22"/>
          <w:szCs w:val="22"/>
        </w:rPr>
      </w:pPr>
      <w:r w:rsidRPr="003A5DAF">
        <w:rPr>
          <w:rFonts w:ascii="Aptos" w:hAnsi="Aptos"/>
          <w:sz w:val="22"/>
          <w:szCs w:val="22"/>
        </w:rPr>
        <w:t xml:space="preserve">Salisbury, J.E. (2026) ‘Perpetua’, Encyclopaedia Britannica. Available at: https://www.britannica.com/biography/Perpetua-Christian-martyr (Accessed: 16 April 2026). </w:t>
      </w:r>
    </w:p>
    <w:p w14:paraId="5CD636E2" w14:textId="77777777" w:rsidR="008C6766" w:rsidRDefault="008C6766" w:rsidP="008C6766">
      <w:pPr>
        <w:pStyle w:val="NormalWeb"/>
        <w:rPr>
          <w:rFonts w:ascii="Aptos" w:hAnsi="Aptos"/>
          <w:sz w:val="22"/>
          <w:szCs w:val="22"/>
        </w:rPr>
      </w:pPr>
      <w:r w:rsidRPr="003A5DAF">
        <w:rPr>
          <w:rFonts w:ascii="Aptos" w:hAnsi="Aptos"/>
          <w:sz w:val="22"/>
          <w:szCs w:val="22"/>
        </w:rPr>
        <w:t xml:space="preserve">Salzman, M.R. (2022) ‘Pagan, paganism’, Oxford Research </w:t>
      </w:r>
      <w:proofErr w:type="spellStart"/>
      <w:r w:rsidRPr="003A5DAF">
        <w:rPr>
          <w:rFonts w:ascii="Aptos" w:hAnsi="Aptos"/>
          <w:sz w:val="22"/>
          <w:szCs w:val="22"/>
        </w:rPr>
        <w:t>Encyclopedia</w:t>
      </w:r>
      <w:proofErr w:type="spellEnd"/>
      <w:r w:rsidRPr="003A5DAF">
        <w:rPr>
          <w:rFonts w:ascii="Aptos" w:hAnsi="Aptos"/>
          <w:sz w:val="22"/>
          <w:szCs w:val="22"/>
        </w:rPr>
        <w:t xml:space="preserve"> of Classics. Oxford: Oxford University. </w:t>
      </w:r>
    </w:p>
    <w:p w14:paraId="42E9438B" w14:textId="0A08712E" w:rsidR="004261E0" w:rsidRPr="004261E0" w:rsidRDefault="004261E0" w:rsidP="008C6766">
      <w:pPr>
        <w:pStyle w:val="NormalWeb"/>
        <w:rPr>
          <w:rFonts w:ascii="Aptos" w:hAnsi="Aptos"/>
          <w:sz w:val="22"/>
          <w:szCs w:val="22"/>
        </w:rPr>
      </w:pPr>
      <w:r w:rsidRPr="004261E0">
        <w:rPr>
          <w:rFonts w:ascii="Aptos" w:hAnsi="Aptos"/>
          <w:sz w:val="22"/>
          <w:szCs w:val="22"/>
        </w:rPr>
        <w:t xml:space="preserve">Tertullian (1931) </w:t>
      </w:r>
      <w:r w:rsidRPr="004261E0">
        <w:rPr>
          <w:rStyle w:val="Emphasis"/>
          <w:rFonts w:ascii="Aptos" w:hAnsi="Aptos"/>
          <w:sz w:val="22"/>
          <w:szCs w:val="22"/>
        </w:rPr>
        <w:t xml:space="preserve">Apology; De </w:t>
      </w:r>
      <w:proofErr w:type="spellStart"/>
      <w:r w:rsidRPr="004261E0">
        <w:rPr>
          <w:rStyle w:val="Emphasis"/>
          <w:rFonts w:ascii="Aptos" w:hAnsi="Aptos"/>
          <w:sz w:val="22"/>
          <w:szCs w:val="22"/>
        </w:rPr>
        <w:t>Spectaculis</w:t>
      </w:r>
      <w:proofErr w:type="spellEnd"/>
      <w:r w:rsidRPr="004261E0">
        <w:rPr>
          <w:rFonts w:ascii="Aptos" w:hAnsi="Aptos"/>
          <w:sz w:val="22"/>
          <w:szCs w:val="22"/>
        </w:rPr>
        <w:t>. Translated by T.R. Glover. Loeb Classical Library 250. Cambridge, MA: Harvard University Press.</w:t>
      </w:r>
    </w:p>
    <w:p w14:paraId="21046D05" w14:textId="77777777" w:rsidR="008C6766" w:rsidRDefault="008C6766" w:rsidP="008C6766">
      <w:pPr>
        <w:pStyle w:val="NormalWeb"/>
        <w:rPr>
          <w:rFonts w:ascii="Aptos" w:hAnsi="Aptos"/>
          <w:sz w:val="22"/>
          <w:szCs w:val="22"/>
        </w:rPr>
      </w:pPr>
      <w:r w:rsidRPr="003A5DAF">
        <w:rPr>
          <w:rFonts w:ascii="Aptos" w:hAnsi="Aptos"/>
          <w:sz w:val="22"/>
          <w:szCs w:val="22"/>
        </w:rPr>
        <w:t xml:space="preserve">Tilley, M.A. (trans.) (1996) Donatist Martyr Stories: The Church in Conflict in Roman North Africa. Liverpool: Liverpool University Press. Liverpool University Press describes these narratives as accounts of Christians who maintained pre-Constantinian martyr traditions from the fourth century onwards. </w:t>
      </w:r>
    </w:p>
    <w:p w14:paraId="2C010F5A" w14:textId="75495034" w:rsidR="001110E1" w:rsidRPr="001110E1" w:rsidRDefault="001110E1" w:rsidP="008C6766">
      <w:pPr>
        <w:pStyle w:val="NormalWeb"/>
        <w:rPr>
          <w:rFonts w:ascii="Aptos" w:hAnsi="Aptos"/>
          <w:sz w:val="21"/>
          <w:szCs w:val="21"/>
        </w:rPr>
      </w:pPr>
      <w:r w:rsidRPr="001110E1">
        <w:rPr>
          <w:rFonts w:ascii="Aptos" w:hAnsi="Aptos"/>
          <w:sz w:val="22"/>
          <w:szCs w:val="22"/>
        </w:rPr>
        <w:t xml:space="preserve">Tilley, M.A. (1997) </w:t>
      </w:r>
      <w:r w:rsidRPr="001110E1">
        <w:rPr>
          <w:rStyle w:val="Emphasis"/>
          <w:rFonts w:ascii="Aptos" w:hAnsi="Aptos"/>
          <w:sz w:val="22"/>
          <w:szCs w:val="22"/>
        </w:rPr>
        <w:t>The Bible in Christian North Africa: The Donatist World</w:t>
      </w:r>
      <w:r w:rsidRPr="001110E1">
        <w:rPr>
          <w:rFonts w:ascii="Aptos" w:hAnsi="Aptos"/>
          <w:sz w:val="22"/>
          <w:szCs w:val="22"/>
        </w:rPr>
        <w:t>. Minneapolis: Fortress Press.</w:t>
      </w:r>
    </w:p>
    <w:p w14:paraId="41D72864" w14:textId="77777777" w:rsidR="008C6766" w:rsidRPr="003A5DAF" w:rsidRDefault="008C6766" w:rsidP="008C6766">
      <w:pPr>
        <w:pStyle w:val="NormalWeb"/>
        <w:rPr>
          <w:rFonts w:ascii="Aptos" w:hAnsi="Aptos"/>
          <w:sz w:val="22"/>
          <w:szCs w:val="22"/>
        </w:rPr>
      </w:pPr>
      <w:r w:rsidRPr="003A5DAF">
        <w:rPr>
          <w:rFonts w:ascii="Aptos" w:hAnsi="Aptos"/>
          <w:sz w:val="22"/>
          <w:szCs w:val="22"/>
        </w:rPr>
        <w:t xml:space="preserve">Warmington, B.H. (2015) ‘Hippo Regius’, Oxford Research </w:t>
      </w:r>
      <w:proofErr w:type="spellStart"/>
      <w:r w:rsidRPr="003A5DAF">
        <w:rPr>
          <w:rFonts w:ascii="Aptos" w:hAnsi="Aptos"/>
          <w:sz w:val="22"/>
          <w:szCs w:val="22"/>
        </w:rPr>
        <w:t>Encyclopedia</w:t>
      </w:r>
      <w:proofErr w:type="spellEnd"/>
      <w:r w:rsidRPr="003A5DAF">
        <w:rPr>
          <w:rFonts w:ascii="Aptos" w:hAnsi="Aptos"/>
          <w:sz w:val="22"/>
          <w:szCs w:val="22"/>
        </w:rPr>
        <w:t xml:space="preserve"> of Classics. Oxford: Oxford University Press. </w:t>
      </w:r>
    </w:p>
    <w:p w14:paraId="76355A6B" w14:textId="77777777" w:rsidR="008C6766" w:rsidRPr="003A5DAF" w:rsidRDefault="008C6766" w:rsidP="008C6766">
      <w:pPr>
        <w:pStyle w:val="NormalWeb"/>
        <w:rPr>
          <w:rFonts w:ascii="Aptos" w:hAnsi="Aptos"/>
          <w:sz w:val="22"/>
          <w:szCs w:val="22"/>
        </w:rPr>
      </w:pPr>
      <w:r w:rsidRPr="003A5DAF">
        <w:rPr>
          <w:rFonts w:ascii="Aptos" w:hAnsi="Aptos"/>
          <w:sz w:val="22"/>
          <w:szCs w:val="22"/>
        </w:rPr>
        <w:lastRenderedPageBreak/>
        <w:t xml:space="preserve">Wilken, R.L. (2024) ‘Tertullian’, Encyclopaedia Britannica, updated 11 April 2024. Available at: https://www.britannica.com/biography/Tertullian (Accessed: 16 April 2026). </w:t>
      </w:r>
    </w:p>
    <w:p w14:paraId="77DAAFC2" w14:textId="77777777" w:rsidR="008C6766" w:rsidRPr="003A5DAF" w:rsidRDefault="008C6766" w:rsidP="008C6766">
      <w:pPr>
        <w:pStyle w:val="NormalWeb"/>
        <w:rPr>
          <w:rFonts w:ascii="Aptos" w:hAnsi="Aptos"/>
          <w:sz w:val="22"/>
          <w:szCs w:val="22"/>
        </w:rPr>
      </w:pPr>
      <w:r w:rsidRPr="003A5DAF">
        <w:rPr>
          <w:rFonts w:ascii="Aptos" w:hAnsi="Aptos"/>
          <w:sz w:val="22"/>
          <w:szCs w:val="22"/>
        </w:rPr>
        <w:t xml:space="preserve">Whelan, R. (2018) Being Christian in Vandal Africa: The Politics of Orthodoxy in the Post-Imperial West. Oakland, CA: University of California Press. </w:t>
      </w:r>
    </w:p>
    <w:p w14:paraId="500785FC" w14:textId="77777777" w:rsidR="00F83222" w:rsidRPr="00366492" w:rsidRDefault="00F83222" w:rsidP="008926B6">
      <w:pPr>
        <w:rPr>
          <w:rFonts w:ascii="Aptos" w:hAnsi="Aptos"/>
          <w:sz w:val="22"/>
          <w:szCs w:val="22"/>
        </w:rPr>
      </w:pPr>
    </w:p>
    <w:sectPr w:rsidR="00F83222" w:rsidRPr="0036649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CB229D" w14:textId="77777777" w:rsidR="00044036" w:rsidRDefault="00044036" w:rsidP="00BE004C">
      <w:pPr>
        <w:spacing w:after="0" w:line="240" w:lineRule="auto"/>
      </w:pPr>
      <w:r>
        <w:separator/>
      </w:r>
    </w:p>
  </w:endnote>
  <w:endnote w:type="continuationSeparator" w:id="0">
    <w:p w14:paraId="57008341" w14:textId="77777777" w:rsidR="00044036" w:rsidRDefault="00044036" w:rsidP="00BE00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89BD69" w14:textId="77777777" w:rsidR="00044036" w:rsidRDefault="00044036" w:rsidP="00BE004C">
      <w:pPr>
        <w:spacing w:after="0" w:line="240" w:lineRule="auto"/>
      </w:pPr>
      <w:r>
        <w:separator/>
      </w:r>
    </w:p>
  </w:footnote>
  <w:footnote w:type="continuationSeparator" w:id="0">
    <w:p w14:paraId="12813C54" w14:textId="77777777" w:rsidR="00044036" w:rsidRDefault="00044036" w:rsidP="00BE00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246C1F"/>
    <w:multiLevelType w:val="multilevel"/>
    <w:tmpl w:val="9E4444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D4D71D2"/>
    <w:multiLevelType w:val="multilevel"/>
    <w:tmpl w:val="9E4444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39864373">
    <w:abstractNumId w:val="1"/>
  </w:num>
  <w:num w:numId="2" w16cid:durableId="9565689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1AE1"/>
    <w:rsid w:val="000074FA"/>
    <w:rsid w:val="00010CEA"/>
    <w:rsid w:val="000202BC"/>
    <w:rsid w:val="000309CB"/>
    <w:rsid w:val="000330F0"/>
    <w:rsid w:val="00034FD7"/>
    <w:rsid w:val="00044036"/>
    <w:rsid w:val="000527F2"/>
    <w:rsid w:val="0005448A"/>
    <w:rsid w:val="000662AE"/>
    <w:rsid w:val="00070C56"/>
    <w:rsid w:val="00080070"/>
    <w:rsid w:val="000826EA"/>
    <w:rsid w:val="00084B29"/>
    <w:rsid w:val="00086A77"/>
    <w:rsid w:val="000947DA"/>
    <w:rsid w:val="000B1B97"/>
    <w:rsid w:val="000B4391"/>
    <w:rsid w:val="000C0410"/>
    <w:rsid w:val="000C764C"/>
    <w:rsid w:val="000D02D8"/>
    <w:rsid w:val="000D1CC8"/>
    <w:rsid w:val="000D1D84"/>
    <w:rsid w:val="000D2372"/>
    <w:rsid w:val="000E00D9"/>
    <w:rsid w:val="000E4B0E"/>
    <w:rsid w:val="000F76DF"/>
    <w:rsid w:val="0010091B"/>
    <w:rsid w:val="001110E1"/>
    <w:rsid w:val="00125B84"/>
    <w:rsid w:val="00127F03"/>
    <w:rsid w:val="00132B8A"/>
    <w:rsid w:val="001428AF"/>
    <w:rsid w:val="00145E3C"/>
    <w:rsid w:val="00153E65"/>
    <w:rsid w:val="00160244"/>
    <w:rsid w:val="00160996"/>
    <w:rsid w:val="001617CF"/>
    <w:rsid w:val="00165FEB"/>
    <w:rsid w:val="00170BDD"/>
    <w:rsid w:val="001760A4"/>
    <w:rsid w:val="00192846"/>
    <w:rsid w:val="00193B50"/>
    <w:rsid w:val="00197A01"/>
    <w:rsid w:val="001A1C23"/>
    <w:rsid w:val="001B14C3"/>
    <w:rsid w:val="001B2295"/>
    <w:rsid w:val="001C6CDE"/>
    <w:rsid w:val="001C7C61"/>
    <w:rsid w:val="001D3CF3"/>
    <w:rsid w:val="001D677F"/>
    <w:rsid w:val="001E00F2"/>
    <w:rsid w:val="001E4849"/>
    <w:rsid w:val="001E583C"/>
    <w:rsid w:val="001F24CF"/>
    <w:rsid w:val="00204B87"/>
    <w:rsid w:val="00204D59"/>
    <w:rsid w:val="00204FBA"/>
    <w:rsid w:val="002102FC"/>
    <w:rsid w:val="002140C8"/>
    <w:rsid w:val="002171B2"/>
    <w:rsid w:val="002302C2"/>
    <w:rsid w:val="00240EC4"/>
    <w:rsid w:val="00251E44"/>
    <w:rsid w:val="0025519D"/>
    <w:rsid w:val="00265EE4"/>
    <w:rsid w:val="00265FE9"/>
    <w:rsid w:val="002751E5"/>
    <w:rsid w:val="002757D6"/>
    <w:rsid w:val="00282CB1"/>
    <w:rsid w:val="00286806"/>
    <w:rsid w:val="00292826"/>
    <w:rsid w:val="0029332D"/>
    <w:rsid w:val="00294E31"/>
    <w:rsid w:val="002A024F"/>
    <w:rsid w:val="002A6118"/>
    <w:rsid w:val="002B1EC4"/>
    <w:rsid w:val="002B5A49"/>
    <w:rsid w:val="002C3ACA"/>
    <w:rsid w:val="002C4642"/>
    <w:rsid w:val="002C74C6"/>
    <w:rsid w:val="002C7B4C"/>
    <w:rsid w:val="002D24D7"/>
    <w:rsid w:val="002D3BF3"/>
    <w:rsid w:val="002D4E69"/>
    <w:rsid w:val="002D6A77"/>
    <w:rsid w:val="002D7291"/>
    <w:rsid w:val="002D78DA"/>
    <w:rsid w:val="002E2BF6"/>
    <w:rsid w:val="002E4ECD"/>
    <w:rsid w:val="002F16B9"/>
    <w:rsid w:val="002F3E19"/>
    <w:rsid w:val="002F4C5C"/>
    <w:rsid w:val="003011AA"/>
    <w:rsid w:val="00301E7D"/>
    <w:rsid w:val="00303DD9"/>
    <w:rsid w:val="00313A9A"/>
    <w:rsid w:val="003306E4"/>
    <w:rsid w:val="00331EC3"/>
    <w:rsid w:val="00332C9A"/>
    <w:rsid w:val="00336D2A"/>
    <w:rsid w:val="003374F6"/>
    <w:rsid w:val="00342DE7"/>
    <w:rsid w:val="0034500F"/>
    <w:rsid w:val="00345DE3"/>
    <w:rsid w:val="003503AD"/>
    <w:rsid w:val="00353818"/>
    <w:rsid w:val="003538B2"/>
    <w:rsid w:val="0036541E"/>
    <w:rsid w:val="00366492"/>
    <w:rsid w:val="0036738B"/>
    <w:rsid w:val="00371390"/>
    <w:rsid w:val="00371842"/>
    <w:rsid w:val="00383B8C"/>
    <w:rsid w:val="00391187"/>
    <w:rsid w:val="003923F4"/>
    <w:rsid w:val="003966EC"/>
    <w:rsid w:val="003A3467"/>
    <w:rsid w:val="003A5DAF"/>
    <w:rsid w:val="003A7517"/>
    <w:rsid w:val="003B639B"/>
    <w:rsid w:val="003C00A6"/>
    <w:rsid w:val="003C4187"/>
    <w:rsid w:val="003C5733"/>
    <w:rsid w:val="003D2C67"/>
    <w:rsid w:val="003D380D"/>
    <w:rsid w:val="003D404D"/>
    <w:rsid w:val="003D79D7"/>
    <w:rsid w:val="003E32EA"/>
    <w:rsid w:val="003E4C96"/>
    <w:rsid w:val="003F06CA"/>
    <w:rsid w:val="004109E1"/>
    <w:rsid w:val="004261E0"/>
    <w:rsid w:val="004268E1"/>
    <w:rsid w:val="00427479"/>
    <w:rsid w:val="00432801"/>
    <w:rsid w:val="004352E3"/>
    <w:rsid w:val="00435D80"/>
    <w:rsid w:val="00454284"/>
    <w:rsid w:val="00461552"/>
    <w:rsid w:val="0046427C"/>
    <w:rsid w:val="004708B7"/>
    <w:rsid w:val="0047521E"/>
    <w:rsid w:val="0048198C"/>
    <w:rsid w:val="00483D18"/>
    <w:rsid w:val="004907AA"/>
    <w:rsid w:val="0049633C"/>
    <w:rsid w:val="00496A72"/>
    <w:rsid w:val="00496DF3"/>
    <w:rsid w:val="00497A06"/>
    <w:rsid w:val="004A099D"/>
    <w:rsid w:val="004C11E0"/>
    <w:rsid w:val="004C3857"/>
    <w:rsid w:val="004D6808"/>
    <w:rsid w:val="004D6DC6"/>
    <w:rsid w:val="004D79AF"/>
    <w:rsid w:val="004E427F"/>
    <w:rsid w:val="004E460A"/>
    <w:rsid w:val="004E48E8"/>
    <w:rsid w:val="004F022D"/>
    <w:rsid w:val="004F4907"/>
    <w:rsid w:val="004F66E9"/>
    <w:rsid w:val="00500441"/>
    <w:rsid w:val="00501F75"/>
    <w:rsid w:val="00504A14"/>
    <w:rsid w:val="00515F27"/>
    <w:rsid w:val="0051720A"/>
    <w:rsid w:val="00517FF4"/>
    <w:rsid w:val="005210AA"/>
    <w:rsid w:val="00525EB0"/>
    <w:rsid w:val="0052674E"/>
    <w:rsid w:val="00531EB2"/>
    <w:rsid w:val="00565055"/>
    <w:rsid w:val="0056797B"/>
    <w:rsid w:val="00575EE8"/>
    <w:rsid w:val="00577D65"/>
    <w:rsid w:val="00583258"/>
    <w:rsid w:val="005939B3"/>
    <w:rsid w:val="00595202"/>
    <w:rsid w:val="005A4876"/>
    <w:rsid w:val="005B6255"/>
    <w:rsid w:val="005C5D57"/>
    <w:rsid w:val="005C6164"/>
    <w:rsid w:val="005D60C2"/>
    <w:rsid w:val="005E552C"/>
    <w:rsid w:val="005E67C4"/>
    <w:rsid w:val="005F11C5"/>
    <w:rsid w:val="00600537"/>
    <w:rsid w:val="0060182E"/>
    <w:rsid w:val="0060393B"/>
    <w:rsid w:val="00610970"/>
    <w:rsid w:val="00612D0B"/>
    <w:rsid w:val="00627C16"/>
    <w:rsid w:val="006320AC"/>
    <w:rsid w:val="00641E14"/>
    <w:rsid w:val="00652DAA"/>
    <w:rsid w:val="00664C06"/>
    <w:rsid w:val="00665664"/>
    <w:rsid w:val="00667317"/>
    <w:rsid w:val="00674295"/>
    <w:rsid w:val="00675971"/>
    <w:rsid w:val="00693F21"/>
    <w:rsid w:val="006A6397"/>
    <w:rsid w:val="006B5921"/>
    <w:rsid w:val="006C32B4"/>
    <w:rsid w:val="006D0D4D"/>
    <w:rsid w:val="006D1F8E"/>
    <w:rsid w:val="006E366E"/>
    <w:rsid w:val="006E682E"/>
    <w:rsid w:val="006E7355"/>
    <w:rsid w:val="006F2AF3"/>
    <w:rsid w:val="0070207D"/>
    <w:rsid w:val="007104E6"/>
    <w:rsid w:val="007202FC"/>
    <w:rsid w:val="007233DE"/>
    <w:rsid w:val="00725685"/>
    <w:rsid w:val="00727749"/>
    <w:rsid w:val="007360A1"/>
    <w:rsid w:val="007465D1"/>
    <w:rsid w:val="0075114C"/>
    <w:rsid w:val="0076031F"/>
    <w:rsid w:val="0077433E"/>
    <w:rsid w:val="007753E4"/>
    <w:rsid w:val="00781D7C"/>
    <w:rsid w:val="00784A05"/>
    <w:rsid w:val="0078704D"/>
    <w:rsid w:val="00790EDD"/>
    <w:rsid w:val="00793328"/>
    <w:rsid w:val="007B054C"/>
    <w:rsid w:val="007B139A"/>
    <w:rsid w:val="007B1DE6"/>
    <w:rsid w:val="007B5F95"/>
    <w:rsid w:val="007C2AD5"/>
    <w:rsid w:val="007C38E4"/>
    <w:rsid w:val="007C491F"/>
    <w:rsid w:val="007D7956"/>
    <w:rsid w:val="007E28C1"/>
    <w:rsid w:val="007E3818"/>
    <w:rsid w:val="007F3EE5"/>
    <w:rsid w:val="007F5797"/>
    <w:rsid w:val="00800B2E"/>
    <w:rsid w:val="00807F4E"/>
    <w:rsid w:val="008140A1"/>
    <w:rsid w:val="00814A77"/>
    <w:rsid w:val="00814EB2"/>
    <w:rsid w:val="0081695A"/>
    <w:rsid w:val="008235ED"/>
    <w:rsid w:val="00825135"/>
    <w:rsid w:val="0082739C"/>
    <w:rsid w:val="0083439D"/>
    <w:rsid w:val="00835DE8"/>
    <w:rsid w:val="00842903"/>
    <w:rsid w:val="00851B93"/>
    <w:rsid w:val="008532FF"/>
    <w:rsid w:val="008550F2"/>
    <w:rsid w:val="0086541E"/>
    <w:rsid w:val="00866795"/>
    <w:rsid w:val="00866EAE"/>
    <w:rsid w:val="00877DD8"/>
    <w:rsid w:val="00891D7C"/>
    <w:rsid w:val="008926B6"/>
    <w:rsid w:val="008961E6"/>
    <w:rsid w:val="008968B8"/>
    <w:rsid w:val="00896EC5"/>
    <w:rsid w:val="008A4CDF"/>
    <w:rsid w:val="008B717A"/>
    <w:rsid w:val="008C43D6"/>
    <w:rsid w:val="008C6766"/>
    <w:rsid w:val="008D0017"/>
    <w:rsid w:val="008D1AE1"/>
    <w:rsid w:val="008E1561"/>
    <w:rsid w:val="008E4E3D"/>
    <w:rsid w:val="008E61EF"/>
    <w:rsid w:val="008F5498"/>
    <w:rsid w:val="008F66C2"/>
    <w:rsid w:val="009011D7"/>
    <w:rsid w:val="0090436C"/>
    <w:rsid w:val="009248F5"/>
    <w:rsid w:val="00925254"/>
    <w:rsid w:val="0094550C"/>
    <w:rsid w:val="009474DF"/>
    <w:rsid w:val="009524CD"/>
    <w:rsid w:val="00962692"/>
    <w:rsid w:val="009630DC"/>
    <w:rsid w:val="00972343"/>
    <w:rsid w:val="00972C8A"/>
    <w:rsid w:val="00974E64"/>
    <w:rsid w:val="00975B27"/>
    <w:rsid w:val="009779C8"/>
    <w:rsid w:val="009843A2"/>
    <w:rsid w:val="00985135"/>
    <w:rsid w:val="00987906"/>
    <w:rsid w:val="00987CD3"/>
    <w:rsid w:val="00991C2C"/>
    <w:rsid w:val="009920C4"/>
    <w:rsid w:val="009A5B97"/>
    <w:rsid w:val="009C5989"/>
    <w:rsid w:val="009C70AF"/>
    <w:rsid w:val="009D0B8B"/>
    <w:rsid w:val="009D2865"/>
    <w:rsid w:val="009D42C0"/>
    <w:rsid w:val="009D49E7"/>
    <w:rsid w:val="009E033E"/>
    <w:rsid w:val="009E4756"/>
    <w:rsid w:val="00A01C22"/>
    <w:rsid w:val="00A02739"/>
    <w:rsid w:val="00A0519A"/>
    <w:rsid w:val="00A07266"/>
    <w:rsid w:val="00A105AC"/>
    <w:rsid w:val="00A13546"/>
    <w:rsid w:val="00A13A4F"/>
    <w:rsid w:val="00A2028F"/>
    <w:rsid w:val="00A22C9A"/>
    <w:rsid w:val="00A25207"/>
    <w:rsid w:val="00A2564E"/>
    <w:rsid w:val="00A25BA5"/>
    <w:rsid w:val="00A261A0"/>
    <w:rsid w:val="00A27A0C"/>
    <w:rsid w:val="00A34301"/>
    <w:rsid w:val="00A353D3"/>
    <w:rsid w:val="00A3557C"/>
    <w:rsid w:val="00A43255"/>
    <w:rsid w:val="00A47689"/>
    <w:rsid w:val="00A532AE"/>
    <w:rsid w:val="00A60217"/>
    <w:rsid w:val="00A63268"/>
    <w:rsid w:val="00A63E14"/>
    <w:rsid w:val="00A65D80"/>
    <w:rsid w:val="00A660C4"/>
    <w:rsid w:val="00A73B26"/>
    <w:rsid w:val="00A774BF"/>
    <w:rsid w:val="00A77CC9"/>
    <w:rsid w:val="00A813A3"/>
    <w:rsid w:val="00A9286A"/>
    <w:rsid w:val="00A941F8"/>
    <w:rsid w:val="00A96718"/>
    <w:rsid w:val="00AB35FE"/>
    <w:rsid w:val="00AB77C2"/>
    <w:rsid w:val="00AC5860"/>
    <w:rsid w:val="00AC7E00"/>
    <w:rsid w:val="00AD1B85"/>
    <w:rsid w:val="00AD2122"/>
    <w:rsid w:val="00AE46D0"/>
    <w:rsid w:val="00AF6CB1"/>
    <w:rsid w:val="00B00D7F"/>
    <w:rsid w:val="00B067AF"/>
    <w:rsid w:val="00B14AA2"/>
    <w:rsid w:val="00B15612"/>
    <w:rsid w:val="00B17654"/>
    <w:rsid w:val="00B33263"/>
    <w:rsid w:val="00B45FF0"/>
    <w:rsid w:val="00B50225"/>
    <w:rsid w:val="00B50FF7"/>
    <w:rsid w:val="00B52CDA"/>
    <w:rsid w:val="00B53506"/>
    <w:rsid w:val="00B627B3"/>
    <w:rsid w:val="00B646A7"/>
    <w:rsid w:val="00B65354"/>
    <w:rsid w:val="00B715E9"/>
    <w:rsid w:val="00B71F91"/>
    <w:rsid w:val="00B7667D"/>
    <w:rsid w:val="00B85FBB"/>
    <w:rsid w:val="00B91E06"/>
    <w:rsid w:val="00B921D7"/>
    <w:rsid w:val="00B952E1"/>
    <w:rsid w:val="00BE004C"/>
    <w:rsid w:val="00BF75F9"/>
    <w:rsid w:val="00BF79FD"/>
    <w:rsid w:val="00C15183"/>
    <w:rsid w:val="00C21443"/>
    <w:rsid w:val="00C251D5"/>
    <w:rsid w:val="00C26538"/>
    <w:rsid w:val="00C30659"/>
    <w:rsid w:val="00C30D89"/>
    <w:rsid w:val="00C31E24"/>
    <w:rsid w:val="00C3220E"/>
    <w:rsid w:val="00C373F6"/>
    <w:rsid w:val="00C45E51"/>
    <w:rsid w:val="00C61E6D"/>
    <w:rsid w:val="00C6327C"/>
    <w:rsid w:val="00C63DE0"/>
    <w:rsid w:val="00C65ED2"/>
    <w:rsid w:val="00C67B40"/>
    <w:rsid w:val="00C74811"/>
    <w:rsid w:val="00C74C3B"/>
    <w:rsid w:val="00CA1165"/>
    <w:rsid w:val="00CA5A40"/>
    <w:rsid w:val="00CB0365"/>
    <w:rsid w:val="00CB0693"/>
    <w:rsid w:val="00CC2250"/>
    <w:rsid w:val="00CC4FAB"/>
    <w:rsid w:val="00CD57DF"/>
    <w:rsid w:val="00CE7899"/>
    <w:rsid w:val="00CE791E"/>
    <w:rsid w:val="00CF7D33"/>
    <w:rsid w:val="00D05E4B"/>
    <w:rsid w:val="00D147D7"/>
    <w:rsid w:val="00D27F0E"/>
    <w:rsid w:val="00D30E0F"/>
    <w:rsid w:val="00D328A8"/>
    <w:rsid w:val="00D42AC5"/>
    <w:rsid w:val="00D43A29"/>
    <w:rsid w:val="00D50842"/>
    <w:rsid w:val="00D51F1B"/>
    <w:rsid w:val="00D72C7A"/>
    <w:rsid w:val="00D72CEE"/>
    <w:rsid w:val="00D759AB"/>
    <w:rsid w:val="00D81135"/>
    <w:rsid w:val="00D85127"/>
    <w:rsid w:val="00D86E30"/>
    <w:rsid w:val="00D92383"/>
    <w:rsid w:val="00D92967"/>
    <w:rsid w:val="00DA3DBE"/>
    <w:rsid w:val="00DA6262"/>
    <w:rsid w:val="00DB0E8E"/>
    <w:rsid w:val="00DB55E4"/>
    <w:rsid w:val="00DB6E97"/>
    <w:rsid w:val="00DC6268"/>
    <w:rsid w:val="00DD4C40"/>
    <w:rsid w:val="00DF315D"/>
    <w:rsid w:val="00DF415A"/>
    <w:rsid w:val="00DF7028"/>
    <w:rsid w:val="00E21012"/>
    <w:rsid w:val="00E22003"/>
    <w:rsid w:val="00E22006"/>
    <w:rsid w:val="00E34CD5"/>
    <w:rsid w:val="00E36054"/>
    <w:rsid w:val="00E4438E"/>
    <w:rsid w:val="00E46AB2"/>
    <w:rsid w:val="00E46C4E"/>
    <w:rsid w:val="00E617FE"/>
    <w:rsid w:val="00E76659"/>
    <w:rsid w:val="00E83F7B"/>
    <w:rsid w:val="00E91E70"/>
    <w:rsid w:val="00EA2C26"/>
    <w:rsid w:val="00EA757D"/>
    <w:rsid w:val="00EB6E3D"/>
    <w:rsid w:val="00EC79A5"/>
    <w:rsid w:val="00ED03C1"/>
    <w:rsid w:val="00ED18EA"/>
    <w:rsid w:val="00ED6173"/>
    <w:rsid w:val="00EF3101"/>
    <w:rsid w:val="00EF68CA"/>
    <w:rsid w:val="00F1642B"/>
    <w:rsid w:val="00F2145A"/>
    <w:rsid w:val="00F24238"/>
    <w:rsid w:val="00F25F5D"/>
    <w:rsid w:val="00F31676"/>
    <w:rsid w:val="00F31B1A"/>
    <w:rsid w:val="00F41A19"/>
    <w:rsid w:val="00F70767"/>
    <w:rsid w:val="00F801A3"/>
    <w:rsid w:val="00F83222"/>
    <w:rsid w:val="00F85BCE"/>
    <w:rsid w:val="00F90615"/>
    <w:rsid w:val="00F94472"/>
    <w:rsid w:val="00F946C4"/>
    <w:rsid w:val="00FB37BB"/>
    <w:rsid w:val="00FD2719"/>
    <w:rsid w:val="00FD2792"/>
    <w:rsid w:val="00FE38F7"/>
    <w:rsid w:val="00FF0399"/>
    <w:rsid w:val="00FF28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728969"/>
  <w15:chartTrackingRefBased/>
  <w15:docId w15:val="{EF38E5B8-BE33-274A-B84C-637B24086D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1AE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D1AE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D1AE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D1AE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D1AE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D1AE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D1AE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D1AE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D1AE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1AE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D1AE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D1AE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D1AE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D1AE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D1AE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D1AE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D1AE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D1AE1"/>
    <w:rPr>
      <w:rFonts w:eastAsiaTheme="majorEastAsia" w:cstheme="majorBidi"/>
      <w:color w:val="272727" w:themeColor="text1" w:themeTint="D8"/>
    </w:rPr>
  </w:style>
  <w:style w:type="paragraph" w:styleId="Title">
    <w:name w:val="Title"/>
    <w:basedOn w:val="Normal"/>
    <w:next w:val="Normal"/>
    <w:link w:val="TitleChar"/>
    <w:uiPriority w:val="10"/>
    <w:qFormat/>
    <w:rsid w:val="008D1AE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1A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D1AE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D1A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D1AE1"/>
    <w:pPr>
      <w:spacing w:before="160"/>
      <w:jc w:val="center"/>
    </w:pPr>
    <w:rPr>
      <w:i/>
      <w:iCs/>
      <w:color w:val="404040" w:themeColor="text1" w:themeTint="BF"/>
    </w:rPr>
  </w:style>
  <w:style w:type="character" w:customStyle="1" w:styleId="QuoteChar">
    <w:name w:val="Quote Char"/>
    <w:basedOn w:val="DefaultParagraphFont"/>
    <w:link w:val="Quote"/>
    <w:uiPriority w:val="29"/>
    <w:rsid w:val="008D1AE1"/>
    <w:rPr>
      <w:i/>
      <w:iCs/>
      <w:color w:val="404040" w:themeColor="text1" w:themeTint="BF"/>
    </w:rPr>
  </w:style>
  <w:style w:type="paragraph" w:styleId="ListParagraph">
    <w:name w:val="List Paragraph"/>
    <w:basedOn w:val="Normal"/>
    <w:uiPriority w:val="34"/>
    <w:qFormat/>
    <w:rsid w:val="008D1AE1"/>
    <w:pPr>
      <w:ind w:left="720"/>
      <w:contextualSpacing/>
    </w:pPr>
  </w:style>
  <w:style w:type="character" w:styleId="IntenseEmphasis">
    <w:name w:val="Intense Emphasis"/>
    <w:basedOn w:val="DefaultParagraphFont"/>
    <w:uiPriority w:val="21"/>
    <w:qFormat/>
    <w:rsid w:val="008D1AE1"/>
    <w:rPr>
      <w:i/>
      <w:iCs/>
      <w:color w:val="0F4761" w:themeColor="accent1" w:themeShade="BF"/>
    </w:rPr>
  </w:style>
  <w:style w:type="paragraph" w:styleId="IntenseQuote">
    <w:name w:val="Intense Quote"/>
    <w:basedOn w:val="Normal"/>
    <w:next w:val="Normal"/>
    <w:link w:val="IntenseQuoteChar"/>
    <w:uiPriority w:val="30"/>
    <w:qFormat/>
    <w:rsid w:val="008D1AE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D1AE1"/>
    <w:rPr>
      <w:i/>
      <w:iCs/>
      <w:color w:val="0F4761" w:themeColor="accent1" w:themeShade="BF"/>
    </w:rPr>
  </w:style>
  <w:style w:type="character" w:styleId="IntenseReference">
    <w:name w:val="Intense Reference"/>
    <w:basedOn w:val="DefaultParagraphFont"/>
    <w:uiPriority w:val="32"/>
    <w:qFormat/>
    <w:rsid w:val="008D1AE1"/>
    <w:rPr>
      <w:b/>
      <w:bCs/>
      <w:smallCaps/>
      <w:color w:val="0F4761" w:themeColor="accent1" w:themeShade="BF"/>
      <w:spacing w:val="5"/>
    </w:rPr>
  </w:style>
  <w:style w:type="character" w:styleId="Strong">
    <w:name w:val="Strong"/>
    <w:basedOn w:val="DefaultParagraphFont"/>
    <w:uiPriority w:val="22"/>
    <w:qFormat/>
    <w:rsid w:val="008D1AE1"/>
    <w:rPr>
      <w:b/>
      <w:bCs/>
    </w:rPr>
  </w:style>
  <w:style w:type="paragraph" w:styleId="NormalWeb">
    <w:name w:val="Normal (Web)"/>
    <w:basedOn w:val="Normal"/>
    <w:uiPriority w:val="99"/>
    <w:unhideWhenUsed/>
    <w:rsid w:val="008D1AE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8D1AE1"/>
    <w:rPr>
      <w:i/>
      <w:iCs/>
    </w:rPr>
  </w:style>
  <w:style w:type="paragraph" w:customStyle="1" w:styleId="paragraph">
    <w:name w:val="paragraph"/>
    <w:basedOn w:val="Normal"/>
    <w:rsid w:val="008926B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8926B6"/>
  </w:style>
  <w:style w:type="character" w:customStyle="1" w:styleId="eop">
    <w:name w:val="eop"/>
    <w:basedOn w:val="DefaultParagraphFont"/>
    <w:rsid w:val="008926B6"/>
  </w:style>
  <w:style w:type="character" w:styleId="Hyperlink">
    <w:name w:val="Hyperlink"/>
    <w:basedOn w:val="DefaultParagraphFont"/>
    <w:uiPriority w:val="99"/>
    <w:semiHidden/>
    <w:unhideWhenUsed/>
    <w:rsid w:val="00204D59"/>
    <w:rPr>
      <w:color w:val="0000FF"/>
      <w:u w:val="single"/>
    </w:rPr>
  </w:style>
  <w:style w:type="paragraph" w:styleId="Header">
    <w:name w:val="header"/>
    <w:basedOn w:val="Normal"/>
    <w:link w:val="HeaderChar"/>
    <w:uiPriority w:val="99"/>
    <w:unhideWhenUsed/>
    <w:rsid w:val="00BE00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004C"/>
  </w:style>
  <w:style w:type="paragraph" w:styleId="Footer">
    <w:name w:val="footer"/>
    <w:basedOn w:val="Normal"/>
    <w:link w:val="FooterChar"/>
    <w:uiPriority w:val="99"/>
    <w:unhideWhenUsed/>
    <w:rsid w:val="00BE00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004C"/>
  </w:style>
  <w:style w:type="paragraph" w:customStyle="1" w:styleId="isselectedend">
    <w:name w:val="isselectedend"/>
    <w:basedOn w:val="Normal"/>
    <w:rsid w:val="00C3220E"/>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biography/Tertullian?utm_source=chatgpt.com" TargetMode="External"/><Relationship Id="rId3" Type="http://schemas.openxmlformats.org/officeDocument/2006/relationships/settings" Target="settings.xml"/><Relationship Id="rId7" Type="http://schemas.openxmlformats.org/officeDocument/2006/relationships/hyperlink" Target="https://www.britannica.com/biography/Saint-Cyprian-Christian-bishop?utm_source=chatgpt.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554</TotalTime>
  <Pages>19</Pages>
  <Words>10205</Words>
  <Characters>58174</Characters>
  <Application>Microsoft Office Word</Application>
  <DocSecurity>0</DocSecurity>
  <Lines>484</Lines>
  <Paragraphs>136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galina woodroffe</dc:creator>
  <cp:keywords/>
  <dc:description/>
  <cp:lastModifiedBy>galina woodroffe</cp:lastModifiedBy>
  <cp:revision>27</cp:revision>
  <cp:lastPrinted>2026-05-18T17:32:00Z</cp:lastPrinted>
  <dcterms:created xsi:type="dcterms:W3CDTF">2026-05-21T16:27:00Z</dcterms:created>
  <dcterms:modified xsi:type="dcterms:W3CDTF">2026-06-09T17:58:00Z</dcterms:modified>
</cp:coreProperties>
</file>