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4EF9FA" w14:textId="77777777" w:rsidR="00882E8C" w:rsidRDefault="00882E8C" w:rsidP="00DA1F3C">
      <w:pPr>
        <w:pStyle w:val="Heading1"/>
      </w:pPr>
      <w:r>
        <w:t>SECTION A- QUESTION 1</w:t>
      </w:r>
    </w:p>
    <w:p w14:paraId="4DFB587B" w14:textId="4D7E74AD" w:rsidR="00110A31" w:rsidRPr="007E6F2A" w:rsidRDefault="0057419F" w:rsidP="00DA1F3C">
      <w:pPr>
        <w:pStyle w:val="Heading1"/>
      </w:pPr>
      <w:r w:rsidRPr="007E6F2A">
        <w:t xml:space="preserve">Using examples, assess the role, function, </w:t>
      </w:r>
      <w:proofErr w:type="gramStart"/>
      <w:r w:rsidRPr="007E6F2A">
        <w:t>success</w:t>
      </w:r>
      <w:proofErr w:type="gramEnd"/>
      <w:r w:rsidRPr="007E6F2A">
        <w:t xml:space="preserve"> and recent developments of National Parks in the UK.</w:t>
      </w:r>
    </w:p>
    <w:p w14:paraId="48CD770E" w14:textId="0D5D41DC" w:rsidR="00504820" w:rsidRDefault="00504820" w:rsidP="00504820"/>
    <w:p w14:paraId="4DB44C5E" w14:textId="75A6C6F7" w:rsidR="00504820" w:rsidRDefault="00504820" w:rsidP="00504820">
      <w:pPr>
        <w:pStyle w:val="Heading2"/>
      </w:pPr>
      <w:r>
        <w:t>Introduction</w:t>
      </w:r>
    </w:p>
    <w:p w14:paraId="1A2BF23C" w14:textId="7D9BC3D3" w:rsidR="00504820" w:rsidRDefault="007E6F2A" w:rsidP="00504820">
      <w:r>
        <w:t xml:space="preserve">National Parks (NPs) in the UK were established in 1949 as ‘areas of great natural beauty giving opportunity for open air recreation, established so that natural beauty can be preserved and enhanced, and so that the enjoyment of the scenery by the public can be promoted’ </w:t>
      </w:r>
      <w:sdt>
        <w:sdtPr>
          <w:id w:val="-2061930706"/>
          <w:citation/>
        </w:sdtPr>
        <w:sdtEndPr/>
        <w:sdtContent>
          <w:r>
            <w:fldChar w:fldCharType="begin"/>
          </w:r>
          <w:r>
            <w:instrText xml:space="preserve"> CITATION Mar90 \l 2057 </w:instrText>
          </w:r>
          <w:r>
            <w:fldChar w:fldCharType="separate"/>
          </w:r>
          <w:r w:rsidR="00854524" w:rsidRPr="00854524">
            <w:rPr>
              <w:noProof/>
            </w:rPr>
            <w:t>(Anderson, 1990)</w:t>
          </w:r>
          <w:r>
            <w:fldChar w:fldCharType="end"/>
          </w:r>
        </w:sdtContent>
      </w:sdt>
      <w:r>
        <w:t>.</w:t>
      </w:r>
      <w:r w:rsidR="0033364A">
        <w:t xml:space="preserve"> Bearing this in mind, the role, </w:t>
      </w:r>
      <w:proofErr w:type="gramStart"/>
      <w:r w:rsidR="0033364A">
        <w:t>function</w:t>
      </w:r>
      <w:proofErr w:type="gramEnd"/>
      <w:r w:rsidR="0033364A">
        <w:t xml:space="preserve"> and development of NPs since their creation is open for assessment.</w:t>
      </w:r>
    </w:p>
    <w:p w14:paraId="39607BF6" w14:textId="458057F8" w:rsidR="00504820" w:rsidRDefault="00504820" w:rsidP="00504820"/>
    <w:p w14:paraId="67BBA97F" w14:textId="47DCA212" w:rsidR="00504820" w:rsidRDefault="00504820" w:rsidP="00504820">
      <w:pPr>
        <w:pStyle w:val="Heading2"/>
      </w:pPr>
      <w:r>
        <w:t>Discussion</w:t>
      </w:r>
    </w:p>
    <w:p w14:paraId="237ABAAD" w14:textId="77777777" w:rsidR="0033364A" w:rsidRDefault="0033364A" w:rsidP="0033364A">
      <w:r>
        <w:t xml:space="preserve">This statement suggests that contrary to current opinions on NPs, the primary role of them was note conservation or to protect certain areas, but to be large-scale parks that promote a certain aesthetic that is pleasing and marketable to the </w:t>
      </w:r>
      <w:proofErr w:type="gramStart"/>
      <w:r>
        <w:t>general public</w:t>
      </w:r>
      <w:proofErr w:type="gramEnd"/>
      <w:r>
        <w:t xml:space="preserve">. </w:t>
      </w:r>
    </w:p>
    <w:p w14:paraId="2E988A92" w14:textId="10217373" w:rsidR="00504820" w:rsidRDefault="0033364A" w:rsidP="00504820">
      <w:r>
        <w:t>NPs were created shortly after WWII and appeared to serve as a balm for a country that was still recovering from the aftermath; by giving the public something beautiful to look at and visit, it would show them that it was worth fighting for and they could now enjoy it peacefully.</w:t>
      </w:r>
    </w:p>
    <w:p w14:paraId="6E56CFCD" w14:textId="2021EADB" w:rsidR="0033364A" w:rsidRDefault="0033364A" w:rsidP="00504820">
      <w:r>
        <w:t xml:space="preserve">As NPs were traditionally selected for their beauty, the first established parks, </w:t>
      </w:r>
      <w:proofErr w:type="gramStart"/>
      <w:r>
        <w:t>with the exception of</w:t>
      </w:r>
      <w:proofErr w:type="gramEnd"/>
      <w:r>
        <w:t xml:space="preserve"> Pembrokeshire, all possessed the same aesthetic- upland areas with rolling hills and mountains. These areas </w:t>
      </w:r>
      <w:r w:rsidR="00071853">
        <w:t>served the original role and function set forth in 1949 well; the public could easily access areas and go for walks to just enjoy the countryside. In that sense, NPs were initially a success.</w:t>
      </w:r>
    </w:p>
    <w:p w14:paraId="572BB95F" w14:textId="396EFD38" w:rsidR="00071853" w:rsidRDefault="00071853" w:rsidP="00504820">
      <w:r>
        <w:t>However, in an ever-changing political and governmental climate, the role and function of NPs would need to change. With an increased focus on environmental issues and conservation work, NPs that hosted such large areas would naturally become a focal point for this attention.</w:t>
      </w:r>
      <w:r w:rsidR="009942DB">
        <w:t xml:space="preserve"> In addition to this, with the traditional role of NPs a booming tourist industry would also still need to be catered for. From this, as delicate balance between conservation and tourism would be vital for NPs </w:t>
      </w:r>
      <w:sdt>
        <w:sdtPr>
          <w:id w:val="-259762588"/>
          <w:citation/>
        </w:sdtPr>
        <w:sdtEndPr/>
        <w:sdtContent>
          <w:r w:rsidR="009942DB">
            <w:fldChar w:fldCharType="begin"/>
          </w:r>
          <w:r w:rsidR="009942DB">
            <w:instrText xml:space="preserve"> CITATION Hel10 \l 2057 </w:instrText>
          </w:r>
          <w:r w:rsidR="009942DB">
            <w:fldChar w:fldCharType="separate"/>
          </w:r>
          <w:r w:rsidR="00854524" w:rsidRPr="00854524">
            <w:rPr>
              <w:noProof/>
            </w:rPr>
            <w:t>(Dewhurst &amp; Thomas, 2010)</w:t>
          </w:r>
          <w:r w:rsidR="009942DB">
            <w:fldChar w:fldCharType="end"/>
          </w:r>
        </w:sdtContent>
      </w:sdt>
      <w:r w:rsidR="009942DB">
        <w:t>.</w:t>
      </w:r>
    </w:p>
    <w:p w14:paraId="5419724F" w14:textId="55886D39" w:rsidR="00831747" w:rsidRDefault="00831747" w:rsidP="00504820">
      <w:r>
        <w:t xml:space="preserve">By the early 90’s legislation was put into place to ensure that NPs were independent but worked within local government. The Environment Act 1995 also created two direct purposes of NPs that set them apart from just being tourist destinations: they were now responsible for conserving/enhancing the wildlife and cultural heritage of the area, and they were also to promote opportunities for the public understanding of the special qualities within their area </w:t>
      </w:r>
      <w:sdt>
        <w:sdtPr>
          <w:id w:val="1749312493"/>
          <w:citation/>
        </w:sdtPr>
        <w:sdtEndPr/>
        <w:sdtContent>
          <w:r>
            <w:fldChar w:fldCharType="begin"/>
          </w:r>
          <w:r>
            <w:instrText xml:space="preserve">CITATION UKGnd \l 2057 </w:instrText>
          </w:r>
          <w:r>
            <w:fldChar w:fldCharType="separate"/>
          </w:r>
          <w:r w:rsidR="00854524" w:rsidRPr="00854524">
            <w:rPr>
              <w:noProof/>
            </w:rPr>
            <w:t>(UK Government, nd)</w:t>
          </w:r>
          <w:r>
            <w:fldChar w:fldCharType="end"/>
          </w:r>
        </w:sdtContent>
      </w:sdt>
      <w:r>
        <w:t>.</w:t>
      </w:r>
    </w:p>
    <w:p w14:paraId="750F3628" w14:textId="62975BC4" w:rsidR="009942DB" w:rsidRDefault="009942DB" w:rsidP="00504820">
      <w:r>
        <w:t>It is notable that no ne</w:t>
      </w:r>
      <w:r w:rsidR="00112F0B">
        <w:t>w</w:t>
      </w:r>
      <w:r>
        <w:t xml:space="preserve"> NPs have been established since the early 2000’s and there was a gap of over 30 years from the original parks before another was established. </w:t>
      </w:r>
      <w:r w:rsidR="00831747">
        <w:t xml:space="preserve">These newer parks served to reinvigorate the status of NPs and were finally more diverse; man-made areas and peatland in Scotland are both examples of how NPs were changing and starting to include areas that </w:t>
      </w:r>
      <w:proofErr w:type="gramStart"/>
      <w:r w:rsidR="00831747">
        <w:t>weren’t</w:t>
      </w:r>
      <w:proofErr w:type="gramEnd"/>
      <w:r w:rsidR="00831747">
        <w:t xml:space="preserve"> just beautiful, but also biologically and environmentally diverse.</w:t>
      </w:r>
      <w:r w:rsidR="00112F0B">
        <w:t xml:space="preserve"> </w:t>
      </w:r>
    </w:p>
    <w:p w14:paraId="41E38AD4" w14:textId="4DEB385F" w:rsidR="00831747" w:rsidRDefault="00831747" w:rsidP="00504820">
      <w:r>
        <w:lastRenderedPageBreak/>
        <w:t xml:space="preserve">With the addition of new areas and extra responsibilities, NPs are now required to be host to </w:t>
      </w:r>
      <w:proofErr w:type="gramStart"/>
      <w:r>
        <w:t>a number of</w:t>
      </w:r>
      <w:proofErr w:type="gramEnd"/>
      <w:r>
        <w:t xml:space="preserve"> conflicting parties whilst maintaining a healthy balance. For instance, </w:t>
      </w:r>
      <w:proofErr w:type="gramStart"/>
      <w:r>
        <w:t>local residents</w:t>
      </w:r>
      <w:proofErr w:type="gramEnd"/>
      <w:r>
        <w:t xml:space="preserve"> will require access to land and resources without being clogged by the tourism industry that serves to provide extra funding to both the local communities and the NPs at the same time. Similarly, conservation work cannot be interrupted by </w:t>
      </w:r>
      <w:proofErr w:type="gramStart"/>
      <w:r>
        <w:t>local residents</w:t>
      </w:r>
      <w:proofErr w:type="gramEnd"/>
      <w:r>
        <w:t xml:space="preserve"> or tourists</w:t>
      </w:r>
      <w:r w:rsidR="002C1C39">
        <w:t xml:space="preserve"> but must also not restrict too much access for either so as not to run the risk of NPs just being heavily restricted and unappealing. </w:t>
      </w:r>
      <w:r w:rsidR="00D234D7">
        <w:t xml:space="preserve">This balance is still an ongoing concern; whilst huge steps have been made to ensure the successful integration of these conflicting parties within NPs, research has shown that there is still a long way to go for this to be a harmonious relationship and some NPs are struggling to manage things effectively </w:t>
      </w:r>
      <w:sdt>
        <w:sdtPr>
          <w:id w:val="312693765"/>
          <w:citation/>
        </w:sdtPr>
        <w:sdtEndPr/>
        <w:sdtContent>
          <w:r w:rsidR="00D234D7">
            <w:fldChar w:fldCharType="begin"/>
          </w:r>
          <w:r w:rsidR="00D234D7">
            <w:instrText xml:space="preserve"> CITATION Ada08 \l 2057 </w:instrText>
          </w:r>
          <w:r w:rsidR="00D234D7">
            <w:fldChar w:fldCharType="separate"/>
          </w:r>
          <w:r w:rsidR="00854524" w:rsidRPr="00854524">
            <w:rPr>
              <w:noProof/>
            </w:rPr>
            <w:t>(Barker &amp; Stockdale, 2008)</w:t>
          </w:r>
          <w:r w:rsidR="00D234D7">
            <w:fldChar w:fldCharType="end"/>
          </w:r>
        </w:sdtContent>
      </w:sdt>
      <w:r w:rsidR="00D234D7">
        <w:t>.</w:t>
      </w:r>
    </w:p>
    <w:p w14:paraId="3932FA6F" w14:textId="7855E4EB" w:rsidR="00112F0B" w:rsidRDefault="00112F0B" w:rsidP="00504820">
      <w:r>
        <w:t xml:space="preserve">Whilst </w:t>
      </w:r>
      <w:proofErr w:type="gramStart"/>
      <w:r>
        <w:t>it is clear that the</w:t>
      </w:r>
      <w:proofErr w:type="gramEnd"/>
      <w:r>
        <w:t xml:space="preserve"> role and function of NPs is continuing to change with the changing demands of the public and political agendas, their existence is necessary; for encouraging the public to spend time with nature, for creating revenue on both a local and national level, and for creating designated environmental ‘safe zones’ that are provided with a level of protection that they otherwise would not have- regardless of the vulnerability of the area. From this, DEFRA assessed that NPs should be expanded upon and given more protection status, along with being utilised as effective tools in boosting the local economy. Their 2016 report shows that the success of NPs can be expanded upon if careful legislation and collaboration is undertaken </w:t>
      </w:r>
      <w:sdt>
        <w:sdtPr>
          <w:id w:val="1969388965"/>
          <w:citation/>
        </w:sdtPr>
        <w:sdtEndPr/>
        <w:sdtContent>
          <w:r>
            <w:fldChar w:fldCharType="begin"/>
          </w:r>
          <w:r>
            <w:instrText xml:space="preserve"> CITATION DEF16 \l 2057 </w:instrText>
          </w:r>
          <w:r>
            <w:fldChar w:fldCharType="separate"/>
          </w:r>
          <w:r w:rsidR="00854524" w:rsidRPr="00854524">
            <w:rPr>
              <w:noProof/>
            </w:rPr>
            <w:t>(DEFRA, 2016)</w:t>
          </w:r>
          <w:r>
            <w:fldChar w:fldCharType="end"/>
          </w:r>
        </w:sdtContent>
      </w:sdt>
      <w:r>
        <w:t xml:space="preserve">. </w:t>
      </w:r>
    </w:p>
    <w:p w14:paraId="44AA5C77" w14:textId="56AA2B8D" w:rsidR="00504820" w:rsidRDefault="00504820" w:rsidP="00504820"/>
    <w:p w14:paraId="5955B6C2" w14:textId="34D183F6" w:rsidR="00504820" w:rsidRDefault="00504820" w:rsidP="00504820">
      <w:pPr>
        <w:pStyle w:val="Heading2"/>
      </w:pPr>
      <w:r>
        <w:t>Conclusion</w:t>
      </w:r>
    </w:p>
    <w:p w14:paraId="64C03FAB" w14:textId="59468F28" w:rsidR="00504820" w:rsidRDefault="00071853" w:rsidP="00504820">
      <w:r>
        <w:t xml:space="preserve">The role and function of NPs needs to remain fluid </w:t>
      </w:r>
      <w:proofErr w:type="gramStart"/>
      <w:r>
        <w:t>in order to</w:t>
      </w:r>
      <w:proofErr w:type="gramEnd"/>
      <w:r>
        <w:t xml:space="preserve"> both remain relevant to public interest and also to protect its status and validity. By following the principles of good governance, developing effective action plans for their future management will ensure that NPs </w:t>
      </w:r>
      <w:proofErr w:type="gramStart"/>
      <w:r>
        <w:t>don’t</w:t>
      </w:r>
      <w:proofErr w:type="gramEnd"/>
      <w:r>
        <w:t xml:space="preserve"> fall by the wayside and can continue to serve as both tourist destinations and icons of environmental protection.</w:t>
      </w:r>
    </w:p>
    <w:p w14:paraId="3BBDD6B3" w14:textId="7CE2634C" w:rsidR="00504820" w:rsidRDefault="00504820" w:rsidP="00504820"/>
    <w:sdt>
      <w:sdtPr>
        <w:rPr>
          <w:rFonts w:asciiTheme="minorHAnsi" w:eastAsiaTheme="minorHAnsi" w:hAnsiTheme="minorHAnsi" w:cstheme="minorBidi"/>
          <w:color w:val="auto"/>
          <w:sz w:val="22"/>
          <w:szCs w:val="22"/>
          <w:lang w:val="en-GB"/>
        </w:rPr>
        <w:id w:val="-731000061"/>
        <w:docPartObj>
          <w:docPartGallery w:val="Bibliographies"/>
          <w:docPartUnique/>
        </w:docPartObj>
      </w:sdtPr>
      <w:sdtEndPr/>
      <w:sdtContent>
        <w:p w14:paraId="1C5A944D" w14:textId="1FB47D4B" w:rsidR="00504820" w:rsidRDefault="00504820">
          <w:pPr>
            <w:pStyle w:val="Heading1"/>
          </w:pPr>
          <w:r>
            <w:t>References</w:t>
          </w:r>
        </w:p>
        <w:sdt>
          <w:sdtPr>
            <w:id w:val="-573587230"/>
            <w:bibliography/>
          </w:sdtPr>
          <w:sdtEndPr/>
          <w:sdtContent>
            <w:p w14:paraId="0FD8A4E9" w14:textId="77777777" w:rsidR="00854524" w:rsidRDefault="00504820" w:rsidP="00854524">
              <w:pPr>
                <w:pStyle w:val="Bibliography"/>
                <w:rPr>
                  <w:noProof/>
                  <w:sz w:val="24"/>
                  <w:szCs w:val="24"/>
                  <w:lang w:val="en-US"/>
                </w:rPr>
              </w:pPr>
              <w:r>
                <w:fldChar w:fldCharType="begin"/>
              </w:r>
              <w:r>
                <w:instrText xml:space="preserve"> BIBLIOGRAPHY </w:instrText>
              </w:r>
              <w:r>
                <w:fldChar w:fldCharType="separate"/>
              </w:r>
              <w:r w:rsidR="00854524">
                <w:rPr>
                  <w:noProof/>
                  <w:lang w:val="en-US"/>
                </w:rPr>
                <w:t xml:space="preserve">Anderson, M. A., 1990. Areas of Outstanding Natural Beauty and the 1949 National Parks Act. </w:t>
              </w:r>
              <w:r w:rsidR="00854524">
                <w:rPr>
                  <w:i/>
                  <w:iCs/>
                  <w:noProof/>
                  <w:lang w:val="en-US"/>
                </w:rPr>
                <w:t xml:space="preserve">The Town Planning Review, </w:t>
              </w:r>
              <w:r w:rsidR="00854524">
                <w:rPr>
                  <w:noProof/>
                  <w:lang w:val="en-US"/>
                </w:rPr>
                <w:t>61(3), pp. 311-339.</w:t>
              </w:r>
            </w:p>
            <w:p w14:paraId="053B35CC" w14:textId="77777777" w:rsidR="00854524" w:rsidRDefault="00854524" w:rsidP="00854524">
              <w:pPr>
                <w:pStyle w:val="Bibliography"/>
                <w:rPr>
                  <w:noProof/>
                  <w:lang w:val="en-US"/>
                </w:rPr>
              </w:pPr>
              <w:r>
                <w:rPr>
                  <w:noProof/>
                  <w:lang w:val="en-US"/>
                </w:rPr>
                <w:t xml:space="preserve">Barker, A. &amp; Stockdale, A., 2008. Out of the wilderness? Achieving sustainable development within Scottish national parks. </w:t>
              </w:r>
              <w:r>
                <w:rPr>
                  <w:i/>
                  <w:iCs/>
                  <w:noProof/>
                  <w:lang w:val="en-US"/>
                </w:rPr>
                <w:t xml:space="preserve">Journal of Environmental Management, </w:t>
              </w:r>
              <w:r>
                <w:rPr>
                  <w:noProof/>
                  <w:lang w:val="en-US"/>
                </w:rPr>
                <w:t>88(1), pp. 181-193.</w:t>
              </w:r>
            </w:p>
            <w:p w14:paraId="4B8B7A99" w14:textId="77777777" w:rsidR="00854524" w:rsidRDefault="00854524" w:rsidP="00854524">
              <w:pPr>
                <w:pStyle w:val="Bibliography"/>
                <w:rPr>
                  <w:noProof/>
                  <w:lang w:val="en-US"/>
                </w:rPr>
              </w:pPr>
              <w:r>
                <w:rPr>
                  <w:noProof/>
                  <w:lang w:val="en-US"/>
                </w:rPr>
                <w:t xml:space="preserve">DEFRA, 2016. </w:t>
              </w:r>
              <w:r>
                <w:rPr>
                  <w:i/>
                  <w:iCs/>
                  <w:noProof/>
                  <w:lang w:val="en-US"/>
                </w:rPr>
                <w:t xml:space="preserve">8-Point Plan for England’s National Parks. </w:t>
              </w:r>
              <w:r>
                <w:rPr>
                  <w:noProof/>
                  <w:lang w:val="en-US"/>
                </w:rPr>
                <w:t xml:space="preserve">[Online] </w:t>
              </w:r>
              <w:r>
                <w:rPr>
                  <w:noProof/>
                  <w:lang w:val="en-US"/>
                </w:rPr>
                <w:br/>
                <w:t xml:space="preserve">Available at: </w:t>
              </w:r>
              <w:r>
                <w:rPr>
                  <w:noProof/>
                  <w:u w:val="single"/>
                  <w:lang w:val="en-US"/>
                </w:rPr>
                <w:t>https://www.cnp.org.uk/sites/default/files/uploadsfiles/National%20Parks%20Plan%20(FINAL)(2016)%20(002).pdf</w:t>
              </w:r>
              <w:r>
                <w:rPr>
                  <w:noProof/>
                  <w:lang w:val="en-US"/>
                </w:rPr>
                <w:br/>
                <w:t>[Accessed 11 01 2021].</w:t>
              </w:r>
            </w:p>
            <w:p w14:paraId="40EB0EDB" w14:textId="77777777" w:rsidR="00854524" w:rsidRDefault="00854524" w:rsidP="00854524">
              <w:pPr>
                <w:pStyle w:val="Bibliography"/>
                <w:rPr>
                  <w:noProof/>
                  <w:lang w:val="en-US"/>
                </w:rPr>
              </w:pPr>
              <w:r>
                <w:rPr>
                  <w:noProof/>
                  <w:lang w:val="en-US"/>
                </w:rPr>
                <w:t xml:space="preserve">Dewhurst, H. &amp; Thomas, R., 2010. Encouraging Sustainable Business Practices in a Non-regulatory Environment: A Case Study of Small Tourism Firms in a UK National Park. </w:t>
              </w:r>
              <w:r>
                <w:rPr>
                  <w:i/>
                  <w:iCs/>
                  <w:noProof/>
                  <w:lang w:val="en-US"/>
                </w:rPr>
                <w:t xml:space="preserve">Journal for Sustainable Tourism, </w:t>
              </w:r>
              <w:r>
                <w:rPr>
                  <w:noProof/>
                  <w:lang w:val="en-US"/>
                </w:rPr>
                <w:t>11(5), pp. 383-403.</w:t>
              </w:r>
            </w:p>
            <w:p w14:paraId="14A5C825" w14:textId="77777777" w:rsidR="00854524" w:rsidRDefault="00854524" w:rsidP="00854524">
              <w:pPr>
                <w:pStyle w:val="Bibliography"/>
                <w:rPr>
                  <w:noProof/>
                  <w:lang w:val="en-US"/>
                </w:rPr>
              </w:pPr>
              <w:r>
                <w:rPr>
                  <w:noProof/>
                  <w:lang w:val="en-US"/>
                </w:rPr>
                <w:t xml:space="preserve">UK Government, nd. </w:t>
              </w:r>
              <w:r>
                <w:rPr>
                  <w:i/>
                  <w:iCs/>
                  <w:noProof/>
                  <w:lang w:val="en-US"/>
                </w:rPr>
                <w:t xml:space="preserve">Environment Act 1995. </w:t>
              </w:r>
              <w:r>
                <w:rPr>
                  <w:noProof/>
                  <w:lang w:val="en-US"/>
                </w:rPr>
                <w:t xml:space="preserve">[Online] </w:t>
              </w:r>
              <w:r>
                <w:rPr>
                  <w:noProof/>
                  <w:lang w:val="en-US"/>
                </w:rPr>
                <w:br/>
                <w:t xml:space="preserve">Available at: </w:t>
              </w:r>
              <w:r>
                <w:rPr>
                  <w:noProof/>
                  <w:u w:val="single"/>
                  <w:lang w:val="en-US"/>
                </w:rPr>
                <w:t>https://www.legislation.gov.uk/ukpga/1995/25/part/III/crossheading/functions-of-national-park-authorities</w:t>
              </w:r>
              <w:r>
                <w:rPr>
                  <w:noProof/>
                  <w:lang w:val="en-US"/>
                </w:rPr>
                <w:br/>
                <w:t>[Accessed 11 01 2021].</w:t>
              </w:r>
            </w:p>
            <w:p w14:paraId="59F7FD53" w14:textId="7281F2B8" w:rsidR="00504820" w:rsidRDefault="00504820" w:rsidP="00854524">
              <w:r>
                <w:rPr>
                  <w:b/>
                  <w:bCs/>
                  <w:noProof/>
                </w:rPr>
                <w:lastRenderedPageBreak/>
                <w:fldChar w:fldCharType="end"/>
              </w:r>
            </w:p>
          </w:sdtContent>
        </w:sdt>
      </w:sdtContent>
    </w:sdt>
    <w:p w14:paraId="424722B7" w14:textId="77777777" w:rsidR="00882E8C" w:rsidRDefault="00882E8C" w:rsidP="00DA1F3C">
      <w:pPr>
        <w:pStyle w:val="Heading1"/>
      </w:pPr>
      <w:r>
        <w:t>SECTION B- QUESTION 6</w:t>
      </w:r>
    </w:p>
    <w:p w14:paraId="340E6B10" w14:textId="06F00D9E" w:rsidR="009D7801" w:rsidRPr="00A43D32" w:rsidRDefault="009D7801" w:rsidP="00DA1F3C">
      <w:pPr>
        <w:pStyle w:val="Heading1"/>
      </w:pPr>
      <w:r w:rsidRPr="00A43D32">
        <w:t xml:space="preserve">“A policy, once it is soundly based theoretically and shows clearly defined objectives, requires the additional elements of institutional structures, policy strategies and policy actors.” (Wells, 1998: 17) </w:t>
      </w:r>
    </w:p>
    <w:p w14:paraId="282E1FA1" w14:textId="77777777" w:rsidR="009D7801" w:rsidRPr="00A43D32" w:rsidRDefault="009D7801" w:rsidP="00DA1F3C">
      <w:pPr>
        <w:pStyle w:val="Heading1"/>
      </w:pPr>
      <w:r w:rsidRPr="00A43D32">
        <w:t>Using examples from around the world evaluate the relevance</w:t>
      </w:r>
    </w:p>
    <w:p w14:paraId="0C801CA9" w14:textId="77777777" w:rsidR="009D7801" w:rsidRDefault="009D7801" w:rsidP="009D7801"/>
    <w:p w14:paraId="29D84993" w14:textId="77777777" w:rsidR="009D7801" w:rsidRDefault="009D7801" w:rsidP="009D7801"/>
    <w:p w14:paraId="698B5F7F" w14:textId="77777777" w:rsidR="009D7801" w:rsidRDefault="009D7801" w:rsidP="009D7801">
      <w:pPr>
        <w:pStyle w:val="Heading2"/>
      </w:pPr>
      <w:r>
        <w:t>Introduction</w:t>
      </w:r>
    </w:p>
    <w:p w14:paraId="22DB75D6" w14:textId="77777777" w:rsidR="009D7801" w:rsidRDefault="009D7801" w:rsidP="009D7801">
      <w:r w:rsidRPr="00A43D32">
        <w:t xml:space="preserve">“A policy, once it is soundly based theoretically and shows clearly defined objectives, requires the additional elements of institutional structures, policy strategies and policy actors.” (Wells, 1998: 17) </w:t>
      </w:r>
    </w:p>
    <w:p w14:paraId="58445F65" w14:textId="77777777" w:rsidR="009D7801" w:rsidRPr="00A43D32" w:rsidRDefault="009D7801" w:rsidP="009D7801">
      <w:r>
        <w:t xml:space="preserve">This statement puts forth the notion that regardless of how effective a policy appears on </w:t>
      </w:r>
      <w:proofErr w:type="gramStart"/>
      <w:r>
        <w:t>paper,</w:t>
      </w:r>
      <w:proofErr w:type="gramEnd"/>
      <w:r>
        <w:t xml:space="preserve"> it is only going to be of equal value when it is efficiently enforced by organisations and policy-makers. In what is arguably the most important political period of recent history for environmental policy, there are numerous examples that show both the relevance and accuracy of this statement.</w:t>
      </w:r>
    </w:p>
    <w:p w14:paraId="520C7890" w14:textId="77777777" w:rsidR="009D7801" w:rsidRDefault="009D7801" w:rsidP="009D7801"/>
    <w:p w14:paraId="437A021B" w14:textId="77777777" w:rsidR="009D7801" w:rsidRDefault="009D7801" w:rsidP="009D7801">
      <w:pPr>
        <w:pStyle w:val="Heading2"/>
      </w:pPr>
      <w:r>
        <w:t>Discussion</w:t>
      </w:r>
    </w:p>
    <w:p w14:paraId="3AAF9ED3" w14:textId="77777777" w:rsidR="009D7801" w:rsidRDefault="009D7801" w:rsidP="009D7801">
      <w:r>
        <w:t xml:space="preserve">In 1987, the Montreal Protocol (MP) was an international treaty signed by 46 countries to reduce the amount of harmful chemicals and substances that were damaging the ozone layer. It was then put into force in 1989 and remains in place to this day </w:t>
      </w:r>
      <w:sdt>
        <w:sdtPr>
          <w:id w:val="-1415162879"/>
          <w:citation/>
        </w:sdtPr>
        <w:sdtEndPr/>
        <w:sdtContent>
          <w:r>
            <w:fldChar w:fldCharType="begin"/>
          </w:r>
          <w:r>
            <w:instrText xml:space="preserve">CITATION UNEnd \l 2057 </w:instrText>
          </w:r>
          <w:r>
            <w:fldChar w:fldCharType="separate"/>
          </w:r>
          <w:r w:rsidRPr="009D299B">
            <w:rPr>
              <w:noProof/>
            </w:rPr>
            <w:t>(UNEP, nd)</w:t>
          </w:r>
          <w:r>
            <w:fldChar w:fldCharType="end"/>
          </w:r>
        </w:sdtContent>
      </w:sdt>
      <w:r>
        <w:t xml:space="preserve">. The signatories of the MP meet on an annual basis to review the decisions made and to make possible amendments to ensure the continued successful implementation of the Protocol. </w:t>
      </w:r>
    </w:p>
    <w:p w14:paraId="7E6CD665" w14:textId="77777777" w:rsidR="009D7801" w:rsidRDefault="009D7801" w:rsidP="009D7801">
      <w:r>
        <w:t xml:space="preserve">The MP continues to be successful and shows that the above statement is accurate; the parties have continued to meet and amend the policy where necessary to adapt to a changing environment, as well as using a single flexible agreement that has different timetables for developed and developing countries </w:t>
      </w:r>
      <w:sdt>
        <w:sdtPr>
          <w:id w:val="-373535417"/>
          <w:citation/>
        </w:sdtPr>
        <w:sdtEndPr/>
        <w:sdtContent>
          <w:r>
            <w:fldChar w:fldCharType="begin"/>
          </w:r>
          <w:r>
            <w:instrText xml:space="preserve"> CITATION UNEnd1 \l 2057 </w:instrText>
          </w:r>
          <w:r>
            <w:fldChar w:fldCharType="separate"/>
          </w:r>
          <w:r w:rsidRPr="009D299B">
            <w:rPr>
              <w:noProof/>
            </w:rPr>
            <w:t>(UN Environment, nd)</w:t>
          </w:r>
          <w:r>
            <w:fldChar w:fldCharType="end"/>
          </w:r>
        </w:sdtContent>
      </w:sdt>
      <w:r>
        <w:t xml:space="preserve">. It has also shown that by employing a flexible approach to a single agreement, effective change can be made, as recent studies have shown that the holes in the ozone layer are slowly recovering </w:t>
      </w:r>
      <w:sdt>
        <w:sdtPr>
          <w:id w:val="1468013938"/>
          <w:citation/>
        </w:sdtPr>
        <w:sdtEndPr/>
        <w:sdtContent>
          <w:r>
            <w:fldChar w:fldCharType="begin"/>
          </w:r>
          <w:r>
            <w:instrText xml:space="preserve"> CITATION Dow21 \l 2057 </w:instrText>
          </w:r>
          <w:r>
            <w:fldChar w:fldCharType="separate"/>
          </w:r>
          <w:r w:rsidRPr="009D299B">
            <w:rPr>
              <w:noProof/>
            </w:rPr>
            <w:t>(Down to Earth, 2021)</w:t>
          </w:r>
          <w:r>
            <w:fldChar w:fldCharType="end"/>
          </w:r>
        </w:sdtContent>
      </w:sdt>
      <w:r>
        <w:t xml:space="preserve">. Where countries have refused to sign amendments, there is also consequently increased pressure within that country to </w:t>
      </w:r>
      <w:proofErr w:type="gramStart"/>
      <w:r>
        <w:t>be seen as</w:t>
      </w:r>
      <w:proofErr w:type="gramEnd"/>
      <w:r>
        <w:t xml:space="preserve"> working towards the same goal, even if it is through a slower timeline or by alternative means </w:t>
      </w:r>
      <w:sdt>
        <w:sdtPr>
          <w:id w:val="1589418476"/>
          <w:citation/>
        </w:sdtPr>
        <w:sdtEndPr/>
        <w:sdtContent>
          <w:r>
            <w:fldChar w:fldCharType="begin"/>
          </w:r>
          <w:r>
            <w:instrText xml:space="preserve"> CITATION Tim20 \l 2057 </w:instrText>
          </w:r>
          <w:r>
            <w:fldChar w:fldCharType="separate"/>
          </w:r>
          <w:r w:rsidRPr="009D299B">
            <w:rPr>
              <w:noProof/>
            </w:rPr>
            <w:t>(McDonnell, 2020)</w:t>
          </w:r>
          <w:r>
            <w:fldChar w:fldCharType="end"/>
          </w:r>
        </w:sdtContent>
      </w:sdt>
      <w:r>
        <w:t>.</w:t>
      </w:r>
    </w:p>
    <w:p w14:paraId="3069E76A" w14:textId="77777777" w:rsidR="009D7801" w:rsidRDefault="009D7801" w:rsidP="009D7801">
      <w:r>
        <w:t xml:space="preserve">A more recent example that shows how this statement rings true is the Paris Agreement (PA). A legally binding international treaty to fight climate change, it was agreed upon by 196 parties in 2015 and put into place in 2016 </w:t>
      </w:r>
      <w:sdt>
        <w:sdtPr>
          <w:id w:val="-638253847"/>
          <w:citation/>
        </w:sdtPr>
        <w:sdtEndPr/>
        <w:sdtContent>
          <w:r>
            <w:fldChar w:fldCharType="begin"/>
          </w:r>
          <w:r>
            <w:instrText xml:space="preserve"> CITATION UNFnd \l 2057 </w:instrText>
          </w:r>
          <w:r>
            <w:fldChar w:fldCharType="separate"/>
          </w:r>
          <w:r w:rsidRPr="009D299B">
            <w:rPr>
              <w:noProof/>
            </w:rPr>
            <w:t>(UNFCCC, nd)</w:t>
          </w:r>
          <w:r>
            <w:fldChar w:fldCharType="end"/>
          </w:r>
        </w:sdtContent>
      </w:sdt>
      <w:r>
        <w:t xml:space="preserve">. The goal of the PA is to limit global warming by 1.5 degrees Celsius through the reduction of greenhouse gas emissions. Further development was made upon the PA by the European Commission by creating the European Climate Law, which aims to ensure climate-neutrality by 2050 </w:t>
      </w:r>
      <w:sdt>
        <w:sdtPr>
          <w:id w:val="-514765416"/>
          <w:citation/>
        </w:sdtPr>
        <w:sdtEndPr/>
        <w:sdtContent>
          <w:r>
            <w:fldChar w:fldCharType="begin"/>
          </w:r>
          <w:r>
            <w:instrText xml:space="preserve"> CITATION Eurnd \l 2057 </w:instrText>
          </w:r>
          <w:r>
            <w:fldChar w:fldCharType="separate"/>
          </w:r>
          <w:r w:rsidRPr="009D299B">
            <w:rPr>
              <w:noProof/>
            </w:rPr>
            <w:t>(European Commission, nd)</w:t>
          </w:r>
          <w:r>
            <w:fldChar w:fldCharType="end"/>
          </w:r>
        </w:sdtContent>
      </w:sdt>
      <w:r>
        <w:t>.</w:t>
      </w:r>
    </w:p>
    <w:p w14:paraId="69DF97C2" w14:textId="77777777" w:rsidR="009D7801" w:rsidRDefault="009D7801" w:rsidP="009D7801">
      <w:r>
        <w:lastRenderedPageBreak/>
        <w:t xml:space="preserve">This agreement shows exactly how the above statement is true, particularly from the withdrawal of the USA from the PA in 2020- though it should be noted that they will re-enter in 2021 </w:t>
      </w:r>
      <w:sdt>
        <w:sdtPr>
          <w:id w:val="615180465"/>
          <w:citation/>
        </w:sdtPr>
        <w:sdtEndPr/>
        <w:sdtContent>
          <w:r>
            <w:fldChar w:fldCharType="begin"/>
          </w:r>
          <w:r>
            <w:instrText xml:space="preserve"> CITATION The203 \l 2057 </w:instrText>
          </w:r>
          <w:r>
            <w:fldChar w:fldCharType="separate"/>
          </w:r>
          <w:r w:rsidRPr="009D299B">
            <w:rPr>
              <w:noProof/>
            </w:rPr>
            <w:t>(The Guardian, 2020)</w:t>
          </w:r>
          <w:r>
            <w:fldChar w:fldCharType="end"/>
          </w:r>
        </w:sdtContent>
      </w:sdt>
      <w:r>
        <w:t xml:space="preserve">. Without it being a legally binding agreement such as the MP, it is too easy for a country to withdraw when it is unable to meet the requirements and not suffer any negative consequences as a result. This shows that </w:t>
      </w:r>
      <w:proofErr w:type="gramStart"/>
      <w:r>
        <w:t>in order for</w:t>
      </w:r>
      <w:proofErr w:type="gramEnd"/>
      <w:r>
        <w:t xml:space="preserve"> the PA to be as effective in practice as it is on paper, it requires universal international governance in the same manner as the MP and countries must be held accountable when they are not meeting their goals. This is a recurring issue with policies, from international to local government level </w:t>
      </w:r>
      <w:sdt>
        <w:sdtPr>
          <w:id w:val="-754058791"/>
          <w:citation/>
        </w:sdtPr>
        <w:sdtEndPr/>
        <w:sdtContent>
          <w:r>
            <w:fldChar w:fldCharType="begin"/>
          </w:r>
          <w:r>
            <w:instrText xml:space="preserve"> CITATION Ron03 \l 2057 </w:instrText>
          </w:r>
          <w:r>
            <w:fldChar w:fldCharType="separate"/>
          </w:r>
          <w:r w:rsidRPr="009D299B">
            <w:rPr>
              <w:noProof/>
            </w:rPr>
            <w:t>(Mitchell, 2003)</w:t>
          </w:r>
          <w:r>
            <w:fldChar w:fldCharType="end"/>
          </w:r>
        </w:sdtContent>
      </w:sdt>
      <w:r>
        <w:t>.</w:t>
      </w:r>
    </w:p>
    <w:p w14:paraId="41CDEDE7" w14:textId="77777777" w:rsidR="009D7801" w:rsidRDefault="009D7801" w:rsidP="009D7801"/>
    <w:p w14:paraId="142C9D7F" w14:textId="77777777" w:rsidR="009D7801" w:rsidRDefault="009D7801" w:rsidP="009D7801">
      <w:pPr>
        <w:pStyle w:val="Heading2"/>
      </w:pPr>
      <w:r>
        <w:t>Conclusion</w:t>
      </w:r>
    </w:p>
    <w:p w14:paraId="0EA2DE2B" w14:textId="77777777" w:rsidR="009D7801" w:rsidRDefault="009D7801" w:rsidP="009D7801">
      <w:r>
        <w:t xml:space="preserve">The statement by Wells is more relevant and accurate in the current environmental political climate than it was back in 1998. From policies that are created on a local level, such as the Environment Act (Wales) 2016 to international policies such as the Paris Agreement, it shows that these are only effective and valuable policies when the structure is </w:t>
      </w:r>
      <w:proofErr w:type="gramStart"/>
      <w:r>
        <w:t>solid</w:t>
      </w:r>
      <w:proofErr w:type="gramEnd"/>
      <w:r>
        <w:t xml:space="preserve"> and the parties are all working towards the same goal.</w:t>
      </w:r>
    </w:p>
    <w:p w14:paraId="1931C09C" w14:textId="77777777" w:rsidR="009D7801" w:rsidRDefault="009D7801" w:rsidP="009D7801"/>
    <w:sdt>
      <w:sdtPr>
        <w:rPr>
          <w:rFonts w:asciiTheme="minorHAnsi" w:eastAsiaTheme="minorHAnsi" w:hAnsiTheme="minorHAnsi" w:cstheme="minorBidi"/>
          <w:color w:val="auto"/>
          <w:sz w:val="22"/>
          <w:szCs w:val="22"/>
          <w:lang w:val="en-GB"/>
        </w:rPr>
        <w:id w:val="518746560"/>
        <w:docPartObj>
          <w:docPartGallery w:val="Bibliographies"/>
          <w:docPartUnique/>
        </w:docPartObj>
      </w:sdtPr>
      <w:sdtEndPr>
        <w:rPr>
          <w:rFonts w:asciiTheme="majorHAnsi" w:eastAsiaTheme="majorEastAsia" w:hAnsiTheme="majorHAnsi" w:cstheme="majorBidi"/>
          <w:color w:val="2F5496" w:themeColor="accent1" w:themeShade="BF"/>
          <w:sz w:val="32"/>
          <w:szCs w:val="32"/>
          <w:lang w:val="en-US"/>
        </w:rPr>
      </w:sdtEndPr>
      <w:sdtContent>
        <w:p w14:paraId="24B6E1DD" w14:textId="77777777" w:rsidR="009D7801" w:rsidRDefault="009D7801" w:rsidP="009D7801">
          <w:pPr>
            <w:pStyle w:val="Heading1"/>
          </w:pPr>
          <w:r>
            <w:t>References</w:t>
          </w:r>
        </w:p>
        <w:sdt>
          <w:sdtPr>
            <w:id w:val="-2000334361"/>
            <w:bibliography/>
          </w:sdtPr>
          <w:sdtEndPr>
            <w:rPr>
              <w:rFonts w:asciiTheme="majorHAnsi" w:eastAsiaTheme="majorEastAsia" w:hAnsiTheme="majorHAnsi" w:cstheme="majorBidi"/>
              <w:color w:val="2F5496" w:themeColor="accent1" w:themeShade="BF"/>
              <w:sz w:val="32"/>
              <w:szCs w:val="32"/>
              <w:lang w:val="en-US"/>
            </w:rPr>
          </w:sdtEndPr>
          <w:sdtContent>
            <w:p w14:paraId="17038FD0" w14:textId="77777777" w:rsidR="009D7801" w:rsidRDefault="009D7801" w:rsidP="009D7801">
              <w:pPr>
                <w:pStyle w:val="Bibliography"/>
                <w:rPr>
                  <w:noProof/>
                  <w:sz w:val="24"/>
                  <w:szCs w:val="24"/>
                  <w:lang w:val="en-US"/>
                </w:rPr>
              </w:pPr>
              <w:r>
                <w:fldChar w:fldCharType="begin"/>
              </w:r>
              <w:r>
                <w:instrText xml:space="preserve"> BIBLIOGRAPHY </w:instrText>
              </w:r>
              <w:r>
                <w:fldChar w:fldCharType="separate"/>
              </w:r>
              <w:r>
                <w:rPr>
                  <w:noProof/>
                  <w:lang w:val="en-US"/>
                </w:rPr>
                <w:t xml:space="preserve">Down to Earth, 2021. </w:t>
              </w:r>
              <w:r>
                <w:rPr>
                  <w:i/>
                  <w:iCs/>
                  <w:noProof/>
                  <w:lang w:val="en-US"/>
                </w:rPr>
                <w:t xml:space="preserve">Antarctic ozone hole — one of the largest, deepest — closes. </w:t>
              </w:r>
              <w:r>
                <w:rPr>
                  <w:noProof/>
                  <w:lang w:val="en-US"/>
                </w:rPr>
                <w:t xml:space="preserve">[Online] </w:t>
              </w:r>
              <w:r>
                <w:rPr>
                  <w:noProof/>
                  <w:lang w:val="en-US"/>
                </w:rPr>
                <w:br/>
                <w:t xml:space="preserve">Available at: </w:t>
              </w:r>
              <w:r>
                <w:rPr>
                  <w:noProof/>
                  <w:u w:val="single"/>
                  <w:lang w:val="en-US"/>
                </w:rPr>
                <w:t>https://www.downtoearth.org.in/news/climate-change/antarctic-ozone-hole-one-of-the-largest-deepest-closes-74943</w:t>
              </w:r>
              <w:r>
                <w:rPr>
                  <w:noProof/>
                  <w:lang w:val="en-US"/>
                </w:rPr>
                <w:br/>
                <w:t>[Accessed 11 01 2021].</w:t>
              </w:r>
            </w:p>
            <w:p w14:paraId="7EB0DEB3" w14:textId="77777777" w:rsidR="009D7801" w:rsidRDefault="009D7801" w:rsidP="009D7801">
              <w:pPr>
                <w:pStyle w:val="Bibliography"/>
                <w:rPr>
                  <w:noProof/>
                  <w:lang w:val="en-US"/>
                </w:rPr>
              </w:pPr>
              <w:r>
                <w:rPr>
                  <w:noProof/>
                  <w:lang w:val="en-US"/>
                </w:rPr>
                <w:t xml:space="preserve">European Commission, nd. </w:t>
              </w:r>
              <w:r>
                <w:rPr>
                  <w:i/>
                  <w:iCs/>
                  <w:noProof/>
                  <w:lang w:val="en-US"/>
                </w:rPr>
                <w:t xml:space="preserve">Climate Strategies. </w:t>
              </w:r>
              <w:r>
                <w:rPr>
                  <w:noProof/>
                  <w:lang w:val="en-US"/>
                </w:rPr>
                <w:t xml:space="preserve">[Online] </w:t>
              </w:r>
              <w:r>
                <w:rPr>
                  <w:noProof/>
                  <w:lang w:val="en-US"/>
                </w:rPr>
                <w:br/>
                <w:t xml:space="preserve">Available at: </w:t>
              </w:r>
              <w:r>
                <w:rPr>
                  <w:noProof/>
                  <w:u w:val="single"/>
                  <w:lang w:val="en-US"/>
                </w:rPr>
                <w:t>https://ec.europa.eu/clima/policies/strategies/2050_en</w:t>
              </w:r>
              <w:r>
                <w:rPr>
                  <w:noProof/>
                  <w:lang w:val="en-US"/>
                </w:rPr>
                <w:br/>
                <w:t>[Accessed 11 01 2021].</w:t>
              </w:r>
            </w:p>
            <w:p w14:paraId="625C6572" w14:textId="77777777" w:rsidR="009D7801" w:rsidRDefault="009D7801" w:rsidP="009D7801">
              <w:pPr>
                <w:pStyle w:val="Bibliography"/>
                <w:rPr>
                  <w:noProof/>
                  <w:lang w:val="en-US"/>
                </w:rPr>
              </w:pPr>
              <w:r>
                <w:rPr>
                  <w:noProof/>
                  <w:lang w:val="en-US"/>
                </w:rPr>
                <w:t xml:space="preserve">McDonnell, T., 2020. </w:t>
              </w:r>
              <w:r>
                <w:rPr>
                  <w:i/>
                  <w:iCs/>
                  <w:noProof/>
                  <w:lang w:val="en-US"/>
                </w:rPr>
                <w:t xml:space="preserve">The US stimulus bill could be the most important climate legislation Congress has ever passed. </w:t>
              </w:r>
              <w:r>
                <w:rPr>
                  <w:noProof/>
                  <w:lang w:val="en-US"/>
                </w:rPr>
                <w:t xml:space="preserve">[Online] </w:t>
              </w:r>
              <w:r>
                <w:rPr>
                  <w:noProof/>
                  <w:lang w:val="en-US"/>
                </w:rPr>
                <w:br/>
                <w:t xml:space="preserve">Available at: </w:t>
              </w:r>
              <w:r>
                <w:rPr>
                  <w:noProof/>
                  <w:u w:val="single"/>
                  <w:lang w:val="en-US"/>
                </w:rPr>
                <w:t>https://qz.com/1948600/stimulus-bill-puts-the-us-in-compliance-with-montreal-protocol/</w:t>
              </w:r>
              <w:r>
                <w:rPr>
                  <w:noProof/>
                  <w:lang w:val="en-US"/>
                </w:rPr>
                <w:br/>
                <w:t>[Accessed 11 01 2021].</w:t>
              </w:r>
            </w:p>
            <w:p w14:paraId="0DACC053" w14:textId="77777777" w:rsidR="009D7801" w:rsidRDefault="009D7801" w:rsidP="009D7801">
              <w:pPr>
                <w:pStyle w:val="Bibliography"/>
                <w:rPr>
                  <w:noProof/>
                  <w:lang w:val="en-US"/>
                </w:rPr>
              </w:pPr>
              <w:r>
                <w:rPr>
                  <w:noProof/>
                  <w:lang w:val="en-US"/>
                </w:rPr>
                <w:t xml:space="preserve">Mitchell, R. B., 2003. International Environmental Agreements: A Survey of Their Features, Formation, and Effects. </w:t>
              </w:r>
              <w:r>
                <w:rPr>
                  <w:i/>
                  <w:iCs/>
                  <w:noProof/>
                  <w:lang w:val="en-US"/>
                </w:rPr>
                <w:t xml:space="preserve">Annual Review of Environment and Resources, </w:t>
              </w:r>
              <w:r>
                <w:rPr>
                  <w:noProof/>
                  <w:lang w:val="en-US"/>
                </w:rPr>
                <w:t>26(n/a), pp. 429-461.</w:t>
              </w:r>
            </w:p>
            <w:p w14:paraId="375AF7EF" w14:textId="77777777" w:rsidR="009D7801" w:rsidRDefault="009D7801" w:rsidP="009D7801">
              <w:pPr>
                <w:pStyle w:val="Bibliography"/>
                <w:rPr>
                  <w:noProof/>
                  <w:lang w:val="en-US"/>
                </w:rPr>
              </w:pPr>
              <w:r>
                <w:rPr>
                  <w:noProof/>
                  <w:lang w:val="en-US"/>
                </w:rPr>
                <w:t xml:space="preserve">The Guardian, 2020. </w:t>
              </w:r>
              <w:r>
                <w:rPr>
                  <w:i/>
                  <w:iCs/>
                  <w:noProof/>
                  <w:lang w:val="en-US"/>
                </w:rPr>
                <w:t xml:space="preserve">US to hold world climate summit early next year and seek to rejoin Paris accord. </w:t>
              </w:r>
              <w:r>
                <w:rPr>
                  <w:noProof/>
                  <w:lang w:val="en-US"/>
                </w:rPr>
                <w:t xml:space="preserve">[Online] </w:t>
              </w:r>
              <w:r>
                <w:rPr>
                  <w:noProof/>
                  <w:lang w:val="en-US"/>
                </w:rPr>
                <w:br/>
                <w:t xml:space="preserve">Available at: </w:t>
              </w:r>
              <w:r>
                <w:rPr>
                  <w:noProof/>
                  <w:u w:val="single"/>
                  <w:lang w:val="en-US"/>
                </w:rPr>
                <w:t>https://www.theguardian.com/environment/2020/dec/14/us-to-hold-world-climate-summit-early-next-year-and-seek-to-rejoin-paris-accord</w:t>
              </w:r>
              <w:r>
                <w:rPr>
                  <w:noProof/>
                  <w:lang w:val="en-US"/>
                </w:rPr>
                <w:br/>
                <w:t>[Accessed 11 01 2021].</w:t>
              </w:r>
            </w:p>
            <w:p w14:paraId="37E6661D" w14:textId="77777777" w:rsidR="009D7801" w:rsidRDefault="009D7801" w:rsidP="009D7801">
              <w:pPr>
                <w:pStyle w:val="Bibliography"/>
                <w:rPr>
                  <w:noProof/>
                  <w:lang w:val="en-US"/>
                </w:rPr>
              </w:pPr>
              <w:r>
                <w:rPr>
                  <w:noProof/>
                  <w:lang w:val="en-US"/>
                </w:rPr>
                <w:t xml:space="preserve">UN Environment, nd. </w:t>
              </w:r>
              <w:r>
                <w:rPr>
                  <w:i/>
                  <w:iCs/>
                  <w:noProof/>
                  <w:lang w:val="en-US"/>
                </w:rPr>
                <w:t xml:space="preserve">About Montreal Protocol. </w:t>
              </w:r>
              <w:r>
                <w:rPr>
                  <w:noProof/>
                  <w:lang w:val="en-US"/>
                </w:rPr>
                <w:t xml:space="preserve">[Online] </w:t>
              </w:r>
              <w:r>
                <w:rPr>
                  <w:noProof/>
                  <w:lang w:val="en-US"/>
                </w:rPr>
                <w:br/>
                <w:t xml:space="preserve">Available at: </w:t>
              </w:r>
              <w:r>
                <w:rPr>
                  <w:noProof/>
                  <w:u w:val="single"/>
                  <w:lang w:val="en-US"/>
                </w:rPr>
                <w:t>https://www.unenvironment.org/ozonaction/who-we-are/about-montreal-protocol</w:t>
              </w:r>
              <w:r>
                <w:rPr>
                  <w:noProof/>
                  <w:lang w:val="en-US"/>
                </w:rPr>
                <w:br/>
                <w:t>[Accessed 11 01 2021].</w:t>
              </w:r>
            </w:p>
            <w:p w14:paraId="1CE83BA8" w14:textId="77777777" w:rsidR="009D7801" w:rsidRDefault="009D7801" w:rsidP="009D7801">
              <w:pPr>
                <w:pStyle w:val="Bibliography"/>
                <w:rPr>
                  <w:noProof/>
                  <w:lang w:val="en-US"/>
                </w:rPr>
              </w:pPr>
              <w:r>
                <w:rPr>
                  <w:noProof/>
                  <w:lang w:val="en-US"/>
                </w:rPr>
                <w:lastRenderedPageBreak/>
                <w:t xml:space="preserve">UNEP, nd. </w:t>
              </w:r>
              <w:r>
                <w:rPr>
                  <w:i/>
                  <w:iCs/>
                  <w:noProof/>
                  <w:lang w:val="en-US"/>
                </w:rPr>
                <w:t xml:space="preserve">The Montreal Protocol on Substances that Deplete the Ozone Layer. </w:t>
              </w:r>
              <w:r>
                <w:rPr>
                  <w:noProof/>
                  <w:lang w:val="en-US"/>
                </w:rPr>
                <w:t xml:space="preserve">[Online] </w:t>
              </w:r>
              <w:r>
                <w:rPr>
                  <w:noProof/>
                  <w:lang w:val="en-US"/>
                </w:rPr>
                <w:br/>
                <w:t xml:space="preserve">Available at: </w:t>
              </w:r>
              <w:r>
                <w:rPr>
                  <w:noProof/>
                  <w:u w:val="single"/>
                  <w:lang w:val="en-US"/>
                </w:rPr>
                <w:t>https://ozone.unep.org/treaties/montreal-protocol</w:t>
              </w:r>
              <w:r>
                <w:rPr>
                  <w:noProof/>
                  <w:lang w:val="en-US"/>
                </w:rPr>
                <w:br/>
                <w:t>[Accessed 11 01 2021].</w:t>
              </w:r>
            </w:p>
            <w:p w14:paraId="14455CB3" w14:textId="77777777" w:rsidR="009D7801" w:rsidRDefault="009D7801" w:rsidP="009D7801">
              <w:pPr>
                <w:pStyle w:val="Bibliography"/>
                <w:rPr>
                  <w:noProof/>
                  <w:lang w:val="en-US"/>
                </w:rPr>
              </w:pPr>
              <w:r>
                <w:rPr>
                  <w:noProof/>
                  <w:lang w:val="en-US"/>
                </w:rPr>
                <w:t xml:space="preserve">UNFCCC, nd. </w:t>
              </w:r>
              <w:r>
                <w:rPr>
                  <w:i/>
                  <w:iCs/>
                  <w:noProof/>
                  <w:lang w:val="en-US"/>
                </w:rPr>
                <w:t xml:space="preserve">The Paris Agreement. </w:t>
              </w:r>
              <w:r>
                <w:rPr>
                  <w:noProof/>
                  <w:lang w:val="en-US"/>
                </w:rPr>
                <w:t xml:space="preserve">[Online] </w:t>
              </w:r>
              <w:r>
                <w:rPr>
                  <w:noProof/>
                  <w:lang w:val="en-US"/>
                </w:rPr>
                <w:br/>
                <w:t xml:space="preserve">Available at: </w:t>
              </w:r>
              <w:r>
                <w:rPr>
                  <w:noProof/>
                  <w:u w:val="single"/>
                  <w:lang w:val="en-US"/>
                </w:rPr>
                <w:t>https://unfccc.int/process-and-meetings/the-paris-agreement/the-paris-agreement</w:t>
              </w:r>
              <w:r>
                <w:rPr>
                  <w:noProof/>
                  <w:lang w:val="en-US"/>
                </w:rPr>
                <w:br/>
                <w:t>[Accessed 11 01 2021].</w:t>
              </w:r>
            </w:p>
            <w:p w14:paraId="636FB79E" w14:textId="3E0BA8C9" w:rsidR="00882E8C" w:rsidRDefault="009D7801" w:rsidP="00882E8C">
              <w:pPr>
                <w:pStyle w:val="Heading1"/>
              </w:pPr>
              <w:r>
                <w:rPr>
                  <w:b/>
                  <w:bCs/>
                  <w:noProof/>
                </w:rPr>
                <w:fldChar w:fldCharType="end"/>
              </w:r>
            </w:p>
          </w:sdtContent>
        </w:sdt>
      </w:sdtContent>
    </w:sdt>
    <w:p w14:paraId="60570CD8" w14:textId="18078E70" w:rsidR="00882E8C" w:rsidRDefault="00882E8C" w:rsidP="00882E8C">
      <w:pPr>
        <w:rPr>
          <w:lang w:val="en-US"/>
        </w:rPr>
      </w:pPr>
    </w:p>
    <w:p w14:paraId="74F02C29" w14:textId="3CDB1A0E" w:rsidR="00882E8C" w:rsidRDefault="00882E8C" w:rsidP="00882E8C">
      <w:pPr>
        <w:rPr>
          <w:lang w:val="en-US"/>
        </w:rPr>
      </w:pPr>
    </w:p>
    <w:p w14:paraId="3C8359FC" w14:textId="161FFCA7" w:rsidR="00882E8C" w:rsidRDefault="00882E8C" w:rsidP="00882E8C">
      <w:pPr>
        <w:rPr>
          <w:lang w:val="en-US"/>
        </w:rPr>
      </w:pPr>
    </w:p>
    <w:p w14:paraId="642C5FEB" w14:textId="15689EA1" w:rsidR="00882E8C" w:rsidRDefault="00882E8C" w:rsidP="00882E8C">
      <w:pPr>
        <w:rPr>
          <w:lang w:val="en-US"/>
        </w:rPr>
      </w:pPr>
    </w:p>
    <w:p w14:paraId="699A3B4F" w14:textId="5CE24813" w:rsidR="00882E8C" w:rsidRDefault="00882E8C" w:rsidP="00882E8C">
      <w:pPr>
        <w:rPr>
          <w:lang w:val="en-US"/>
        </w:rPr>
      </w:pPr>
    </w:p>
    <w:p w14:paraId="6FF3DCD6" w14:textId="796BF912" w:rsidR="00882E8C" w:rsidRDefault="00882E8C" w:rsidP="00882E8C">
      <w:pPr>
        <w:rPr>
          <w:lang w:val="en-US"/>
        </w:rPr>
      </w:pPr>
    </w:p>
    <w:p w14:paraId="3E3F2724" w14:textId="17CD76CF" w:rsidR="00882E8C" w:rsidRDefault="00882E8C" w:rsidP="00882E8C">
      <w:pPr>
        <w:rPr>
          <w:lang w:val="en-US"/>
        </w:rPr>
      </w:pPr>
    </w:p>
    <w:p w14:paraId="405397CD" w14:textId="61F35A94" w:rsidR="00882E8C" w:rsidRDefault="00882E8C" w:rsidP="00882E8C">
      <w:pPr>
        <w:rPr>
          <w:lang w:val="en-US"/>
        </w:rPr>
      </w:pPr>
    </w:p>
    <w:p w14:paraId="4FE6C811" w14:textId="63960805" w:rsidR="00882E8C" w:rsidRDefault="00882E8C" w:rsidP="00882E8C">
      <w:pPr>
        <w:rPr>
          <w:lang w:val="en-US"/>
        </w:rPr>
      </w:pPr>
    </w:p>
    <w:p w14:paraId="0DBE8B79" w14:textId="61F96AC2" w:rsidR="00882E8C" w:rsidRDefault="00882E8C" w:rsidP="00882E8C">
      <w:pPr>
        <w:rPr>
          <w:lang w:val="en-US"/>
        </w:rPr>
      </w:pPr>
    </w:p>
    <w:p w14:paraId="38819175" w14:textId="5DB60E71" w:rsidR="00882E8C" w:rsidRDefault="00882E8C" w:rsidP="00882E8C">
      <w:pPr>
        <w:rPr>
          <w:lang w:val="en-US"/>
        </w:rPr>
      </w:pPr>
    </w:p>
    <w:p w14:paraId="2C54F632" w14:textId="52759A47" w:rsidR="00882E8C" w:rsidRDefault="00882E8C" w:rsidP="00882E8C">
      <w:pPr>
        <w:rPr>
          <w:lang w:val="en-US"/>
        </w:rPr>
      </w:pPr>
    </w:p>
    <w:p w14:paraId="04AC85E4" w14:textId="6999251D" w:rsidR="00882E8C" w:rsidRDefault="00882E8C" w:rsidP="00882E8C">
      <w:pPr>
        <w:rPr>
          <w:lang w:val="en-US"/>
        </w:rPr>
      </w:pPr>
    </w:p>
    <w:p w14:paraId="3331A699" w14:textId="12D105FD" w:rsidR="00882E8C" w:rsidRDefault="00882E8C" w:rsidP="00882E8C">
      <w:pPr>
        <w:rPr>
          <w:lang w:val="en-US"/>
        </w:rPr>
      </w:pPr>
    </w:p>
    <w:p w14:paraId="77DF7C8B" w14:textId="53B9E531" w:rsidR="00882E8C" w:rsidRDefault="00882E8C" w:rsidP="00882E8C">
      <w:pPr>
        <w:rPr>
          <w:lang w:val="en-US"/>
        </w:rPr>
      </w:pPr>
    </w:p>
    <w:p w14:paraId="1D9A7D04" w14:textId="4ABAD1BA" w:rsidR="00882E8C" w:rsidRDefault="00882E8C" w:rsidP="00882E8C">
      <w:pPr>
        <w:rPr>
          <w:lang w:val="en-US"/>
        </w:rPr>
      </w:pPr>
    </w:p>
    <w:p w14:paraId="7C0CAD26" w14:textId="0D5B902E" w:rsidR="00882E8C" w:rsidRDefault="00882E8C" w:rsidP="00882E8C">
      <w:pPr>
        <w:rPr>
          <w:lang w:val="en-US"/>
        </w:rPr>
      </w:pPr>
    </w:p>
    <w:p w14:paraId="0CB6F47A" w14:textId="61CDB5E6" w:rsidR="00882E8C" w:rsidRDefault="00882E8C" w:rsidP="00882E8C">
      <w:pPr>
        <w:rPr>
          <w:lang w:val="en-US"/>
        </w:rPr>
      </w:pPr>
    </w:p>
    <w:p w14:paraId="2BC820A2" w14:textId="3798A5CB" w:rsidR="00882E8C" w:rsidRDefault="00882E8C" w:rsidP="00882E8C">
      <w:pPr>
        <w:rPr>
          <w:lang w:val="en-US"/>
        </w:rPr>
      </w:pPr>
    </w:p>
    <w:p w14:paraId="761D2666" w14:textId="57570619" w:rsidR="00882E8C" w:rsidRDefault="00882E8C" w:rsidP="00882E8C">
      <w:pPr>
        <w:rPr>
          <w:lang w:val="en-US"/>
        </w:rPr>
      </w:pPr>
    </w:p>
    <w:p w14:paraId="4091CE6A" w14:textId="77777777" w:rsidR="00882E8C" w:rsidRPr="00882E8C" w:rsidRDefault="00882E8C" w:rsidP="00882E8C">
      <w:pPr>
        <w:rPr>
          <w:lang w:val="en-US"/>
        </w:rPr>
      </w:pPr>
    </w:p>
    <w:p w14:paraId="17EACB3C" w14:textId="77777777" w:rsidR="00882E8C" w:rsidRDefault="00882E8C" w:rsidP="00882E8C">
      <w:pPr>
        <w:pStyle w:val="Heading1"/>
      </w:pPr>
      <w:r>
        <w:lastRenderedPageBreak/>
        <w:t>SECTION C- QUESTION 7</w:t>
      </w:r>
    </w:p>
    <w:p w14:paraId="72714ED3" w14:textId="655F6677" w:rsidR="00882E8C" w:rsidRPr="007F1C75" w:rsidRDefault="00882E8C" w:rsidP="00882E8C">
      <w:pPr>
        <w:pStyle w:val="Heading1"/>
      </w:pPr>
      <w:r w:rsidRPr="007F1C75">
        <w:t>“The principles of good governance are crucial to good environmental conservation” (Hume, 2020: 38).</w:t>
      </w:r>
    </w:p>
    <w:p w14:paraId="7FE9E80A" w14:textId="77777777" w:rsidR="00882E8C" w:rsidRPr="007F1C75" w:rsidRDefault="00882E8C" w:rsidP="00882E8C">
      <w:pPr>
        <w:pStyle w:val="Heading1"/>
      </w:pPr>
      <w:r w:rsidRPr="007F1C75">
        <w:t>Describe and examine the principles of good governance concerning environmental conservation.</w:t>
      </w:r>
    </w:p>
    <w:p w14:paraId="4B77BD58" w14:textId="77777777" w:rsidR="00882E8C" w:rsidRDefault="00882E8C" w:rsidP="00882E8C"/>
    <w:p w14:paraId="4BA7C098" w14:textId="77777777" w:rsidR="00882E8C" w:rsidRDefault="00882E8C" w:rsidP="00882E8C">
      <w:pPr>
        <w:pStyle w:val="Heading1"/>
      </w:pPr>
      <w:r>
        <w:t>Introduction</w:t>
      </w:r>
    </w:p>
    <w:p w14:paraId="7D946912" w14:textId="77777777" w:rsidR="00882E8C" w:rsidRDefault="00882E8C" w:rsidP="00882E8C">
      <w:r>
        <w:t>The principles of good governance can be broken down into 9 parts: accountability, participation, transparency, responsiveness, efficiency, equitability, inclusivity, following rule of law, and consensus orientated. This examination will look at what each of these principles are and how they are applied to environmental conservation.</w:t>
      </w:r>
    </w:p>
    <w:p w14:paraId="418FE049" w14:textId="77777777" w:rsidR="00882E8C" w:rsidRDefault="00882E8C" w:rsidP="00882E8C"/>
    <w:p w14:paraId="479C1707" w14:textId="77777777" w:rsidR="00882E8C" w:rsidRDefault="00882E8C" w:rsidP="00882E8C">
      <w:pPr>
        <w:pStyle w:val="Heading1"/>
      </w:pPr>
      <w:r>
        <w:t>Discussion</w:t>
      </w:r>
    </w:p>
    <w:p w14:paraId="4A2C3E76" w14:textId="77777777" w:rsidR="00882E8C" w:rsidRDefault="00882E8C" w:rsidP="00882E8C">
      <w:r>
        <w:t xml:space="preserve">Primarily it must be noted that governance is essential for environmental conservation as it is the most efficient and productive way to implement and monitor any changes in environmental issues. Without regulations there is not incentive for alternative conservation efforts to be followed. There are many examples that show the differences that can be made by following political and governmental channels, most notably in recent times by Greta Thunberg </w:t>
      </w:r>
      <w:sdt>
        <w:sdtPr>
          <w:id w:val="722879240"/>
          <w:citation/>
        </w:sdtPr>
        <w:sdtContent>
          <w:r>
            <w:fldChar w:fldCharType="begin"/>
          </w:r>
          <w:r>
            <w:instrText xml:space="preserve"> CITATION The201 \l 2057 </w:instrText>
          </w:r>
          <w:r>
            <w:fldChar w:fldCharType="separate"/>
          </w:r>
          <w:r w:rsidRPr="00F46F73">
            <w:rPr>
              <w:noProof/>
            </w:rPr>
            <w:t>(The Guardian, 2020)</w:t>
          </w:r>
          <w:r>
            <w:fldChar w:fldCharType="end"/>
          </w:r>
        </w:sdtContent>
      </w:sdt>
      <w:r>
        <w:t xml:space="preserve"> who has made the climate crisis a more widely debated topic by both the public and </w:t>
      </w:r>
      <w:proofErr w:type="gramStart"/>
      <w:r>
        <w:t>policy-makers</w:t>
      </w:r>
      <w:proofErr w:type="gramEnd"/>
      <w:r>
        <w:t xml:space="preserve">. In contrast, there are also numerous examples of how not engaging with governance systems in place either </w:t>
      </w:r>
      <w:proofErr w:type="gramStart"/>
      <w:r>
        <w:t>doesn’t</w:t>
      </w:r>
      <w:proofErr w:type="gramEnd"/>
      <w:r>
        <w:t xml:space="preserve"> bring the desired change or damages the cause further, such as some of the protests carried out by Extinction Rebellion </w:t>
      </w:r>
      <w:sdt>
        <w:sdtPr>
          <w:id w:val="760181601"/>
          <w:citation/>
        </w:sdtPr>
        <w:sdtContent>
          <w:r>
            <w:fldChar w:fldCharType="begin"/>
          </w:r>
          <w:r>
            <w:instrText xml:space="preserve"> CITATION The202 \l 2057 </w:instrText>
          </w:r>
          <w:r>
            <w:fldChar w:fldCharType="separate"/>
          </w:r>
          <w:r w:rsidRPr="00F46F73">
            <w:rPr>
              <w:noProof/>
            </w:rPr>
            <w:t>(The Guardian, 2020)</w:t>
          </w:r>
          <w:r>
            <w:fldChar w:fldCharType="end"/>
          </w:r>
        </w:sdtContent>
      </w:sdt>
      <w:r>
        <w:t>.</w:t>
      </w:r>
    </w:p>
    <w:p w14:paraId="1E650352" w14:textId="77777777" w:rsidR="00882E8C" w:rsidRDefault="00882E8C" w:rsidP="00882E8C">
      <w:r>
        <w:t xml:space="preserve">Accountability- this is ensuring that all parties involved in the process, from staff members and volunteers to directors and office holders are all seen to be responsible for their actions </w:t>
      </w:r>
      <w:sdt>
        <w:sdtPr>
          <w:id w:val="1741671027"/>
          <w:citation/>
        </w:sdtPr>
        <w:sdtContent>
          <w:r>
            <w:fldChar w:fldCharType="begin"/>
          </w:r>
          <w:r>
            <w:instrText xml:space="preserve"> CITATION Brind \l 2057 </w:instrText>
          </w:r>
          <w:r>
            <w:fldChar w:fldCharType="separate"/>
          </w:r>
          <w:r w:rsidRPr="00F46F73">
            <w:rPr>
              <w:noProof/>
            </w:rPr>
            <w:t>(British and Irish Ombudsman Association, nd)</w:t>
          </w:r>
          <w:r>
            <w:fldChar w:fldCharType="end"/>
          </w:r>
        </w:sdtContent>
      </w:sdt>
      <w:r>
        <w:t xml:space="preserve">. For environmental conservation, this will mostly relate to decisions that are made by governing bodies over how to proceed with developments and/or conservation work itself. Recently there have been investigations into the accountability over decisions made by the Environment Agency on works done to a protected river, which is a perfect example of how good governance can easily lose its status from poor communication </w:t>
      </w:r>
      <w:sdt>
        <w:sdtPr>
          <w:id w:val="1065842186"/>
          <w:citation/>
        </w:sdtPr>
        <w:sdtContent>
          <w:r>
            <w:fldChar w:fldCharType="begin"/>
          </w:r>
          <w:r>
            <w:instrText xml:space="preserve"> CITATION San20 \l 2057 </w:instrText>
          </w:r>
          <w:r>
            <w:fldChar w:fldCharType="separate"/>
          </w:r>
          <w:r w:rsidRPr="00F46F73">
            <w:rPr>
              <w:noProof/>
            </w:rPr>
            <w:t>(Laville, 2020)</w:t>
          </w:r>
          <w:r>
            <w:fldChar w:fldCharType="end"/>
          </w:r>
        </w:sdtContent>
      </w:sdt>
      <w:r>
        <w:t>.</w:t>
      </w:r>
    </w:p>
    <w:p w14:paraId="243D1B16" w14:textId="77777777" w:rsidR="00882E8C" w:rsidRDefault="00882E8C" w:rsidP="00882E8C">
      <w:r>
        <w:t xml:space="preserve">Participation- for governance to be effective, there needs to be participation from all involved stakeholders in the decision-making process. Engagement should be sought out and encouraged to ensure there has been equitable participation </w:t>
      </w:r>
      <w:sdt>
        <w:sdtPr>
          <w:id w:val="-163313721"/>
          <w:citation/>
        </w:sdtPr>
        <w:sdtContent>
          <w:r>
            <w:fldChar w:fldCharType="begin"/>
          </w:r>
          <w:r>
            <w:instrText xml:space="preserve"> CITATION Govnd \l 2057 </w:instrText>
          </w:r>
          <w:r>
            <w:fldChar w:fldCharType="separate"/>
          </w:r>
          <w:r w:rsidRPr="00F46F73">
            <w:rPr>
              <w:noProof/>
            </w:rPr>
            <w:t>(Governance Guiding Principles, nd)</w:t>
          </w:r>
          <w:r>
            <w:fldChar w:fldCharType="end"/>
          </w:r>
        </w:sdtContent>
      </w:sdt>
      <w:r>
        <w:t xml:space="preserve">. In terms of environmental conservation, this would be engaging with the public up to head figures of an area. For example, areas of Poland that were ear-marked for conservation saw participation from the public up to the implementation of EU directives to ensure that the correct decisions were made </w:t>
      </w:r>
      <w:sdt>
        <w:sdtPr>
          <w:id w:val="-771011754"/>
          <w:citation/>
        </w:sdtPr>
        <w:sdtContent>
          <w:r>
            <w:fldChar w:fldCharType="begin"/>
          </w:r>
          <w:r>
            <w:instrText xml:space="preserve"> CITATION Joa14 \l 2057 </w:instrText>
          </w:r>
          <w:r>
            <w:fldChar w:fldCharType="separate"/>
          </w:r>
          <w:r w:rsidRPr="00F46F73">
            <w:rPr>
              <w:noProof/>
            </w:rPr>
            <w:t>(Cent, et al., 2014)</w:t>
          </w:r>
          <w:r>
            <w:fldChar w:fldCharType="end"/>
          </w:r>
        </w:sdtContent>
      </w:sdt>
      <w:r>
        <w:t>.</w:t>
      </w:r>
    </w:p>
    <w:p w14:paraId="5744DA9B" w14:textId="77777777" w:rsidR="00882E8C" w:rsidRDefault="00882E8C" w:rsidP="00882E8C">
      <w:r>
        <w:t xml:space="preserve">Transparency- by guaranteeing that all decisions and actions are openly available, it shows what is happening, who it will affect and why it is happening </w:t>
      </w:r>
      <w:sdt>
        <w:sdtPr>
          <w:id w:val="-241020212"/>
          <w:citation/>
        </w:sdtPr>
        <w:sdtContent>
          <w:r>
            <w:fldChar w:fldCharType="begin"/>
          </w:r>
          <w:r>
            <w:instrText xml:space="preserve"> CITATION Goond \l 2057 </w:instrText>
          </w:r>
          <w:r>
            <w:fldChar w:fldCharType="separate"/>
          </w:r>
          <w:r w:rsidRPr="00F46F73">
            <w:rPr>
              <w:noProof/>
            </w:rPr>
            <w:t>(Good Governance Institute, nd)</w:t>
          </w:r>
          <w:r>
            <w:fldChar w:fldCharType="end"/>
          </w:r>
        </w:sdtContent>
      </w:sdt>
      <w:r>
        <w:t xml:space="preserve">. This also sets a precedent to allow decisions to allow decisions to be challenged. The recent HS2 developments </w:t>
      </w:r>
      <w:r>
        <w:lastRenderedPageBreak/>
        <w:t>have seen much of this, though in this instance plans have not been altered a great amount unless there has been a real need to do so.</w:t>
      </w:r>
    </w:p>
    <w:p w14:paraId="07834E52" w14:textId="77777777" w:rsidR="00882E8C" w:rsidRDefault="00882E8C" w:rsidP="00882E8C">
      <w:r>
        <w:t xml:space="preserve">Responsiveness- by remaining flexible and responsive, policies </w:t>
      </w:r>
      <w:proofErr w:type="gramStart"/>
      <w:r>
        <w:t>don’t</w:t>
      </w:r>
      <w:proofErr w:type="gramEnd"/>
      <w:r>
        <w:t xml:space="preserve"> remain outdated and can keep up with an ever-changing environment and political system. For the natural environment, which has constantly changing needs, this is vital for effective conservation governance.</w:t>
      </w:r>
    </w:p>
    <w:p w14:paraId="53604361" w14:textId="77777777" w:rsidR="00882E8C" w:rsidRDefault="00882E8C" w:rsidP="00882E8C">
      <w:r>
        <w:t xml:space="preserve">Efficiency/Effectiveness- to be effective and efficient, an appropriate use of skills, resources should be applied to warrant satisfactory distribution of duties and responsibilities </w:t>
      </w:r>
      <w:sdt>
        <w:sdtPr>
          <w:id w:val="852611285"/>
          <w:citation/>
        </w:sdtPr>
        <w:sdtContent>
          <w:r>
            <w:fldChar w:fldCharType="begin"/>
          </w:r>
          <w:r>
            <w:instrText xml:space="preserve"> CITATION Govnd \l 2057 </w:instrText>
          </w:r>
          <w:r>
            <w:fldChar w:fldCharType="separate"/>
          </w:r>
          <w:r w:rsidRPr="00F46F73">
            <w:rPr>
              <w:noProof/>
            </w:rPr>
            <w:t>(Governance Guiding Principles, nd)</w:t>
          </w:r>
          <w:r>
            <w:fldChar w:fldCharType="end"/>
          </w:r>
        </w:sdtContent>
      </w:sdt>
      <w:r>
        <w:t>. For conservation, this would be using the knowledge of partnering organisations such as Natural Resources Wales</w:t>
      </w:r>
    </w:p>
    <w:p w14:paraId="2F05C4CB" w14:textId="77777777" w:rsidR="00882E8C" w:rsidRDefault="00882E8C" w:rsidP="00882E8C">
      <w:r>
        <w:t>Equitability- to ensure that all parties have an equal say in the decision-making process. This is particularly important for environmental conservation as certain governing bodies or institutions without any official power require equal opportunity to voice their concerns and proposals without fear of being dismissed.</w:t>
      </w:r>
    </w:p>
    <w:p w14:paraId="0B5B7073" w14:textId="77777777" w:rsidR="00882E8C" w:rsidRDefault="00882E8C" w:rsidP="00882E8C">
      <w:r>
        <w:t xml:space="preserve">Inclusivity- by engaging with people and organisations at all levels more effective policies can be created that meet the needs of the many rather than the few. For environmental conservation, this could include liaising with local farmers for a designated site, as well as local communities, businesses, </w:t>
      </w:r>
      <w:proofErr w:type="gramStart"/>
      <w:r>
        <w:t>developers</w:t>
      </w:r>
      <w:proofErr w:type="gramEnd"/>
      <w:r>
        <w:t xml:space="preserve"> and governing bodies.</w:t>
      </w:r>
    </w:p>
    <w:p w14:paraId="4DF590F1" w14:textId="77777777" w:rsidR="00882E8C" w:rsidRDefault="00882E8C" w:rsidP="00882E8C">
      <w:r>
        <w:t xml:space="preserve">Rules of law- good governance requires fair legal systems that are enforced impartially by none of the involved stakeholders. In terms of conservation, this would be anything from enforcing fly-tipping fines to investigation should any stakeholder </w:t>
      </w:r>
      <w:proofErr w:type="gramStart"/>
      <w:r>
        <w:t>make a decision</w:t>
      </w:r>
      <w:proofErr w:type="gramEnd"/>
      <w:r>
        <w:t xml:space="preserve"> without following the correct process.</w:t>
      </w:r>
    </w:p>
    <w:p w14:paraId="60C64AFC" w14:textId="77777777" w:rsidR="00882E8C" w:rsidRDefault="00882E8C" w:rsidP="00882E8C">
      <w:r>
        <w:t>Consensus orientated- to make a decision that meets the requirements of the majority is important for good governance, and particularly for environmental conservation. By creating a policy that meets the majority rather than focusing on one interest, parties are not ignored and any work that is carried out will have all relevant requirements met (though this may be in differing degrees or levels).</w:t>
      </w:r>
    </w:p>
    <w:p w14:paraId="323792CB" w14:textId="77777777" w:rsidR="00882E8C" w:rsidRDefault="00882E8C" w:rsidP="00882E8C"/>
    <w:p w14:paraId="19074925" w14:textId="77777777" w:rsidR="00882E8C" w:rsidRDefault="00882E8C" w:rsidP="00882E8C">
      <w:pPr>
        <w:pStyle w:val="Heading1"/>
      </w:pPr>
      <w:r>
        <w:t>Conclusion</w:t>
      </w:r>
    </w:p>
    <w:p w14:paraId="478DCA49" w14:textId="77777777" w:rsidR="00882E8C" w:rsidRDefault="00882E8C" w:rsidP="00882E8C">
      <w:r>
        <w:t>Safeguarding and continuing with effective environmental conservation goes hand in hand with good governance; without strong, stable ad flexible policies in place that are subject to constant review, work cannot be carried out at a level that is sustainable or enforceable.</w:t>
      </w:r>
    </w:p>
    <w:p w14:paraId="2596350D" w14:textId="77777777" w:rsidR="00882E8C" w:rsidRDefault="00882E8C" w:rsidP="00882E8C"/>
    <w:sdt>
      <w:sdtPr>
        <w:rPr>
          <w:rFonts w:asciiTheme="minorHAnsi" w:eastAsiaTheme="minorHAnsi" w:hAnsiTheme="minorHAnsi" w:cstheme="minorBidi"/>
          <w:color w:val="auto"/>
          <w:sz w:val="22"/>
          <w:szCs w:val="22"/>
          <w:lang w:val="en-GB"/>
        </w:rPr>
        <w:id w:val="-1898345576"/>
        <w:docPartObj>
          <w:docPartGallery w:val="Bibliographies"/>
          <w:docPartUnique/>
        </w:docPartObj>
      </w:sdtPr>
      <w:sdtContent>
        <w:p w14:paraId="0E7E0818" w14:textId="77777777" w:rsidR="00882E8C" w:rsidRDefault="00882E8C" w:rsidP="00882E8C">
          <w:pPr>
            <w:pStyle w:val="Heading1"/>
          </w:pPr>
          <w:r>
            <w:t>References</w:t>
          </w:r>
        </w:p>
        <w:sdt>
          <w:sdtPr>
            <w:id w:val="1431010240"/>
            <w:bibliography/>
          </w:sdtPr>
          <w:sdtContent>
            <w:p w14:paraId="1409486E" w14:textId="77777777" w:rsidR="00882E8C" w:rsidRDefault="00882E8C" w:rsidP="00882E8C">
              <w:pPr>
                <w:pStyle w:val="Bibliography"/>
                <w:rPr>
                  <w:noProof/>
                  <w:sz w:val="24"/>
                  <w:szCs w:val="24"/>
                  <w:lang w:val="en-US"/>
                </w:rPr>
              </w:pPr>
              <w:r>
                <w:fldChar w:fldCharType="begin"/>
              </w:r>
              <w:r>
                <w:instrText xml:space="preserve"> BIBLIOGRAPHY </w:instrText>
              </w:r>
              <w:r>
                <w:fldChar w:fldCharType="separate"/>
              </w:r>
              <w:r>
                <w:rPr>
                  <w:noProof/>
                  <w:lang w:val="en-US"/>
                </w:rPr>
                <w:t xml:space="preserve">British and Irish Ombudsman Association, nd. </w:t>
              </w:r>
              <w:r>
                <w:rPr>
                  <w:i/>
                  <w:iCs/>
                  <w:noProof/>
                  <w:lang w:val="en-US"/>
                </w:rPr>
                <w:t xml:space="preserve">Guide to principles of good governance. </w:t>
              </w:r>
              <w:r>
                <w:rPr>
                  <w:noProof/>
                  <w:lang w:val="en-US"/>
                </w:rPr>
                <w:t xml:space="preserve">[Online] </w:t>
              </w:r>
              <w:r>
                <w:rPr>
                  <w:noProof/>
                  <w:lang w:val="en-US"/>
                </w:rPr>
                <w:br/>
                <w:t xml:space="preserve">Available at: </w:t>
              </w:r>
              <w:r>
                <w:rPr>
                  <w:noProof/>
                  <w:u w:val="single"/>
                  <w:lang w:val="en-US"/>
                </w:rPr>
                <w:t>https://www.ombudsmanassociation.org/docs/BIOAGovernanceGuideOct09.pdf</w:t>
              </w:r>
              <w:r>
                <w:rPr>
                  <w:noProof/>
                  <w:lang w:val="en-US"/>
                </w:rPr>
                <w:br/>
                <w:t>[Accessed 11 01 2021].</w:t>
              </w:r>
            </w:p>
            <w:p w14:paraId="432C50EB" w14:textId="77777777" w:rsidR="00882E8C" w:rsidRDefault="00882E8C" w:rsidP="00882E8C">
              <w:pPr>
                <w:pStyle w:val="Bibliography"/>
                <w:rPr>
                  <w:noProof/>
                  <w:lang w:val="en-US"/>
                </w:rPr>
              </w:pPr>
              <w:r>
                <w:rPr>
                  <w:noProof/>
                  <w:lang w:val="en-US"/>
                </w:rPr>
                <w:t xml:space="preserve">Cent, J., Grodzińska-Jurczak, M. &amp; Pietrzyk-Kaszyńska, A., 2014. Emerging multilevel environmental governance – A case of public participation in Poland. </w:t>
              </w:r>
              <w:r>
                <w:rPr>
                  <w:i/>
                  <w:iCs/>
                  <w:noProof/>
                  <w:lang w:val="en-US"/>
                </w:rPr>
                <w:t xml:space="preserve">Journal for Nature Conservation, </w:t>
              </w:r>
              <w:r>
                <w:rPr>
                  <w:noProof/>
                  <w:lang w:val="en-US"/>
                </w:rPr>
                <w:t>22(2), pp. 93-102.</w:t>
              </w:r>
            </w:p>
            <w:p w14:paraId="1629209D" w14:textId="77777777" w:rsidR="00882E8C" w:rsidRDefault="00882E8C" w:rsidP="00882E8C">
              <w:pPr>
                <w:pStyle w:val="Bibliography"/>
                <w:rPr>
                  <w:noProof/>
                  <w:lang w:val="en-US"/>
                </w:rPr>
              </w:pPr>
              <w:r>
                <w:rPr>
                  <w:noProof/>
                  <w:lang w:val="en-US"/>
                </w:rPr>
                <w:lastRenderedPageBreak/>
                <w:t xml:space="preserve">Good Governance Institute, nd. </w:t>
              </w:r>
              <w:r>
                <w:rPr>
                  <w:i/>
                  <w:iCs/>
                  <w:noProof/>
                  <w:lang w:val="en-US"/>
                </w:rPr>
                <w:t xml:space="preserve">The Nolan Principles. </w:t>
              </w:r>
              <w:r>
                <w:rPr>
                  <w:noProof/>
                  <w:lang w:val="en-US"/>
                </w:rPr>
                <w:t xml:space="preserve">[Online] </w:t>
              </w:r>
              <w:r>
                <w:rPr>
                  <w:noProof/>
                  <w:lang w:val="en-US"/>
                </w:rPr>
                <w:br/>
                <w:t xml:space="preserve">Available at: </w:t>
              </w:r>
              <w:r>
                <w:rPr>
                  <w:noProof/>
                  <w:u w:val="single"/>
                  <w:lang w:val="en-US"/>
                </w:rPr>
                <w:t>https://www.good-governance.org.uk/blog-post/the-nolan-principles/</w:t>
              </w:r>
              <w:r>
                <w:rPr>
                  <w:noProof/>
                  <w:lang w:val="en-US"/>
                </w:rPr>
                <w:br/>
                <w:t>[Accessed 11 01 2021].</w:t>
              </w:r>
            </w:p>
            <w:p w14:paraId="42D4E753" w14:textId="77777777" w:rsidR="00882E8C" w:rsidRDefault="00882E8C" w:rsidP="00882E8C">
              <w:pPr>
                <w:pStyle w:val="Bibliography"/>
                <w:rPr>
                  <w:noProof/>
                  <w:lang w:val="en-US"/>
                </w:rPr>
              </w:pPr>
              <w:r>
                <w:rPr>
                  <w:noProof/>
                  <w:lang w:val="en-US"/>
                </w:rPr>
                <w:t xml:space="preserve">Governance Guiding Principles, nd. </w:t>
              </w:r>
              <w:r>
                <w:rPr>
                  <w:i/>
                  <w:iCs/>
                  <w:noProof/>
                  <w:lang w:val="en-US"/>
                </w:rPr>
                <w:t xml:space="preserve">Governance Guiding Principles. </w:t>
              </w:r>
              <w:r>
                <w:rPr>
                  <w:noProof/>
                  <w:lang w:val="en-US"/>
                </w:rPr>
                <w:t xml:space="preserve">[Online] </w:t>
              </w:r>
              <w:r>
                <w:rPr>
                  <w:noProof/>
                  <w:lang w:val="en-US"/>
                </w:rPr>
                <w:br/>
                <w:t xml:space="preserve">Available at: </w:t>
              </w:r>
              <w:r>
                <w:rPr>
                  <w:noProof/>
                  <w:u w:val="single"/>
                  <w:lang w:val="en-US"/>
                </w:rPr>
                <w:t>https://www.governanceprinciples.scot/governance-guiding-principles</w:t>
              </w:r>
              <w:r>
                <w:rPr>
                  <w:noProof/>
                  <w:lang w:val="en-US"/>
                </w:rPr>
                <w:br/>
                <w:t>[Accessed 11 01 2021].</w:t>
              </w:r>
            </w:p>
            <w:p w14:paraId="7CBB2F25" w14:textId="77777777" w:rsidR="00882E8C" w:rsidRDefault="00882E8C" w:rsidP="00882E8C">
              <w:pPr>
                <w:pStyle w:val="Bibliography"/>
                <w:rPr>
                  <w:noProof/>
                  <w:lang w:val="en-US"/>
                </w:rPr>
              </w:pPr>
              <w:r>
                <w:rPr>
                  <w:noProof/>
                  <w:lang w:val="en-US"/>
                </w:rPr>
                <w:t xml:space="preserve">Laville, S., 2020. </w:t>
              </w:r>
              <w:r>
                <w:rPr>
                  <w:i/>
                  <w:iCs/>
                  <w:noProof/>
                  <w:lang w:val="en-US"/>
                </w:rPr>
                <w:t xml:space="preserve">Environment Agency faces questions over works on protected river. </w:t>
              </w:r>
              <w:r>
                <w:rPr>
                  <w:noProof/>
                  <w:lang w:val="en-US"/>
                </w:rPr>
                <w:t xml:space="preserve">[Online] </w:t>
              </w:r>
              <w:r>
                <w:rPr>
                  <w:noProof/>
                  <w:lang w:val="en-US"/>
                </w:rPr>
                <w:br/>
                <w:t xml:space="preserve">Available at: </w:t>
              </w:r>
              <w:r>
                <w:rPr>
                  <w:noProof/>
                  <w:u w:val="single"/>
                  <w:lang w:val="en-US"/>
                </w:rPr>
                <w:t>https://www.theguardian.com/environment/2020/dec/07/environment-agency-faces-questions-over-works-on-protected-river</w:t>
              </w:r>
              <w:r>
                <w:rPr>
                  <w:noProof/>
                  <w:lang w:val="en-US"/>
                </w:rPr>
                <w:br/>
                <w:t>[Accessed 11 01 2021].</w:t>
              </w:r>
            </w:p>
            <w:p w14:paraId="340C9009" w14:textId="77777777" w:rsidR="00882E8C" w:rsidRDefault="00882E8C" w:rsidP="00882E8C">
              <w:pPr>
                <w:pStyle w:val="Bibliography"/>
                <w:rPr>
                  <w:noProof/>
                  <w:lang w:val="en-US"/>
                </w:rPr>
              </w:pPr>
              <w:r>
                <w:rPr>
                  <w:noProof/>
                  <w:lang w:val="en-US"/>
                </w:rPr>
                <w:t xml:space="preserve">The Guardian, 2020. </w:t>
              </w:r>
              <w:r>
                <w:rPr>
                  <w:i/>
                  <w:iCs/>
                  <w:noProof/>
                  <w:lang w:val="en-US"/>
                </w:rPr>
                <w:t xml:space="preserve">Veteran activist Swampy among protesters in HS2 site standoff with police. </w:t>
              </w:r>
              <w:r>
                <w:rPr>
                  <w:noProof/>
                  <w:lang w:val="en-US"/>
                </w:rPr>
                <w:t xml:space="preserve">[Online] </w:t>
              </w:r>
              <w:r>
                <w:rPr>
                  <w:noProof/>
                  <w:lang w:val="en-US"/>
                </w:rPr>
                <w:br/>
                <w:t xml:space="preserve">Available at: </w:t>
              </w:r>
              <w:r>
                <w:rPr>
                  <w:noProof/>
                  <w:u w:val="single"/>
                  <w:lang w:val="en-US"/>
                </w:rPr>
                <w:t>https://www.theguardian.com/uk-news/2020/dec/08/veteran-activist-swampy-among-protesters-in-hs2-site-standoff-with-police</w:t>
              </w:r>
              <w:r>
                <w:rPr>
                  <w:noProof/>
                  <w:lang w:val="en-US"/>
                </w:rPr>
                <w:br/>
                <w:t>[Accessed 11 01 2021].</w:t>
              </w:r>
            </w:p>
            <w:p w14:paraId="60FE6AD5" w14:textId="77777777" w:rsidR="00882E8C" w:rsidRDefault="00882E8C" w:rsidP="00882E8C">
              <w:pPr>
                <w:pStyle w:val="Bibliography"/>
                <w:rPr>
                  <w:noProof/>
                  <w:lang w:val="en-US"/>
                </w:rPr>
              </w:pPr>
              <w:r>
                <w:rPr>
                  <w:noProof/>
                  <w:lang w:val="en-US"/>
                </w:rPr>
                <w:t xml:space="preserve">The Guardian, 2020. </w:t>
              </w:r>
              <w:r>
                <w:rPr>
                  <w:i/>
                  <w:iCs/>
                  <w:noProof/>
                  <w:lang w:val="en-US"/>
                </w:rPr>
                <w:t xml:space="preserve">'We cannot make it without science': Greta Thunberg says climate experts are being ignored. </w:t>
              </w:r>
              <w:r>
                <w:rPr>
                  <w:noProof/>
                  <w:lang w:val="en-US"/>
                </w:rPr>
                <w:t xml:space="preserve">[Online] </w:t>
              </w:r>
              <w:r>
                <w:rPr>
                  <w:noProof/>
                  <w:lang w:val="en-US"/>
                </w:rPr>
                <w:br/>
                <w:t xml:space="preserve">Available at: </w:t>
              </w:r>
              <w:r>
                <w:rPr>
                  <w:noProof/>
                  <w:u w:val="single"/>
                  <w:lang w:val="en-US"/>
                </w:rPr>
                <w:t>https://www.theguardian.com/environment/2020/dec/29/we-cannot-make-it-without-science-greta-thunberg-says-climate-experts-are-being-ignored</w:t>
              </w:r>
              <w:r>
                <w:rPr>
                  <w:noProof/>
                  <w:lang w:val="en-US"/>
                </w:rPr>
                <w:br/>
                <w:t>[Accessed 11 01 2021].</w:t>
              </w:r>
            </w:p>
            <w:p w14:paraId="1B5544BF" w14:textId="77777777" w:rsidR="00882E8C" w:rsidRDefault="00882E8C" w:rsidP="00882E8C">
              <w:r>
                <w:rPr>
                  <w:b/>
                  <w:bCs/>
                  <w:noProof/>
                </w:rPr>
                <w:fldChar w:fldCharType="end"/>
              </w:r>
            </w:p>
          </w:sdtContent>
        </w:sdt>
      </w:sdtContent>
    </w:sdt>
    <w:p w14:paraId="1A060AB1" w14:textId="313B2549" w:rsidR="009D7801" w:rsidRDefault="009D7801" w:rsidP="00504820"/>
    <w:sectPr w:rsidR="009D7801">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E23F45" w14:textId="77777777" w:rsidR="0067734A" w:rsidRDefault="0067734A" w:rsidP="00BA2A06">
      <w:pPr>
        <w:spacing w:after="0" w:line="240" w:lineRule="auto"/>
      </w:pPr>
      <w:r>
        <w:separator/>
      </w:r>
    </w:p>
  </w:endnote>
  <w:endnote w:type="continuationSeparator" w:id="0">
    <w:p w14:paraId="170B122A" w14:textId="77777777" w:rsidR="0067734A" w:rsidRDefault="0067734A" w:rsidP="00BA2A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89E0C6" w14:textId="77777777" w:rsidR="0067734A" w:rsidRDefault="0067734A" w:rsidP="00BA2A06">
      <w:pPr>
        <w:spacing w:after="0" w:line="240" w:lineRule="auto"/>
      </w:pPr>
      <w:r>
        <w:separator/>
      </w:r>
    </w:p>
  </w:footnote>
  <w:footnote w:type="continuationSeparator" w:id="0">
    <w:p w14:paraId="19B07495" w14:textId="77777777" w:rsidR="0067734A" w:rsidRDefault="0067734A" w:rsidP="00BA2A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E95B97" w14:textId="4207C360" w:rsidR="00663D6B" w:rsidRDefault="00663D6B">
    <w:pPr>
      <w:pStyle w:val="Header"/>
    </w:pPr>
    <w:hyperlink r:id="rId1" w:history="1">
      <w:r w:rsidRPr="00D75C8F">
        <w:rPr>
          <w:rStyle w:val="Hyperlink"/>
        </w:rPr>
        <w:t>1907970@student.uwtsd.ac.uk</w:t>
      </w:r>
    </w:hyperlink>
    <w:r>
      <w:t xml:space="preserve"> – Rebecca Macfarlane</w:t>
    </w:r>
  </w:p>
  <w:p w14:paraId="7EEAD8D8" w14:textId="77777777" w:rsidR="00BA2A06" w:rsidRDefault="00BA2A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F055182"/>
    <w:multiLevelType w:val="hybridMultilevel"/>
    <w:tmpl w:val="25C8AC3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419F"/>
    <w:rsid w:val="00071853"/>
    <w:rsid w:val="00112F0B"/>
    <w:rsid w:val="002C1C39"/>
    <w:rsid w:val="0033364A"/>
    <w:rsid w:val="003F0D05"/>
    <w:rsid w:val="00504820"/>
    <w:rsid w:val="0057419F"/>
    <w:rsid w:val="00663D6B"/>
    <w:rsid w:val="0067734A"/>
    <w:rsid w:val="007E6F2A"/>
    <w:rsid w:val="00831747"/>
    <w:rsid w:val="00854524"/>
    <w:rsid w:val="00882E8C"/>
    <w:rsid w:val="009942DB"/>
    <w:rsid w:val="009D7801"/>
    <w:rsid w:val="00B4398B"/>
    <w:rsid w:val="00BA2A06"/>
    <w:rsid w:val="00D234D7"/>
    <w:rsid w:val="00DA1F3C"/>
    <w:rsid w:val="00DB0D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A7316"/>
  <w15:chartTrackingRefBased/>
  <w15:docId w15:val="{D651C30C-5DA0-4842-9053-D3A9FC576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482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50482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419F"/>
    <w:pPr>
      <w:spacing w:after="0" w:line="240" w:lineRule="auto"/>
      <w:ind w:left="720"/>
      <w:contextualSpacing/>
    </w:pPr>
    <w:rPr>
      <w:rFonts w:ascii="Times New Roman" w:eastAsia="Times New Roman" w:hAnsi="Times New Roman" w:cs="Times New Roman"/>
      <w:sz w:val="24"/>
      <w:szCs w:val="20"/>
      <w:lang w:eastAsia="en-GB"/>
    </w:rPr>
  </w:style>
  <w:style w:type="character" w:customStyle="1" w:styleId="Heading1Char">
    <w:name w:val="Heading 1 Char"/>
    <w:basedOn w:val="DefaultParagraphFont"/>
    <w:link w:val="Heading1"/>
    <w:uiPriority w:val="9"/>
    <w:rsid w:val="00504820"/>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rsid w:val="00504820"/>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9942DB"/>
  </w:style>
  <w:style w:type="paragraph" w:styleId="Header">
    <w:name w:val="header"/>
    <w:basedOn w:val="Normal"/>
    <w:link w:val="HeaderChar"/>
    <w:uiPriority w:val="99"/>
    <w:unhideWhenUsed/>
    <w:rsid w:val="00BA2A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2A06"/>
  </w:style>
  <w:style w:type="paragraph" w:styleId="Footer">
    <w:name w:val="footer"/>
    <w:basedOn w:val="Normal"/>
    <w:link w:val="FooterChar"/>
    <w:uiPriority w:val="99"/>
    <w:unhideWhenUsed/>
    <w:rsid w:val="00BA2A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2A06"/>
  </w:style>
  <w:style w:type="character" w:styleId="Hyperlink">
    <w:name w:val="Hyperlink"/>
    <w:basedOn w:val="DefaultParagraphFont"/>
    <w:uiPriority w:val="99"/>
    <w:unhideWhenUsed/>
    <w:rsid w:val="00663D6B"/>
    <w:rPr>
      <w:color w:val="0563C1" w:themeColor="hyperlink"/>
      <w:u w:val="single"/>
    </w:rPr>
  </w:style>
  <w:style w:type="character" w:styleId="UnresolvedMention">
    <w:name w:val="Unresolved Mention"/>
    <w:basedOn w:val="DefaultParagraphFont"/>
    <w:uiPriority w:val="99"/>
    <w:semiHidden/>
    <w:unhideWhenUsed/>
    <w:rsid w:val="00663D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232616">
      <w:bodyDiv w:val="1"/>
      <w:marLeft w:val="0"/>
      <w:marRight w:val="0"/>
      <w:marTop w:val="0"/>
      <w:marBottom w:val="0"/>
      <w:divBdr>
        <w:top w:val="none" w:sz="0" w:space="0" w:color="auto"/>
        <w:left w:val="none" w:sz="0" w:space="0" w:color="auto"/>
        <w:bottom w:val="none" w:sz="0" w:space="0" w:color="auto"/>
        <w:right w:val="none" w:sz="0" w:space="0" w:color="auto"/>
      </w:divBdr>
    </w:div>
    <w:div w:id="82193392">
      <w:bodyDiv w:val="1"/>
      <w:marLeft w:val="0"/>
      <w:marRight w:val="0"/>
      <w:marTop w:val="0"/>
      <w:marBottom w:val="0"/>
      <w:divBdr>
        <w:top w:val="none" w:sz="0" w:space="0" w:color="auto"/>
        <w:left w:val="none" w:sz="0" w:space="0" w:color="auto"/>
        <w:bottom w:val="none" w:sz="0" w:space="0" w:color="auto"/>
        <w:right w:val="none" w:sz="0" w:space="0" w:color="auto"/>
      </w:divBdr>
    </w:div>
    <w:div w:id="130832574">
      <w:bodyDiv w:val="1"/>
      <w:marLeft w:val="0"/>
      <w:marRight w:val="0"/>
      <w:marTop w:val="0"/>
      <w:marBottom w:val="0"/>
      <w:divBdr>
        <w:top w:val="none" w:sz="0" w:space="0" w:color="auto"/>
        <w:left w:val="none" w:sz="0" w:space="0" w:color="auto"/>
        <w:bottom w:val="none" w:sz="0" w:space="0" w:color="auto"/>
        <w:right w:val="none" w:sz="0" w:space="0" w:color="auto"/>
      </w:divBdr>
    </w:div>
    <w:div w:id="198590923">
      <w:bodyDiv w:val="1"/>
      <w:marLeft w:val="0"/>
      <w:marRight w:val="0"/>
      <w:marTop w:val="0"/>
      <w:marBottom w:val="0"/>
      <w:divBdr>
        <w:top w:val="none" w:sz="0" w:space="0" w:color="auto"/>
        <w:left w:val="none" w:sz="0" w:space="0" w:color="auto"/>
        <w:bottom w:val="none" w:sz="0" w:space="0" w:color="auto"/>
        <w:right w:val="none" w:sz="0" w:space="0" w:color="auto"/>
      </w:divBdr>
    </w:div>
    <w:div w:id="210044194">
      <w:bodyDiv w:val="1"/>
      <w:marLeft w:val="0"/>
      <w:marRight w:val="0"/>
      <w:marTop w:val="0"/>
      <w:marBottom w:val="0"/>
      <w:divBdr>
        <w:top w:val="none" w:sz="0" w:space="0" w:color="auto"/>
        <w:left w:val="none" w:sz="0" w:space="0" w:color="auto"/>
        <w:bottom w:val="none" w:sz="0" w:space="0" w:color="auto"/>
        <w:right w:val="none" w:sz="0" w:space="0" w:color="auto"/>
      </w:divBdr>
    </w:div>
    <w:div w:id="282153768">
      <w:bodyDiv w:val="1"/>
      <w:marLeft w:val="0"/>
      <w:marRight w:val="0"/>
      <w:marTop w:val="0"/>
      <w:marBottom w:val="0"/>
      <w:divBdr>
        <w:top w:val="none" w:sz="0" w:space="0" w:color="auto"/>
        <w:left w:val="none" w:sz="0" w:space="0" w:color="auto"/>
        <w:bottom w:val="none" w:sz="0" w:space="0" w:color="auto"/>
        <w:right w:val="none" w:sz="0" w:space="0" w:color="auto"/>
      </w:divBdr>
    </w:div>
    <w:div w:id="283004951">
      <w:bodyDiv w:val="1"/>
      <w:marLeft w:val="0"/>
      <w:marRight w:val="0"/>
      <w:marTop w:val="0"/>
      <w:marBottom w:val="0"/>
      <w:divBdr>
        <w:top w:val="none" w:sz="0" w:space="0" w:color="auto"/>
        <w:left w:val="none" w:sz="0" w:space="0" w:color="auto"/>
        <w:bottom w:val="none" w:sz="0" w:space="0" w:color="auto"/>
        <w:right w:val="none" w:sz="0" w:space="0" w:color="auto"/>
      </w:divBdr>
    </w:div>
    <w:div w:id="408312458">
      <w:bodyDiv w:val="1"/>
      <w:marLeft w:val="0"/>
      <w:marRight w:val="0"/>
      <w:marTop w:val="0"/>
      <w:marBottom w:val="0"/>
      <w:divBdr>
        <w:top w:val="none" w:sz="0" w:space="0" w:color="auto"/>
        <w:left w:val="none" w:sz="0" w:space="0" w:color="auto"/>
        <w:bottom w:val="none" w:sz="0" w:space="0" w:color="auto"/>
        <w:right w:val="none" w:sz="0" w:space="0" w:color="auto"/>
      </w:divBdr>
    </w:div>
    <w:div w:id="506331221">
      <w:bodyDiv w:val="1"/>
      <w:marLeft w:val="0"/>
      <w:marRight w:val="0"/>
      <w:marTop w:val="0"/>
      <w:marBottom w:val="0"/>
      <w:divBdr>
        <w:top w:val="none" w:sz="0" w:space="0" w:color="auto"/>
        <w:left w:val="none" w:sz="0" w:space="0" w:color="auto"/>
        <w:bottom w:val="none" w:sz="0" w:space="0" w:color="auto"/>
        <w:right w:val="none" w:sz="0" w:space="0" w:color="auto"/>
      </w:divBdr>
    </w:div>
    <w:div w:id="661735275">
      <w:bodyDiv w:val="1"/>
      <w:marLeft w:val="0"/>
      <w:marRight w:val="0"/>
      <w:marTop w:val="0"/>
      <w:marBottom w:val="0"/>
      <w:divBdr>
        <w:top w:val="none" w:sz="0" w:space="0" w:color="auto"/>
        <w:left w:val="none" w:sz="0" w:space="0" w:color="auto"/>
        <w:bottom w:val="none" w:sz="0" w:space="0" w:color="auto"/>
        <w:right w:val="none" w:sz="0" w:space="0" w:color="auto"/>
      </w:divBdr>
    </w:div>
    <w:div w:id="881945119">
      <w:bodyDiv w:val="1"/>
      <w:marLeft w:val="0"/>
      <w:marRight w:val="0"/>
      <w:marTop w:val="0"/>
      <w:marBottom w:val="0"/>
      <w:divBdr>
        <w:top w:val="none" w:sz="0" w:space="0" w:color="auto"/>
        <w:left w:val="none" w:sz="0" w:space="0" w:color="auto"/>
        <w:bottom w:val="none" w:sz="0" w:space="0" w:color="auto"/>
        <w:right w:val="none" w:sz="0" w:space="0" w:color="auto"/>
      </w:divBdr>
    </w:div>
    <w:div w:id="919608159">
      <w:bodyDiv w:val="1"/>
      <w:marLeft w:val="0"/>
      <w:marRight w:val="0"/>
      <w:marTop w:val="0"/>
      <w:marBottom w:val="0"/>
      <w:divBdr>
        <w:top w:val="none" w:sz="0" w:space="0" w:color="auto"/>
        <w:left w:val="none" w:sz="0" w:space="0" w:color="auto"/>
        <w:bottom w:val="none" w:sz="0" w:space="0" w:color="auto"/>
        <w:right w:val="none" w:sz="0" w:space="0" w:color="auto"/>
      </w:divBdr>
    </w:div>
    <w:div w:id="938950904">
      <w:bodyDiv w:val="1"/>
      <w:marLeft w:val="0"/>
      <w:marRight w:val="0"/>
      <w:marTop w:val="0"/>
      <w:marBottom w:val="0"/>
      <w:divBdr>
        <w:top w:val="none" w:sz="0" w:space="0" w:color="auto"/>
        <w:left w:val="none" w:sz="0" w:space="0" w:color="auto"/>
        <w:bottom w:val="none" w:sz="0" w:space="0" w:color="auto"/>
        <w:right w:val="none" w:sz="0" w:space="0" w:color="auto"/>
      </w:divBdr>
    </w:div>
    <w:div w:id="1007944561">
      <w:bodyDiv w:val="1"/>
      <w:marLeft w:val="0"/>
      <w:marRight w:val="0"/>
      <w:marTop w:val="0"/>
      <w:marBottom w:val="0"/>
      <w:divBdr>
        <w:top w:val="none" w:sz="0" w:space="0" w:color="auto"/>
        <w:left w:val="none" w:sz="0" w:space="0" w:color="auto"/>
        <w:bottom w:val="none" w:sz="0" w:space="0" w:color="auto"/>
        <w:right w:val="none" w:sz="0" w:space="0" w:color="auto"/>
      </w:divBdr>
    </w:div>
    <w:div w:id="1018773776">
      <w:bodyDiv w:val="1"/>
      <w:marLeft w:val="0"/>
      <w:marRight w:val="0"/>
      <w:marTop w:val="0"/>
      <w:marBottom w:val="0"/>
      <w:divBdr>
        <w:top w:val="none" w:sz="0" w:space="0" w:color="auto"/>
        <w:left w:val="none" w:sz="0" w:space="0" w:color="auto"/>
        <w:bottom w:val="none" w:sz="0" w:space="0" w:color="auto"/>
        <w:right w:val="none" w:sz="0" w:space="0" w:color="auto"/>
      </w:divBdr>
    </w:div>
    <w:div w:id="1041705515">
      <w:bodyDiv w:val="1"/>
      <w:marLeft w:val="0"/>
      <w:marRight w:val="0"/>
      <w:marTop w:val="0"/>
      <w:marBottom w:val="0"/>
      <w:divBdr>
        <w:top w:val="none" w:sz="0" w:space="0" w:color="auto"/>
        <w:left w:val="none" w:sz="0" w:space="0" w:color="auto"/>
        <w:bottom w:val="none" w:sz="0" w:space="0" w:color="auto"/>
        <w:right w:val="none" w:sz="0" w:space="0" w:color="auto"/>
      </w:divBdr>
    </w:div>
    <w:div w:id="1114639068">
      <w:bodyDiv w:val="1"/>
      <w:marLeft w:val="0"/>
      <w:marRight w:val="0"/>
      <w:marTop w:val="0"/>
      <w:marBottom w:val="0"/>
      <w:divBdr>
        <w:top w:val="none" w:sz="0" w:space="0" w:color="auto"/>
        <w:left w:val="none" w:sz="0" w:space="0" w:color="auto"/>
        <w:bottom w:val="none" w:sz="0" w:space="0" w:color="auto"/>
        <w:right w:val="none" w:sz="0" w:space="0" w:color="auto"/>
      </w:divBdr>
    </w:div>
    <w:div w:id="1245341226">
      <w:bodyDiv w:val="1"/>
      <w:marLeft w:val="0"/>
      <w:marRight w:val="0"/>
      <w:marTop w:val="0"/>
      <w:marBottom w:val="0"/>
      <w:divBdr>
        <w:top w:val="none" w:sz="0" w:space="0" w:color="auto"/>
        <w:left w:val="none" w:sz="0" w:space="0" w:color="auto"/>
        <w:bottom w:val="none" w:sz="0" w:space="0" w:color="auto"/>
        <w:right w:val="none" w:sz="0" w:space="0" w:color="auto"/>
      </w:divBdr>
    </w:div>
    <w:div w:id="1746607953">
      <w:bodyDiv w:val="1"/>
      <w:marLeft w:val="0"/>
      <w:marRight w:val="0"/>
      <w:marTop w:val="0"/>
      <w:marBottom w:val="0"/>
      <w:divBdr>
        <w:top w:val="none" w:sz="0" w:space="0" w:color="auto"/>
        <w:left w:val="none" w:sz="0" w:space="0" w:color="auto"/>
        <w:bottom w:val="none" w:sz="0" w:space="0" w:color="auto"/>
        <w:right w:val="none" w:sz="0" w:space="0" w:color="auto"/>
      </w:divBdr>
    </w:div>
    <w:div w:id="1750693736">
      <w:bodyDiv w:val="1"/>
      <w:marLeft w:val="0"/>
      <w:marRight w:val="0"/>
      <w:marTop w:val="0"/>
      <w:marBottom w:val="0"/>
      <w:divBdr>
        <w:top w:val="none" w:sz="0" w:space="0" w:color="auto"/>
        <w:left w:val="none" w:sz="0" w:space="0" w:color="auto"/>
        <w:bottom w:val="none" w:sz="0" w:space="0" w:color="auto"/>
        <w:right w:val="none" w:sz="0" w:space="0" w:color="auto"/>
      </w:divBdr>
    </w:div>
    <w:div w:id="1971283384">
      <w:bodyDiv w:val="1"/>
      <w:marLeft w:val="0"/>
      <w:marRight w:val="0"/>
      <w:marTop w:val="0"/>
      <w:marBottom w:val="0"/>
      <w:divBdr>
        <w:top w:val="none" w:sz="0" w:space="0" w:color="auto"/>
        <w:left w:val="none" w:sz="0" w:space="0" w:color="auto"/>
        <w:bottom w:val="none" w:sz="0" w:space="0" w:color="auto"/>
        <w:right w:val="none" w:sz="0" w:space="0" w:color="auto"/>
      </w:divBdr>
    </w:div>
    <w:div w:id="2076778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hyperlink" Target="mailto:1907970@student.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Mar90</b:Tag>
    <b:SourceType>JournalArticle</b:SourceType>
    <b:Guid>{422F1A78-FA6A-4875-9BD4-AD3565FADB3A}</b:Guid>
    <b:Title>Areas of Outstanding Natural Beauty and the 1949 National Parks Act</b:Title>
    <b:JournalName>The Town Planning Review</b:JournalName>
    <b:Year>1990</b:Year>
    <b:Pages>311-339</b:Pages>
    <b:Volume>61</b:Volume>
    <b:Issue>3</b:Issue>
    <b:Author>
      <b:Author>
        <b:NameList>
          <b:Person>
            <b:Last>Anderson</b:Last>
            <b:First>Margaret</b:First>
            <b:Middle>A</b:Middle>
          </b:Person>
        </b:NameList>
      </b:Author>
    </b:Author>
    <b:YearAccessed>2021</b:YearAccessed>
    <b:MonthAccessed>01</b:MonthAccessed>
    <b:DayAccessed>11</b:DayAccessed>
    <b:URL>https://www.jstor.org/stable/40112922?seq=1</b:URL>
    <b:DOI>https://www.jstor.org/stable/40112922</b:DOI>
    <b:RefOrder>1</b:RefOrder>
  </b:Source>
  <b:Source>
    <b:Tag>Hel10</b:Tag>
    <b:SourceType>JournalArticle</b:SourceType>
    <b:Guid>{22C8AE68-7AD0-401F-BD0F-6094FE8F4E24}</b:Guid>
    <b:Title>Encouraging Sustainable Business Practices in a Non-regulatory Environment: A Case Study of Small Tourism Firms in a UK National Park</b:Title>
    <b:JournalName>Journal for Sustainable Tourism</b:JournalName>
    <b:Year>2010</b:Year>
    <b:Pages>383-403</b:Pages>
    <b:Volume>11</b:Volume>
    <b:Issue>5</b:Issue>
    <b:Author>
      <b:Author>
        <b:NameList>
          <b:Person>
            <b:Last>Dewhurst</b:Last>
            <b:First>Helen</b:First>
          </b:Person>
          <b:Person>
            <b:Last>Thomas</b:Last>
            <b:First>Rhodri</b:First>
          </b:Person>
        </b:NameList>
      </b:Author>
    </b:Author>
    <b:YearAccessed>2021</b:YearAccessed>
    <b:MonthAccessed>01</b:MonthAccessed>
    <b:DayAccessed>11</b:DayAccessed>
    <b:URL>https://www.tandfonline.com/doi/abs/10.1080/09669580308667212?casa_token=v5qWbVnmBqEAAAAA:c4xVhYQiFia1bzKNIuLpqHK8qgc2FPM8KlSvH5kszx-yLZ3rfz5eHIRhR_6fXIC-7ia40gMvHK0</b:URL>
    <b:DOI>https://doi.org/10.1080/09669580308667212</b:DOI>
    <b:RefOrder>2</b:RefOrder>
  </b:Source>
  <b:Source>
    <b:Tag>UKGnd</b:Tag>
    <b:SourceType>InternetSite</b:SourceType>
    <b:Guid>{0DDCDBC2-A214-45C1-AB4F-C503C6C515AD}</b:Guid>
    <b:Title>Environment Act 1995</b:Title>
    <b:Year>nd</b:Year>
    <b:Author>
      <b:Author>
        <b:Corporate>UK Government</b:Corporate>
      </b:Author>
    </b:Author>
    <b:YearAccessed>2021</b:YearAccessed>
    <b:MonthAccessed>01</b:MonthAccessed>
    <b:DayAccessed>11</b:DayAccessed>
    <b:URL>https://www.legislation.gov.uk/ukpga/1995/25/part/III/crossheading/functions-of-national-park-authorities</b:URL>
    <b:RefOrder>3</b:RefOrder>
  </b:Source>
  <b:Source>
    <b:Tag>Ada08</b:Tag>
    <b:SourceType>JournalArticle</b:SourceType>
    <b:Guid>{CE93F731-9D12-46F3-8B3E-7A39607ABDBD}</b:Guid>
    <b:Title>Out of the wilderness? Achieving sustainable development within Scottish national parks</b:Title>
    <b:Year>2008</b:Year>
    <b:YearAccessed>2021</b:YearAccessed>
    <b:MonthAccessed>01</b:MonthAccessed>
    <b:DayAccessed>11</b:DayAccessed>
    <b:URL>https://www.sciencedirect.com/science/article/pii/S0301479707001697?casa_token=amVO5wRTeEwAAAAA:Ex-3EKSQw46gfvxLBgg6XJuNghCFUP4sBLOh922hHomYR3_Olw6Ytz1fitW12U-VZOQAFX0XBg</b:URL>
    <b:JournalName>Journal of Environmental Management</b:JournalName>
    <b:Pages>181-193</b:Pages>
    <b:Volume>88</b:Volume>
    <b:Issue>1</b:Issue>
    <b:Author>
      <b:Author>
        <b:NameList>
          <b:Person>
            <b:Last>Barker</b:Last>
            <b:First>Adam</b:First>
          </b:Person>
          <b:Person>
            <b:Last>Stockdale</b:Last>
            <b:First>Aileen</b:First>
          </b:Person>
        </b:NameList>
      </b:Author>
    </b:Author>
    <b:DOI>https://doi.org/10.1016/j.jenvman.2007.04.007</b:DOI>
    <b:RefOrder>4</b:RefOrder>
  </b:Source>
  <b:Source>
    <b:Tag>DEF16</b:Tag>
    <b:SourceType>DocumentFromInternetSite</b:SourceType>
    <b:Guid>{13C139DF-01A3-47E9-B505-92CA4BCFAECD}</b:Guid>
    <b:Title>8-Point Plan for England’s National Parks</b:Title>
    <b:Year>2016</b:Year>
    <b:Author>
      <b:Author>
        <b:Corporate>DEFRA</b:Corporate>
      </b:Author>
    </b:Author>
    <b:YearAccessed>2021</b:YearAccessed>
    <b:MonthAccessed>01</b:MonthAccessed>
    <b:DayAccessed>11</b:DayAccessed>
    <b:URL>https://www.cnp.org.uk/sites/default/files/uploadsfiles/National%20Parks%20Plan%20(FINAL)(2016)%20(002).pdf</b:URL>
    <b:RefOrder>5</b:RefOrder>
  </b:Source>
  <b:Source>
    <b:Tag>The201</b:Tag>
    <b:SourceType>InternetSite</b:SourceType>
    <b:Guid>{20CD2240-18FE-45D3-A9A6-2F11E7291EAB}</b:Guid>
    <b:Title>'We cannot make it without science': Greta Thunberg says climate experts are being ignored</b:Title>
    <b:Year>2020</b:Year>
    <b:Author>
      <b:Author>
        <b:Corporate>The Guardian</b:Corporate>
      </b:Author>
    </b:Author>
    <b:YearAccessed>2021</b:YearAccessed>
    <b:MonthAccessed>01</b:MonthAccessed>
    <b:DayAccessed>11</b:DayAccessed>
    <b:URL>https://www.theguardian.com/environment/2020/dec/29/we-cannot-make-it-without-science-greta-thunberg-says-climate-experts-are-being-ignored</b:URL>
    <b:RefOrder>1</b:RefOrder>
  </b:Source>
  <b:Source>
    <b:Tag>The202</b:Tag>
    <b:SourceType>InternetSite</b:SourceType>
    <b:Guid>{914E08AF-4CE2-40D9-9F43-892C6E6999CF}</b:Guid>
    <b:Author>
      <b:Author>
        <b:Corporate>The Guardian</b:Corporate>
      </b:Author>
    </b:Author>
    <b:Title>Veteran activist Swampy among protesters in HS2 site standoff with police</b:Title>
    <b:Year>2020</b:Year>
    <b:YearAccessed>2021</b:YearAccessed>
    <b:MonthAccessed>01</b:MonthAccessed>
    <b:DayAccessed>11</b:DayAccessed>
    <b:URL>https://www.theguardian.com/uk-news/2020/dec/08/veteran-activist-swampy-among-protesters-in-hs2-site-standoff-with-police</b:URL>
    <b:RefOrder>2</b:RefOrder>
  </b:Source>
  <b:Source>
    <b:Tag>Brind</b:Tag>
    <b:SourceType>DocumentFromInternetSite</b:SourceType>
    <b:Guid>{65B9C495-577D-453B-856A-7D36A154EC91}</b:Guid>
    <b:Title>Guide to principles of good governance</b:Title>
    <b:Year>nd</b:Year>
    <b:YearAccessed>2021</b:YearAccessed>
    <b:MonthAccessed>11</b:MonthAccessed>
    <b:DayAccessed>01</b:DayAccessed>
    <b:URL>https://www.ombudsmanassociation.org/docs/BIOAGovernanceGuideOct09.pdf</b:URL>
    <b:Author>
      <b:Author>
        <b:Corporate>British and Irish Ombudsman Association</b:Corporate>
      </b:Author>
    </b:Author>
    <b:RefOrder>3</b:RefOrder>
  </b:Source>
  <b:Source>
    <b:Tag>San20</b:Tag>
    <b:SourceType>InternetSite</b:SourceType>
    <b:Guid>{44DE54D6-0046-4BC0-B7C3-8217EF07787C}</b:Guid>
    <b:Title>Environment Agency faces questions over works on protected river</b:Title>
    <b:Year>2020</b:Year>
    <b:YearAccessed>2021</b:YearAccessed>
    <b:MonthAccessed>11</b:MonthAccessed>
    <b:DayAccessed>01</b:DayAccessed>
    <b:URL>https://www.theguardian.com/environment/2020/dec/07/environment-agency-faces-questions-over-works-on-protected-river</b:URL>
    <b:Author>
      <b:Author>
        <b:NameList>
          <b:Person>
            <b:Last>Laville</b:Last>
            <b:First>Sandra</b:First>
          </b:Person>
        </b:NameList>
      </b:Author>
    </b:Author>
    <b:RefOrder>4</b:RefOrder>
  </b:Source>
  <b:Source>
    <b:Tag>Govnd</b:Tag>
    <b:SourceType>InternetSite</b:SourceType>
    <b:Guid>{15254B2D-DF39-404C-A4EA-B2DE67FD8EE1}</b:Guid>
    <b:Author>
      <b:Author>
        <b:Corporate>Governance Guiding Principles</b:Corporate>
      </b:Author>
    </b:Author>
    <b:Title>Governance Guiding Principles </b:Title>
    <b:Year>nd</b:Year>
    <b:YearAccessed>2021</b:YearAccessed>
    <b:MonthAccessed>11</b:MonthAccessed>
    <b:DayAccessed>01</b:DayAccessed>
    <b:URL>https://www.governanceprinciples.scot/governance-guiding-principles</b:URL>
    <b:RefOrder>5</b:RefOrder>
  </b:Source>
  <b:Source>
    <b:Tag>Joa14</b:Tag>
    <b:SourceType>JournalArticle</b:SourceType>
    <b:Guid>{8CA59990-EFE0-488A-A8B1-08B4B408AE54}</b:Guid>
    <b:Title>Emerging multilevel environmental governance – A case of public participation in Poland</b:Title>
    <b:Year>2014</b:Year>
    <b:YearAccessed>2021</b:YearAccessed>
    <b:MonthAccessed>11</b:MonthAccessed>
    <b:DayAccessed>01</b:DayAccessed>
    <b:URL>https://www.sciencedirect.com/science/article/pii/S1617138113000988</b:URL>
    <b:JournalName>Journal for Nature Conservation</b:JournalName>
    <b:Pages>93-102</b:Pages>
    <b:Volume>22</b:Volume>
    <b:Issue>2</b:Issue>
    <b:Author>
      <b:Author>
        <b:NameList>
          <b:Person>
            <b:Last>Cent</b:Last>
            <b:First>Joanna</b:First>
          </b:Person>
          <b:Person>
            <b:Last>Grodzińska-Jurczak</b:Last>
            <b:First>Małgorzata</b:First>
          </b:Person>
          <b:Person>
            <b:Last>Pietrzyk-Kaszyńska</b:Last>
            <b:First>Agata</b:First>
          </b:Person>
        </b:NameList>
      </b:Author>
    </b:Author>
    <b:DOI>https://doi.org/10.1016/j.jnc.2013.09.005</b:DOI>
    <b:RefOrder>6</b:RefOrder>
  </b:Source>
  <b:Source>
    <b:Tag>Goond</b:Tag>
    <b:SourceType>InternetSite</b:SourceType>
    <b:Guid>{A5224CA7-883E-4D4B-8048-F6FC421874C2}</b:Guid>
    <b:Title>The Nolan Principles</b:Title>
    <b:Year>nd</b:Year>
    <b:Author>
      <b:Author>
        <b:Corporate>Good Governance Institute</b:Corporate>
      </b:Author>
    </b:Author>
    <b:YearAccessed>2021</b:YearAccessed>
    <b:MonthAccessed>11</b:MonthAccessed>
    <b:DayAccessed>01</b:DayAccessed>
    <b:URL>https://www.good-governance.org.uk/blog-post/the-nolan-principles/</b:URL>
    <b:RefOrder>7</b:RefOrder>
  </b:Source>
  <b:Source>
    <b:Tag>UNEnd</b:Tag>
    <b:SourceType>InternetSite</b:SourceType>
    <b:Guid>{97190979-1523-42DF-8B54-52E785E518C6}</b:Guid>
    <b:Author>
      <b:Author>
        <b:Corporate>UNEP</b:Corporate>
      </b:Author>
    </b:Author>
    <b:Title>The Montreal Protocol on Substances that Deplete the Ozone Layer</b:Title>
    <b:Year>nd</b:Year>
    <b:YearAccessed>2021</b:YearAccessed>
    <b:MonthAccessed>01</b:MonthAccessed>
    <b:DayAccessed>11</b:DayAccessed>
    <b:URL>https://ozone.unep.org/treaties/montreal-protocol</b:URL>
    <b:RefOrder>1</b:RefOrder>
  </b:Source>
  <b:Source>
    <b:Tag>UNEnd1</b:Tag>
    <b:SourceType>InternetSite</b:SourceType>
    <b:Guid>{FFE95F65-2B6F-4EB7-A7B7-2CBEB60DFA89}</b:Guid>
    <b:Author>
      <b:Author>
        <b:Corporate>UN Environment</b:Corporate>
      </b:Author>
    </b:Author>
    <b:Title>About Montreal Protocol</b:Title>
    <b:Year>nd</b:Year>
    <b:YearAccessed>2021</b:YearAccessed>
    <b:MonthAccessed>01</b:MonthAccessed>
    <b:DayAccessed>11</b:DayAccessed>
    <b:URL>https://www.unenvironment.org/ozonaction/who-we-are/about-montreal-protocol</b:URL>
    <b:RefOrder>2</b:RefOrder>
  </b:Source>
  <b:Source>
    <b:Tag>Dow21</b:Tag>
    <b:SourceType>InternetSite</b:SourceType>
    <b:Guid>{B0841DA1-3A72-4FD7-8745-9D3FEEE607BD}</b:Guid>
    <b:Author>
      <b:Author>
        <b:Corporate>Down to Earth</b:Corporate>
      </b:Author>
    </b:Author>
    <b:Title>Antarctic ozone hole — one of the largest, deepest — closes</b:Title>
    <b:Year>2021</b:Year>
    <b:YearAccessed>2021</b:YearAccessed>
    <b:MonthAccessed>01</b:MonthAccessed>
    <b:DayAccessed>11</b:DayAccessed>
    <b:URL>https://www.downtoearth.org.in/news/climate-change/antarctic-ozone-hole-one-of-the-largest-deepest-closes-74943</b:URL>
    <b:RefOrder>3</b:RefOrder>
  </b:Source>
  <b:Source>
    <b:Tag>Tim20</b:Tag>
    <b:SourceType>InternetSite</b:SourceType>
    <b:Guid>{A26180A3-5CDB-441C-818F-396B199757AD}</b:Guid>
    <b:Author>
      <b:Author>
        <b:NameList>
          <b:Person>
            <b:Last>McDonnell</b:Last>
            <b:First>Tim</b:First>
          </b:Person>
        </b:NameList>
      </b:Author>
    </b:Author>
    <b:Title>The US stimulus bill could be the most important climate legislation Congress has ever passed</b:Title>
    <b:Year>2020</b:Year>
    <b:YearAccessed>2021</b:YearAccessed>
    <b:MonthAccessed>01</b:MonthAccessed>
    <b:DayAccessed>11</b:DayAccessed>
    <b:URL>https://qz.com/1948600/stimulus-bill-puts-the-us-in-compliance-with-montreal-protocol/</b:URL>
    <b:RefOrder>4</b:RefOrder>
  </b:Source>
  <b:Source>
    <b:Tag>UNFnd</b:Tag>
    <b:SourceType>InternetSite</b:SourceType>
    <b:Guid>{88E5C6E8-D5DA-4F35-ADF5-CFE969173FCF}</b:Guid>
    <b:Author>
      <b:Author>
        <b:Corporate>UNFCCC</b:Corporate>
      </b:Author>
    </b:Author>
    <b:Title>The Paris Agreement</b:Title>
    <b:Year>nd</b:Year>
    <b:YearAccessed>2021</b:YearAccessed>
    <b:MonthAccessed>01</b:MonthAccessed>
    <b:DayAccessed>11</b:DayAccessed>
    <b:URL>https://unfccc.int/process-and-meetings/the-paris-agreement/the-paris-agreement</b:URL>
    <b:RefOrder>5</b:RefOrder>
  </b:Source>
  <b:Source>
    <b:Tag>Eurnd</b:Tag>
    <b:SourceType>InternetSite</b:SourceType>
    <b:Guid>{2DB709C0-345A-4DCC-A80B-9883BA347CB2}</b:Guid>
    <b:Author>
      <b:Author>
        <b:Corporate>European Commission</b:Corporate>
      </b:Author>
    </b:Author>
    <b:Title>Climate Strategies</b:Title>
    <b:Year>nd</b:Year>
    <b:YearAccessed>2021</b:YearAccessed>
    <b:MonthAccessed>01</b:MonthAccessed>
    <b:DayAccessed>11</b:DayAccessed>
    <b:URL>https://ec.europa.eu/clima/policies/strategies/2050_en</b:URL>
    <b:RefOrder>6</b:RefOrder>
  </b:Source>
  <b:Source>
    <b:Tag>The203</b:Tag>
    <b:SourceType>InternetSite</b:SourceType>
    <b:Guid>{B226C8DE-092C-462A-8CB2-6284FAE68797}</b:Guid>
    <b:Author>
      <b:Author>
        <b:Corporate>The Guardian</b:Corporate>
      </b:Author>
    </b:Author>
    <b:Title>US to hold world climate summit early next year and seek to rejoin Paris accord</b:Title>
    <b:Year>2020</b:Year>
    <b:YearAccessed>2021</b:YearAccessed>
    <b:MonthAccessed>01</b:MonthAccessed>
    <b:DayAccessed>11</b:DayAccessed>
    <b:URL>https://www.theguardian.com/environment/2020/dec/14/us-to-hold-world-climate-summit-early-next-year-and-seek-to-rejoin-paris-accord</b:URL>
    <b:RefOrder>7</b:RefOrder>
  </b:Source>
  <b:Source>
    <b:Tag>Ron03</b:Tag>
    <b:SourceType>JournalArticle</b:SourceType>
    <b:Guid>{64DAE194-B188-4106-AE31-08873E61FC2F}</b:Guid>
    <b:Title>International Environmental Agreements: A Survey of Their Features, Formation, and Effects</b:Title>
    <b:Year>2003</b:Year>
    <b:YearAccessed>2021</b:YearAccessed>
    <b:MonthAccessed>01</b:MonthAccessed>
    <b:DayAccessed>11</b:DayAccessed>
    <b:URL>https://www.annualreviews.org/doi/full/10.1146/annurev.energy.28.050302.105603</b:URL>
    <b:JournalName>Annual Review of Environment and Resources</b:JournalName>
    <b:Pages>429-461</b:Pages>
    <b:Volume>26</b:Volume>
    <b:Issue>n/a</b:Issue>
    <b:Author>
      <b:Author>
        <b:NameList>
          <b:Person>
            <b:Last>Mitchell</b:Last>
            <b:First>Ronald</b:First>
            <b:Middle>B</b:Middle>
          </b:Person>
        </b:NameList>
      </b:Author>
    </b:Author>
    <b:DOI>https://doi.org/10.1146/annurev.energy.28.050302.105603</b:DOI>
    <b:RefOrder>8</b:RefOrder>
  </b:Source>
</b:Sources>
</file>

<file path=customXml/itemProps1.xml><?xml version="1.0" encoding="utf-8"?>
<ds:datastoreItem xmlns:ds="http://schemas.openxmlformats.org/officeDocument/2006/customXml" ds:itemID="{454A346D-8DA2-424D-AA18-3F5D4E72A1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8</Pages>
  <Words>2855</Words>
  <Characters>16274</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Macfarlane</dc:creator>
  <cp:keywords/>
  <dc:description/>
  <cp:lastModifiedBy>Rebecca Macfarlane</cp:lastModifiedBy>
  <cp:revision>11</cp:revision>
  <dcterms:created xsi:type="dcterms:W3CDTF">2021-01-10T23:08:00Z</dcterms:created>
  <dcterms:modified xsi:type="dcterms:W3CDTF">2021-01-11T12:45:00Z</dcterms:modified>
</cp:coreProperties>
</file>