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9FE5EA" w14:textId="3593DF6F" w:rsidR="00290575" w:rsidRPr="00A600D6" w:rsidRDefault="00290575" w:rsidP="00290575">
      <w:pPr>
        <w:spacing w:before="100" w:beforeAutospacing="1" w:after="100" w:afterAutospacing="1" w:line="240" w:lineRule="auto"/>
        <w:rPr>
          <w:rFonts w:ascii="Times New Roman" w:eastAsia="Times New Roman" w:hAnsi="Times New Roman" w:cs="Times New Roman"/>
          <w:kern w:val="0"/>
          <w:sz w:val="56"/>
          <w:szCs w:val="56"/>
          <w:lang w:eastAsia="en-GB"/>
          <w14:ligatures w14:val="none"/>
        </w:rPr>
      </w:pPr>
      <w:r w:rsidRPr="00A600D6">
        <w:rPr>
          <w:rFonts w:ascii="Times New Roman" w:eastAsia="Times New Roman" w:hAnsi="Times New Roman" w:cs="Times New Roman"/>
          <w:b/>
          <w:bCs/>
          <w:kern w:val="0"/>
          <w:sz w:val="56"/>
          <w:szCs w:val="56"/>
          <w:lang w:eastAsia="en-GB"/>
          <w14:ligatures w14:val="none"/>
        </w:rPr>
        <w:t>Planning and Delivering an International Meeting/Event</w:t>
      </w:r>
    </w:p>
    <w:p w14:paraId="64B4CBD2" w14:textId="77777777" w:rsidR="00A600D6" w:rsidRDefault="00A600D6" w:rsidP="00290575">
      <w:pPr>
        <w:spacing w:before="100" w:beforeAutospacing="1" w:after="100" w:afterAutospacing="1" w:line="240" w:lineRule="auto"/>
        <w:rPr>
          <w:rFonts w:ascii="Times New Roman" w:eastAsia="Times New Roman" w:hAnsi="Times New Roman" w:cs="Times New Roman"/>
          <w:b/>
          <w:bCs/>
          <w:kern w:val="0"/>
          <w:sz w:val="56"/>
          <w:szCs w:val="56"/>
          <w:lang w:eastAsia="en-GB"/>
          <w14:ligatures w14:val="none"/>
        </w:rPr>
      </w:pPr>
    </w:p>
    <w:p w14:paraId="7244346C" w14:textId="19F19A2F" w:rsidR="00290575" w:rsidRPr="00A600D6" w:rsidRDefault="00290575" w:rsidP="00290575">
      <w:pPr>
        <w:spacing w:before="100" w:beforeAutospacing="1" w:after="100" w:afterAutospacing="1" w:line="240" w:lineRule="auto"/>
        <w:rPr>
          <w:rFonts w:ascii="Times New Roman" w:eastAsia="Times New Roman" w:hAnsi="Times New Roman" w:cs="Times New Roman"/>
          <w:kern w:val="0"/>
          <w:sz w:val="56"/>
          <w:szCs w:val="56"/>
          <w:lang w:eastAsia="en-GB"/>
          <w14:ligatures w14:val="none"/>
        </w:rPr>
      </w:pPr>
      <w:r w:rsidRPr="00A600D6">
        <w:rPr>
          <w:rFonts w:ascii="Times New Roman" w:eastAsia="Times New Roman" w:hAnsi="Times New Roman" w:cs="Times New Roman"/>
          <w:b/>
          <w:bCs/>
          <w:kern w:val="0"/>
          <w:sz w:val="56"/>
          <w:szCs w:val="56"/>
          <w:lang w:eastAsia="en-GB"/>
          <w14:ligatures w14:val="none"/>
        </w:rPr>
        <w:t>International Meetings Management BMIH6007</w:t>
      </w:r>
    </w:p>
    <w:p w14:paraId="24EC57D0" w14:textId="77777777" w:rsidR="00A600D6" w:rsidRDefault="00A600D6" w:rsidP="00290575">
      <w:pPr>
        <w:spacing w:before="100" w:beforeAutospacing="1" w:after="100" w:afterAutospacing="1" w:line="240" w:lineRule="auto"/>
        <w:rPr>
          <w:rFonts w:ascii="Times New Roman" w:eastAsia="Times New Roman" w:hAnsi="Times New Roman" w:cs="Times New Roman"/>
          <w:b/>
          <w:bCs/>
          <w:kern w:val="0"/>
          <w:sz w:val="56"/>
          <w:szCs w:val="56"/>
          <w:lang w:eastAsia="en-GB"/>
          <w14:ligatures w14:val="none"/>
        </w:rPr>
      </w:pPr>
    </w:p>
    <w:p w14:paraId="145CD4C9" w14:textId="77777777" w:rsidR="00A600D6" w:rsidRDefault="00290575" w:rsidP="00290575">
      <w:pPr>
        <w:spacing w:before="100" w:beforeAutospacing="1" w:after="100" w:afterAutospacing="1" w:line="240" w:lineRule="auto"/>
        <w:rPr>
          <w:rFonts w:ascii="Times New Roman" w:eastAsia="Times New Roman" w:hAnsi="Times New Roman" w:cs="Times New Roman"/>
          <w:kern w:val="0"/>
          <w:sz w:val="56"/>
          <w:szCs w:val="56"/>
          <w:lang w:eastAsia="en-GB"/>
          <w14:ligatures w14:val="none"/>
        </w:rPr>
      </w:pPr>
      <w:r w:rsidRPr="00A600D6">
        <w:rPr>
          <w:rFonts w:ascii="Times New Roman" w:eastAsia="Times New Roman" w:hAnsi="Times New Roman" w:cs="Times New Roman"/>
          <w:b/>
          <w:bCs/>
          <w:kern w:val="0"/>
          <w:sz w:val="56"/>
          <w:szCs w:val="56"/>
          <w:lang w:eastAsia="en-GB"/>
          <w14:ligatures w14:val="none"/>
        </w:rPr>
        <w:t>Prepared by:</w:t>
      </w:r>
      <w:r w:rsidRPr="00A600D6">
        <w:rPr>
          <w:rFonts w:ascii="Times New Roman" w:eastAsia="Times New Roman" w:hAnsi="Times New Roman" w:cs="Times New Roman"/>
          <w:kern w:val="0"/>
          <w:sz w:val="56"/>
          <w:szCs w:val="56"/>
          <w:lang w:eastAsia="en-GB"/>
          <w14:ligatures w14:val="none"/>
        </w:rPr>
        <w:t xml:space="preserve"> </w:t>
      </w:r>
      <w:r w:rsidR="005F6E17" w:rsidRPr="00A600D6">
        <w:rPr>
          <w:rFonts w:ascii="Times New Roman" w:eastAsia="Times New Roman" w:hAnsi="Times New Roman" w:cs="Times New Roman"/>
          <w:kern w:val="0"/>
          <w:sz w:val="56"/>
          <w:szCs w:val="56"/>
          <w:lang w:eastAsia="en-GB"/>
          <w14:ligatures w14:val="none"/>
        </w:rPr>
        <w:t>Nasrin Shafi</w:t>
      </w:r>
    </w:p>
    <w:p w14:paraId="07B36721" w14:textId="77777777" w:rsidR="00A600D6" w:rsidRDefault="00290575" w:rsidP="00290575">
      <w:pPr>
        <w:spacing w:before="100" w:beforeAutospacing="1" w:after="100" w:afterAutospacing="1" w:line="240" w:lineRule="auto"/>
        <w:rPr>
          <w:rFonts w:ascii="Times New Roman" w:eastAsia="Times New Roman" w:hAnsi="Times New Roman" w:cs="Times New Roman"/>
          <w:kern w:val="0"/>
          <w:sz w:val="56"/>
          <w:szCs w:val="56"/>
          <w:lang w:eastAsia="en-GB"/>
          <w14:ligatures w14:val="none"/>
        </w:rPr>
      </w:pPr>
      <w:r w:rsidRPr="00A600D6">
        <w:rPr>
          <w:rFonts w:ascii="Times New Roman" w:eastAsia="Times New Roman" w:hAnsi="Times New Roman" w:cs="Times New Roman"/>
          <w:kern w:val="0"/>
          <w:sz w:val="56"/>
          <w:szCs w:val="56"/>
          <w:lang w:eastAsia="en-GB"/>
          <w14:ligatures w14:val="none"/>
        </w:rPr>
        <w:br/>
      </w:r>
      <w:r w:rsidRPr="00A600D6">
        <w:rPr>
          <w:rFonts w:ascii="Times New Roman" w:eastAsia="Times New Roman" w:hAnsi="Times New Roman" w:cs="Times New Roman"/>
          <w:b/>
          <w:bCs/>
          <w:kern w:val="0"/>
          <w:sz w:val="56"/>
          <w:szCs w:val="56"/>
          <w:lang w:eastAsia="en-GB"/>
          <w14:ligatures w14:val="none"/>
        </w:rPr>
        <w:t>Student Number:</w:t>
      </w:r>
      <w:r w:rsidRPr="00A600D6">
        <w:rPr>
          <w:rFonts w:ascii="Times New Roman" w:eastAsia="Times New Roman" w:hAnsi="Times New Roman" w:cs="Times New Roman"/>
          <w:kern w:val="0"/>
          <w:sz w:val="56"/>
          <w:szCs w:val="56"/>
          <w:lang w:eastAsia="en-GB"/>
          <w14:ligatures w14:val="none"/>
        </w:rPr>
        <w:t xml:space="preserve"> </w:t>
      </w:r>
      <w:r w:rsidR="005F6E17" w:rsidRPr="00A600D6">
        <w:rPr>
          <w:rFonts w:ascii="Times New Roman" w:eastAsia="Times New Roman" w:hAnsi="Times New Roman" w:cs="Times New Roman"/>
          <w:kern w:val="0"/>
          <w:sz w:val="56"/>
          <w:szCs w:val="56"/>
          <w:lang w:eastAsia="en-GB"/>
          <w14:ligatures w14:val="none"/>
        </w:rPr>
        <w:t>2228093</w:t>
      </w:r>
    </w:p>
    <w:p w14:paraId="3D9BFB16" w14:textId="485BE029" w:rsidR="00290575" w:rsidRPr="00A600D6" w:rsidRDefault="00290575" w:rsidP="00290575">
      <w:pPr>
        <w:spacing w:before="100" w:beforeAutospacing="1" w:after="100" w:afterAutospacing="1" w:line="240" w:lineRule="auto"/>
        <w:rPr>
          <w:rFonts w:ascii="Times New Roman" w:eastAsia="Times New Roman" w:hAnsi="Times New Roman" w:cs="Times New Roman"/>
          <w:kern w:val="0"/>
          <w:sz w:val="56"/>
          <w:szCs w:val="56"/>
          <w:lang w:eastAsia="en-GB"/>
          <w14:ligatures w14:val="none"/>
        </w:rPr>
      </w:pPr>
      <w:r w:rsidRPr="00A600D6">
        <w:rPr>
          <w:rFonts w:ascii="Times New Roman" w:eastAsia="Times New Roman" w:hAnsi="Times New Roman" w:cs="Times New Roman"/>
          <w:kern w:val="0"/>
          <w:sz w:val="56"/>
          <w:szCs w:val="56"/>
          <w:lang w:eastAsia="en-GB"/>
          <w14:ligatures w14:val="none"/>
        </w:rPr>
        <w:br/>
      </w:r>
      <w:r w:rsidRPr="00A600D6">
        <w:rPr>
          <w:rFonts w:ascii="Times New Roman" w:eastAsia="Times New Roman" w:hAnsi="Times New Roman" w:cs="Times New Roman"/>
          <w:b/>
          <w:bCs/>
          <w:kern w:val="0"/>
          <w:sz w:val="56"/>
          <w:szCs w:val="56"/>
          <w:lang w:eastAsia="en-GB"/>
          <w14:ligatures w14:val="none"/>
        </w:rPr>
        <w:t>Lecturer:</w:t>
      </w:r>
      <w:r w:rsidRPr="00A600D6">
        <w:rPr>
          <w:rFonts w:ascii="Times New Roman" w:eastAsia="Times New Roman" w:hAnsi="Times New Roman" w:cs="Times New Roman"/>
          <w:kern w:val="0"/>
          <w:sz w:val="56"/>
          <w:szCs w:val="56"/>
          <w:lang w:eastAsia="en-GB"/>
          <w14:ligatures w14:val="none"/>
        </w:rPr>
        <w:t xml:space="preserve"> </w:t>
      </w:r>
      <w:r w:rsidR="005F6E17" w:rsidRPr="00A600D6">
        <w:rPr>
          <w:rFonts w:ascii="Times New Roman" w:eastAsia="Times New Roman" w:hAnsi="Times New Roman" w:cs="Times New Roman"/>
          <w:kern w:val="0"/>
          <w:sz w:val="56"/>
          <w:szCs w:val="56"/>
          <w:lang w:eastAsia="en-GB"/>
          <w14:ligatures w14:val="none"/>
        </w:rPr>
        <w:t>Kathryn Flynn</w:t>
      </w:r>
    </w:p>
    <w:p w14:paraId="7FEAA50A" w14:textId="77777777" w:rsidR="00290575" w:rsidRPr="00F52D6F" w:rsidRDefault="00290575">
      <w:pPr>
        <w:rPr>
          <w:rFonts w:ascii="Times New Roman" w:hAnsi="Times New Roman" w:cs="Times New Roman"/>
          <w:b/>
          <w:bCs/>
          <w:sz w:val="32"/>
          <w:szCs w:val="32"/>
          <w:lang w:val="en-US"/>
        </w:rPr>
      </w:pPr>
    </w:p>
    <w:p w14:paraId="67AD0E3C" w14:textId="77777777" w:rsidR="00A600D6" w:rsidRDefault="00A600D6" w:rsidP="00A600D6">
      <w:pPr>
        <w:spacing w:line="360" w:lineRule="auto"/>
        <w:jc w:val="both"/>
        <w:rPr>
          <w:rFonts w:ascii="Ariel" w:hAnsi="Ariel"/>
          <w:b/>
          <w:bCs/>
          <w:sz w:val="32"/>
          <w:szCs w:val="32"/>
        </w:rPr>
      </w:pPr>
    </w:p>
    <w:p w14:paraId="02092B2B" w14:textId="0888157D" w:rsidR="00A600D6" w:rsidRPr="00A600D6" w:rsidRDefault="00A600D6" w:rsidP="00A600D6">
      <w:pPr>
        <w:spacing w:line="360" w:lineRule="auto"/>
        <w:jc w:val="both"/>
        <w:rPr>
          <w:rFonts w:ascii="Ariel" w:hAnsi="Ariel"/>
          <w:b/>
          <w:bCs/>
          <w:sz w:val="32"/>
          <w:szCs w:val="32"/>
        </w:rPr>
      </w:pPr>
      <w:r w:rsidRPr="00A600D6">
        <w:rPr>
          <w:rFonts w:ascii="Ariel" w:hAnsi="Ariel"/>
          <w:b/>
          <w:bCs/>
          <w:sz w:val="32"/>
          <w:szCs w:val="3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2D18317" w14:textId="77777777" w:rsidR="00121504" w:rsidRDefault="00121504" w:rsidP="00BE4500">
      <w:pPr>
        <w:spacing w:line="360" w:lineRule="auto"/>
        <w:jc w:val="both"/>
        <w:rPr>
          <w:rFonts w:ascii="Times New Roman" w:hAnsi="Times New Roman" w:cs="Times New Roman"/>
          <w:b/>
          <w:bCs/>
          <w:sz w:val="24"/>
          <w:szCs w:val="24"/>
          <w:lang w:val="en-US"/>
        </w:rPr>
      </w:pPr>
    </w:p>
    <w:p w14:paraId="6F3EFB8D" w14:textId="7D14D237" w:rsidR="00F52D6F" w:rsidRPr="00C76E86" w:rsidRDefault="00F52D6F" w:rsidP="00BE4500">
      <w:pPr>
        <w:spacing w:line="360" w:lineRule="auto"/>
        <w:jc w:val="both"/>
        <w:rPr>
          <w:rFonts w:ascii="Times New Roman" w:hAnsi="Times New Roman" w:cs="Times New Roman"/>
          <w:b/>
          <w:bCs/>
          <w:sz w:val="24"/>
          <w:szCs w:val="24"/>
          <w:lang w:val="en-US"/>
        </w:rPr>
      </w:pPr>
      <w:r w:rsidRPr="00C76E86">
        <w:rPr>
          <w:rFonts w:ascii="Times New Roman" w:hAnsi="Times New Roman" w:cs="Times New Roman"/>
          <w:b/>
          <w:bCs/>
          <w:sz w:val="24"/>
          <w:szCs w:val="24"/>
          <w:lang w:val="en-US"/>
        </w:rPr>
        <w:lastRenderedPageBreak/>
        <w:t xml:space="preserve">Introduction </w:t>
      </w:r>
    </w:p>
    <w:p w14:paraId="1AD16FDD" w14:textId="7A396FF2" w:rsidR="002F7546" w:rsidRDefault="002F7546" w:rsidP="00BE4500">
      <w:pPr>
        <w:pStyle w:val="NormalWeb"/>
        <w:spacing w:line="360" w:lineRule="auto"/>
        <w:jc w:val="both"/>
      </w:pPr>
      <w:r>
        <w:t>This report outlines the detailed planning and execution of a one-day hybrid conference centred on Equality, Diversity, and Inclusion (EDI) within the hospitality industry. The event will bring together a diverse group of industry leaders, HR professionals, diversity advocates, and hospitality students to address key challenges, share innovative best practices, and encourage meaningful collaboration across sectors. Scheduled to take place in London, the conference will provide both in-person and virtual participation options, making it accessible to a global audience and enhancing its reach. London was selected as the ideal host city for its thriving hospitality sector, excellent connectivity for international</w:t>
      </w:r>
      <w:r w:rsidR="00976E59">
        <w:t xml:space="preserve"> </w:t>
      </w:r>
      <w:r>
        <w:t>delegates, and advanced infrastructure that supports hybrid event formats. Additionally, the city's multicultural environment aligns seamlessly with the core themes of EDI, ensuring a truly inclusive and dynamic space for open discussion. The event will feature a comprehensive program with keynote speeches from industry experts, panel discussions addressing sector-specific challenges, interactive workshops designed to offer practical solutions, and networking sessions to foster connections and collaborations. By incorporating real-world examples and case studies, the conference will provide valuable insights into successful EDI practices, equipping participants with actionable strategies that can be implemented in their own organi</w:t>
      </w:r>
      <w:r w:rsidR="00976E59">
        <w:t>s</w:t>
      </w:r>
      <w:r>
        <w:t>ations. Ultimately, the event aims to promote best practices, encourage ongoing dialogue, and drive meaningful progress toward building a more diverse and inclusive hospitality industry.</w:t>
      </w:r>
    </w:p>
    <w:p w14:paraId="42492F24" w14:textId="08B54C82" w:rsidR="003E03CF" w:rsidRPr="003E03CF" w:rsidRDefault="003E03CF" w:rsidP="00BE4500">
      <w:pPr>
        <w:pStyle w:val="NormalWeb"/>
        <w:spacing w:line="360" w:lineRule="auto"/>
        <w:jc w:val="both"/>
        <w:rPr>
          <w:b/>
          <w:bCs/>
        </w:rPr>
      </w:pPr>
      <w:r w:rsidRPr="003E03CF">
        <w:rPr>
          <w:b/>
          <w:bCs/>
        </w:rPr>
        <w:t>Event Cycle</w:t>
      </w:r>
      <w:r w:rsidR="000F00A3">
        <w:rPr>
          <w:b/>
          <w:bCs/>
        </w:rPr>
        <w:t xml:space="preserve"> </w:t>
      </w:r>
    </w:p>
    <w:p w14:paraId="10C338D3" w14:textId="3E84A67B" w:rsidR="003E03CF" w:rsidRDefault="003E03CF" w:rsidP="00BE4500">
      <w:pPr>
        <w:pStyle w:val="NormalWeb"/>
        <w:spacing w:line="360" w:lineRule="auto"/>
        <w:jc w:val="both"/>
      </w:pPr>
      <w:r>
        <w:t xml:space="preserve">The </w:t>
      </w:r>
      <w:r w:rsidRPr="003E03CF">
        <w:rPr>
          <w:rStyle w:val="Strong"/>
          <w:rFonts w:eastAsiaTheme="majorEastAsia"/>
          <w:b w:val="0"/>
          <w:bCs w:val="0"/>
        </w:rPr>
        <w:t>Event Cycle</w:t>
      </w:r>
      <w:r>
        <w:t xml:space="preserve"> is a structured framework for organi</w:t>
      </w:r>
      <w:r w:rsidR="00CE09DB">
        <w:t>s</w:t>
      </w:r>
      <w:r>
        <w:t>ing and managing an event, ensuring a systematic approach from inception to evaluation. According to Getz (2012), it consists of five key phases:</w:t>
      </w:r>
    </w:p>
    <w:p w14:paraId="2C67AB54" w14:textId="4E3AF1EF" w:rsidR="003E03CF" w:rsidRDefault="003E03CF" w:rsidP="00BE4500">
      <w:pPr>
        <w:pStyle w:val="NormalWeb"/>
        <w:numPr>
          <w:ilvl w:val="0"/>
          <w:numId w:val="1"/>
        </w:numPr>
        <w:spacing w:line="360" w:lineRule="auto"/>
        <w:jc w:val="both"/>
      </w:pPr>
      <w:r w:rsidRPr="003E03CF">
        <w:rPr>
          <w:rStyle w:val="Strong"/>
          <w:rFonts w:eastAsiaTheme="majorEastAsia"/>
          <w:i/>
          <w:iCs/>
        </w:rPr>
        <w:t>Concept Development</w:t>
      </w:r>
      <w:r>
        <w:t xml:space="preserve"> – This initial phase involves defining the event’s purpose, target audience, objectives, and feasibility. Key considerations include budget estimation, venue selection, and overall theme or branding.</w:t>
      </w:r>
      <w:r w:rsidR="00622CE8">
        <w:t xml:space="preserve"> (Chapman &amp; Sadd, 2014) </w:t>
      </w:r>
    </w:p>
    <w:p w14:paraId="20248398" w14:textId="7DF1C6D7" w:rsidR="003E03CF" w:rsidRDefault="003E03CF" w:rsidP="00BE4500">
      <w:pPr>
        <w:pStyle w:val="NormalWeb"/>
        <w:numPr>
          <w:ilvl w:val="0"/>
          <w:numId w:val="1"/>
        </w:numPr>
        <w:spacing w:line="360" w:lineRule="auto"/>
        <w:jc w:val="both"/>
      </w:pPr>
      <w:r w:rsidRPr="003E03CF">
        <w:rPr>
          <w:rStyle w:val="Strong"/>
          <w:rFonts w:eastAsiaTheme="majorEastAsia"/>
          <w:i/>
          <w:iCs/>
        </w:rPr>
        <w:t>Planning</w:t>
      </w:r>
      <w:r>
        <w:t xml:space="preserve"> – In this phase, detailed logistical planning takes place, including scheduling, vendor coordination, marketing strategies, risk management, and securing necessary permits. A well-structured plan helps ensure smooth execution.</w:t>
      </w:r>
      <w:r w:rsidR="00622CE8">
        <w:t xml:space="preserve"> </w:t>
      </w:r>
      <w:bookmarkStart w:id="0" w:name="_Hlk190795532"/>
      <w:r w:rsidR="00622CE8">
        <w:t>(Wickham et al., 2021)</w:t>
      </w:r>
    </w:p>
    <w:bookmarkEnd w:id="0"/>
    <w:p w14:paraId="33D91C09" w14:textId="79B15B09" w:rsidR="003E03CF" w:rsidRDefault="003E03CF" w:rsidP="00BE4500">
      <w:pPr>
        <w:pStyle w:val="NormalWeb"/>
        <w:numPr>
          <w:ilvl w:val="0"/>
          <w:numId w:val="1"/>
        </w:numPr>
        <w:spacing w:line="360" w:lineRule="auto"/>
        <w:jc w:val="both"/>
      </w:pPr>
      <w:r w:rsidRPr="003E03CF">
        <w:rPr>
          <w:rStyle w:val="Strong"/>
          <w:rFonts w:eastAsiaTheme="majorEastAsia"/>
          <w:i/>
          <w:iCs/>
        </w:rPr>
        <w:lastRenderedPageBreak/>
        <w:t>Implementation</w:t>
      </w:r>
      <w:r>
        <w:t xml:space="preserve"> – This stage focuses on executing the planned tasks, such as confirming vendors, finali</w:t>
      </w:r>
      <w:r w:rsidR="00CE09DB">
        <w:t>s</w:t>
      </w:r>
      <w:r>
        <w:t>ing schedules, and conducting rehearsals. Coordination among stakeholders is crucial to prepare for the actual event.</w:t>
      </w:r>
      <w:r w:rsidR="001B241E">
        <w:t xml:space="preserve"> (</w:t>
      </w:r>
      <w:proofErr w:type="spellStart"/>
      <w:r w:rsidR="001B241E">
        <w:t>Dounavi</w:t>
      </w:r>
      <w:proofErr w:type="spellEnd"/>
      <w:r w:rsidR="001B241E">
        <w:t xml:space="preserve"> et al., 2022)</w:t>
      </w:r>
      <w:r w:rsidR="00261ACD">
        <w:t xml:space="preserve"> </w:t>
      </w:r>
    </w:p>
    <w:p w14:paraId="2B15597E" w14:textId="15CA416D" w:rsidR="003E03CF" w:rsidRDefault="003E03CF" w:rsidP="00BE4500">
      <w:pPr>
        <w:pStyle w:val="NormalWeb"/>
        <w:numPr>
          <w:ilvl w:val="0"/>
          <w:numId w:val="1"/>
        </w:numPr>
        <w:spacing w:line="360" w:lineRule="auto"/>
        <w:jc w:val="both"/>
      </w:pPr>
      <w:r w:rsidRPr="003E03CF">
        <w:rPr>
          <w:rStyle w:val="Strong"/>
          <w:rFonts w:eastAsiaTheme="majorEastAsia"/>
          <w:i/>
          <w:iCs/>
        </w:rPr>
        <w:t>Event Execution</w:t>
      </w:r>
      <w:r>
        <w:t xml:space="preserve"> – The event takes place during this phase. It involves managing operations in real-time, troubleshooting issues, ensuring guest satisfaction, and maintaining safety and security protocols.</w:t>
      </w:r>
      <w:r w:rsidR="00261ACD">
        <w:t xml:space="preserve"> (</w:t>
      </w:r>
      <w:proofErr w:type="spellStart"/>
      <w:r w:rsidR="00261ACD">
        <w:t>Guaragni</w:t>
      </w:r>
      <w:proofErr w:type="spellEnd"/>
      <w:r w:rsidR="00261ACD">
        <w:t xml:space="preserve"> et al., 2017)</w:t>
      </w:r>
    </w:p>
    <w:p w14:paraId="5B9898C8" w14:textId="19CBE81C" w:rsidR="003E03CF" w:rsidRDefault="003E03CF" w:rsidP="00BE4500">
      <w:pPr>
        <w:pStyle w:val="NormalWeb"/>
        <w:numPr>
          <w:ilvl w:val="0"/>
          <w:numId w:val="1"/>
        </w:numPr>
        <w:spacing w:line="360" w:lineRule="auto"/>
        <w:jc w:val="both"/>
      </w:pPr>
      <w:r w:rsidRPr="003E03CF">
        <w:rPr>
          <w:rStyle w:val="Strong"/>
          <w:rFonts w:eastAsiaTheme="majorEastAsia"/>
          <w:i/>
          <w:iCs/>
        </w:rPr>
        <w:t>Post-Event Evaluation</w:t>
      </w:r>
      <w:r>
        <w:t xml:space="preserve"> – The final phase involves assessing the event’s success based on predefined metrics, collecting feedback from attendees and stakeholders, and identifying areas for improvement. Financial reconciliation and reporting also occur in this phase.</w:t>
      </w:r>
      <w:r w:rsidR="00DC658E">
        <w:t xml:space="preserve"> (Getz &amp; Page, 2023)</w:t>
      </w:r>
    </w:p>
    <w:p w14:paraId="2281E743" w14:textId="77777777" w:rsidR="00121504" w:rsidRDefault="003E03CF" w:rsidP="00BE4500">
      <w:pPr>
        <w:pStyle w:val="NormalWeb"/>
        <w:spacing w:line="360" w:lineRule="auto"/>
        <w:jc w:val="both"/>
        <w:rPr>
          <w:b/>
          <w:bCs/>
        </w:rPr>
      </w:pPr>
      <w:r w:rsidRPr="003E03CF">
        <w:rPr>
          <w:b/>
          <w:bCs/>
        </w:rPr>
        <w:t xml:space="preserve">Event Concept </w:t>
      </w:r>
      <w:r w:rsidR="00CC0400">
        <w:rPr>
          <w:b/>
          <w:bCs/>
        </w:rPr>
        <w:t xml:space="preserve"> </w:t>
      </w:r>
    </w:p>
    <w:p w14:paraId="13E7651B" w14:textId="71855103" w:rsidR="001067FC" w:rsidRPr="00121504" w:rsidRDefault="001067FC" w:rsidP="00BE4500">
      <w:pPr>
        <w:pStyle w:val="NormalWeb"/>
        <w:spacing w:line="360" w:lineRule="auto"/>
        <w:jc w:val="both"/>
        <w:rPr>
          <w:b/>
          <w:bCs/>
        </w:rPr>
      </w:pPr>
      <w:r>
        <w:t>This conference is designed to provide an engaging and insightful experience that encourages collaboration and the exchange of knowledge among hospitality professionals. By offering a hybrid format, the event ensures accessibility for a global audience, allowing participants to take part either in person or virtually</w:t>
      </w:r>
      <w:r w:rsidR="00C926B2" w:rsidRPr="00C926B2">
        <w:t xml:space="preserve"> </w:t>
      </w:r>
      <w:r w:rsidR="00C926B2">
        <w:t xml:space="preserve">(Kun &amp; Shaer, 2023). </w:t>
      </w:r>
      <w:r>
        <w:t xml:space="preserve"> This approach fosters inclusivity and broadens the scope of discussions, bringing together diverse industry perspectives.</w:t>
      </w:r>
      <w:r w:rsidR="00C926B2" w:rsidRPr="00C926B2">
        <w:t xml:space="preserve"> </w:t>
      </w:r>
      <w:r w:rsidR="00C926B2">
        <w:t>(Bernstein et al., 2019)</w:t>
      </w:r>
    </w:p>
    <w:p w14:paraId="2F1E6C77" w14:textId="7F0F5A8D" w:rsidR="001067FC" w:rsidRDefault="001067FC" w:rsidP="00BE4500">
      <w:pPr>
        <w:pStyle w:val="NormalWeb"/>
        <w:spacing w:line="360" w:lineRule="auto"/>
        <w:jc w:val="both"/>
      </w:pPr>
      <w:r>
        <w:t xml:space="preserve">The day’s schedule is thoughtfully structured to maximize learning and networking opportunities. </w:t>
      </w:r>
      <w:r>
        <w:rPr>
          <w:rStyle w:val="Strong"/>
          <w:rFonts w:eastAsiaTheme="majorEastAsia"/>
        </w:rPr>
        <w:t>The event begins with a Registration &amp; Networking Breakfast (09:00 - 09:30),</w:t>
      </w:r>
      <w:r>
        <w:t xml:space="preserve"> where attendees can check in and connect with industry peers in a casual setting. This is followed by a </w:t>
      </w:r>
      <w:r>
        <w:rPr>
          <w:rStyle w:val="Strong"/>
          <w:rFonts w:eastAsiaTheme="majorEastAsia"/>
        </w:rPr>
        <w:t>Keynote Speech (09:30 - 10:15)</w:t>
      </w:r>
      <w:r>
        <w:t xml:space="preserve"> titled "The Role of EDI in Hospitality," delivered by a renowned expert, offering valuable perspectives on equity, diversity, and inclusion (EDI) and its significance in the industry.</w:t>
      </w:r>
      <w:r w:rsidR="00DB589D" w:rsidRPr="00DB589D">
        <w:t xml:space="preserve"> </w:t>
      </w:r>
      <w:r w:rsidR="00DB589D">
        <w:t>(Ayyoob &amp; Sajeev, 2024)</w:t>
      </w:r>
      <w:r>
        <w:t xml:space="preserve"> Next, a </w:t>
      </w:r>
      <w:r>
        <w:rPr>
          <w:rStyle w:val="Strong"/>
          <w:rFonts w:eastAsiaTheme="majorEastAsia"/>
        </w:rPr>
        <w:t>Panel Discussion (10:30 - 12:00)</w:t>
      </w:r>
      <w:r>
        <w:t xml:space="preserve"> on "Best Practices for Implementing EDI in Hospitality </w:t>
      </w:r>
      <w:r w:rsidR="00F65FA6">
        <w:t xml:space="preserve"> </w:t>
      </w:r>
      <w:r>
        <w:t>Operations" will feature industry leaders sharing insights and real-world strategies to promote inclusivity within hospitality businesses.</w:t>
      </w:r>
      <w:r w:rsidR="00F65FA6" w:rsidRPr="00F65FA6">
        <w:t xml:space="preserve"> </w:t>
      </w:r>
      <w:r w:rsidR="00F65FA6">
        <w:t xml:space="preserve">(Dimanche &amp; </w:t>
      </w:r>
      <w:proofErr w:type="spellStart"/>
      <w:r w:rsidR="00F65FA6">
        <w:t>Perzyna</w:t>
      </w:r>
      <w:proofErr w:type="spellEnd"/>
      <w:r w:rsidR="00F65FA6">
        <w:t>, 2023)</w:t>
      </w:r>
    </w:p>
    <w:p w14:paraId="3D33D8CA" w14:textId="04DB673C" w:rsidR="001067FC" w:rsidRDefault="001067FC" w:rsidP="00BE4500">
      <w:pPr>
        <w:pStyle w:val="NormalWeb"/>
        <w:spacing w:line="360" w:lineRule="auto"/>
        <w:jc w:val="both"/>
      </w:pPr>
      <w:r>
        <w:t xml:space="preserve">Following this, attendees will have the opportunity to continue discussions in a more relaxed setting during the </w:t>
      </w:r>
      <w:r>
        <w:rPr>
          <w:rStyle w:val="Strong"/>
          <w:rFonts w:eastAsiaTheme="majorEastAsia"/>
        </w:rPr>
        <w:t>Lunch &amp; Networking Session (12:00 - 13:00),</w:t>
      </w:r>
      <w:r>
        <w:t xml:space="preserve"> allowing for informal conversations and new professional connections. The afternoon consists of </w:t>
      </w:r>
      <w:r>
        <w:rPr>
          <w:rStyle w:val="Strong"/>
          <w:rFonts w:eastAsiaTheme="majorEastAsia"/>
        </w:rPr>
        <w:t>Breakout Workshops (13:00 - 15:00),</w:t>
      </w:r>
      <w:r>
        <w:t xml:space="preserve"> offering deep dives into key topics such as "Workplace Inclusivity Strategies," "Enhancing Guest Experience through EDI," and "Fostering Leadership </w:t>
      </w:r>
      <w:r>
        <w:lastRenderedPageBreak/>
        <w:t xml:space="preserve">Diversity." These interactive sessions encourage participants to explore practical applications and exchange best practices. Finally, the event concludes with </w:t>
      </w:r>
      <w:r>
        <w:rPr>
          <w:rStyle w:val="Strong"/>
          <w:rFonts w:eastAsiaTheme="majorEastAsia"/>
        </w:rPr>
        <w:t>Closing Remarks &amp; Future Outlook (15:30 - 16:30),</w:t>
      </w:r>
      <w:r>
        <w:t xml:space="preserve"> summari</w:t>
      </w:r>
      <w:r w:rsidR="00C91029">
        <w:t>s</w:t>
      </w:r>
      <w:r>
        <w:t>ing key takeaways and outlining future initiatives to drive continued progress in EDI efforts within hospitality.</w:t>
      </w:r>
    </w:p>
    <w:p w14:paraId="091082C5" w14:textId="77777777" w:rsidR="001067FC" w:rsidRDefault="001067FC" w:rsidP="00BE4500">
      <w:pPr>
        <w:pStyle w:val="NormalWeb"/>
        <w:spacing w:line="360" w:lineRule="auto"/>
        <w:jc w:val="both"/>
      </w:pPr>
      <w:r>
        <w:t>With a combination of expert insights, interactive discussions, and networking opportunities, the conference equips attendees with practical knowledge while fostering meaningful connections to support ongoing professional and industry-wide development.</w:t>
      </w:r>
    </w:p>
    <w:p w14:paraId="0E7B5813" w14:textId="77777777" w:rsidR="00121504" w:rsidRDefault="00CC0400" w:rsidP="00BE4500">
      <w:pPr>
        <w:pStyle w:val="NormalWeb"/>
        <w:spacing w:line="360" w:lineRule="auto"/>
        <w:jc w:val="both"/>
        <w:rPr>
          <w:b/>
          <w:bCs/>
        </w:rPr>
      </w:pPr>
      <w:r w:rsidRPr="00CC0400">
        <w:rPr>
          <w:b/>
          <w:bCs/>
        </w:rPr>
        <w:t xml:space="preserve">Aim and Objectives of the Conference </w:t>
      </w:r>
    </w:p>
    <w:p w14:paraId="442B39E0" w14:textId="2EEE7E98" w:rsidR="006D111E" w:rsidRPr="00121504" w:rsidRDefault="006D111E" w:rsidP="00BE4500">
      <w:pPr>
        <w:pStyle w:val="NormalWeb"/>
        <w:spacing w:line="360" w:lineRule="auto"/>
        <w:jc w:val="both"/>
        <w:rPr>
          <w:b/>
          <w:bCs/>
        </w:rPr>
      </w:pPr>
      <w:r>
        <w:t>The conference aims to raise awareness and promote the adoption of Equity, Diversity, and Inclusion (EDI) strategies in the hospitality sector. Through interactive discussions, expert presentations, and hands-on workshops, attendees will gain practical insights and strategies to foster inclusivity, improve guest experiences, and encourage diverse leadership. The goal is to equip hospitality professionals with the knowledge and tools to create more inclusive and welcoming environments for both employees and guests.</w:t>
      </w:r>
      <w:r w:rsidR="005E3CEE" w:rsidRPr="005E3CEE">
        <w:t xml:space="preserve"> </w:t>
      </w:r>
      <w:r w:rsidR="005E3CEE">
        <w:t>(</w:t>
      </w:r>
      <w:proofErr w:type="spellStart"/>
      <w:r w:rsidR="005E3CEE">
        <w:t>AdvanceHE</w:t>
      </w:r>
      <w:proofErr w:type="spellEnd"/>
      <w:r w:rsidR="005E3CEE">
        <w:t>, 2024)</w:t>
      </w:r>
    </w:p>
    <w:p w14:paraId="1898C60D" w14:textId="1F258D1E" w:rsidR="001944AB" w:rsidRDefault="001944AB" w:rsidP="00BE4500">
      <w:pPr>
        <w:spacing w:before="100" w:beforeAutospacing="1" w:after="100" w:afterAutospacing="1" w:line="360" w:lineRule="auto"/>
        <w:jc w:val="both"/>
        <w:rPr>
          <w:rFonts w:ascii="Times New Roman" w:eastAsia="Times New Roman" w:hAnsi="Times New Roman" w:cs="Times New Roman"/>
          <w:b/>
          <w:bCs/>
          <w:i/>
          <w:iCs/>
          <w:kern w:val="0"/>
          <w:sz w:val="24"/>
          <w:szCs w:val="24"/>
          <w:lang w:eastAsia="en-GB"/>
          <w14:ligatures w14:val="none"/>
        </w:rPr>
      </w:pPr>
      <w:r w:rsidRPr="001944AB">
        <w:rPr>
          <w:rFonts w:ascii="Times New Roman" w:eastAsia="Times New Roman" w:hAnsi="Times New Roman" w:cs="Times New Roman"/>
          <w:b/>
          <w:bCs/>
          <w:i/>
          <w:iCs/>
          <w:kern w:val="0"/>
          <w:sz w:val="24"/>
          <w:szCs w:val="24"/>
          <w:lang w:eastAsia="en-GB"/>
          <w14:ligatures w14:val="none"/>
        </w:rPr>
        <w:t xml:space="preserve">Smart objectives </w:t>
      </w:r>
    </w:p>
    <w:p w14:paraId="23047368" w14:textId="77777777" w:rsidR="00C25083" w:rsidRDefault="00C25083" w:rsidP="00BE4500">
      <w:pPr>
        <w:spacing w:before="100" w:beforeAutospacing="1" w:after="100" w:afterAutospacing="1" w:line="360" w:lineRule="auto"/>
        <w:jc w:val="both"/>
        <w:rPr>
          <w:rFonts w:ascii="Times New Roman" w:eastAsia="Times New Roman" w:hAnsi="Times New Roman" w:cs="Times New Roman"/>
          <w:b/>
          <w:bCs/>
          <w:i/>
          <w:iCs/>
          <w:kern w:val="0"/>
          <w:sz w:val="24"/>
          <w:szCs w:val="24"/>
          <w:lang w:eastAsia="en-GB"/>
          <w14:ligatures w14:val="none"/>
        </w:rPr>
      </w:pPr>
      <w:r w:rsidRPr="00C25083">
        <w:rPr>
          <w:rFonts w:ascii="Times New Roman" w:eastAsia="Times New Roman" w:hAnsi="Times New Roman" w:cs="Times New Roman"/>
          <w:b/>
          <w:bCs/>
          <w:i/>
          <w:iCs/>
          <w:kern w:val="0"/>
          <w:sz w:val="24"/>
          <w:szCs w:val="24"/>
          <w:lang w:eastAsia="en-GB"/>
          <w14:ligatures w14:val="none"/>
        </w:rPr>
        <w:t>Increase event attendance to at least 250 participants, with 30% from international locations.</w:t>
      </w:r>
    </w:p>
    <w:p w14:paraId="002ABDCE" w14:textId="4E1B3299" w:rsidR="00C25083" w:rsidRPr="00C25083" w:rsidRDefault="00C25083" w:rsidP="00BE4500">
      <w:pPr>
        <w:spacing w:before="100" w:beforeAutospacing="1" w:after="100" w:afterAutospacing="1" w:line="360" w:lineRule="auto"/>
        <w:jc w:val="both"/>
        <w:rPr>
          <w:rFonts w:ascii="Times New Roman" w:eastAsia="Times New Roman" w:hAnsi="Times New Roman" w:cs="Times New Roman"/>
          <w:b/>
          <w:bCs/>
          <w:i/>
          <w:iCs/>
          <w:kern w:val="0"/>
          <w:sz w:val="24"/>
          <w:szCs w:val="24"/>
          <w:lang w:eastAsia="en-GB"/>
          <w14:ligatures w14:val="none"/>
        </w:rPr>
      </w:pPr>
      <w:r w:rsidRPr="00C25083">
        <w:rPr>
          <w:rFonts w:ascii="Times New Roman" w:hAnsi="Times New Roman" w:cs="Times New Roman"/>
          <w:sz w:val="24"/>
          <w:szCs w:val="24"/>
        </w:rPr>
        <w:t>The objective aims to attract 250 attendees, with 30% from international locations, to ensure both a large and diverse turnout. This global representation will enhance networking, idea exchange, and cross-border business opportunities. Targeted marketing, such as partnerships, group discounts, and digital outreach, will help achieve this goal and expand the event’s global appeal.</w:t>
      </w:r>
      <w:r w:rsidR="00302BD1" w:rsidRPr="00302BD1">
        <w:t xml:space="preserve"> </w:t>
      </w:r>
      <w:r w:rsidR="00302BD1" w:rsidRPr="00302BD1">
        <w:rPr>
          <w:rFonts w:ascii="Times New Roman" w:hAnsi="Times New Roman" w:cs="Times New Roman"/>
          <w:sz w:val="24"/>
          <w:szCs w:val="24"/>
        </w:rPr>
        <w:t>(Strange et al., 2022)</w:t>
      </w:r>
    </w:p>
    <w:p w14:paraId="4D03A2C8" w14:textId="77777777" w:rsidR="001944AB" w:rsidRDefault="001944AB" w:rsidP="00BE4500">
      <w:pPr>
        <w:pStyle w:val="NormalWeb"/>
        <w:spacing w:line="360" w:lineRule="auto"/>
        <w:jc w:val="both"/>
        <w:rPr>
          <w:rStyle w:val="Strong"/>
          <w:rFonts w:eastAsiaTheme="majorEastAsia"/>
          <w:i/>
          <w:iCs/>
        </w:rPr>
      </w:pPr>
      <w:r w:rsidRPr="001944AB">
        <w:rPr>
          <w:rStyle w:val="Strong"/>
          <w:rFonts w:eastAsiaTheme="majorEastAsia"/>
          <w:i/>
          <w:iCs/>
        </w:rPr>
        <w:t xml:space="preserve">Promote knowledge sharing by including at least five expert speakers and hosting three top-tier panel discussions </w:t>
      </w:r>
    </w:p>
    <w:p w14:paraId="0B6CFC43" w14:textId="768486C2" w:rsidR="00CD0B16" w:rsidRPr="001944AB" w:rsidRDefault="00CD0B16" w:rsidP="00BE4500">
      <w:pPr>
        <w:pStyle w:val="NormalWeb"/>
        <w:spacing w:line="360" w:lineRule="auto"/>
        <w:jc w:val="both"/>
        <w:rPr>
          <w:rStyle w:val="Strong"/>
          <w:rFonts w:eastAsiaTheme="majorEastAsia"/>
          <w:i/>
          <w:iCs/>
        </w:rPr>
      </w:pPr>
      <w:r>
        <w:t>This objective aims to enhance the event's educational value by featuring five expert speakers and three panel discussions. The speakers will provide diverse insights, while the panels will encourage interactive discussions on industry trends, challenges, and innovations. These sessions will allow for audience engagement, offering practical takeaways and a dynamic learning experience through various formats.</w:t>
      </w:r>
      <w:r w:rsidR="00BD247B">
        <w:t xml:space="preserve"> (Getz, 2008)</w:t>
      </w:r>
    </w:p>
    <w:p w14:paraId="0791C0D5" w14:textId="77777777" w:rsidR="00CD0B16" w:rsidRDefault="001944AB" w:rsidP="00BE4500">
      <w:pPr>
        <w:pStyle w:val="NormalWeb"/>
        <w:spacing w:line="360" w:lineRule="auto"/>
        <w:jc w:val="both"/>
        <w:rPr>
          <w:rStyle w:val="Strong"/>
          <w:rFonts w:eastAsiaTheme="majorEastAsia"/>
          <w:i/>
          <w:iCs/>
        </w:rPr>
      </w:pPr>
      <w:r w:rsidRPr="001944AB">
        <w:rPr>
          <w:rStyle w:val="Strong"/>
          <w:rFonts w:eastAsiaTheme="majorEastAsia"/>
          <w:i/>
          <w:iCs/>
        </w:rPr>
        <w:lastRenderedPageBreak/>
        <w:t xml:space="preserve">Evaluate attendee satisfaction via post-event surveys, aiming for a 90% positive response rate </w:t>
      </w:r>
    </w:p>
    <w:p w14:paraId="0F3DF897" w14:textId="23C2BAA1" w:rsidR="00CD0B16" w:rsidRPr="00CD0B16" w:rsidRDefault="00CD0B16" w:rsidP="00BE4500">
      <w:pPr>
        <w:pStyle w:val="NormalWeb"/>
        <w:spacing w:line="360" w:lineRule="auto"/>
        <w:jc w:val="both"/>
        <w:rPr>
          <w:rFonts w:eastAsiaTheme="majorEastAsia"/>
          <w:b/>
          <w:bCs/>
          <w:i/>
          <w:iCs/>
        </w:rPr>
      </w:pPr>
      <w:r>
        <w:t>Measuring attendee satisfaction is key to assessing the event's effectiveness and identifying areas for improvement. Aiming for 90% positive feedback ensures most participants are satisfied. The survey will cover topics like speaker quality, relevance of discussions, networking, and logistics. This feedback helps improve future events and shows attendees that their opinions matter, fostering loyalty and future participation. Results can be shared with attendees to demonstrate how their input shapes future decisions.</w:t>
      </w:r>
      <w:r w:rsidR="001E2B13" w:rsidRPr="001E2B13">
        <w:t xml:space="preserve"> </w:t>
      </w:r>
      <w:r w:rsidR="001E2B13">
        <w:t>(Wood, 2009)</w:t>
      </w:r>
    </w:p>
    <w:p w14:paraId="770808E1" w14:textId="2BC30A16" w:rsidR="001944AB" w:rsidRDefault="001944AB" w:rsidP="00BE4500">
      <w:pPr>
        <w:pStyle w:val="NormalWeb"/>
        <w:spacing w:line="360" w:lineRule="auto"/>
        <w:jc w:val="both"/>
      </w:pPr>
      <w:r>
        <w:t xml:space="preserve">Each of these objectives includes specific targets, such as attendee numbers and satisfaction </w:t>
      </w:r>
      <w:r w:rsidR="00222F9F">
        <w:t xml:space="preserve"> </w:t>
      </w:r>
      <w:r>
        <w:t>rates, and defines clear actions (like featuring expert speakers or conducting surveys) to meet those targets. They are structured to ensure a comprehensive, measurable, and actionable approach to enhancing the event.</w:t>
      </w:r>
    </w:p>
    <w:p w14:paraId="34306D47" w14:textId="008726DC" w:rsidR="000073B4" w:rsidRDefault="000073B4" w:rsidP="00BE4500">
      <w:pPr>
        <w:pStyle w:val="NormalWeb"/>
        <w:spacing w:line="360" w:lineRule="auto"/>
        <w:jc w:val="both"/>
        <w:rPr>
          <w:b/>
          <w:bCs/>
        </w:rPr>
      </w:pPr>
      <w:r w:rsidRPr="000073B4">
        <w:rPr>
          <w:b/>
          <w:bCs/>
        </w:rPr>
        <w:t xml:space="preserve">Event Management </w:t>
      </w:r>
    </w:p>
    <w:p w14:paraId="4065AB1D" w14:textId="6A41A891" w:rsidR="00CB7316" w:rsidRDefault="00CB7316" w:rsidP="00BE4500">
      <w:pPr>
        <w:pStyle w:val="NormalWeb"/>
        <w:spacing w:line="360" w:lineRule="auto"/>
        <w:jc w:val="both"/>
        <w:rPr>
          <w:b/>
          <w:bCs/>
          <w:i/>
          <w:iCs/>
        </w:rPr>
      </w:pPr>
      <w:r w:rsidRPr="00CB7316">
        <w:rPr>
          <w:b/>
          <w:bCs/>
          <w:i/>
          <w:iCs/>
        </w:rPr>
        <w:t>Planning</w:t>
      </w:r>
      <w:r w:rsidR="00CE19AE">
        <w:rPr>
          <w:b/>
          <w:bCs/>
          <w:i/>
          <w:iCs/>
        </w:rPr>
        <w:t>,</w:t>
      </w:r>
      <w:r w:rsidRPr="00CB7316">
        <w:rPr>
          <w:b/>
          <w:bCs/>
          <w:i/>
          <w:iCs/>
        </w:rPr>
        <w:t xml:space="preserve"> </w:t>
      </w:r>
      <w:r w:rsidR="00CE19AE">
        <w:rPr>
          <w:b/>
          <w:bCs/>
          <w:i/>
          <w:iCs/>
        </w:rPr>
        <w:t xml:space="preserve">Marketing </w:t>
      </w:r>
      <w:r w:rsidRPr="00CB7316">
        <w:rPr>
          <w:b/>
          <w:bCs/>
          <w:i/>
          <w:iCs/>
        </w:rPr>
        <w:t xml:space="preserve">and operational activities </w:t>
      </w:r>
    </w:p>
    <w:p w14:paraId="1570072C" w14:textId="44CE9CA7" w:rsidR="00CB7316" w:rsidRPr="00CB7316" w:rsidRDefault="00CB7316" w:rsidP="00BE4500">
      <w:pPr>
        <w:pStyle w:val="NormalWeb"/>
        <w:spacing w:line="360" w:lineRule="auto"/>
        <w:jc w:val="both"/>
        <w:rPr>
          <w:b/>
          <w:bCs/>
          <w:i/>
          <w:iCs/>
        </w:rPr>
      </w:pPr>
      <w:r>
        <w:t>The London event will be held at a centrally located, ADA-compliant venue featuring a 250-person conference hall, hybrid technology, and breakout rooms. Staff will include event managers, AV technicians, caterers, and workshop facilitators to ensure smooth operations</w:t>
      </w:r>
      <w:r w:rsidR="003071BC">
        <w:t xml:space="preserve"> </w:t>
      </w:r>
      <w:r w:rsidR="003071BC" w:rsidRPr="003071BC">
        <w:t>(Wickham et al., 2021)</w:t>
      </w:r>
      <w:r w:rsidR="003071BC">
        <w:t xml:space="preserve">. </w:t>
      </w:r>
      <w:r>
        <w:t>Contingency plans include spare equipment, extra staff, and a risk assessment for potential issues, ensuring a successful and seamless event. Below are additional planning and operational activities</w:t>
      </w:r>
      <w:r w:rsidR="003071BC">
        <w:t xml:space="preserve"> </w:t>
      </w:r>
      <w:r w:rsidR="003071BC" w:rsidRPr="0020592A">
        <w:t>(Getz, 2012)</w:t>
      </w:r>
      <w:r w:rsidR="003071BC">
        <w:t xml:space="preserve">. </w:t>
      </w:r>
    </w:p>
    <w:p w14:paraId="1290A355" w14:textId="27245466" w:rsidR="00CB7316" w:rsidRDefault="00CB7316" w:rsidP="00BE4500">
      <w:pPr>
        <w:pStyle w:val="NormalWeb"/>
        <w:spacing w:line="360" w:lineRule="auto"/>
        <w:jc w:val="both"/>
      </w:pPr>
      <w:r>
        <w:rPr>
          <w:rFonts w:hAnsi="Symbol"/>
        </w:rPr>
        <w:t></w:t>
      </w:r>
      <w:r>
        <w:t xml:space="preserve">  </w:t>
      </w:r>
      <w:r>
        <w:rPr>
          <w:rStyle w:val="Strong"/>
          <w:rFonts w:eastAsiaTheme="majorEastAsia"/>
        </w:rPr>
        <w:t>Registration &amp; Check-in</w:t>
      </w:r>
      <w:r>
        <w:t>: Streamlining the registration process both online and on-site to reduce wait times, ensure smooth check-ins, and improve the attendee experience from the moment they arrive.</w:t>
      </w:r>
    </w:p>
    <w:p w14:paraId="51D6A482" w14:textId="77777777" w:rsidR="00CB7316" w:rsidRDefault="00CB7316" w:rsidP="00BE4500">
      <w:pPr>
        <w:pStyle w:val="NormalWeb"/>
        <w:spacing w:line="360" w:lineRule="auto"/>
        <w:jc w:val="both"/>
      </w:pPr>
      <w:r>
        <w:rPr>
          <w:rFonts w:hAnsi="Symbol"/>
        </w:rPr>
        <w:t></w:t>
      </w:r>
      <w:r>
        <w:t xml:space="preserve">  </w:t>
      </w:r>
      <w:r>
        <w:rPr>
          <w:rStyle w:val="Strong"/>
          <w:rFonts w:eastAsiaTheme="majorEastAsia"/>
        </w:rPr>
        <w:t>Transportation &amp; Parking</w:t>
      </w:r>
      <w:r>
        <w:t>: Coordinating various transportation options, such as shuttle services or private car rentals, along with ensuring sufficient parking spaces for attendees to avoid delays and ensure easy access to the venue.</w:t>
      </w:r>
    </w:p>
    <w:p w14:paraId="3271E4A5" w14:textId="77777777" w:rsidR="00CB7316" w:rsidRDefault="00CB7316" w:rsidP="00BE4500">
      <w:pPr>
        <w:pStyle w:val="NormalWeb"/>
        <w:spacing w:line="360" w:lineRule="auto"/>
        <w:jc w:val="both"/>
      </w:pPr>
      <w:r>
        <w:rPr>
          <w:rFonts w:hAnsi="Symbol"/>
        </w:rPr>
        <w:t></w:t>
      </w:r>
      <w:r>
        <w:t xml:space="preserve">  </w:t>
      </w:r>
      <w:r>
        <w:rPr>
          <w:rStyle w:val="Strong"/>
          <w:rFonts w:eastAsiaTheme="majorEastAsia"/>
        </w:rPr>
        <w:t>Security</w:t>
      </w:r>
      <w:r>
        <w:t>: Hiring experienced security personnel to manage crowd control, monitor entrances and exits, and ensure the overall safety and security of attendees throughout the event.</w:t>
      </w:r>
    </w:p>
    <w:p w14:paraId="58CAB0AC" w14:textId="77777777" w:rsidR="00CB7316" w:rsidRDefault="00CB7316" w:rsidP="00BE4500">
      <w:pPr>
        <w:pStyle w:val="NormalWeb"/>
        <w:spacing w:line="360" w:lineRule="auto"/>
        <w:jc w:val="both"/>
      </w:pPr>
      <w:r>
        <w:rPr>
          <w:rFonts w:hAnsi="Symbol"/>
        </w:rPr>
        <w:lastRenderedPageBreak/>
        <w:t></w:t>
      </w:r>
      <w:r>
        <w:t xml:space="preserve">  </w:t>
      </w:r>
      <w:r>
        <w:rPr>
          <w:rStyle w:val="Strong"/>
          <w:rFonts w:eastAsiaTheme="majorEastAsia"/>
        </w:rPr>
        <w:t>Signage</w:t>
      </w:r>
      <w:r>
        <w:t>: Placing clear, easy-to-read signage throughout the venue to direct attendees to session rooms, registration areas, and emergency exits, while also displaying schedules and key event information on digital screens for real-time updates.</w:t>
      </w:r>
    </w:p>
    <w:p w14:paraId="72E894F7" w14:textId="7134BC90" w:rsidR="00CB7316" w:rsidRDefault="00CB7316" w:rsidP="00BE4500">
      <w:pPr>
        <w:pStyle w:val="NormalWeb"/>
        <w:spacing w:line="360" w:lineRule="auto"/>
        <w:jc w:val="both"/>
      </w:pPr>
      <w:r>
        <w:rPr>
          <w:rFonts w:hAnsi="Symbol"/>
        </w:rPr>
        <w:t></w:t>
      </w:r>
      <w:r>
        <w:t xml:space="preserve">  </w:t>
      </w:r>
      <w:r>
        <w:rPr>
          <w:rStyle w:val="Strong"/>
          <w:rFonts w:eastAsiaTheme="majorEastAsia"/>
        </w:rPr>
        <w:t>Sustainability</w:t>
      </w:r>
      <w:r>
        <w:t>: Implementing environmentally friendly practices such as reducing paper waste, offering digital programs, and using recyclable materials in catering to minimi</w:t>
      </w:r>
      <w:r w:rsidR="00AF54E6">
        <w:t>s</w:t>
      </w:r>
      <w:r>
        <w:t>e the event’s environmental footprint.</w:t>
      </w:r>
      <w:r w:rsidR="00AD6EE7">
        <w:t xml:space="preserve"> (Boggia et al., 2018)</w:t>
      </w:r>
    </w:p>
    <w:p w14:paraId="5FA7C9CE" w14:textId="77777777" w:rsidR="00CB7316" w:rsidRDefault="00CB7316" w:rsidP="00BE4500">
      <w:pPr>
        <w:pStyle w:val="NormalWeb"/>
        <w:spacing w:line="360" w:lineRule="auto"/>
        <w:jc w:val="both"/>
      </w:pPr>
      <w:r>
        <w:rPr>
          <w:rFonts w:hAnsi="Symbol"/>
        </w:rPr>
        <w:t></w:t>
      </w:r>
      <w:r>
        <w:t xml:space="preserve">  </w:t>
      </w:r>
      <w:r>
        <w:rPr>
          <w:rStyle w:val="Strong"/>
          <w:rFonts w:eastAsiaTheme="majorEastAsia"/>
        </w:rPr>
        <w:t>Event App</w:t>
      </w:r>
      <w:r>
        <w:t>: Developing an event-specific mobile app to provide attendees with real-time schedules, interactive maps, live notifications, and networking opportunities, fostering engagement throughout the event.</w:t>
      </w:r>
    </w:p>
    <w:p w14:paraId="42674E3C" w14:textId="77777777" w:rsidR="00AD6EE7" w:rsidRDefault="00CB7316" w:rsidP="00BE4500">
      <w:pPr>
        <w:pStyle w:val="NormalWeb"/>
        <w:spacing w:line="360" w:lineRule="auto"/>
        <w:jc w:val="both"/>
      </w:pPr>
      <w:r>
        <w:rPr>
          <w:rFonts w:hAnsi="Symbol"/>
        </w:rPr>
        <w:t></w:t>
      </w:r>
      <w:r>
        <w:t xml:space="preserve">  </w:t>
      </w:r>
      <w:r>
        <w:rPr>
          <w:rStyle w:val="Strong"/>
          <w:rFonts w:eastAsiaTheme="majorEastAsia"/>
        </w:rPr>
        <w:t>Post-Event Feedback</w:t>
      </w:r>
      <w:r>
        <w:t>: Collecting detailed feedback from attendees through surveys or direct interviews to evaluate the event’s success, measure satisfaction, and identify areas for future improvement.</w:t>
      </w:r>
    </w:p>
    <w:p w14:paraId="1917B057" w14:textId="68FE82FB" w:rsidR="00CB7316" w:rsidRDefault="00CB7316" w:rsidP="00BE4500">
      <w:pPr>
        <w:pStyle w:val="NormalWeb"/>
        <w:spacing w:line="360" w:lineRule="auto"/>
        <w:jc w:val="both"/>
      </w:pPr>
      <w:r>
        <w:rPr>
          <w:rFonts w:hAnsi="Symbol"/>
        </w:rPr>
        <w:t></w:t>
      </w:r>
      <w:r>
        <w:t xml:space="preserve">  </w:t>
      </w:r>
      <w:r>
        <w:rPr>
          <w:rStyle w:val="Strong"/>
          <w:rFonts w:eastAsiaTheme="majorEastAsia"/>
        </w:rPr>
        <w:t>Health &amp; Safety</w:t>
      </w:r>
      <w:r>
        <w:t>: Enforcing necessary health and safety protocols, including sanitation stations, temperature checks, and access to first-aid resources, ensuring a safe environment for all participants.</w:t>
      </w:r>
      <w:r w:rsidR="00752A41">
        <w:t xml:space="preserve"> (Murphy, 2018)</w:t>
      </w:r>
    </w:p>
    <w:p w14:paraId="6B78FC6B" w14:textId="7E9468B8" w:rsidR="00E135ED" w:rsidRPr="00E135ED" w:rsidRDefault="00E135ED" w:rsidP="00BE4500">
      <w:pPr>
        <w:pStyle w:val="NormalWeb"/>
        <w:spacing w:line="360" w:lineRule="auto"/>
        <w:jc w:val="both"/>
        <w:rPr>
          <w:i/>
          <w:iCs/>
        </w:rPr>
      </w:pPr>
      <w:r w:rsidRPr="00E135ED">
        <w:rPr>
          <w:rStyle w:val="Strong"/>
          <w:rFonts w:eastAsiaTheme="majorEastAsia"/>
          <w:i/>
          <w:iCs/>
        </w:rPr>
        <w:t>Marketing Activities</w:t>
      </w:r>
    </w:p>
    <w:p w14:paraId="1B788B1C" w14:textId="2C9FC7ED" w:rsidR="00E135ED" w:rsidRDefault="00E135ED" w:rsidP="00BE4500">
      <w:pPr>
        <w:pStyle w:val="NormalWeb"/>
        <w:spacing w:line="360" w:lineRule="auto"/>
        <w:jc w:val="both"/>
      </w:pPr>
      <w:r>
        <w:rPr>
          <w:rStyle w:val="Strong"/>
          <w:rFonts w:eastAsiaTheme="majorEastAsia"/>
        </w:rPr>
        <w:t>Digital Promotion:</w:t>
      </w:r>
      <w:r>
        <w:t xml:space="preserve"> Targeted campaigns will be executed on LinkedIn, Instagram, and Facebook to engage key audiences, including professionals in the hospitality and event management sectors</w:t>
      </w:r>
      <w:r w:rsidR="00B91C18">
        <w:t xml:space="preserve">. </w:t>
      </w:r>
      <w:r>
        <w:t>These campaigns will feature tailored ads and posts highlighting event details, speaker previews, interactive content, and behind-the-scenes insights, all designed to build excitement and increase awareness among potential attendees.</w:t>
      </w:r>
      <w:r w:rsidR="00EB3F78">
        <w:t xml:space="preserve"> </w:t>
      </w:r>
      <w:r w:rsidR="00B91C18">
        <w:t>(Kumar, 2024)</w:t>
      </w:r>
    </w:p>
    <w:p w14:paraId="7A7D7CEC" w14:textId="762C4F1C" w:rsidR="00E135ED" w:rsidRDefault="00E135ED" w:rsidP="00BE4500">
      <w:pPr>
        <w:pStyle w:val="NormalWeb"/>
        <w:spacing w:line="360" w:lineRule="auto"/>
        <w:jc w:val="both"/>
      </w:pPr>
      <w:r>
        <w:rPr>
          <w:rStyle w:val="Strong"/>
          <w:rFonts w:eastAsiaTheme="majorEastAsia"/>
        </w:rPr>
        <w:t>Partnerships:</w:t>
      </w:r>
      <w:r>
        <w:t xml:space="preserve"> We will form strategic partnerships with hospitality schools, hotel brands, and industry associations to broaden our reach. Collaborations with educational institutions will help attract students and emerging professionals, while working with industry associations will allow us to tap into their established networks and access a diverse group of potential attendees.</w:t>
      </w:r>
      <w:r w:rsidR="001C2DD5" w:rsidRPr="001C2DD5">
        <w:t xml:space="preserve"> </w:t>
      </w:r>
      <w:r w:rsidR="001C2DD5">
        <w:t>(Zhou et al., 2021)</w:t>
      </w:r>
    </w:p>
    <w:p w14:paraId="3B2E5C13" w14:textId="49556248" w:rsidR="00E135ED" w:rsidRDefault="00E135ED" w:rsidP="00BE4500">
      <w:pPr>
        <w:pStyle w:val="NormalWeb"/>
        <w:spacing w:line="360" w:lineRule="auto"/>
        <w:jc w:val="both"/>
      </w:pPr>
      <w:r>
        <w:rPr>
          <w:rStyle w:val="Strong"/>
          <w:rFonts w:eastAsiaTheme="majorEastAsia"/>
        </w:rPr>
        <w:t>Incentives:</w:t>
      </w:r>
      <w:r>
        <w:t xml:space="preserve"> To encourage early sign-ups and boost attendance, we will offer promotions such as early-bird discounts and group booking deals. These incentives will be communicated </w:t>
      </w:r>
      <w:r>
        <w:lastRenderedPageBreak/>
        <w:t>through email campaigns, social media, and the event website, motivating individuals to register early and encouraging businesses to send teams, creating a stronger community at the event.</w:t>
      </w:r>
      <w:r w:rsidR="00D8151F" w:rsidRPr="00D8151F">
        <w:t xml:space="preserve"> </w:t>
      </w:r>
      <w:r w:rsidR="00D8151F">
        <w:t>(Ahamed, 2024)</w:t>
      </w:r>
    </w:p>
    <w:p w14:paraId="4F9E6EA2" w14:textId="5BEA75D6" w:rsidR="001E7B3A" w:rsidRDefault="001E7B3A" w:rsidP="00BE4500">
      <w:pPr>
        <w:pStyle w:val="NormalWeb"/>
        <w:spacing w:line="360" w:lineRule="auto"/>
        <w:jc w:val="both"/>
        <w:rPr>
          <w:b/>
          <w:bCs/>
        </w:rPr>
      </w:pPr>
      <w:r w:rsidRPr="001E7B3A">
        <w:rPr>
          <w:b/>
          <w:bCs/>
        </w:rPr>
        <w:t>Event Budget</w:t>
      </w:r>
      <w:r w:rsidR="00F51DED">
        <w:rPr>
          <w:b/>
          <w:bCs/>
        </w:rPr>
        <w:t xml:space="preserve"> </w:t>
      </w:r>
    </w:p>
    <w:p w14:paraId="6362A465" w14:textId="77777777" w:rsidR="00F51DED" w:rsidRDefault="00F51DED" w:rsidP="00BE4500">
      <w:pPr>
        <w:pStyle w:val="NormalWeb"/>
        <w:spacing w:line="360" w:lineRule="auto"/>
        <w:jc w:val="both"/>
      </w:pPr>
      <w:r>
        <w:t xml:space="preserve">The event's financial plan shows a detailed breakdown of both projected costs and income sources. The </w:t>
      </w:r>
      <w:r>
        <w:rPr>
          <w:rStyle w:val="Strong"/>
          <w:rFonts w:eastAsiaTheme="majorEastAsia"/>
        </w:rPr>
        <w:t>total costs</w:t>
      </w:r>
      <w:r>
        <w:t xml:space="preserve"> are expected to reach £46,000, with the largest expenses being:</w:t>
      </w:r>
    </w:p>
    <w:p w14:paraId="5A49B2D9" w14:textId="77777777" w:rsidR="00F51DED" w:rsidRDefault="00F51DED" w:rsidP="00BE4500">
      <w:pPr>
        <w:pStyle w:val="NormalWeb"/>
        <w:numPr>
          <w:ilvl w:val="0"/>
          <w:numId w:val="6"/>
        </w:numPr>
        <w:spacing w:line="360" w:lineRule="auto"/>
        <w:jc w:val="both"/>
      </w:pPr>
      <w:r>
        <w:rPr>
          <w:rStyle w:val="Strong"/>
          <w:rFonts w:eastAsiaTheme="majorEastAsia"/>
        </w:rPr>
        <w:t>Venue costs (£15,000)</w:t>
      </w:r>
      <w:r>
        <w:t>: This is the biggest expenditure, covering the cost of renting the event space, utilities, and any special fees required for venue access. The venue plays a key role in hosting the event and accommodating all necessary activities.</w:t>
      </w:r>
    </w:p>
    <w:p w14:paraId="585F07D8" w14:textId="77777777" w:rsidR="00F51DED" w:rsidRDefault="00F51DED" w:rsidP="00BE4500">
      <w:pPr>
        <w:pStyle w:val="NormalWeb"/>
        <w:numPr>
          <w:ilvl w:val="0"/>
          <w:numId w:val="6"/>
        </w:numPr>
        <w:spacing w:line="360" w:lineRule="auto"/>
        <w:jc w:val="both"/>
      </w:pPr>
      <w:r>
        <w:rPr>
          <w:rStyle w:val="Strong"/>
          <w:rFonts w:eastAsiaTheme="majorEastAsia"/>
        </w:rPr>
        <w:t>Catering costs (£8,000)</w:t>
      </w:r>
      <w:r>
        <w:t>: This covers the food and beverages provided to attendees, which is an essential aspect of guest satisfaction and an important part of the event experience.</w:t>
      </w:r>
    </w:p>
    <w:p w14:paraId="50BCE194" w14:textId="77777777" w:rsidR="00F51DED" w:rsidRDefault="00F51DED" w:rsidP="00BE4500">
      <w:pPr>
        <w:pStyle w:val="NormalWeb"/>
        <w:numPr>
          <w:ilvl w:val="0"/>
          <w:numId w:val="6"/>
        </w:numPr>
        <w:spacing w:line="360" w:lineRule="auto"/>
        <w:jc w:val="both"/>
      </w:pPr>
      <w:r>
        <w:rPr>
          <w:rStyle w:val="Strong"/>
          <w:rFonts w:eastAsiaTheme="majorEastAsia"/>
        </w:rPr>
        <w:t>AV &amp; Streaming costs (£12,000)</w:t>
      </w:r>
      <w:r>
        <w:t>: This category includes the costs of audiovisual equipment, technical setup, and streaming services, ensuring the event runs smoothly, with high-quality presentations and possibly remote participation.</w:t>
      </w:r>
    </w:p>
    <w:p w14:paraId="7926CB1F" w14:textId="77777777" w:rsidR="00F51DED" w:rsidRDefault="00F51DED" w:rsidP="00BE4500">
      <w:pPr>
        <w:pStyle w:val="NormalWeb"/>
        <w:numPr>
          <w:ilvl w:val="0"/>
          <w:numId w:val="6"/>
        </w:numPr>
        <w:spacing w:line="360" w:lineRule="auto"/>
        <w:jc w:val="both"/>
      </w:pPr>
      <w:r>
        <w:rPr>
          <w:rStyle w:val="Strong"/>
          <w:rFonts w:eastAsiaTheme="majorEastAsia"/>
        </w:rPr>
        <w:t>Marketing costs (£5,000)</w:t>
      </w:r>
      <w:r>
        <w:t>: This amount is dedicated to promoting the event, including digital marketing, advertisements, and potentially other promotional methods to attract attendees and sponsors.</w:t>
      </w:r>
    </w:p>
    <w:p w14:paraId="604B54BA" w14:textId="77777777" w:rsidR="00F51DED" w:rsidRDefault="00F51DED" w:rsidP="00BE4500">
      <w:pPr>
        <w:pStyle w:val="NormalWeb"/>
        <w:numPr>
          <w:ilvl w:val="0"/>
          <w:numId w:val="6"/>
        </w:numPr>
        <w:spacing w:line="360" w:lineRule="auto"/>
        <w:jc w:val="both"/>
      </w:pPr>
      <w:r>
        <w:rPr>
          <w:rStyle w:val="Strong"/>
          <w:rFonts w:eastAsiaTheme="majorEastAsia"/>
        </w:rPr>
        <w:t>Miscellaneous costs (£6,000)</w:t>
      </w:r>
      <w:r>
        <w:t>: This category accounts for any unexpected or additional costs that may arise during event planning, such as staffing, transport, or last-minute changes.</w:t>
      </w:r>
    </w:p>
    <w:p w14:paraId="44FE5623" w14:textId="77777777" w:rsidR="00F51DED" w:rsidRDefault="00F51DED" w:rsidP="00BE4500">
      <w:pPr>
        <w:pStyle w:val="NormalWeb"/>
        <w:spacing w:line="360" w:lineRule="auto"/>
        <w:jc w:val="both"/>
      </w:pPr>
      <w:r>
        <w:t xml:space="preserve">The </w:t>
      </w:r>
      <w:r>
        <w:rPr>
          <w:rStyle w:val="Strong"/>
          <w:rFonts w:eastAsiaTheme="majorEastAsia"/>
        </w:rPr>
        <w:t>projected revenue</w:t>
      </w:r>
      <w:r>
        <w:t xml:space="preserve"> is £52,000, with two main sources:</w:t>
      </w:r>
    </w:p>
    <w:p w14:paraId="6C3B4C23" w14:textId="77777777" w:rsidR="00F51DED" w:rsidRDefault="00F51DED" w:rsidP="00BE4500">
      <w:pPr>
        <w:pStyle w:val="NormalWeb"/>
        <w:numPr>
          <w:ilvl w:val="0"/>
          <w:numId w:val="7"/>
        </w:numPr>
        <w:spacing w:line="360" w:lineRule="auto"/>
        <w:jc w:val="both"/>
      </w:pPr>
      <w:r>
        <w:rPr>
          <w:rStyle w:val="Strong"/>
          <w:rFonts w:eastAsiaTheme="majorEastAsia"/>
        </w:rPr>
        <w:t>Ticket sales (£40,000)</w:t>
      </w:r>
      <w:r>
        <w:t>: The majority of income is expected from ticket sales, suggesting a good turnout for the event. This indicates strong interest or a ticket pricing strategy that will draw a large audience.</w:t>
      </w:r>
    </w:p>
    <w:p w14:paraId="39E4C93C" w14:textId="77777777" w:rsidR="00F51DED" w:rsidRDefault="00F51DED" w:rsidP="00BE4500">
      <w:pPr>
        <w:pStyle w:val="NormalWeb"/>
        <w:numPr>
          <w:ilvl w:val="0"/>
          <w:numId w:val="7"/>
        </w:numPr>
        <w:spacing w:line="360" w:lineRule="auto"/>
        <w:jc w:val="both"/>
      </w:pPr>
      <w:r>
        <w:rPr>
          <w:rStyle w:val="Strong"/>
          <w:rFonts w:eastAsiaTheme="majorEastAsia"/>
        </w:rPr>
        <w:t>Sponsorships (£12,000)</w:t>
      </w:r>
      <w:r>
        <w:t>: Sponsors are projected to contribute £12,000, helping to offset costs. These funds likely come from organizations looking to increase their visibility through event partnerships.</w:t>
      </w:r>
    </w:p>
    <w:p w14:paraId="5E192CC9" w14:textId="2EA5D248" w:rsidR="00F51DED" w:rsidRDefault="00F51DED" w:rsidP="00BE4500">
      <w:pPr>
        <w:pStyle w:val="NormalWeb"/>
        <w:spacing w:line="360" w:lineRule="auto"/>
        <w:jc w:val="both"/>
      </w:pPr>
      <w:r>
        <w:lastRenderedPageBreak/>
        <w:t xml:space="preserve">The </w:t>
      </w:r>
      <w:r>
        <w:rPr>
          <w:rStyle w:val="Strong"/>
          <w:rFonts w:eastAsiaTheme="majorEastAsia"/>
        </w:rPr>
        <w:t>projected profit</w:t>
      </w:r>
      <w:r>
        <w:t xml:space="preserve"> is £6,000, calculated by subtracting the total expenses (£46,000) from the total revenue (£52,000). This suggests the event will be financially viable and produce a modest surplus. However, the relatively small profit margin indicates that the event is designed more to break even or generate a small return rather than to make significant profits.</w:t>
      </w:r>
      <w:r w:rsidR="00005012" w:rsidRPr="00005012">
        <w:t xml:space="preserve"> </w:t>
      </w:r>
      <w:r w:rsidR="00005012">
        <w:t>(Morgan, 2011)</w:t>
      </w:r>
    </w:p>
    <w:p w14:paraId="03923010" w14:textId="2A3A6E1E" w:rsidR="00F51DED" w:rsidRDefault="00F51DED" w:rsidP="00BE4500">
      <w:pPr>
        <w:pStyle w:val="NormalWeb"/>
        <w:spacing w:line="360" w:lineRule="auto"/>
        <w:jc w:val="both"/>
      </w:pPr>
      <w:r>
        <w:t xml:space="preserve">The event’s financial success largely depends on strong </w:t>
      </w:r>
      <w:r>
        <w:rPr>
          <w:rStyle w:val="Strong"/>
          <w:rFonts w:eastAsiaTheme="majorEastAsia"/>
        </w:rPr>
        <w:t>ticket sales</w:t>
      </w:r>
      <w:r>
        <w:t xml:space="preserve"> and </w:t>
      </w:r>
      <w:r>
        <w:rPr>
          <w:rStyle w:val="Strong"/>
          <w:rFonts w:eastAsiaTheme="majorEastAsia"/>
        </w:rPr>
        <w:t>securing sponsorships</w:t>
      </w:r>
      <w:r>
        <w:t>. If these revenue sources do not meet expectations, the event could fall short of its financial goals. Ensuring a solid attendance and successful sponsorship deals will be essential to achieving the projected financial results.</w:t>
      </w:r>
      <w:r w:rsidR="0004550D" w:rsidRPr="0004550D">
        <w:t xml:space="preserve"> </w:t>
      </w:r>
      <w:r w:rsidR="0004550D">
        <w:t>(McKelvey &amp; Grady, 2008)</w:t>
      </w:r>
    </w:p>
    <w:p w14:paraId="5887DCB9" w14:textId="4CB785DF" w:rsidR="001E7B3A" w:rsidRPr="00D02DE4" w:rsidRDefault="00D02DE4" w:rsidP="00BE4500">
      <w:pPr>
        <w:pStyle w:val="NormalWeb"/>
        <w:spacing w:line="360" w:lineRule="auto"/>
        <w:jc w:val="both"/>
        <w:rPr>
          <w:b/>
          <w:bCs/>
        </w:rPr>
      </w:pPr>
      <w:r w:rsidRPr="00D02DE4">
        <w:rPr>
          <w:b/>
          <w:bCs/>
        </w:rPr>
        <w:t>Industry Trends / Issues / Impacts</w:t>
      </w:r>
      <w:r w:rsidR="00AE1373">
        <w:rPr>
          <w:b/>
          <w:bCs/>
        </w:rPr>
        <w:t xml:space="preserve"> </w:t>
      </w:r>
    </w:p>
    <w:p w14:paraId="4D55F325" w14:textId="77777777" w:rsidR="008179A9" w:rsidRDefault="00AE1373" w:rsidP="00BE4500">
      <w:pPr>
        <w:pStyle w:val="NormalWeb"/>
        <w:spacing w:line="360" w:lineRule="auto"/>
        <w:jc w:val="both"/>
        <w:rPr>
          <w:rStyle w:val="Strong"/>
          <w:rFonts w:eastAsiaTheme="majorEastAsia"/>
        </w:rPr>
      </w:pPr>
      <w:r>
        <w:rPr>
          <w:rFonts w:hAnsi="Symbol"/>
        </w:rPr>
        <w:t></w:t>
      </w:r>
      <w:r>
        <w:t xml:space="preserve">  </w:t>
      </w:r>
      <w:r>
        <w:rPr>
          <w:rStyle w:val="Strong"/>
          <w:rFonts w:eastAsiaTheme="majorEastAsia"/>
        </w:rPr>
        <w:t xml:space="preserve">Trends: ESG Efforts Encouraging the Adoption of EDI </w:t>
      </w:r>
    </w:p>
    <w:p w14:paraId="57A2EA9C" w14:textId="54BED6DE" w:rsidR="00AE1373" w:rsidRDefault="00B060AD" w:rsidP="00BE4500">
      <w:pPr>
        <w:pStyle w:val="NormalWeb"/>
        <w:spacing w:line="360" w:lineRule="auto"/>
        <w:jc w:val="both"/>
      </w:pPr>
      <w:r>
        <w:t>As businesses adopt Environmental, Social, and Governance (ESG) frameworks, they are also prioriti</w:t>
      </w:r>
      <w:r w:rsidR="00AF54E6">
        <w:t>s</w:t>
      </w:r>
      <w:r>
        <w:t>ing Diversity, Equity, and Inclusion (EDI). ESG strategies promote corporate responsibility, leading organi</w:t>
      </w:r>
      <w:r w:rsidR="00AF54E6">
        <w:t>s</w:t>
      </w:r>
      <w:r>
        <w:t>ations to integrate inclusive practices like fair hiring and career development. As societal demand for diversity grows, many companies align EDI with their sustainability and governance efforts.</w:t>
      </w:r>
      <w:r w:rsidR="008179A9" w:rsidRPr="008179A9">
        <w:t xml:space="preserve"> </w:t>
      </w:r>
      <w:r w:rsidR="008179A9">
        <w:t>(Chan et al., 2024)</w:t>
      </w:r>
    </w:p>
    <w:p w14:paraId="5AAB8908" w14:textId="77777777" w:rsidR="008179A9" w:rsidRDefault="00AE1373" w:rsidP="00BE4500">
      <w:pPr>
        <w:pStyle w:val="NormalWeb"/>
        <w:spacing w:line="360" w:lineRule="auto"/>
        <w:jc w:val="both"/>
        <w:rPr>
          <w:rStyle w:val="Strong"/>
          <w:rFonts w:eastAsiaTheme="majorEastAsia"/>
        </w:rPr>
      </w:pPr>
      <w:r>
        <w:rPr>
          <w:rFonts w:hAnsi="Symbol"/>
        </w:rPr>
        <w:t></w:t>
      </w:r>
      <w:r>
        <w:t xml:space="preserve">  </w:t>
      </w:r>
      <w:r>
        <w:rPr>
          <w:rStyle w:val="Strong"/>
          <w:rFonts w:eastAsiaTheme="majorEastAsia"/>
        </w:rPr>
        <w:t xml:space="preserve">Issues: Workforce Diversity is Growing, but Leadership Representation is Still Limited </w:t>
      </w:r>
    </w:p>
    <w:p w14:paraId="200F3F5C" w14:textId="6CBDC6D8" w:rsidR="00AE1373" w:rsidRDefault="00B060AD" w:rsidP="00BE4500">
      <w:pPr>
        <w:pStyle w:val="NormalWeb"/>
        <w:spacing w:line="360" w:lineRule="auto"/>
        <w:jc w:val="both"/>
      </w:pPr>
      <w:r>
        <w:t>While workforce diversity has improved, leadership remains largely homogeneous. Diverse individuals are entering organi</w:t>
      </w:r>
      <w:r w:rsidR="00AF54E6">
        <w:t>s</w:t>
      </w:r>
      <w:r>
        <w:t>ations at lower levels but are underrepresented in senior positions due to biases, limited access to leadership training, and institutional barriers.</w:t>
      </w:r>
      <w:r w:rsidR="008179A9" w:rsidRPr="008179A9">
        <w:t xml:space="preserve"> </w:t>
      </w:r>
      <w:r w:rsidR="008179A9">
        <w:t>(</w:t>
      </w:r>
      <w:proofErr w:type="spellStart"/>
      <w:r w:rsidR="008179A9">
        <w:t>Eagly</w:t>
      </w:r>
      <w:proofErr w:type="spellEnd"/>
      <w:r w:rsidR="008179A9">
        <w:t xml:space="preserve"> &amp; Chin, 2010)</w:t>
      </w:r>
    </w:p>
    <w:p w14:paraId="248030B9" w14:textId="6BDB5EC7" w:rsidR="002535E6" w:rsidRDefault="002535E6" w:rsidP="00BE4500">
      <w:pPr>
        <w:pStyle w:val="NormalWeb"/>
        <w:spacing w:line="360" w:lineRule="auto"/>
        <w:jc w:val="both"/>
        <w:rPr>
          <w:rStyle w:val="Strong"/>
          <w:rFonts w:eastAsiaTheme="majorEastAsia"/>
        </w:rPr>
      </w:pPr>
      <w:r>
        <w:rPr>
          <w:rFonts w:hAnsi="Symbol"/>
        </w:rPr>
        <w:t></w:t>
      </w:r>
      <w:r>
        <w:t xml:space="preserve">  </w:t>
      </w:r>
      <w:r>
        <w:rPr>
          <w:rStyle w:val="Strong"/>
          <w:rFonts w:eastAsiaTheme="majorEastAsia"/>
        </w:rPr>
        <w:t>Impacts - Legal Diversity Requirements Shaping Organi</w:t>
      </w:r>
      <w:r w:rsidR="00AF54E6">
        <w:rPr>
          <w:rStyle w:val="Strong"/>
          <w:rFonts w:eastAsiaTheme="majorEastAsia"/>
        </w:rPr>
        <w:t>s</w:t>
      </w:r>
      <w:r>
        <w:rPr>
          <w:rStyle w:val="Strong"/>
          <w:rFonts w:eastAsiaTheme="majorEastAsia"/>
        </w:rPr>
        <w:t>ational Practices</w:t>
      </w:r>
    </w:p>
    <w:p w14:paraId="6BA56EEA" w14:textId="4AA33DF8" w:rsidR="00B060AD" w:rsidRPr="002535E6" w:rsidRDefault="00B060AD" w:rsidP="00BE4500">
      <w:pPr>
        <w:pStyle w:val="NormalWeb"/>
        <w:spacing w:line="360" w:lineRule="auto"/>
        <w:jc w:val="both"/>
        <w:rPr>
          <w:rFonts w:eastAsiaTheme="majorEastAsia"/>
          <w:b/>
          <w:bCs/>
        </w:rPr>
      </w:pPr>
      <w:r>
        <w:t>Laws requiring workplace diversity are influencing companies to refine their strategies, especially for leadership roles. Regulations like quotas and reporting obligations drive businesses to implement targeted recruitment, mentorship, and diversity training to comply and strengthen their diversity policies.</w:t>
      </w:r>
      <w:r w:rsidR="000F1126" w:rsidRPr="000F1126">
        <w:t xml:space="preserve"> </w:t>
      </w:r>
      <w:r w:rsidR="000F1126">
        <w:t>(Rijal, 2023)</w:t>
      </w:r>
      <w:r w:rsidR="0037362B">
        <w:t xml:space="preserve"> </w:t>
      </w:r>
    </w:p>
    <w:p w14:paraId="59731F8D" w14:textId="77777777" w:rsidR="002535E6" w:rsidRDefault="002535E6" w:rsidP="00BE4500">
      <w:pPr>
        <w:spacing w:line="360" w:lineRule="auto"/>
        <w:jc w:val="both"/>
        <w:rPr>
          <w:rFonts w:ascii="Times New Roman" w:hAnsi="Times New Roman" w:cs="Times New Roman"/>
          <w:b/>
          <w:bCs/>
          <w:sz w:val="24"/>
          <w:szCs w:val="24"/>
        </w:rPr>
      </w:pPr>
    </w:p>
    <w:p w14:paraId="02EE4C4C" w14:textId="691B5AB1" w:rsidR="00F52D6F" w:rsidRDefault="00966317" w:rsidP="00BE4500">
      <w:pPr>
        <w:spacing w:line="360" w:lineRule="auto"/>
        <w:jc w:val="both"/>
        <w:rPr>
          <w:rFonts w:ascii="Times New Roman" w:hAnsi="Times New Roman" w:cs="Times New Roman"/>
          <w:b/>
          <w:bCs/>
          <w:sz w:val="24"/>
          <w:szCs w:val="24"/>
        </w:rPr>
      </w:pPr>
      <w:r w:rsidRPr="00966317">
        <w:rPr>
          <w:rFonts w:ascii="Times New Roman" w:hAnsi="Times New Roman" w:cs="Times New Roman"/>
          <w:b/>
          <w:bCs/>
          <w:sz w:val="24"/>
          <w:szCs w:val="24"/>
        </w:rPr>
        <w:lastRenderedPageBreak/>
        <w:t>Situational and Cultural Considerations</w:t>
      </w:r>
      <w:r w:rsidR="00601906">
        <w:rPr>
          <w:rFonts w:ascii="Times New Roman" w:hAnsi="Times New Roman" w:cs="Times New Roman"/>
          <w:b/>
          <w:bCs/>
          <w:sz w:val="24"/>
          <w:szCs w:val="24"/>
        </w:rPr>
        <w:t xml:space="preserve"> </w:t>
      </w:r>
    </w:p>
    <w:p w14:paraId="7CA638C5" w14:textId="642EFC45" w:rsidR="00601906" w:rsidRPr="00601906" w:rsidRDefault="00601906" w:rsidP="00BE4500">
      <w:pPr>
        <w:spacing w:line="360" w:lineRule="auto"/>
        <w:jc w:val="both"/>
        <w:rPr>
          <w:rFonts w:ascii="Times New Roman" w:hAnsi="Times New Roman" w:cs="Times New Roman"/>
          <w:b/>
          <w:bCs/>
          <w:i/>
          <w:iCs/>
          <w:sz w:val="24"/>
          <w:szCs w:val="24"/>
        </w:rPr>
      </w:pPr>
      <w:r w:rsidRPr="00601906">
        <w:rPr>
          <w:rFonts w:ascii="Times New Roman" w:hAnsi="Times New Roman" w:cs="Times New Roman"/>
          <w:b/>
          <w:bCs/>
          <w:i/>
          <w:iCs/>
          <w:sz w:val="24"/>
          <w:szCs w:val="24"/>
        </w:rPr>
        <w:t xml:space="preserve">Swot analysis </w:t>
      </w:r>
    </w:p>
    <w:p w14:paraId="342CF836" w14:textId="7990DF38" w:rsidR="00F722B6" w:rsidRPr="00F722B6" w:rsidRDefault="00F722B6" w:rsidP="00BE4500">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F722B6">
        <w:rPr>
          <w:rFonts w:ascii="Times New Roman" w:eastAsia="Times New Roman" w:hAnsi="Times New Roman" w:cs="Times New Roman"/>
          <w:b/>
          <w:bCs/>
          <w:kern w:val="0"/>
          <w:sz w:val="24"/>
          <w:szCs w:val="24"/>
          <w:lang w:eastAsia="en-GB"/>
          <w14:ligatures w14:val="none"/>
        </w:rPr>
        <w:t>Strengths</w:t>
      </w:r>
    </w:p>
    <w:p w14:paraId="3C3B014A" w14:textId="7FA4F24F" w:rsidR="00F722B6" w:rsidRPr="00F722B6" w:rsidRDefault="00F722B6" w:rsidP="00BE4500">
      <w:pPr>
        <w:numPr>
          <w:ilvl w:val="0"/>
          <w:numId w:val="8"/>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F722B6">
        <w:rPr>
          <w:rFonts w:ascii="Times New Roman" w:eastAsia="Times New Roman" w:hAnsi="Times New Roman" w:cs="Times New Roman"/>
          <w:b/>
          <w:bCs/>
          <w:kern w:val="0"/>
          <w:sz w:val="24"/>
          <w:szCs w:val="24"/>
          <w:lang w:eastAsia="en-GB"/>
          <w14:ligatures w14:val="none"/>
        </w:rPr>
        <w:t>Broad International Appeal:</w:t>
      </w:r>
      <w:r w:rsidRPr="00F722B6">
        <w:rPr>
          <w:rFonts w:ascii="Times New Roman" w:eastAsia="Times New Roman" w:hAnsi="Times New Roman" w:cs="Times New Roman"/>
          <w:kern w:val="0"/>
          <w:sz w:val="24"/>
          <w:szCs w:val="24"/>
          <w:lang w:eastAsia="en-GB"/>
          <w14:ligatures w14:val="none"/>
        </w:rPr>
        <w:t xml:space="preserve"> A hospitality conference that embraces cultural inclusivity can draw attendees from around the world, enriching conversations with global viewpoints on hospitality trends</w:t>
      </w:r>
      <w:r w:rsidR="0037362B">
        <w:rPr>
          <w:rFonts w:ascii="Times New Roman" w:eastAsia="Times New Roman" w:hAnsi="Times New Roman" w:cs="Times New Roman"/>
          <w:kern w:val="0"/>
          <w:sz w:val="24"/>
          <w:szCs w:val="24"/>
          <w:lang w:eastAsia="en-GB"/>
          <w14:ligatures w14:val="none"/>
        </w:rPr>
        <w:t xml:space="preserve">. </w:t>
      </w:r>
      <w:r w:rsidR="0037362B" w:rsidRPr="0037362B">
        <w:rPr>
          <w:rFonts w:ascii="Times New Roman" w:eastAsia="Times New Roman" w:hAnsi="Times New Roman" w:cs="Times New Roman"/>
          <w:kern w:val="0"/>
          <w:sz w:val="24"/>
          <w:szCs w:val="24"/>
          <w:lang w:eastAsia="en-GB"/>
          <w14:ligatures w14:val="none"/>
        </w:rPr>
        <w:t>(Yeoman, 2013)</w:t>
      </w:r>
    </w:p>
    <w:p w14:paraId="3EAD4D46" w14:textId="151B221F" w:rsidR="00F722B6" w:rsidRPr="00F722B6" w:rsidRDefault="00F722B6" w:rsidP="00BE4500">
      <w:pPr>
        <w:numPr>
          <w:ilvl w:val="0"/>
          <w:numId w:val="8"/>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F722B6">
        <w:rPr>
          <w:rFonts w:ascii="Times New Roman" w:eastAsia="Times New Roman" w:hAnsi="Times New Roman" w:cs="Times New Roman"/>
          <w:b/>
          <w:bCs/>
          <w:kern w:val="0"/>
          <w:sz w:val="24"/>
          <w:szCs w:val="24"/>
          <w:lang w:eastAsia="en-GB"/>
          <w14:ligatures w14:val="none"/>
        </w:rPr>
        <w:t>Convenient Location and Access:</w:t>
      </w:r>
      <w:r w:rsidRPr="00F722B6">
        <w:rPr>
          <w:rFonts w:ascii="Times New Roman" w:eastAsia="Times New Roman" w:hAnsi="Times New Roman" w:cs="Times New Roman"/>
          <w:kern w:val="0"/>
          <w:sz w:val="24"/>
          <w:szCs w:val="24"/>
          <w:lang w:eastAsia="en-GB"/>
          <w14:ligatures w14:val="none"/>
        </w:rPr>
        <w:t xml:space="preserve"> A well-chosen venue with easy transportation links and nearby lodging enhances the convenience for attendees, encouraging higher participation and satisfaction</w:t>
      </w:r>
      <w:bookmarkStart w:id="1" w:name="_Hlk190883128"/>
      <w:r w:rsidRPr="00F722B6">
        <w:rPr>
          <w:rFonts w:ascii="Times New Roman" w:eastAsia="Times New Roman" w:hAnsi="Times New Roman" w:cs="Times New Roman"/>
          <w:kern w:val="0"/>
          <w:sz w:val="24"/>
          <w:szCs w:val="24"/>
          <w:lang w:eastAsia="en-GB"/>
          <w14:ligatures w14:val="none"/>
        </w:rPr>
        <w:t>.</w:t>
      </w:r>
      <w:r w:rsidR="005B575C" w:rsidRPr="005B575C">
        <w:t xml:space="preserve"> </w:t>
      </w:r>
      <w:r w:rsidR="005B575C" w:rsidRPr="005B575C">
        <w:rPr>
          <w:rFonts w:ascii="Times New Roman" w:eastAsia="Times New Roman" w:hAnsi="Times New Roman" w:cs="Times New Roman"/>
          <w:kern w:val="0"/>
          <w:sz w:val="24"/>
          <w:szCs w:val="24"/>
          <w:lang w:eastAsia="en-GB"/>
          <w14:ligatures w14:val="none"/>
        </w:rPr>
        <w:t>(Curtis et al., 2021)</w:t>
      </w:r>
      <w:bookmarkEnd w:id="1"/>
    </w:p>
    <w:p w14:paraId="197A44A8" w14:textId="1ACA8E78" w:rsidR="00F722B6" w:rsidRPr="00F722B6" w:rsidRDefault="00F722B6" w:rsidP="00BE4500">
      <w:pPr>
        <w:numPr>
          <w:ilvl w:val="0"/>
          <w:numId w:val="8"/>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F722B6">
        <w:rPr>
          <w:rFonts w:ascii="Times New Roman" w:eastAsia="Times New Roman" w:hAnsi="Times New Roman" w:cs="Times New Roman"/>
          <w:b/>
          <w:bCs/>
          <w:kern w:val="0"/>
          <w:sz w:val="24"/>
          <w:szCs w:val="24"/>
          <w:lang w:eastAsia="en-GB"/>
          <w14:ligatures w14:val="none"/>
        </w:rPr>
        <w:t>Strong Health and Safety Measures:</w:t>
      </w:r>
      <w:r w:rsidRPr="00F722B6">
        <w:rPr>
          <w:rFonts w:ascii="Times New Roman" w:eastAsia="Times New Roman" w:hAnsi="Times New Roman" w:cs="Times New Roman"/>
          <w:kern w:val="0"/>
          <w:sz w:val="24"/>
          <w:szCs w:val="24"/>
          <w:lang w:eastAsia="en-GB"/>
          <w14:ligatures w14:val="none"/>
        </w:rPr>
        <w:t xml:space="preserve"> Comprehensive safety protocols can </w:t>
      </w:r>
      <w:r w:rsidR="00E00B3E" w:rsidRPr="00F722B6">
        <w:rPr>
          <w:rFonts w:ascii="Times New Roman" w:eastAsia="Times New Roman" w:hAnsi="Times New Roman" w:cs="Times New Roman"/>
          <w:kern w:val="0"/>
          <w:sz w:val="24"/>
          <w:szCs w:val="24"/>
          <w:lang w:eastAsia="en-GB"/>
          <w14:ligatures w14:val="none"/>
        </w:rPr>
        <w:t>instil</w:t>
      </w:r>
      <w:r w:rsidRPr="00F722B6">
        <w:rPr>
          <w:rFonts w:ascii="Times New Roman" w:eastAsia="Times New Roman" w:hAnsi="Times New Roman" w:cs="Times New Roman"/>
          <w:kern w:val="0"/>
          <w:sz w:val="24"/>
          <w:szCs w:val="24"/>
          <w:lang w:eastAsia="en-GB"/>
          <w14:ligatures w14:val="none"/>
        </w:rPr>
        <w:t xml:space="preserve"> </w:t>
      </w:r>
      <w:r w:rsidR="005B575C">
        <w:rPr>
          <w:rFonts w:ascii="Times New Roman" w:eastAsia="Times New Roman" w:hAnsi="Times New Roman" w:cs="Times New Roman"/>
          <w:kern w:val="0"/>
          <w:sz w:val="24"/>
          <w:szCs w:val="24"/>
          <w:lang w:eastAsia="en-GB"/>
          <w14:ligatures w14:val="none"/>
        </w:rPr>
        <w:t xml:space="preserve"> </w:t>
      </w:r>
      <w:r w:rsidRPr="00F722B6">
        <w:rPr>
          <w:rFonts w:ascii="Times New Roman" w:eastAsia="Times New Roman" w:hAnsi="Times New Roman" w:cs="Times New Roman"/>
          <w:kern w:val="0"/>
          <w:sz w:val="24"/>
          <w:szCs w:val="24"/>
          <w:lang w:eastAsia="en-GB"/>
          <w14:ligatures w14:val="none"/>
        </w:rPr>
        <w:t>confidence in attendees, ensuring their well-being is prioriti</w:t>
      </w:r>
      <w:r w:rsidR="00AF54E6">
        <w:rPr>
          <w:rFonts w:ascii="Times New Roman" w:eastAsia="Times New Roman" w:hAnsi="Times New Roman" w:cs="Times New Roman"/>
          <w:kern w:val="0"/>
          <w:sz w:val="24"/>
          <w:szCs w:val="24"/>
          <w:lang w:eastAsia="en-GB"/>
          <w14:ligatures w14:val="none"/>
        </w:rPr>
        <w:t>s</w:t>
      </w:r>
      <w:r w:rsidRPr="00F722B6">
        <w:rPr>
          <w:rFonts w:ascii="Times New Roman" w:eastAsia="Times New Roman" w:hAnsi="Times New Roman" w:cs="Times New Roman"/>
          <w:kern w:val="0"/>
          <w:sz w:val="24"/>
          <w:szCs w:val="24"/>
          <w:lang w:eastAsia="en-GB"/>
          <w14:ligatures w14:val="none"/>
        </w:rPr>
        <w:t>ed, especially in the current health-conscious environment.</w:t>
      </w:r>
      <w:r w:rsidR="005B575C">
        <w:rPr>
          <w:rFonts w:ascii="Times New Roman" w:eastAsia="Times New Roman" w:hAnsi="Times New Roman" w:cs="Times New Roman"/>
          <w:kern w:val="0"/>
          <w:sz w:val="24"/>
          <w:szCs w:val="24"/>
          <w:lang w:eastAsia="en-GB"/>
          <w14:ligatures w14:val="none"/>
        </w:rPr>
        <w:t xml:space="preserve"> </w:t>
      </w:r>
      <w:r w:rsidR="005B575C" w:rsidRPr="005B575C">
        <w:rPr>
          <w:rFonts w:ascii="Times New Roman" w:eastAsia="Times New Roman" w:hAnsi="Times New Roman" w:cs="Times New Roman"/>
          <w:kern w:val="0"/>
          <w:sz w:val="24"/>
          <w:szCs w:val="24"/>
          <w:lang w:eastAsia="en-GB"/>
          <w14:ligatures w14:val="none"/>
        </w:rPr>
        <w:t>(Zhang et al., 2020)</w:t>
      </w:r>
    </w:p>
    <w:p w14:paraId="02A8ACCA" w14:textId="45D066B9" w:rsidR="00F722B6" w:rsidRPr="00F722B6" w:rsidRDefault="00F722B6" w:rsidP="00BE4500">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F722B6">
        <w:rPr>
          <w:rFonts w:ascii="Times New Roman" w:eastAsia="Times New Roman" w:hAnsi="Times New Roman" w:cs="Times New Roman"/>
          <w:b/>
          <w:bCs/>
          <w:kern w:val="0"/>
          <w:sz w:val="24"/>
          <w:szCs w:val="24"/>
          <w:lang w:eastAsia="en-GB"/>
          <w14:ligatures w14:val="none"/>
        </w:rPr>
        <w:t>Weaknesses</w:t>
      </w:r>
    </w:p>
    <w:p w14:paraId="1BF96700" w14:textId="5A5AC00B" w:rsidR="00F722B6" w:rsidRPr="00F722B6" w:rsidRDefault="00F722B6" w:rsidP="00BE4500">
      <w:pPr>
        <w:numPr>
          <w:ilvl w:val="0"/>
          <w:numId w:val="9"/>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F722B6">
        <w:rPr>
          <w:rFonts w:ascii="Times New Roman" w:eastAsia="Times New Roman" w:hAnsi="Times New Roman" w:cs="Times New Roman"/>
          <w:b/>
          <w:bCs/>
          <w:kern w:val="0"/>
          <w:sz w:val="24"/>
          <w:szCs w:val="24"/>
          <w:lang w:eastAsia="en-GB"/>
          <w14:ligatures w14:val="none"/>
        </w:rPr>
        <w:t>Cultural Misunderstandings:</w:t>
      </w:r>
      <w:r w:rsidRPr="00F722B6">
        <w:rPr>
          <w:rFonts w:ascii="Times New Roman" w:eastAsia="Times New Roman" w:hAnsi="Times New Roman" w:cs="Times New Roman"/>
          <w:kern w:val="0"/>
          <w:sz w:val="24"/>
          <w:szCs w:val="24"/>
          <w:lang w:eastAsia="en-GB"/>
          <w14:ligatures w14:val="none"/>
        </w:rPr>
        <w:t xml:space="preserve"> If cultural differences</w:t>
      </w:r>
      <w:r w:rsidR="00BE4500">
        <w:rPr>
          <w:rFonts w:ascii="Times New Roman" w:eastAsia="Times New Roman" w:hAnsi="Times New Roman" w:cs="Times New Roman"/>
          <w:kern w:val="0"/>
          <w:sz w:val="24"/>
          <w:szCs w:val="24"/>
          <w:lang w:eastAsia="en-GB"/>
          <w14:ligatures w14:val="none"/>
        </w:rPr>
        <w:t xml:space="preserve"> </w:t>
      </w:r>
      <w:r w:rsidRPr="00F722B6">
        <w:rPr>
          <w:rFonts w:ascii="Times New Roman" w:eastAsia="Times New Roman" w:hAnsi="Times New Roman" w:cs="Times New Roman"/>
          <w:kern w:val="0"/>
          <w:sz w:val="24"/>
          <w:szCs w:val="24"/>
          <w:lang w:eastAsia="en-GB"/>
          <w14:ligatures w14:val="none"/>
        </w:rPr>
        <w:t>like local business customs or dining preferences</w:t>
      </w:r>
      <w:r w:rsidR="00BE4500">
        <w:rPr>
          <w:rFonts w:ascii="Times New Roman" w:eastAsia="Times New Roman" w:hAnsi="Times New Roman" w:cs="Times New Roman"/>
          <w:kern w:val="0"/>
          <w:sz w:val="24"/>
          <w:szCs w:val="24"/>
          <w:lang w:eastAsia="en-GB"/>
          <w14:ligatures w14:val="none"/>
        </w:rPr>
        <w:t xml:space="preserve"> </w:t>
      </w:r>
      <w:r w:rsidRPr="00F722B6">
        <w:rPr>
          <w:rFonts w:ascii="Times New Roman" w:eastAsia="Times New Roman" w:hAnsi="Times New Roman" w:cs="Times New Roman"/>
          <w:kern w:val="0"/>
          <w:sz w:val="24"/>
          <w:szCs w:val="24"/>
          <w:lang w:eastAsia="en-GB"/>
          <w14:ligatures w14:val="none"/>
        </w:rPr>
        <w:t>aren’t properly addressed, it could cause discomfort or disengagement, negatively impacting the event’s atmosphere</w:t>
      </w:r>
      <w:r w:rsidR="00AD1F65">
        <w:t xml:space="preserve">. </w:t>
      </w:r>
      <w:r w:rsidR="00AD1F65" w:rsidRPr="00AD1F65">
        <w:rPr>
          <w:rFonts w:ascii="Times New Roman" w:hAnsi="Times New Roman" w:cs="Times New Roman"/>
          <w:sz w:val="24"/>
          <w:szCs w:val="24"/>
        </w:rPr>
        <w:t>(</w:t>
      </w:r>
      <w:proofErr w:type="spellStart"/>
      <w:r w:rsidR="00AD1F65" w:rsidRPr="00AD1F65">
        <w:rPr>
          <w:rFonts w:ascii="Times New Roman" w:hAnsi="Times New Roman" w:cs="Times New Roman"/>
          <w:sz w:val="24"/>
          <w:szCs w:val="24"/>
        </w:rPr>
        <w:t>Grobelna</w:t>
      </w:r>
      <w:proofErr w:type="spellEnd"/>
      <w:r w:rsidR="00AD1F65" w:rsidRPr="00AD1F65">
        <w:rPr>
          <w:rFonts w:ascii="Times New Roman" w:hAnsi="Times New Roman" w:cs="Times New Roman"/>
          <w:sz w:val="24"/>
          <w:szCs w:val="24"/>
        </w:rPr>
        <w:t>, 2015)</w:t>
      </w:r>
    </w:p>
    <w:p w14:paraId="49F12585" w14:textId="7E98136B" w:rsidR="00F722B6" w:rsidRPr="00F722B6" w:rsidRDefault="00F722B6" w:rsidP="00BE4500">
      <w:pPr>
        <w:numPr>
          <w:ilvl w:val="0"/>
          <w:numId w:val="9"/>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F722B6">
        <w:rPr>
          <w:rFonts w:ascii="Times New Roman" w:eastAsia="Times New Roman" w:hAnsi="Times New Roman" w:cs="Times New Roman"/>
          <w:b/>
          <w:bCs/>
          <w:kern w:val="0"/>
          <w:sz w:val="24"/>
          <w:szCs w:val="24"/>
          <w:lang w:eastAsia="en-GB"/>
          <w14:ligatures w14:val="none"/>
        </w:rPr>
        <w:t>Language Challenges:</w:t>
      </w:r>
      <w:r w:rsidRPr="00F722B6">
        <w:rPr>
          <w:rFonts w:ascii="Times New Roman" w:eastAsia="Times New Roman" w:hAnsi="Times New Roman" w:cs="Times New Roman"/>
          <w:kern w:val="0"/>
          <w:sz w:val="24"/>
          <w:szCs w:val="24"/>
          <w:lang w:eastAsia="en-GB"/>
          <w14:ligatures w14:val="none"/>
        </w:rPr>
        <w:t xml:space="preserve"> With a diverse international audience, language barriers might hinder communication unless appropriate translation services or multilingual support are provided.</w:t>
      </w:r>
      <w:r w:rsidR="00B517D4" w:rsidRPr="00B517D4">
        <w:t xml:space="preserve"> </w:t>
      </w:r>
      <w:r w:rsidR="00B517D4" w:rsidRPr="00B517D4">
        <w:rPr>
          <w:rFonts w:ascii="Times New Roman" w:eastAsia="Times New Roman" w:hAnsi="Times New Roman" w:cs="Times New Roman"/>
          <w:kern w:val="0"/>
          <w:sz w:val="24"/>
          <w:szCs w:val="24"/>
          <w:lang w:eastAsia="en-GB"/>
          <w14:ligatures w14:val="none"/>
        </w:rPr>
        <w:t>(Maude, 2016)</w:t>
      </w:r>
    </w:p>
    <w:p w14:paraId="43394AD7" w14:textId="2D6F2467" w:rsidR="00F722B6" w:rsidRPr="00F722B6" w:rsidRDefault="00F722B6" w:rsidP="00BE4500">
      <w:pPr>
        <w:numPr>
          <w:ilvl w:val="0"/>
          <w:numId w:val="9"/>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F722B6">
        <w:rPr>
          <w:rFonts w:ascii="Times New Roman" w:eastAsia="Times New Roman" w:hAnsi="Times New Roman" w:cs="Times New Roman"/>
          <w:b/>
          <w:bCs/>
          <w:kern w:val="0"/>
          <w:sz w:val="24"/>
          <w:szCs w:val="24"/>
          <w:lang w:eastAsia="en-GB"/>
          <w14:ligatures w14:val="none"/>
        </w:rPr>
        <w:t>Increased Costs for Customi</w:t>
      </w:r>
      <w:r w:rsidR="00BE4500">
        <w:rPr>
          <w:rFonts w:ascii="Times New Roman" w:eastAsia="Times New Roman" w:hAnsi="Times New Roman" w:cs="Times New Roman"/>
          <w:b/>
          <w:bCs/>
          <w:kern w:val="0"/>
          <w:sz w:val="24"/>
          <w:szCs w:val="24"/>
          <w:lang w:eastAsia="en-GB"/>
          <w14:ligatures w14:val="none"/>
        </w:rPr>
        <w:t>s</w:t>
      </w:r>
      <w:r w:rsidRPr="00F722B6">
        <w:rPr>
          <w:rFonts w:ascii="Times New Roman" w:eastAsia="Times New Roman" w:hAnsi="Times New Roman" w:cs="Times New Roman"/>
          <w:b/>
          <w:bCs/>
          <w:kern w:val="0"/>
          <w:sz w:val="24"/>
          <w:szCs w:val="24"/>
          <w:lang w:eastAsia="en-GB"/>
          <w14:ligatures w14:val="none"/>
        </w:rPr>
        <w:t>ation:</w:t>
      </w:r>
      <w:r w:rsidRPr="00F722B6">
        <w:rPr>
          <w:rFonts w:ascii="Times New Roman" w:eastAsia="Times New Roman" w:hAnsi="Times New Roman" w:cs="Times New Roman"/>
          <w:kern w:val="0"/>
          <w:sz w:val="24"/>
          <w:szCs w:val="24"/>
          <w:lang w:eastAsia="en-GB"/>
          <w14:ligatures w14:val="none"/>
        </w:rPr>
        <w:t xml:space="preserve"> Tailoring the conference to meet diverse cultural needs, such as specific dietary options, local traditions, or providing multilingual materials, can increase logistical and financial demands.</w:t>
      </w:r>
      <w:r w:rsidR="00597C76">
        <w:rPr>
          <w:rFonts w:ascii="Times New Roman" w:eastAsia="Times New Roman" w:hAnsi="Times New Roman" w:cs="Times New Roman"/>
          <w:kern w:val="0"/>
          <w:sz w:val="24"/>
          <w:szCs w:val="24"/>
          <w:lang w:eastAsia="en-GB"/>
          <w14:ligatures w14:val="none"/>
        </w:rPr>
        <w:t xml:space="preserve"> </w:t>
      </w:r>
      <w:bookmarkStart w:id="2" w:name="_Hlk190883169"/>
      <w:r w:rsidR="00597C76" w:rsidRPr="00597C76">
        <w:rPr>
          <w:rFonts w:ascii="Times New Roman" w:eastAsia="Times New Roman" w:hAnsi="Times New Roman" w:cs="Times New Roman"/>
          <w:kern w:val="0"/>
          <w:sz w:val="24"/>
          <w:szCs w:val="24"/>
          <w:lang w:eastAsia="en-GB"/>
          <w14:ligatures w14:val="none"/>
        </w:rPr>
        <w:t>(Duarte et al., 2023)</w:t>
      </w:r>
    </w:p>
    <w:bookmarkEnd w:id="2"/>
    <w:p w14:paraId="07F8E6B0" w14:textId="670198F4" w:rsidR="00F722B6" w:rsidRPr="00F722B6" w:rsidRDefault="00F722B6" w:rsidP="00BE4500">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F722B6">
        <w:rPr>
          <w:rFonts w:ascii="Times New Roman" w:eastAsia="Times New Roman" w:hAnsi="Times New Roman" w:cs="Times New Roman"/>
          <w:b/>
          <w:bCs/>
          <w:kern w:val="0"/>
          <w:sz w:val="24"/>
          <w:szCs w:val="24"/>
          <w:lang w:eastAsia="en-GB"/>
          <w14:ligatures w14:val="none"/>
        </w:rPr>
        <w:t>Opportunities</w:t>
      </w:r>
    </w:p>
    <w:p w14:paraId="72B69379" w14:textId="2E13CA4A" w:rsidR="00F722B6" w:rsidRPr="00F722B6" w:rsidRDefault="00F722B6" w:rsidP="00BE4500">
      <w:pPr>
        <w:numPr>
          <w:ilvl w:val="0"/>
          <w:numId w:val="10"/>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F722B6">
        <w:rPr>
          <w:rFonts w:ascii="Times New Roman" w:eastAsia="Times New Roman" w:hAnsi="Times New Roman" w:cs="Times New Roman"/>
          <w:b/>
          <w:bCs/>
          <w:kern w:val="0"/>
          <w:sz w:val="24"/>
          <w:szCs w:val="24"/>
          <w:lang w:eastAsia="en-GB"/>
          <w14:ligatures w14:val="none"/>
        </w:rPr>
        <w:t>Global Networking Potential:</w:t>
      </w:r>
      <w:r w:rsidRPr="00F722B6">
        <w:rPr>
          <w:rFonts w:ascii="Times New Roman" w:eastAsia="Times New Roman" w:hAnsi="Times New Roman" w:cs="Times New Roman"/>
          <w:kern w:val="0"/>
          <w:sz w:val="24"/>
          <w:szCs w:val="24"/>
          <w:lang w:eastAsia="en-GB"/>
          <w14:ligatures w14:val="none"/>
        </w:rPr>
        <w:t xml:space="preserve"> A diverse audience offers the opportunity to foster international relationships, strengthening cross-border connections within the hospitality industry.</w:t>
      </w:r>
      <w:r w:rsidR="003129FC" w:rsidRPr="003129FC">
        <w:t xml:space="preserve"> </w:t>
      </w:r>
      <w:r w:rsidR="003129FC" w:rsidRPr="003129FC">
        <w:rPr>
          <w:rFonts w:ascii="Times New Roman" w:eastAsia="Times New Roman" w:hAnsi="Times New Roman" w:cs="Times New Roman"/>
          <w:kern w:val="0"/>
          <w:sz w:val="24"/>
          <w:szCs w:val="24"/>
          <w:lang w:eastAsia="en-GB"/>
          <w14:ligatures w14:val="none"/>
        </w:rPr>
        <w:t>(Hall et al., 2022)</w:t>
      </w:r>
      <w:r w:rsidR="00FD0400">
        <w:rPr>
          <w:rFonts w:ascii="Times New Roman" w:eastAsia="Times New Roman" w:hAnsi="Times New Roman" w:cs="Times New Roman"/>
          <w:kern w:val="0"/>
          <w:sz w:val="24"/>
          <w:szCs w:val="24"/>
          <w:lang w:eastAsia="en-GB"/>
          <w14:ligatures w14:val="none"/>
        </w:rPr>
        <w:t xml:space="preserve"> </w:t>
      </w:r>
    </w:p>
    <w:p w14:paraId="6144893C" w14:textId="7C602DE6" w:rsidR="00F722B6" w:rsidRPr="00F722B6" w:rsidRDefault="00F722B6" w:rsidP="00BE4500">
      <w:pPr>
        <w:numPr>
          <w:ilvl w:val="0"/>
          <w:numId w:val="10"/>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F722B6">
        <w:rPr>
          <w:rFonts w:ascii="Times New Roman" w:eastAsia="Times New Roman" w:hAnsi="Times New Roman" w:cs="Times New Roman"/>
          <w:b/>
          <w:bCs/>
          <w:kern w:val="0"/>
          <w:sz w:val="24"/>
          <w:szCs w:val="24"/>
          <w:lang w:eastAsia="en-GB"/>
          <w14:ligatures w14:val="none"/>
        </w:rPr>
        <w:t>Collaborations with Local Brands:</w:t>
      </w:r>
      <w:r w:rsidRPr="00F722B6">
        <w:rPr>
          <w:rFonts w:ascii="Times New Roman" w:eastAsia="Times New Roman" w:hAnsi="Times New Roman" w:cs="Times New Roman"/>
          <w:kern w:val="0"/>
          <w:sz w:val="24"/>
          <w:szCs w:val="24"/>
          <w:lang w:eastAsia="en-GB"/>
          <w14:ligatures w14:val="none"/>
        </w:rPr>
        <w:t xml:space="preserve"> Partnering with local hospitality businesses such as hotels, restaurants, and venues can create authentic, region-specific experiences for attendees while offering local businesses exposure.</w:t>
      </w:r>
      <w:r w:rsidR="00FD0400" w:rsidRPr="00FD0400">
        <w:t xml:space="preserve"> </w:t>
      </w:r>
      <w:r w:rsidR="00FD0400" w:rsidRPr="00FD0400">
        <w:rPr>
          <w:rFonts w:ascii="Times New Roman" w:eastAsia="Times New Roman" w:hAnsi="Times New Roman" w:cs="Times New Roman"/>
          <w:kern w:val="0"/>
          <w:sz w:val="24"/>
          <w:szCs w:val="24"/>
          <w:lang w:eastAsia="en-GB"/>
          <w14:ligatures w14:val="none"/>
        </w:rPr>
        <w:t>(Paiva et al., 2025)</w:t>
      </w:r>
    </w:p>
    <w:p w14:paraId="1D519B71" w14:textId="76A12C87" w:rsidR="00F722B6" w:rsidRPr="00F722B6" w:rsidRDefault="00F722B6" w:rsidP="00BE4500">
      <w:pPr>
        <w:numPr>
          <w:ilvl w:val="0"/>
          <w:numId w:val="10"/>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F722B6">
        <w:rPr>
          <w:rFonts w:ascii="Times New Roman" w:eastAsia="Times New Roman" w:hAnsi="Times New Roman" w:cs="Times New Roman"/>
          <w:b/>
          <w:bCs/>
          <w:kern w:val="0"/>
          <w:sz w:val="24"/>
          <w:szCs w:val="24"/>
          <w:lang w:eastAsia="en-GB"/>
          <w14:ligatures w14:val="none"/>
        </w:rPr>
        <w:lastRenderedPageBreak/>
        <w:t>Technology for Greater Accessibility:</w:t>
      </w:r>
      <w:r w:rsidRPr="00F722B6">
        <w:rPr>
          <w:rFonts w:ascii="Times New Roman" w:eastAsia="Times New Roman" w:hAnsi="Times New Roman" w:cs="Times New Roman"/>
          <w:kern w:val="0"/>
          <w:sz w:val="24"/>
          <w:szCs w:val="24"/>
          <w:lang w:eastAsia="en-GB"/>
          <w14:ligatures w14:val="none"/>
        </w:rPr>
        <w:t xml:space="preserve"> Incorporating virtual attendance options or real-time translation could make the conference more accessible, attracting a wider audience, including those who can’t attend in person.</w:t>
      </w:r>
      <w:r w:rsidR="00385477" w:rsidRPr="00385477">
        <w:t xml:space="preserve"> </w:t>
      </w:r>
      <w:r w:rsidR="00385477" w:rsidRPr="00385477">
        <w:rPr>
          <w:rFonts w:ascii="Times New Roman" w:eastAsia="Times New Roman" w:hAnsi="Times New Roman" w:cs="Times New Roman"/>
          <w:kern w:val="0"/>
          <w:sz w:val="24"/>
          <w:szCs w:val="24"/>
          <w:lang w:eastAsia="en-GB"/>
          <w14:ligatures w14:val="none"/>
        </w:rPr>
        <w:t>(Walmsley, 2011)</w:t>
      </w:r>
    </w:p>
    <w:p w14:paraId="5EC4ECF4" w14:textId="4355A900" w:rsidR="00F722B6" w:rsidRPr="00F722B6" w:rsidRDefault="00F722B6" w:rsidP="00BE4500">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F722B6">
        <w:rPr>
          <w:rFonts w:ascii="Times New Roman" w:eastAsia="Times New Roman" w:hAnsi="Times New Roman" w:cs="Times New Roman"/>
          <w:b/>
          <w:bCs/>
          <w:kern w:val="0"/>
          <w:sz w:val="24"/>
          <w:szCs w:val="24"/>
          <w:lang w:eastAsia="en-GB"/>
          <w14:ligatures w14:val="none"/>
        </w:rPr>
        <w:t>Threats</w:t>
      </w:r>
    </w:p>
    <w:p w14:paraId="43C3419B" w14:textId="2373B9DC" w:rsidR="00F722B6" w:rsidRPr="00F722B6" w:rsidRDefault="00F722B6" w:rsidP="00BE4500">
      <w:pPr>
        <w:numPr>
          <w:ilvl w:val="0"/>
          <w:numId w:val="11"/>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F722B6">
        <w:rPr>
          <w:rFonts w:ascii="Times New Roman" w:eastAsia="Times New Roman" w:hAnsi="Times New Roman" w:cs="Times New Roman"/>
          <w:b/>
          <w:bCs/>
          <w:kern w:val="0"/>
          <w:sz w:val="24"/>
          <w:szCs w:val="24"/>
          <w:lang w:eastAsia="en-GB"/>
          <w14:ligatures w14:val="none"/>
        </w:rPr>
        <w:t>Cultural Insensitivity:</w:t>
      </w:r>
      <w:r w:rsidRPr="00F722B6">
        <w:rPr>
          <w:rFonts w:ascii="Times New Roman" w:eastAsia="Times New Roman" w:hAnsi="Times New Roman" w:cs="Times New Roman"/>
          <w:kern w:val="0"/>
          <w:sz w:val="24"/>
          <w:szCs w:val="24"/>
          <w:lang w:eastAsia="en-GB"/>
          <w14:ligatures w14:val="none"/>
        </w:rPr>
        <w:t xml:space="preserve"> Ignoring cultural differences, like dietary restrictions or local customs, could alienate attendees and harm the conference’s reputation.</w:t>
      </w:r>
      <w:r w:rsidR="004438DB" w:rsidRPr="004438DB">
        <w:rPr>
          <w:rFonts w:ascii="Times New Roman" w:eastAsia="Times New Roman" w:hAnsi="Times New Roman" w:cs="Times New Roman"/>
          <w:kern w:val="0"/>
          <w:sz w:val="24"/>
          <w:szCs w:val="24"/>
          <w:lang w:eastAsia="en-GB"/>
          <w14:ligatures w14:val="none"/>
        </w:rPr>
        <w:t xml:space="preserve"> </w:t>
      </w:r>
      <w:r w:rsidR="004438DB" w:rsidRPr="005B575C">
        <w:rPr>
          <w:rFonts w:ascii="Times New Roman" w:eastAsia="Times New Roman" w:hAnsi="Times New Roman" w:cs="Times New Roman"/>
          <w:kern w:val="0"/>
          <w:sz w:val="24"/>
          <w:szCs w:val="24"/>
          <w:lang w:eastAsia="en-GB"/>
          <w14:ligatures w14:val="none"/>
        </w:rPr>
        <w:t>(Zhang et al., 2020)</w:t>
      </w:r>
      <w:r w:rsidR="004438DB">
        <w:rPr>
          <w:rFonts w:ascii="Times New Roman" w:eastAsia="Times New Roman" w:hAnsi="Times New Roman" w:cs="Times New Roman"/>
          <w:kern w:val="0"/>
          <w:sz w:val="24"/>
          <w:szCs w:val="24"/>
          <w:lang w:eastAsia="en-GB"/>
          <w14:ligatures w14:val="none"/>
        </w:rPr>
        <w:t xml:space="preserve"> </w:t>
      </w:r>
    </w:p>
    <w:p w14:paraId="34B89F8A" w14:textId="24CD4750" w:rsidR="00F722B6" w:rsidRPr="00F722B6" w:rsidRDefault="00F722B6" w:rsidP="00BE4500">
      <w:pPr>
        <w:numPr>
          <w:ilvl w:val="0"/>
          <w:numId w:val="11"/>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F722B6">
        <w:rPr>
          <w:rFonts w:ascii="Times New Roman" w:eastAsia="Times New Roman" w:hAnsi="Times New Roman" w:cs="Times New Roman"/>
          <w:b/>
          <w:bCs/>
          <w:kern w:val="0"/>
          <w:sz w:val="24"/>
          <w:szCs w:val="24"/>
          <w:lang w:eastAsia="en-GB"/>
          <w14:ligatures w14:val="none"/>
        </w:rPr>
        <w:t>External Disruptions:</w:t>
      </w:r>
      <w:r w:rsidRPr="00F722B6">
        <w:rPr>
          <w:rFonts w:ascii="Times New Roman" w:eastAsia="Times New Roman" w:hAnsi="Times New Roman" w:cs="Times New Roman"/>
          <w:kern w:val="0"/>
          <w:sz w:val="24"/>
          <w:szCs w:val="24"/>
          <w:lang w:eastAsia="en-GB"/>
          <w14:ligatures w14:val="none"/>
        </w:rPr>
        <w:t xml:space="preserve"> Unforeseen issues like political unrest, economic instability, or travel restrictions could interfere with event planning or reduce attendance, posing a threat to the event's success.</w:t>
      </w:r>
      <w:r w:rsidR="004438DB" w:rsidRPr="004438DB">
        <w:rPr>
          <w:rFonts w:ascii="Times New Roman" w:eastAsia="Times New Roman" w:hAnsi="Times New Roman" w:cs="Times New Roman"/>
          <w:kern w:val="0"/>
          <w:sz w:val="24"/>
          <w:szCs w:val="24"/>
          <w:lang w:eastAsia="en-GB"/>
          <w14:ligatures w14:val="none"/>
        </w:rPr>
        <w:t xml:space="preserve"> </w:t>
      </w:r>
      <w:r w:rsidR="004438DB" w:rsidRPr="00F722B6">
        <w:rPr>
          <w:rFonts w:ascii="Times New Roman" w:eastAsia="Times New Roman" w:hAnsi="Times New Roman" w:cs="Times New Roman"/>
          <w:kern w:val="0"/>
          <w:sz w:val="24"/>
          <w:szCs w:val="24"/>
          <w:lang w:eastAsia="en-GB"/>
          <w14:ligatures w14:val="none"/>
        </w:rPr>
        <w:t>.</w:t>
      </w:r>
      <w:r w:rsidR="004438DB" w:rsidRPr="005B575C">
        <w:t xml:space="preserve"> </w:t>
      </w:r>
      <w:r w:rsidR="004438DB" w:rsidRPr="005B575C">
        <w:rPr>
          <w:rFonts w:ascii="Times New Roman" w:eastAsia="Times New Roman" w:hAnsi="Times New Roman" w:cs="Times New Roman"/>
          <w:kern w:val="0"/>
          <w:sz w:val="24"/>
          <w:szCs w:val="24"/>
          <w:lang w:eastAsia="en-GB"/>
          <w14:ligatures w14:val="none"/>
        </w:rPr>
        <w:t>(Curtis et al., 2021)</w:t>
      </w:r>
    </w:p>
    <w:p w14:paraId="29CD4EDF" w14:textId="78C0CEF6" w:rsidR="00F722B6" w:rsidRPr="004438DB" w:rsidRDefault="00F722B6" w:rsidP="00BE4500">
      <w:pPr>
        <w:numPr>
          <w:ilvl w:val="0"/>
          <w:numId w:val="9"/>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F722B6">
        <w:rPr>
          <w:rFonts w:ascii="Times New Roman" w:eastAsia="Times New Roman" w:hAnsi="Times New Roman" w:cs="Times New Roman"/>
          <w:b/>
          <w:bCs/>
          <w:kern w:val="0"/>
          <w:sz w:val="24"/>
          <w:szCs w:val="24"/>
          <w:lang w:eastAsia="en-GB"/>
          <w14:ligatures w14:val="none"/>
        </w:rPr>
        <w:t>Complex Logistics:</w:t>
      </w:r>
      <w:r w:rsidRPr="00F722B6">
        <w:rPr>
          <w:rFonts w:ascii="Times New Roman" w:eastAsia="Times New Roman" w:hAnsi="Times New Roman" w:cs="Times New Roman"/>
          <w:kern w:val="0"/>
          <w:sz w:val="24"/>
          <w:szCs w:val="24"/>
          <w:lang w:eastAsia="en-GB"/>
          <w14:ligatures w14:val="none"/>
        </w:rPr>
        <w:t xml:space="preserve"> Managing a large event with multiple cultural considerations</w:t>
      </w:r>
      <w:r w:rsidR="00BE4500">
        <w:rPr>
          <w:rFonts w:ascii="Times New Roman" w:eastAsia="Times New Roman" w:hAnsi="Times New Roman" w:cs="Times New Roman"/>
          <w:kern w:val="0"/>
          <w:sz w:val="24"/>
          <w:szCs w:val="24"/>
          <w:lang w:eastAsia="en-GB"/>
          <w14:ligatures w14:val="none"/>
        </w:rPr>
        <w:t xml:space="preserve"> </w:t>
      </w:r>
      <w:r w:rsidRPr="00F722B6">
        <w:rPr>
          <w:rFonts w:ascii="Times New Roman" w:eastAsia="Times New Roman" w:hAnsi="Times New Roman" w:cs="Times New Roman"/>
          <w:kern w:val="0"/>
          <w:sz w:val="24"/>
          <w:szCs w:val="24"/>
          <w:lang w:eastAsia="en-GB"/>
          <w14:ligatures w14:val="none"/>
        </w:rPr>
        <w:t>such as handling different time zones for virtual attendees or aligning with local norms</w:t>
      </w:r>
      <w:r w:rsidR="00BE4500">
        <w:rPr>
          <w:rFonts w:ascii="Times New Roman" w:eastAsia="Times New Roman" w:hAnsi="Times New Roman" w:cs="Times New Roman"/>
          <w:kern w:val="0"/>
          <w:sz w:val="24"/>
          <w:szCs w:val="24"/>
          <w:lang w:eastAsia="en-GB"/>
          <w14:ligatures w14:val="none"/>
        </w:rPr>
        <w:t xml:space="preserve"> </w:t>
      </w:r>
      <w:r w:rsidRPr="00F722B6">
        <w:rPr>
          <w:rFonts w:ascii="Times New Roman" w:eastAsia="Times New Roman" w:hAnsi="Times New Roman" w:cs="Times New Roman"/>
          <w:kern w:val="0"/>
          <w:sz w:val="24"/>
          <w:szCs w:val="24"/>
          <w:lang w:eastAsia="en-GB"/>
          <w14:ligatures w14:val="none"/>
        </w:rPr>
        <w:t>can present organi</w:t>
      </w:r>
      <w:r w:rsidR="00BE4500">
        <w:rPr>
          <w:rFonts w:ascii="Times New Roman" w:eastAsia="Times New Roman" w:hAnsi="Times New Roman" w:cs="Times New Roman"/>
          <w:kern w:val="0"/>
          <w:sz w:val="24"/>
          <w:szCs w:val="24"/>
          <w:lang w:eastAsia="en-GB"/>
          <w14:ligatures w14:val="none"/>
        </w:rPr>
        <w:t>s</w:t>
      </w:r>
      <w:r w:rsidRPr="00F722B6">
        <w:rPr>
          <w:rFonts w:ascii="Times New Roman" w:eastAsia="Times New Roman" w:hAnsi="Times New Roman" w:cs="Times New Roman"/>
          <w:kern w:val="0"/>
          <w:sz w:val="24"/>
          <w:szCs w:val="24"/>
          <w:lang w:eastAsia="en-GB"/>
          <w14:ligatures w14:val="none"/>
        </w:rPr>
        <w:t>ational challenges that affect the smooth running of the conference.</w:t>
      </w:r>
      <w:r w:rsidR="004438DB" w:rsidRPr="004438DB">
        <w:rPr>
          <w:rFonts w:ascii="Times New Roman" w:eastAsia="Times New Roman" w:hAnsi="Times New Roman" w:cs="Times New Roman"/>
          <w:kern w:val="0"/>
          <w:sz w:val="24"/>
          <w:szCs w:val="24"/>
          <w:lang w:eastAsia="en-GB"/>
          <w14:ligatures w14:val="none"/>
        </w:rPr>
        <w:t xml:space="preserve"> </w:t>
      </w:r>
      <w:r w:rsidR="004438DB" w:rsidRPr="00597C76">
        <w:rPr>
          <w:rFonts w:ascii="Times New Roman" w:eastAsia="Times New Roman" w:hAnsi="Times New Roman" w:cs="Times New Roman"/>
          <w:kern w:val="0"/>
          <w:sz w:val="24"/>
          <w:szCs w:val="24"/>
          <w:lang w:eastAsia="en-GB"/>
          <w14:ligatures w14:val="none"/>
        </w:rPr>
        <w:t>(Duarte et al., 2023)</w:t>
      </w:r>
    </w:p>
    <w:p w14:paraId="44577D67" w14:textId="77777777" w:rsidR="00F722B6" w:rsidRPr="00F722B6" w:rsidRDefault="00F722B6" w:rsidP="00BE4500">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F722B6">
        <w:rPr>
          <w:rFonts w:ascii="Times New Roman" w:eastAsia="Times New Roman" w:hAnsi="Times New Roman" w:cs="Times New Roman"/>
          <w:kern w:val="0"/>
          <w:sz w:val="24"/>
          <w:szCs w:val="24"/>
          <w:lang w:eastAsia="en-GB"/>
          <w14:ligatures w14:val="none"/>
        </w:rPr>
        <w:t>By proactively considering these situational and cultural factors, the hospitality conference can provide a positive, inclusive experience for all participants, ensuring both local and international attendees feel welcomed and engaged.</w:t>
      </w:r>
    </w:p>
    <w:p w14:paraId="6F00801F" w14:textId="3DF8F9C2" w:rsidR="00966317" w:rsidRDefault="00A07AE0" w:rsidP="00BE4500">
      <w:p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Conclusion</w:t>
      </w:r>
      <w:r w:rsidR="00377F38">
        <w:rPr>
          <w:rFonts w:ascii="Times New Roman" w:hAnsi="Times New Roman" w:cs="Times New Roman"/>
          <w:b/>
          <w:bCs/>
          <w:sz w:val="24"/>
          <w:szCs w:val="24"/>
          <w:lang w:val="en-US"/>
        </w:rPr>
        <w:t xml:space="preserve"> </w:t>
      </w:r>
    </w:p>
    <w:p w14:paraId="18D84E58" w14:textId="77777777" w:rsidR="00121504" w:rsidRDefault="00A07AE0" w:rsidP="00667FA9">
      <w:pPr>
        <w:spacing w:line="360" w:lineRule="auto"/>
        <w:jc w:val="both"/>
        <w:rPr>
          <w:rFonts w:ascii="Times New Roman" w:hAnsi="Times New Roman" w:cs="Times New Roman"/>
          <w:sz w:val="24"/>
          <w:szCs w:val="24"/>
        </w:rPr>
      </w:pPr>
      <w:r w:rsidRPr="00A07AE0">
        <w:rPr>
          <w:rFonts w:ascii="Times New Roman" w:hAnsi="Times New Roman" w:cs="Times New Roman"/>
          <w:sz w:val="24"/>
          <w:szCs w:val="24"/>
        </w:rPr>
        <w:t xml:space="preserve">In conclusion, this event is designed to support the integration of Equity, Diversity, and Inclusion (EDI) in the hospitality sector, offering a valuable platform for professional development and knowledge sharing. The event follows a structured approach, ensuring a smooth flow from initial planning to post-event evaluation. With a hybrid format, it provides global access, encouraging participation in discussions, workshops, and networking opportunities. The main objective is to provide attendees with practical tools to implement EDI strategies, with clear goals such as increasing attendance, fostering knowledge exchange, and achieving high levels of attendee satisfaction. The thorough planning and operational activities, including contingency measures, guarantee a well-executed event, while strategic marketing efforts aim to attract a diverse audience. Financial forecasts suggest the event will be financially sound, relying on a mix of ticket sales and sponsorships. By considering industry trends and </w:t>
      </w:r>
      <w:r w:rsidRPr="00A07AE0">
        <w:rPr>
          <w:rFonts w:ascii="Times New Roman" w:hAnsi="Times New Roman" w:cs="Times New Roman"/>
          <w:sz w:val="24"/>
          <w:szCs w:val="24"/>
        </w:rPr>
        <w:lastRenderedPageBreak/>
        <w:t>cultural factors, this event is set to create a meaningful impact, advancing inclusivity and diversity within the hospitality industry.</w:t>
      </w:r>
    </w:p>
    <w:p w14:paraId="30971C9B" w14:textId="77777777" w:rsidR="00121504" w:rsidRDefault="00121504" w:rsidP="00667FA9">
      <w:pPr>
        <w:spacing w:line="360" w:lineRule="auto"/>
        <w:jc w:val="both"/>
        <w:rPr>
          <w:rFonts w:ascii="Times New Roman" w:hAnsi="Times New Roman" w:cs="Times New Roman"/>
          <w:sz w:val="24"/>
          <w:szCs w:val="24"/>
        </w:rPr>
      </w:pPr>
    </w:p>
    <w:p w14:paraId="0AA85784" w14:textId="3D423925" w:rsidR="00C10705" w:rsidRPr="00121504" w:rsidRDefault="00C10705" w:rsidP="00667FA9">
      <w:pPr>
        <w:spacing w:line="360" w:lineRule="auto"/>
        <w:jc w:val="both"/>
        <w:rPr>
          <w:rFonts w:ascii="Times New Roman" w:hAnsi="Times New Roman" w:cs="Times New Roman"/>
          <w:sz w:val="24"/>
          <w:szCs w:val="24"/>
        </w:rPr>
      </w:pPr>
      <w:r w:rsidRPr="00C10705">
        <w:rPr>
          <w:rFonts w:ascii="Times New Roman" w:hAnsi="Times New Roman" w:cs="Times New Roman"/>
          <w:b/>
          <w:bCs/>
          <w:sz w:val="24"/>
          <w:szCs w:val="24"/>
        </w:rPr>
        <w:t xml:space="preserve">References </w:t>
      </w:r>
    </w:p>
    <w:p w14:paraId="00CB98D9" w14:textId="77777777" w:rsidR="00A379B2" w:rsidRDefault="00A379B2" w:rsidP="005C0678">
      <w:pPr>
        <w:pStyle w:val="NormalWeb"/>
        <w:ind w:left="360"/>
        <w:jc w:val="both"/>
      </w:pPr>
      <w:r>
        <w:t xml:space="preserve">Ahamed, R. (2024) ‘Marketing strategies of E-COMMERCE business (Myntra)’, </w:t>
      </w:r>
      <w:r>
        <w:rPr>
          <w:i/>
          <w:iCs/>
        </w:rPr>
        <w:t>Poonam Shodh Rachna</w:t>
      </w:r>
      <w:r>
        <w:t xml:space="preserve">, 3(4), pp. 5–8. doi:10.56642/brdu.v03i04.002. </w:t>
      </w:r>
    </w:p>
    <w:p w14:paraId="1DB37F4C" w14:textId="77777777" w:rsidR="00A379B2" w:rsidRDefault="00A379B2" w:rsidP="005C0678">
      <w:pPr>
        <w:pStyle w:val="NormalWeb"/>
        <w:ind w:left="360"/>
        <w:jc w:val="both"/>
      </w:pPr>
      <w:r>
        <w:t xml:space="preserve">Ayyoob, A. and Sajeev, A. (2024) ‘Diversity, equity, and Inclusion: Employees Perspectives on Sustainable Business Practices’, </w:t>
      </w:r>
      <w:r>
        <w:rPr>
          <w:i/>
          <w:iCs/>
        </w:rPr>
        <w:t>DIVERSITY, EQUITY AND INCLUSION</w:t>
      </w:r>
      <w:r>
        <w:t xml:space="preserve">, pp. 348–367. doi:10.4324/9781003487180-27. </w:t>
      </w:r>
    </w:p>
    <w:p w14:paraId="0A273E83" w14:textId="77777777" w:rsidR="00A379B2" w:rsidRDefault="00A379B2" w:rsidP="005C0678">
      <w:pPr>
        <w:pStyle w:val="NormalWeb"/>
        <w:ind w:left="360"/>
        <w:jc w:val="both"/>
      </w:pPr>
      <w:r>
        <w:t xml:space="preserve">Bernstein, R.S. </w:t>
      </w:r>
      <w:r>
        <w:rPr>
          <w:i/>
          <w:iCs/>
        </w:rPr>
        <w:t>et al.</w:t>
      </w:r>
      <w:r>
        <w:t xml:space="preserve"> (2019) ‘From diversity to inclusion to equity: A theory of generative interactions’, </w:t>
      </w:r>
      <w:r>
        <w:rPr>
          <w:i/>
          <w:iCs/>
        </w:rPr>
        <w:t>Journal of Business Ethics</w:t>
      </w:r>
      <w:r>
        <w:t xml:space="preserve">, 167(3), pp. 395–410. doi:10.1007/s10551-019-04180-1. </w:t>
      </w:r>
    </w:p>
    <w:p w14:paraId="1E95D38A" w14:textId="77777777" w:rsidR="00A379B2" w:rsidRDefault="00A379B2" w:rsidP="005C0678">
      <w:pPr>
        <w:pStyle w:val="NormalWeb"/>
        <w:ind w:left="360"/>
        <w:jc w:val="both"/>
      </w:pPr>
      <w:r>
        <w:t xml:space="preserve">Boggia, A. </w:t>
      </w:r>
      <w:r>
        <w:rPr>
          <w:i/>
          <w:iCs/>
        </w:rPr>
        <w:t>et al.</w:t>
      </w:r>
      <w:r>
        <w:t xml:space="preserve"> (2018) ‘A model for measuring the environmental sustainability of events’, </w:t>
      </w:r>
      <w:r>
        <w:rPr>
          <w:i/>
          <w:iCs/>
        </w:rPr>
        <w:t>Journal of Environmental Management</w:t>
      </w:r>
      <w:r>
        <w:t xml:space="preserve">, 206, pp. 836–845. doi:10.1016/j.jenvman.2017.11.057. </w:t>
      </w:r>
    </w:p>
    <w:p w14:paraId="74E109D8" w14:textId="77777777" w:rsidR="00A379B2" w:rsidRDefault="00A379B2" w:rsidP="005C0678">
      <w:pPr>
        <w:pStyle w:val="NormalWeb"/>
        <w:ind w:left="360"/>
        <w:jc w:val="both"/>
      </w:pPr>
      <w:r>
        <w:t xml:space="preserve">Chan, A. </w:t>
      </w:r>
      <w:r>
        <w:rPr>
          <w:i/>
          <w:iCs/>
        </w:rPr>
        <w:t>et al.</w:t>
      </w:r>
      <w:r>
        <w:t xml:space="preserve"> (2024) ‘Environmental sustainability- and Edi-Integrated Engineering Work: Who is doing it and what skills are important?’, </w:t>
      </w:r>
      <w:r>
        <w:rPr>
          <w:i/>
          <w:iCs/>
        </w:rPr>
        <w:t>Proceedings of the Canadian Engineering Education Association (CEEA)</w:t>
      </w:r>
      <w:r>
        <w:t xml:space="preserve"> [Preprint]. doi:10.24908/pceea.2023.17157. </w:t>
      </w:r>
    </w:p>
    <w:p w14:paraId="78438835" w14:textId="77777777" w:rsidR="00A379B2" w:rsidRDefault="00A379B2" w:rsidP="005C0678">
      <w:pPr>
        <w:pStyle w:val="NormalWeb"/>
        <w:ind w:left="360"/>
        <w:jc w:val="both"/>
      </w:pPr>
      <w:r>
        <w:t xml:space="preserve">Chapman, L. and Sadd, D. (2014) ‘Events as strategic marketing tools in shopping </w:t>
      </w:r>
      <w:proofErr w:type="spellStart"/>
      <w:r>
        <w:t>centers</w:t>
      </w:r>
      <w:proofErr w:type="spellEnd"/>
      <w:r>
        <w:t xml:space="preserve">’, </w:t>
      </w:r>
      <w:r>
        <w:rPr>
          <w:i/>
          <w:iCs/>
        </w:rPr>
        <w:t>Event Management</w:t>
      </w:r>
      <w:r>
        <w:t xml:space="preserve">, 18(3), pp. 357–367. doi:10.3727/152599514x13989500765925. </w:t>
      </w:r>
    </w:p>
    <w:p w14:paraId="51CD4EAA" w14:textId="77777777" w:rsidR="00A379B2" w:rsidRDefault="00A379B2" w:rsidP="005C0678">
      <w:pPr>
        <w:pStyle w:val="NormalWeb"/>
        <w:ind w:left="360"/>
        <w:jc w:val="both"/>
      </w:pPr>
      <w:r>
        <w:t xml:space="preserve">Curtis, P. </w:t>
      </w:r>
      <w:r>
        <w:rPr>
          <w:i/>
          <w:iCs/>
        </w:rPr>
        <w:t>et al.</w:t>
      </w:r>
      <w:r>
        <w:t xml:space="preserve"> (2021) ‘Financial performance assessment </w:t>
      </w:r>
      <w:proofErr w:type="spellStart"/>
      <w:r>
        <w:t>οf</w:t>
      </w:r>
      <w:proofErr w:type="spellEnd"/>
      <w:r>
        <w:t xml:space="preserve">  strategy for building resilience and  readiness in the hotel sector of Greece’, </w:t>
      </w:r>
      <w:r>
        <w:rPr>
          <w:i/>
          <w:iCs/>
        </w:rPr>
        <w:t>International Journal of Finance, Insurance and Risk Management</w:t>
      </w:r>
      <w:r>
        <w:t>, 11(Issue 2), pp. 3–27. doi:10.35808/</w:t>
      </w:r>
      <w:proofErr w:type="spellStart"/>
      <w:r>
        <w:t>ijfirm</w:t>
      </w:r>
      <w:proofErr w:type="spellEnd"/>
      <w:r>
        <w:t xml:space="preserve">/253. </w:t>
      </w:r>
    </w:p>
    <w:p w14:paraId="4C4FC1E0" w14:textId="77777777" w:rsidR="00A379B2" w:rsidRDefault="00A379B2" w:rsidP="005C0678">
      <w:pPr>
        <w:pStyle w:val="NormalWeb"/>
        <w:ind w:left="360"/>
        <w:jc w:val="both"/>
      </w:pPr>
      <w:r>
        <w:t xml:space="preserve">Dimanche, F. and </w:t>
      </w:r>
      <w:proofErr w:type="spellStart"/>
      <w:r>
        <w:t>Perzyna</w:t>
      </w:r>
      <w:proofErr w:type="spellEnd"/>
      <w:r>
        <w:t xml:space="preserve">, M. (2023) ‘Diversity, equity, and Inclusion Management in the Canadian Hospitality Industry’, </w:t>
      </w:r>
      <w:r>
        <w:rPr>
          <w:i/>
          <w:iCs/>
        </w:rPr>
        <w:t>The Routledge Handbook of Diversity, Equity, and Inclusion Management in the Hospitality Industry</w:t>
      </w:r>
      <w:r>
        <w:t xml:space="preserve">, pp. 271–281. doi:10.4324/9781003285687-27. </w:t>
      </w:r>
    </w:p>
    <w:p w14:paraId="2ACD7A5B" w14:textId="77777777" w:rsidR="00A379B2" w:rsidRDefault="00A379B2" w:rsidP="005C0678">
      <w:pPr>
        <w:pStyle w:val="NormalWeb"/>
        <w:ind w:left="360"/>
        <w:jc w:val="both"/>
      </w:pPr>
      <w:proofErr w:type="spellStart"/>
      <w:r>
        <w:t>Dounavi</w:t>
      </w:r>
      <w:proofErr w:type="spellEnd"/>
      <w:r>
        <w:t xml:space="preserve">, L.-E. </w:t>
      </w:r>
      <w:r>
        <w:rPr>
          <w:i/>
          <w:iCs/>
        </w:rPr>
        <w:t>et al.</w:t>
      </w:r>
      <w:r>
        <w:t xml:space="preserve"> (2022) ‘Project Management for corporate events: A set of tools to manage risk and increase quality outcomes’, </w:t>
      </w:r>
      <w:r>
        <w:rPr>
          <w:i/>
          <w:iCs/>
        </w:rPr>
        <w:t>Sustainability</w:t>
      </w:r>
      <w:r>
        <w:t xml:space="preserve">, 14(4), p. 2009. doi:10.3390/su14042009. </w:t>
      </w:r>
    </w:p>
    <w:p w14:paraId="27DBAF94" w14:textId="77777777" w:rsidR="00A379B2" w:rsidRDefault="00A379B2" w:rsidP="005C0678">
      <w:pPr>
        <w:pStyle w:val="NormalWeb"/>
        <w:ind w:left="360"/>
        <w:jc w:val="both"/>
      </w:pPr>
      <w:r>
        <w:t xml:space="preserve">Duarte, M. </w:t>
      </w:r>
      <w:r>
        <w:rPr>
          <w:i/>
          <w:iCs/>
        </w:rPr>
        <w:t>et al.</w:t>
      </w:r>
      <w:r>
        <w:t xml:space="preserve"> (2023) ‘Lifestyle entrepreneurship as a vehicle for leisure and sustainable tourism’, </w:t>
      </w:r>
      <w:r>
        <w:rPr>
          <w:i/>
          <w:iCs/>
        </w:rPr>
        <w:t>International Journal of Environmental Research and Public Health</w:t>
      </w:r>
      <w:r>
        <w:t xml:space="preserve">, 20(4), p. 3241. doi:10.3390/ijerph20043241. </w:t>
      </w:r>
    </w:p>
    <w:p w14:paraId="31EB9549" w14:textId="77777777" w:rsidR="00A379B2" w:rsidRDefault="00A379B2" w:rsidP="005C0678">
      <w:pPr>
        <w:pStyle w:val="NormalWeb"/>
        <w:ind w:left="360"/>
        <w:jc w:val="both"/>
      </w:pPr>
      <w:proofErr w:type="spellStart"/>
      <w:r>
        <w:t>Eagly</w:t>
      </w:r>
      <w:proofErr w:type="spellEnd"/>
      <w:r>
        <w:t xml:space="preserve">, A.H. and Chin, J.L. (2010) ‘Diversity and leadership in a changing world.’, </w:t>
      </w:r>
      <w:r>
        <w:rPr>
          <w:i/>
          <w:iCs/>
        </w:rPr>
        <w:t>American Psychologist</w:t>
      </w:r>
      <w:r>
        <w:t xml:space="preserve">, 65(3), pp. 216–224. doi:10.1037/a0018957. </w:t>
      </w:r>
    </w:p>
    <w:p w14:paraId="35CAE72A" w14:textId="77777777" w:rsidR="00A379B2" w:rsidRDefault="00A379B2" w:rsidP="005C0678">
      <w:pPr>
        <w:pStyle w:val="NormalWeb"/>
        <w:ind w:left="360"/>
        <w:jc w:val="both"/>
      </w:pPr>
      <w:r>
        <w:lastRenderedPageBreak/>
        <w:t xml:space="preserve">Getz, D. (2008) ‘Event tourism: Definition, evolution, and research’, </w:t>
      </w:r>
      <w:r>
        <w:rPr>
          <w:i/>
          <w:iCs/>
        </w:rPr>
        <w:t>Tourism Management</w:t>
      </w:r>
      <w:r>
        <w:t xml:space="preserve">, 29(3), pp. 403–428. doi:10.1016/j.tourman.2007.07.017. </w:t>
      </w:r>
    </w:p>
    <w:p w14:paraId="44130156" w14:textId="77777777" w:rsidR="00A379B2" w:rsidRDefault="00A379B2" w:rsidP="005C0678">
      <w:pPr>
        <w:pStyle w:val="NormalWeb"/>
        <w:ind w:left="360"/>
        <w:jc w:val="both"/>
      </w:pPr>
      <w:r>
        <w:t xml:space="preserve">Getz, D. and Page, S.J. (2023) ‘Event outcome evaluation and impact assessment’, </w:t>
      </w:r>
      <w:r>
        <w:rPr>
          <w:i/>
          <w:iCs/>
        </w:rPr>
        <w:t>Event Studies</w:t>
      </w:r>
      <w:r>
        <w:t xml:space="preserve">, pp. 331–357. doi:10.4324/9781003374251-14. </w:t>
      </w:r>
    </w:p>
    <w:p w14:paraId="28271A3C" w14:textId="77777777" w:rsidR="00A379B2" w:rsidRDefault="00A379B2" w:rsidP="005C0678">
      <w:pPr>
        <w:pStyle w:val="NormalWeb"/>
        <w:ind w:left="360"/>
        <w:jc w:val="both"/>
      </w:pPr>
      <w:proofErr w:type="spellStart"/>
      <w:r>
        <w:t>Grobelna</w:t>
      </w:r>
      <w:proofErr w:type="spellEnd"/>
      <w:r>
        <w:t xml:space="preserve">, A. (2015) ‘Intercultural challenges facing the hospitality industry. implications for education and hospitality management’, </w:t>
      </w:r>
      <w:r>
        <w:rPr>
          <w:i/>
          <w:iCs/>
        </w:rPr>
        <w:t>Journal of Intercultural Management</w:t>
      </w:r>
      <w:r>
        <w:t xml:space="preserve">, 7(3), pp. 101–117. doi:10.1515/joim-2015-0023. </w:t>
      </w:r>
    </w:p>
    <w:p w14:paraId="7F26290A" w14:textId="77777777" w:rsidR="00A379B2" w:rsidRDefault="00A379B2" w:rsidP="005C0678">
      <w:pPr>
        <w:pStyle w:val="NormalWeb"/>
        <w:ind w:left="360"/>
        <w:jc w:val="both"/>
      </w:pPr>
      <w:proofErr w:type="spellStart"/>
      <w:r>
        <w:t>Guaragni</w:t>
      </w:r>
      <w:proofErr w:type="spellEnd"/>
      <w:r>
        <w:t xml:space="preserve">, F., Paetzold, K. and Ortt, R. (2017) ‘Managing disruptions during the execution phase of product development projects: A Secondary Data Analysis’, </w:t>
      </w:r>
      <w:r>
        <w:rPr>
          <w:i/>
          <w:iCs/>
        </w:rPr>
        <w:t>2017 International Conference on Engineering, Technology and Innovation (ICE/ITMC)</w:t>
      </w:r>
      <w:r>
        <w:t xml:space="preserve">, pp. 399–406. doi:10.1109/ice.2017.8279913. </w:t>
      </w:r>
    </w:p>
    <w:p w14:paraId="76015C24" w14:textId="77777777" w:rsidR="00A379B2" w:rsidRDefault="00A379B2" w:rsidP="005C0678">
      <w:pPr>
        <w:pStyle w:val="NormalWeb"/>
        <w:ind w:left="360"/>
        <w:jc w:val="both"/>
      </w:pPr>
      <w:r>
        <w:t xml:space="preserve">Hall, C.M., Safonov, A. and Naderi </w:t>
      </w:r>
      <w:proofErr w:type="spellStart"/>
      <w:r>
        <w:t>Koupaei</w:t>
      </w:r>
      <w:proofErr w:type="spellEnd"/>
      <w:r>
        <w:t xml:space="preserve">, S. (2022) ‘Resilience in hospitality and tourism: Issues, synthesis and agenda’, </w:t>
      </w:r>
      <w:r>
        <w:rPr>
          <w:i/>
          <w:iCs/>
        </w:rPr>
        <w:t>International Journal of Contemporary Hospitality Management</w:t>
      </w:r>
      <w:r>
        <w:t xml:space="preserve">, 35(1), pp. 347–368. doi:10.1108/ijchm-11-2021-1428. </w:t>
      </w:r>
    </w:p>
    <w:p w14:paraId="2D38C67E" w14:textId="77777777" w:rsidR="00A379B2" w:rsidRDefault="00A379B2" w:rsidP="005C0678">
      <w:pPr>
        <w:pStyle w:val="NormalWeb"/>
        <w:ind w:left="360"/>
        <w:jc w:val="both"/>
      </w:pPr>
      <w:r>
        <w:rPr>
          <w:i/>
          <w:iCs/>
        </w:rPr>
        <w:t>Home</w:t>
      </w:r>
      <w:r>
        <w:t xml:space="preserve"> (2024) </w:t>
      </w:r>
      <w:r>
        <w:rPr>
          <w:i/>
          <w:iCs/>
        </w:rPr>
        <w:t>Home | Advance HE</w:t>
      </w:r>
      <w:r>
        <w:t xml:space="preserve">. Available at: https://www.advance-he.ac.uk/ (Accessed: 18 February 2025). </w:t>
      </w:r>
    </w:p>
    <w:p w14:paraId="76239B86" w14:textId="77777777" w:rsidR="00A379B2" w:rsidRDefault="00A379B2" w:rsidP="005C0678">
      <w:pPr>
        <w:pStyle w:val="NormalWeb"/>
        <w:ind w:left="360"/>
        <w:jc w:val="both"/>
      </w:pPr>
      <w:r>
        <w:t xml:space="preserve">Kumar, S. (2024) ‘The role of digital marketing on customer engagement in the Hospitality Industry’, </w:t>
      </w:r>
      <w:r>
        <w:rPr>
          <w:i/>
          <w:iCs/>
        </w:rPr>
        <w:t>Advances in Business Information Systems and Analytics</w:t>
      </w:r>
      <w:r>
        <w:t xml:space="preserve">, pp. 177–191. doi:10.4018/979-8-3693-0815-8.ch010. </w:t>
      </w:r>
    </w:p>
    <w:p w14:paraId="4F125605" w14:textId="77777777" w:rsidR="00A379B2" w:rsidRDefault="00A379B2" w:rsidP="005C0678">
      <w:pPr>
        <w:pStyle w:val="NormalWeb"/>
        <w:ind w:left="360"/>
        <w:jc w:val="both"/>
      </w:pPr>
      <w:r>
        <w:t xml:space="preserve">Kun, A.L. and Shaer, O. (2023) ‘Designing an inclusive and engaging hybrid event: Experiences from </w:t>
      </w:r>
      <w:proofErr w:type="spellStart"/>
      <w:r>
        <w:t>Chiwork</w:t>
      </w:r>
      <w:proofErr w:type="spellEnd"/>
      <w:r>
        <w:t xml:space="preserve">’, </w:t>
      </w:r>
      <w:r>
        <w:rPr>
          <w:i/>
          <w:iCs/>
        </w:rPr>
        <w:t>IEEE Pervasive Computing</w:t>
      </w:r>
      <w:r>
        <w:t xml:space="preserve">, 22(3), pp. 52–57. doi:10.1109/mprv.2023.3282818. </w:t>
      </w:r>
    </w:p>
    <w:p w14:paraId="0D7ADEDA" w14:textId="77777777" w:rsidR="00A379B2" w:rsidRDefault="00A379B2" w:rsidP="005C0678">
      <w:pPr>
        <w:pStyle w:val="NormalWeb"/>
        <w:ind w:left="360"/>
        <w:jc w:val="both"/>
      </w:pPr>
      <w:r>
        <w:t xml:space="preserve">Maude, B. (2016) ‘Communicating across cultural distance’, </w:t>
      </w:r>
      <w:r>
        <w:rPr>
          <w:i/>
          <w:iCs/>
        </w:rPr>
        <w:t>Managing Cross-Cultural Communication</w:t>
      </w:r>
      <w:r>
        <w:t xml:space="preserve">, pp. 101–120. doi:10.1007/978-1-137-50747-1_6. </w:t>
      </w:r>
    </w:p>
    <w:p w14:paraId="3DC40D4A" w14:textId="77777777" w:rsidR="00A379B2" w:rsidRDefault="00A379B2" w:rsidP="005C0678">
      <w:pPr>
        <w:pStyle w:val="NormalWeb"/>
        <w:ind w:left="360"/>
        <w:jc w:val="both"/>
      </w:pPr>
      <w:r>
        <w:t xml:space="preserve">McKelvey, S. and Grady, J. (2008) ‘Sponsorship program protection strategies for special sport events: Are event organizers </w:t>
      </w:r>
      <w:proofErr w:type="spellStart"/>
      <w:r>
        <w:t>outmaneuvering</w:t>
      </w:r>
      <w:proofErr w:type="spellEnd"/>
      <w:r>
        <w:t xml:space="preserve"> ambush marketers?’, </w:t>
      </w:r>
      <w:r>
        <w:rPr>
          <w:i/>
          <w:iCs/>
        </w:rPr>
        <w:t>Journal of Sport Management</w:t>
      </w:r>
      <w:r>
        <w:t xml:space="preserve">, 22(5), pp. 550–586. doi:10.1123/jsm.22.5.550. </w:t>
      </w:r>
    </w:p>
    <w:p w14:paraId="253E9D49" w14:textId="77777777" w:rsidR="00A379B2" w:rsidRDefault="00A379B2" w:rsidP="005C0678">
      <w:pPr>
        <w:pStyle w:val="NormalWeb"/>
        <w:ind w:left="360"/>
        <w:jc w:val="both"/>
      </w:pPr>
      <w:r>
        <w:t xml:space="preserve">Morgan, N.A. (2011) ‘Marketing and business performance’, </w:t>
      </w:r>
      <w:r>
        <w:rPr>
          <w:i/>
          <w:iCs/>
        </w:rPr>
        <w:t>Journal of the Academy of Marketing Science</w:t>
      </w:r>
      <w:r>
        <w:t xml:space="preserve">, 40(1), pp. 102–119. doi:10.1007/s11747-011-0279-9. </w:t>
      </w:r>
    </w:p>
    <w:p w14:paraId="6E24C558" w14:textId="77777777" w:rsidR="00A379B2" w:rsidRDefault="00A379B2" w:rsidP="005C0678">
      <w:pPr>
        <w:pStyle w:val="NormalWeb"/>
        <w:ind w:left="360"/>
        <w:jc w:val="both"/>
      </w:pPr>
      <w:r>
        <w:t xml:space="preserve">Murphy, J.F. (2018) ‘Safety &amp; Health News Fall 2018’, </w:t>
      </w:r>
      <w:r>
        <w:rPr>
          <w:i/>
          <w:iCs/>
        </w:rPr>
        <w:t>Process Safety Progress</w:t>
      </w:r>
      <w:r>
        <w:t xml:space="preserve">, 37(3), pp. 442–444. doi:10.1002/prs.11991. </w:t>
      </w:r>
    </w:p>
    <w:p w14:paraId="13B3BA48" w14:textId="77777777" w:rsidR="00A379B2" w:rsidRDefault="00A379B2" w:rsidP="005C0678">
      <w:pPr>
        <w:pStyle w:val="NormalWeb"/>
        <w:ind w:left="360"/>
        <w:jc w:val="both"/>
      </w:pPr>
      <w:r>
        <w:t xml:space="preserve">Paiva, T. </w:t>
      </w:r>
      <w:r>
        <w:rPr>
          <w:i/>
          <w:iCs/>
        </w:rPr>
        <w:t>et al.</w:t>
      </w:r>
      <w:r>
        <w:t xml:space="preserve"> (2025) ‘Strategies for building accessible and inclusive rural tourism ecosystems in cross-border regions: The case of rural and Border Territory’, </w:t>
      </w:r>
      <w:r>
        <w:rPr>
          <w:i/>
          <w:iCs/>
        </w:rPr>
        <w:t>Tourism and Hospitality</w:t>
      </w:r>
      <w:r>
        <w:t xml:space="preserve">, 6(1), p. 23. doi:10.3390/tourhosp6010023. </w:t>
      </w:r>
    </w:p>
    <w:p w14:paraId="70FE12A0" w14:textId="77777777" w:rsidR="00A379B2" w:rsidRDefault="00A379B2" w:rsidP="005C0678">
      <w:pPr>
        <w:pStyle w:val="NormalWeb"/>
        <w:ind w:left="360"/>
        <w:jc w:val="both"/>
      </w:pPr>
      <w:r>
        <w:t xml:space="preserve">Rijal, R. (2023) ‘The impact of Workforce Diversity Management on organizational performance: A study in Nepalese hospitality sector’, </w:t>
      </w:r>
      <w:r>
        <w:rPr>
          <w:i/>
          <w:iCs/>
        </w:rPr>
        <w:t>Quest Journal of Management and Social Sciences</w:t>
      </w:r>
      <w:r>
        <w:t xml:space="preserve">, 5(2), pp. 148–164. doi:10.3126/qjmss.v5i2.60843. </w:t>
      </w:r>
    </w:p>
    <w:p w14:paraId="5E1D8659" w14:textId="77777777" w:rsidR="00A379B2" w:rsidRDefault="00A379B2" w:rsidP="005C0678">
      <w:pPr>
        <w:pStyle w:val="NormalWeb"/>
        <w:ind w:left="360"/>
        <w:jc w:val="both"/>
      </w:pPr>
      <w:r>
        <w:lastRenderedPageBreak/>
        <w:t xml:space="preserve">Strange, R., Chen, L. and Fleury, M.T. (2022) ‘Digital Transformation and International Strategies’, </w:t>
      </w:r>
      <w:r>
        <w:rPr>
          <w:i/>
          <w:iCs/>
        </w:rPr>
        <w:t>Journal of International Management</w:t>
      </w:r>
      <w:r>
        <w:t xml:space="preserve">, 28(4), p. 100968. doi:10.1016/j.intman.2022.100968. </w:t>
      </w:r>
    </w:p>
    <w:p w14:paraId="2DB7F8D9" w14:textId="77777777" w:rsidR="00A379B2" w:rsidRDefault="00A379B2" w:rsidP="005C0678">
      <w:pPr>
        <w:pStyle w:val="NormalWeb"/>
        <w:ind w:left="360"/>
        <w:jc w:val="both"/>
      </w:pPr>
      <w:r>
        <w:t xml:space="preserve">Walmsley, B. (2011) ‘Why people go to the theatre: A qualitative study of audience motivation’, </w:t>
      </w:r>
      <w:r>
        <w:rPr>
          <w:i/>
          <w:iCs/>
        </w:rPr>
        <w:t>Journal of Customer Behaviour</w:t>
      </w:r>
      <w:r>
        <w:t xml:space="preserve">, 10(4), pp. 335–351. doi:10.1362/147539211x13210329822545. </w:t>
      </w:r>
    </w:p>
    <w:p w14:paraId="05D2619F" w14:textId="77777777" w:rsidR="00A379B2" w:rsidRDefault="00A379B2" w:rsidP="005C0678">
      <w:pPr>
        <w:pStyle w:val="NormalWeb"/>
        <w:ind w:left="360"/>
        <w:jc w:val="both"/>
      </w:pPr>
      <w:r>
        <w:t xml:space="preserve">Wickham, M., Donnelly, T. and French, L. (2021) ‘Strategic Sustainability Management in the event sector’, </w:t>
      </w:r>
      <w:r>
        <w:rPr>
          <w:i/>
          <w:iCs/>
        </w:rPr>
        <w:t>Event Management</w:t>
      </w:r>
      <w:r>
        <w:t xml:space="preserve">, 25(3), pp. 279–296. doi:10.3727/152599519x15506259856318. </w:t>
      </w:r>
    </w:p>
    <w:p w14:paraId="72F7BA7E" w14:textId="77777777" w:rsidR="00A379B2" w:rsidRDefault="00A379B2" w:rsidP="005C0678">
      <w:pPr>
        <w:pStyle w:val="NormalWeb"/>
        <w:ind w:left="360"/>
        <w:jc w:val="both"/>
      </w:pPr>
      <w:r>
        <w:t xml:space="preserve">Wood, E.H. (2009) ‘Evaluating event marketing: Experience or outcome?’, </w:t>
      </w:r>
      <w:r>
        <w:rPr>
          <w:i/>
          <w:iCs/>
        </w:rPr>
        <w:t>Journal of Promotion Management</w:t>
      </w:r>
      <w:r>
        <w:t xml:space="preserve">, 15(1–2), pp. 247–268. doi:10.1080/10496490902892580. </w:t>
      </w:r>
    </w:p>
    <w:p w14:paraId="24BA7AA5" w14:textId="77777777" w:rsidR="00A379B2" w:rsidRDefault="00A379B2" w:rsidP="005C0678">
      <w:pPr>
        <w:pStyle w:val="NormalWeb"/>
        <w:ind w:left="360"/>
        <w:jc w:val="both"/>
      </w:pPr>
      <w:r>
        <w:t xml:space="preserve">Yeoman, I. (2013) ‘A Futurist’s thoughts on consumer trends shaping future festivals and events’, </w:t>
      </w:r>
      <w:r>
        <w:rPr>
          <w:i/>
          <w:iCs/>
        </w:rPr>
        <w:t>International Journal of Event and Festival Management</w:t>
      </w:r>
      <w:r>
        <w:t xml:space="preserve">, 4(3), pp. 249–260. doi:10.1108/ijefm-06-2013-0017. </w:t>
      </w:r>
    </w:p>
    <w:p w14:paraId="20FFE3FC" w14:textId="77777777" w:rsidR="00A379B2" w:rsidRDefault="00A379B2" w:rsidP="005C0678">
      <w:pPr>
        <w:pStyle w:val="NormalWeb"/>
        <w:ind w:left="360"/>
        <w:jc w:val="both"/>
      </w:pPr>
      <w:r>
        <w:t xml:space="preserve">Zhang, J. </w:t>
      </w:r>
      <w:r>
        <w:rPr>
          <w:i/>
          <w:iCs/>
        </w:rPr>
        <w:t>et al.</w:t>
      </w:r>
      <w:r>
        <w:t xml:space="preserve"> (2020) ‘Responding to a major global crisis: The effects of hotel safety leadership on employee safety </w:t>
      </w:r>
      <w:proofErr w:type="spellStart"/>
      <w:r>
        <w:t>behavior</w:t>
      </w:r>
      <w:proofErr w:type="spellEnd"/>
      <w:r>
        <w:t xml:space="preserve"> during COVID-19’, </w:t>
      </w:r>
      <w:r>
        <w:rPr>
          <w:i/>
          <w:iCs/>
        </w:rPr>
        <w:t>International Journal of Contemporary Hospitality Management</w:t>
      </w:r>
      <w:r>
        <w:t xml:space="preserve">, 32(11), pp. 3365–3389. doi:10.1108/ijchm-04-2020-0335. </w:t>
      </w:r>
    </w:p>
    <w:p w14:paraId="13D9FE6F" w14:textId="77777777" w:rsidR="00A379B2" w:rsidRDefault="00A379B2" w:rsidP="005C0678">
      <w:pPr>
        <w:pStyle w:val="NormalWeb"/>
        <w:ind w:left="360"/>
        <w:jc w:val="both"/>
      </w:pPr>
      <w:r>
        <w:t xml:space="preserve">Zhou, T., Law, R. and Lee, P.C. (2021) ‘Exploring sustainable measurements of academic research: How do faculty members in teaching-oriented universities of China evaluate good research in tourism and hospitality?’, </w:t>
      </w:r>
      <w:r>
        <w:rPr>
          <w:i/>
          <w:iCs/>
        </w:rPr>
        <w:t>Sustainability</w:t>
      </w:r>
      <w:r>
        <w:t xml:space="preserve">, 13(20), p. 11129. doi:10.3390/su132011129. </w:t>
      </w:r>
    </w:p>
    <w:p w14:paraId="5DCCDAEA" w14:textId="77777777" w:rsidR="00C10705" w:rsidRPr="00A07AE0" w:rsidRDefault="00C10705" w:rsidP="00667FA9">
      <w:pPr>
        <w:spacing w:line="360" w:lineRule="auto"/>
        <w:jc w:val="both"/>
        <w:rPr>
          <w:rFonts w:ascii="Times New Roman" w:hAnsi="Times New Roman" w:cs="Times New Roman"/>
          <w:b/>
          <w:bCs/>
          <w:sz w:val="24"/>
          <w:szCs w:val="24"/>
          <w:lang w:val="en-US"/>
        </w:rPr>
      </w:pPr>
    </w:p>
    <w:sectPr w:rsidR="00C10705" w:rsidRPr="00A07A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el">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A3648"/>
    <w:multiLevelType w:val="multilevel"/>
    <w:tmpl w:val="369C73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144F73"/>
    <w:multiLevelType w:val="multilevel"/>
    <w:tmpl w:val="8054B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46391D"/>
    <w:multiLevelType w:val="multilevel"/>
    <w:tmpl w:val="A2DE90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9178CE"/>
    <w:multiLevelType w:val="multilevel"/>
    <w:tmpl w:val="585C571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0F26741"/>
    <w:multiLevelType w:val="multilevel"/>
    <w:tmpl w:val="F6CA2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515820"/>
    <w:multiLevelType w:val="multilevel"/>
    <w:tmpl w:val="0966C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1E2F81"/>
    <w:multiLevelType w:val="multilevel"/>
    <w:tmpl w:val="3F7E4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74665F"/>
    <w:multiLevelType w:val="multilevel"/>
    <w:tmpl w:val="0B4221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4636739"/>
    <w:multiLevelType w:val="multilevel"/>
    <w:tmpl w:val="A3127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FD330B"/>
    <w:multiLevelType w:val="multilevel"/>
    <w:tmpl w:val="692C29E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B461EBB"/>
    <w:multiLevelType w:val="hybridMultilevel"/>
    <w:tmpl w:val="62BACE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5251ED"/>
    <w:multiLevelType w:val="multilevel"/>
    <w:tmpl w:val="6EBA55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28197589">
    <w:abstractNumId w:val="2"/>
  </w:num>
  <w:num w:numId="2" w16cid:durableId="686564644">
    <w:abstractNumId w:val="11"/>
  </w:num>
  <w:num w:numId="3" w16cid:durableId="336468664">
    <w:abstractNumId w:val="6"/>
  </w:num>
  <w:num w:numId="4" w16cid:durableId="470638941">
    <w:abstractNumId w:val="7"/>
  </w:num>
  <w:num w:numId="5" w16cid:durableId="988899733">
    <w:abstractNumId w:val="0"/>
  </w:num>
  <w:num w:numId="6" w16cid:durableId="995762071">
    <w:abstractNumId w:val="3"/>
  </w:num>
  <w:num w:numId="7" w16cid:durableId="1658342008">
    <w:abstractNumId w:val="9"/>
  </w:num>
  <w:num w:numId="8" w16cid:durableId="1166744414">
    <w:abstractNumId w:val="5"/>
  </w:num>
  <w:num w:numId="9" w16cid:durableId="402726999">
    <w:abstractNumId w:val="1"/>
  </w:num>
  <w:num w:numId="10" w16cid:durableId="1303467928">
    <w:abstractNumId w:val="8"/>
  </w:num>
  <w:num w:numId="11" w16cid:durableId="1966736520">
    <w:abstractNumId w:val="4"/>
  </w:num>
  <w:num w:numId="12" w16cid:durableId="103142237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2D6F"/>
    <w:rsid w:val="00005012"/>
    <w:rsid w:val="000073B4"/>
    <w:rsid w:val="00030CFB"/>
    <w:rsid w:val="00043841"/>
    <w:rsid w:val="0004550D"/>
    <w:rsid w:val="0007662A"/>
    <w:rsid w:val="000D7562"/>
    <w:rsid w:val="000F00A3"/>
    <w:rsid w:val="000F1126"/>
    <w:rsid w:val="001067FC"/>
    <w:rsid w:val="00121504"/>
    <w:rsid w:val="00187A81"/>
    <w:rsid w:val="001944AB"/>
    <w:rsid w:val="001B241E"/>
    <w:rsid w:val="001B4E77"/>
    <w:rsid w:val="001C2DD5"/>
    <w:rsid w:val="001E2B13"/>
    <w:rsid w:val="001E7B3A"/>
    <w:rsid w:val="00222F9F"/>
    <w:rsid w:val="002535E6"/>
    <w:rsid w:val="00255C4F"/>
    <w:rsid w:val="00261ACD"/>
    <w:rsid w:val="002663D4"/>
    <w:rsid w:val="00290575"/>
    <w:rsid w:val="002F7546"/>
    <w:rsid w:val="00302BD1"/>
    <w:rsid w:val="00304A1F"/>
    <w:rsid w:val="003071BC"/>
    <w:rsid w:val="0030792B"/>
    <w:rsid w:val="003129FC"/>
    <w:rsid w:val="0037362B"/>
    <w:rsid w:val="00377F38"/>
    <w:rsid w:val="00385477"/>
    <w:rsid w:val="003E03CF"/>
    <w:rsid w:val="003E481F"/>
    <w:rsid w:val="004020EB"/>
    <w:rsid w:val="0040414D"/>
    <w:rsid w:val="004438DB"/>
    <w:rsid w:val="00597C76"/>
    <w:rsid w:val="005B575C"/>
    <w:rsid w:val="005C0678"/>
    <w:rsid w:val="005E3CEE"/>
    <w:rsid w:val="005F49C3"/>
    <w:rsid w:val="005F6E17"/>
    <w:rsid w:val="00600EF0"/>
    <w:rsid w:val="00601906"/>
    <w:rsid w:val="00622CE8"/>
    <w:rsid w:val="00667FA9"/>
    <w:rsid w:val="006D111E"/>
    <w:rsid w:val="00726957"/>
    <w:rsid w:val="00726E36"/>
    <w:rsid w:val="00752A41"/>
    <w:rsid w:val="008179A9"/>
    <w:rsid w:val="008A0445"/>
    <w:rsid w:val="00912F79"/>
    <w:rsid w:val="00921D52"/>
    <w:rsid w:val="00966317"/>
    <w:rsid w:val="00976E59"/>
    <w:rsid w:val="009825AE"/>
    <w:rsid w:val="00A07AE0"/>
    <w:rsid w:val="00A379B2"/>
    <w:rsid w:val="00A4443D"/>
    <w:rsid w:val="00A45AE6"/>
    <w:rsid w:val="00A600D6"/>
    <w:rsid w:val="00AB011F"/>
    <w:rsid w:val="00AD1F65"/>
    <w:rsid w:val="00AD6EE7"/>
    <w:rsid w:val="00AE1373"/>
    <w:rsid w:val="00AF54E6"/>
    <w:rsid w:val="00B060AD"/>
    <w:rsid w:val="00B517D4"/>
    <w:rsid w:val="00B91C18"/>
    <w:rsid w:val="00BA5289"/>
    <w:rsid w:val="00BA551F"/>
    <w:rsid w:val="00BD247B"/>
    <w:rsid w:val="00BD2FB1"/>
    <w:rsid w:val="00BE4500"/>
    <w:rsid w:val="00C10705"/>
    <w:rsid w:val="00C25083"/>
    <w:rsid w:val="00C74B4D"/>
    <w:rsid w:val="00C76E86"/>
    <w:rsid w:val="00C91029"/>
    <w:rsid w:val="00C926B2"/>
    <w:rsid w:val="00CB7316"/>
    <w:rsid w:val="00CC0400"/>
    <w:rsid w:val="00CD0B16"/>
    <w:rsid w:val="00CE09DB"/>
    <w:rsid w:val="00CE19AE"/>
    <w:rsid w:val="00D02DE4"/>
    <w:rsid w:val="00D8151F"/>
    <w:rsid w:val="00DA1EE2"/>
    <w:rsid w:val="00DB589D"/>
    <w:rsid w:val="00DC658E"/>
    <w:rsid w:val="00DC6A37"/>
    <w:rsid w:val="00DF0AA3"/>
    <w:rsid w:val="00E00B3E"/>
    <w:rsid w:val="00E135ED"/>
    <w:rsid w:val="00E251DF"/>
    <w:rsid w:val="00E71D57"/>
    <w:rsid w:val="00EB3F78"/>
    <w:rsid w:val="00EC5CD6"/>
    <w:rsid w:val="00EC7EAE"/>
    <w:rsid w:val="00F0389F"/>
    <w:rsid w:val="00F51DED"/>
    <w:rsid w:val="00F52D6F"/>
    <w:rsid w:val="00F65FA6"/>
    <w:rsid w:val="00F722B6"/>
    <w:rsid w:val="00FD04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7DCB4"/>
  <w15:chartTrackingRefBased/>
  <w15:docId w15:val="{A24D990B-20B9-492A-93F3-55CB7BB40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2D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2D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2D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2D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2D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2D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2D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2D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2D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2D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2D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2D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2D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2D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2D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2D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2D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2D6F"/>
    <w:rPr>
      <w:rFonts w:eastAsiaTheme="majorEastAsia" w:cstheme="majorBidi"/>
      <w:color w:val="272727" w:themeColor="text1" w:themeTint="D8"/>
    </w:rPr>
  </w:style>
  <w:style w:type="paragraph" w:styleId="Title">
    <w:name w:val="Title"/>
    <w:basedOn w:val="Normal"/>
    <w:next w:val="Normal"/>
    <w:link w:val="TitleChar"/>
    <w:uiPriority w:val="10"/>
    <w:qFormat/>
    <w:rsid w:val="00F52D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2D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2D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2D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2D6F"/>
    <w:pPr>
      <w:spacing w:before="160"/>
      <w:jc w:val="center"/>
    </w:pPr>
    <w:rPr>
      <w:i/>
      <w:iCs/>
      <w:color w:val="404040" w:themeColor="text1" w:themeTint="BF"/>
    </w:rPr>
  </w:style>
  <w:style w:type="character" w:customStyle="1" w:styleId="QuoteChar">
    <w:name w:val="Quote Char"/>
    <w:basedOn w:val="DefaultParagraphFont"/>
    <w:link w:val="Quote"/>
    <w:uiPriority w:val="29"/>
    <w:rsid w:val="00F52D6F"/>
    <w:rPr>
      <w:i/>
      <w:iCs/>
      <w:color w:val="404040" w:themeColor="text1" w:themeTint="BF"/>
    </w:rPr>
  </w:style>
  <w:style w:type="paragraph" w:styleId="ListParagraph">
    <w:name w:val="List Paragraph"/>
    <w:basedOn w:val="Normal"/>
    <w:uiPriority w:val="34"/>
    <w:qFormat/>
    <w:rsid w:val="00F52D6F"/>
    <w:pPr>
      <w:ind w:left="720"/>
      <w:contextualSpacing/>
    </w:pPr>
  </w:style>
  <w:style w:type="character" w:styleId="IntenseEmphasis">
    <w:name w:val="Intense Emphasis"/>
    <w:basedOn w:val="DefaultParagraphFont"/>
    <w:uiPriority w:val="21"/>
    <w:qFormat/>
    <w:rsid w:val="00F52D6F"/>
    <w:rPr>
      <w:i/>
      <w:iCs/>
      <w:color w:val="0F4761" w:themeColor="accent1" w:themeShade="BF"/>
    </w:rPr>
  </w:style>
  <w:style w:type="paragraph" w:styleId="IntenseQuote">
    <w:name w:val="Intense Quote"/>
    <w:basedOn w:val="Normal"/>
    <w:next w:val="Normal"/>
    <w:link w:val="IntenseQuoteChar"/>
    <w:uiPriority w:val="30"/>
    <w:qFormat/>
    <w:rsid w:val="00F52D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2D6F"/>
    <w:rPr>
      <w:i/>
      <w:iCs/>
      <w:color w:val="0F4761" w:themeColor="accent1" w:themeShade="BF"/>
    </w:rPr>
  </w:style>
  <w:style w:type="character" w:styleId="IntenseReference">
    <w:name w:val="Intense Reference"/>
    <w:basedOn w:val="DefaultParagraphFont"/>
    <w:uiPriority w:val="32"/>
    <w:qFormat/>
    <w:rsid w:val="00F52D6F"/>
    <w:rPr>
      <w:b/>
      <w:bCs/>
      <w:smallCaps/>
      <w:color w:val="0F4761" w:themeColor="accent1" w:themeShade="BF"/>
      <w:spacing w:val="5"/>
    </w:rPr>
  </w:style>
  <w:style w:type="paragraph" w:styleId="NormalWeb">
    <w:name w:val="Normal (Web)"/>
    <w:basedOn w:val="Normal"/>
    <w:uiPriority w:val="99"/>
    <w:semiHidden/>
    <w:unhideWhenUsed/>
    <w:rsid w:val="00C76E8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E03C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22850">
      <w:bodyDiv w:val="1"/>
      <w:marLeft w:val="0"/>
      <w:marRight w:val="0"/>
      <w:marTop w:val="0"/>
      <w:marBottom w:val="0"/>
      <w:divBdr>
        <w:top w:val="none" w:sz="0" w:space="0" w:color="auto"/>
        <w:left w:val="none" w:sz="0" w:space="0" w:color="auto"/>
        <w:bottom w:val="none" w:sz="0" w:space="0" w:color="auto"/>
        <w:right w:val="none" w:sz="0" w:space="0" w:color="auto"/>
      </w:divBdr>
    </w:div>
    <w:div w:id="103501452">
      <w:bodyDiv w:val="1"/>
      <w:marLeft w:val="0"/>
      <w:marRight w:val="0"/>
      <w:marTop w:val="0"/>
      <w:marBottom w:val="0"/>
      <w:divBdr>
        <w:top w:val="none" w:sz="0" w:space="0" w:color="auto"/>
        <w:left w:val="none" w:sz="0" w:space="0" w:color="auto"/>
        <w:bottom w:val="none" w:sz="0" w:space="0" w:color="auto"/>
        <w:right w:val="none" w:sz="0" w:space="0" w:color="auto"/>
      </w:divBdr>
    </w:div>
    <w:div w:id="155656375">
      <w:bodyDiv w:val="1"/>
      <w:marLeft w:val="0"/>
      <w:marRight w:val="0"/>
      <w:marTop w:val="0"/>
      <w:marBottom w:val="0"/>
      <w:divBdr>
        <w:top w:val="none" w:sz="0" w:space="0" w:color="auto"/>
        <w:left w:val="none" w:sz="0" w:space="0" w:color="auto"/>
        <w:bottom w:val="none" w:sz="0" w:space="0" w:color="auto"/>
        <w:right w:val="none" w:sz="0" w:space="0" w:color="auto"/>
      </w:divBdr>
    </w:div>
    <w:div w:id="217861920">
      <w:bodyDiv w:val="1"/>
      <w:marLeft w:val="0"/>
      <w:marRight w:val="0"/>
      <w:marTop w:val="0"/>
      <w:marBottom w:val="0"/>
      <w:divBdr>
        <w:top w:val="none" w:sz="0" w:space="0" w:color="auto"/>
        <w:left w:val="none" w:sz="0" w:space="0" w:color="auto"/>
        <w:bottom w:val="none" w:sz="0" w:space="0" w:color="auto"/>
        <w:right w:val="none" w:sz="0" w:space="0" w:color="auto"/>
      </w:divBdr>
    </w:div>
    <w:div w:id="280960443">
      <w:bodyDiv w:val="1"/>
      <w:marLeft w:val="0"/>
      <w:marRight w:val="0"/>
      <w:marTop w:val="0"/>
      <w:marBottom w:val="0"/>
      <w:divBdr>
        <w:top w:val="none" w:sz="0" w:space="0" w:color="auto"/>
        <w:left w:val="none" w:sz="0" w:space="0" w:color="auto"/>
        <w:bottom w:val="none" w:sz="0" w:space="0" w:color="auto"/>
        <w:right w:val="none" w:sz="0" w:space="0" w:color="auto"/>
      </w:divBdr>
    </w:div>
    <w:div w:id="358972031">
      <w:bodyDiv w:val="1"/>
      <w:marLeft w:val="0"/>
      <w:marRight w:val="0"/>
      <w:marTop w:val="0"/>
      <w:marBottom w:val="0"/>
      <w:divBdr>
        <w:top w:val="none" w:sz="0" w:space="0" w:color="auto"/>
        <w:left w:val="none" w:sz="0" w:space="0" w:color="auto"/>
        <w:bottom w:val="none" w:sz="0" w:space="0" w:color="auto"/>
        <w:right w:val="none" w:sz="0" w:space="0" w:color="auto"/>
      </w:divBdr>
    </w:div>
    <w:div w:id="477110458">
      <w:bodyDiv w:val="1"/>
      <w:marLeft w:val="0"/>
      <w:marRight w:val="0"/>
      <w:marTop w:val="0"/>
      <w:marBottom w:val="0"/>
      <w:divBdr>
        <w:top w:val="none" w:sz="0" w:space="0" w:color="auto"/>
        <w:left w:val="none" w:sz="0" w:space="0" w:color="auto"/>
        <w:bottom w:val="none" w:sz="0" w:space="0" w:color="auto"/>
        <w:right w:val="none" w:sz="0" w:space="0" w:color="auto"/>
      </w:divBdr>
    </w:div>
    <w:div w:id="531110459">
      <w:bodyDiv w:val="1"/>
      <w:marLeft w:val="0"/>
      <w:marRight w:val="0"/>
      <w:marTop w:val="0"/>
      <w:marBottom w:val="0"/>
      <w:divBdr>
        <w:top w:val="none" w:sz="0" w:space="0" w:color="auto"/>
        <w:left w:val="none" w:sz="0" w:space="0" w:color="auto"/>
        <w:bottom w:val="none" w:sz="0" w:space="0" w:color="auto"/>
        <w:right w:val="none" w:sz="0" w:space="0" w:color="auto"/>
      </w:divBdr>
      <w:divsChild>
        <w:div w:id="1517042202">
          <w:marLeft w:val="0"/>
          <w:marRight w:val="0"/>
          <w:marTop w:val="0"/>
          <w:marBottom w:val="0"/>
          <w:divBdr>
            <w:top w:val="none" w:sz="0" w:space="0" w:color="auto"/>
            <w:left w:val="none" w:sz="0" w:space="0" w:color="auto"/>
            <w:bottom w:val="none" w:sz="0" w:space="0" w:color="auto"/>
            <w:right w:val="none" w:sz="0" w:space="0" w:color="auto"/>
          </w:divBdr>
          <w:divsChild>
            <w:div w:id="1640841606">
              <w:marLeft w:val="0"/>
              <w:marRight w:val="0"/>
              <w:marTop w:val="0"/>
              <w:marBottom w:val="0"/>
              <w:divBdr>
                <w:top w:val="none" w:sz="0" w:space="0" w:color="auto"/>
                <w:left w:val="none" w:sz="0" w:space="0" w:color="auto"/>
                <w:bottom w:val="none" w:sz="0" w:space="0" w:color="auto"/>
                <w:right w:val="none" w:sz="0" w:space="0" w:color="auto"/>
              </w:divBdr>
              <w:divsChild>
                <w:div w:id="252398256">
                  <w:marLeft w:val="0"/>
                  <w:marRight w:val="0"/>
                  <w:marTop w:val="0"/>
                  <w:marBottom w:val="0"/>
                  <w:divBdr>
                    <w:top w:val="none" w:sz="0" w:space="0" w:color="auto"/>
                    <w:left w:val="none" w:sz="0" w:space="0" w:color="auto"/>
                    <w:bottom w:val="none" w:sz="0" w:space="0" w:color="auto"/>
                    <w:right w:val="none" w:sz="0" w:space="0" w:color="auto"/>
                  </w:divBdr>
                  <w:divsChild>
                    <w:div w:id="1247374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8706375">
      <w:bodyDiv w:val="1"/>
      <w:marLeft w:val="0"/>
      <w:marRight w:val="0"/>
      <w:marTop w:val="0"/>
      <w:marBottom w:val="0"/>
      <w:divBdr>
        <w:top w:val="none" w:sz="0" w:space="0" w:color="auto"/>
        <w:left w:val="none" w:sz="0" w:space="0" w:color="auto"/>
        <w:bottom w:val="none" w:sz="0" w:space="0" w:color="auto"/>
        <w:right w:val="none" w:sz="0" w:space="0" w:color="auto"/>
      </w:divBdr>
    </w:div>
    <w:div w:id="698899102">
      <w:bodyDiv w:val="1"/>
      <w:marLeft w:val="0"/>
      <w:marRight w:val="0"/>
      <w:marTop w:val="0"/>
      <w:marBottom w:val="0"/>
      <w:divBdr>
        <w:top w:val="none" w:sz="0" w:space="0" w:color="auto"/>
        <w:left w:val="none" w:sz="0" w:space="0" w:color="auto"/>
        <w:bottom w:val="none" w:sz="0" w:space="0" w:color="auto"/>
        <w:right w:val="none" w:sz="0" w:space="0" w:color="auto"/>
      </w:divBdr>
    </w:div>
    <w:div w:id="767504082">
      <w:bodyDiv w:val="1"/>
      <w:marLeft w:val="0"/>
      <w:marRight w:val="0"/>
      <w:marTop w:val="0"/>
      <w:marBottom w:val="0"/>
      <w:divBdr>
        <w:top w:val="none" w:sz="0" w:space="0" w:color="auto"/>
        <w:left w:val="none" w:sz="0" w:space="0" w:color="auto"/>
        <w:bottom w:val="none" w:sz="0" w:space="0" w:color="auto"/>
        <w:right w:val="none" w:sz="0" w:space="0" w:color="auto"/>
      </w:divBdr>
    </w:div>
    <w:div w:id="792478465">
      <w:bodyDiv w:val="1"/>
      <w:marLeft w:val="0"/>
      <w:marRight w:val="0"/>
      <w:marTop w:val="0"/>
      <w:marBottom w:val="0"/>
      <w:divBdr>
        <w:top w:val="none" w:sz="0" w:space="0" w:color="auto"/>
        <w:left w:val="none" w:sz="0" w:space="0" w:color="auto"/>
        <w:bottom w:val="none" w:sz="0" w:space="0" w:color="auto"/>
        <w:right w:val="none" w:sz="0" w:space="0" w:color="auto"/>
      </w:divBdr>
    </w:div>
    <w:div w:id="922957589">
      <w:bodyDiv w:val="1"/>
      <w:marLeft w:val="0"/>
      <w:marRight w:val="0"/>
      <w:marTop w:val="0"/>
      <w:marBottom w:val="0"/>
      <w:divBdr>
        <w:top w:val="none" w:sz="0" w:space="0" w:color="auto"/>
        <w:left w:val="none" w:sz="0" w:space="0" w:color="auto"/>
        <w:bottom w:val="none" w:sz="0" w:space="0" w:color="auto"/>
        <w:right w:val="none" w:sz="0" w:space="0" w:color="auto"/>
      </w:divBdr>
      <w:divsChild>
        <w:div w:id="2050521882">
          <w:marLeft w:val="0"/>
          <w:marRight w:val="0"/>
          <w:marTop w:val="0"/>
          <w:marBottom w:val="0"/>
          <w:divBdr>
            <w:top w:val="none" w:sz="0" w:space="0" w:color="auto"/>
            <w:left w:val="none" w:sz="0" w:space="0" w:color="auto"/>
            <w:bottom w:val="none" w:sz="0" w:space="0" w:color="auto"/>
            <w:right w:val="none" w:sz="0" w:space="0" w:color="auto"/>
          </w:divBdr>
          <w:divsChild>
            <w:div w:id="1208296120">
              <w:marLeft w:val="0"/>
              <w:marRight w:val="0"/>
              <w:marTop w:val="0"/>
              <w:marBottom w:val="0"/>
              <w:divBdr>
                <w:top w:val="none" w:sz="0" w:space="0" w:color="auto"/>
                <w:left w:val="none" w:sz="0" w:space="0" w:color="auto"/>
                <w:bottom w:val="none" w:sz="0" w:space="0" w:color="auto"/>
                <w:right w:val="none" w:sz="0" w:space="0" w:color="auto"/>
              </w:divBdr>
              <w:divsChild>
                <w:div w:id="563956509">
                  <w:marLeft w:val="0"/>
                  <w:marRight w:val="0"/>
                  <w:marTop w:val="0"/>
                  <w:marBottom w:val="0"/>
                  <w:divBdr>
                    <w:top w:val="none" w:sz="0" w:space="0" w:color="auto"/>
                    <w:left w:val="none" w:sz="0" w:space="0" w:color="auto"/>
                    <w:bottom w:val="none" w:sz="0" w:space="0" w:color="auto"/>
                    <w:right w:val="none" w:sz="0" w:space="0" w:color="auto"/>
                  </w:divBdr>
                  <w:divsChild>
                    <w:div w:id="1608344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6906850">
      <w:bodyDiv w:val="1"/>
      <w:marLeft w:val="0"/>
      <w:marRight w:val="0"/>
      <w:marTop w:val="0"/>
      <w:marBottom w:val="0"/>
      <w:divBdr>
        <w:top w:val="none" w:sz="0" w:space="0" w:color="auto"/>
        <w:left w:val="none" w:sz="0" w:space="0" w:color="auto"/>
        <w:bottom w:val="none" w:sz="0" w:space="0" w:color="auto"/>
        <w:right w:val="none" w:sz="0" w:space="0" w:color="auto"/>
      </w:divBdr>
    </w:div>
    <w:div w:id="1254893128">
      <w:bodyDiv w:val="1"/>
      <w:marLeft w:val="0"/>
      <w:marRight w:val="0"/>
      <w:marTop w:val="0"/>
      <w:marBottom w:val="0"/>
      <w:divBdr>
        <w:top w:val="none" w:sz="0" w:space="0" w:color="auto"/>
        <w:left w:val="none" w:sz="0" w:space="0" w:color="auto"/>
        <w:bottom w:val="none" w:sz="0" w:space="0" w:color="auto"/>
        <w:right w:val="none" w:sz="0" w:space="0" w:color="auto"/>
      </w:divBdr>
    </w:div>
    <w:div w:id="1495797952">
      <w:bodyDiv w:val="1"/>
      <w:marLeft w:val="0"/>
      <w:marRight w:val="0"/>
      <w:marTop w:val="0"/>
      <w:marBottom w:val="0"/>
      <w:divBdr>
        <w:top w:val="none" w:sz="0" w:space="0" w:color="auto"/>
        <w:left w:val="none" w:sz="0" w:space="0" w:color="auto"/>
        <w:bottom w:val="none" w:sz="0" w:space="0" w:color="auto"/>
        <w:right w:val="none" w:sz="0" w:space="0" w:color="auto"/>
      </w:divBdr>
    </w:div>
    <w:div w:id="1684671612">
      <w:bodyDiv w:val="1"/>
      <w:marLeft w:val="0"/>
      <w:marRight w:val="0"/>
      <w:marTop w:val="0"/>
      <w:marBottom w:val="0"/>
      <w:divBdr>
        <w:top w:val="none" w:sz="0" w:space="0" w:color="auto"/>
        <w:left w:val="none" w:sz="0" w:space="0" w:color="auto"/>
        <w:bottom w:val="none" w:sz="0" w:space="0" w:color="auto"/>
        <w:right w:val="none" w:sz="0" w:space="0" w:color="auto"/>
      </w:divBdr>
    </w:div>
    <w:div w:id="2088457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378</TotalTime>
  <Pages>13</Pages>
  <Words>3933</Words>
  <Characters>22421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Nasrin Shafi (2228093)</dc:creator>
  <cp:keywords/>
  <dc:description/>
  <cp:lastModifiedBy>Nasrin Shafi (2228093)</cp:lastModifiedBy>
  <cp:revision>96</cp:revision>
  <dcterms:created xsi:type="dcterms:W3CDTF">2025-02-17T22:44:00Z</dcterms:created>
  <dcterms:modified xsi:type="dcterms:W3CDTF">2025-02-26T00:22:00Z</dcterms:modified>
</cp:coreProperties>
</file>