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C6A" w:rsidRDefault="000A1C6A" w:rsidP="000A1C6A">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0A1C6A" w:rsidRDefault="000A1C6A" w:rsidP="000A1C6A">
      <w:pPr>
        <w:pStyle w:val="NormalWeb"/>
        <w:spacing w:before="0" w:beforeAutospacing="0" w:after="0" w:afterAutospacing="0"/>
        <w:ind w:left="-180" w:right="-334"/>
      </w:pPr>
    </w:p>
    <w:p w:rsidR="000A1C6A" w:rsidRDefault="000A1C6A" w:rsidP="000A1C6A">
      <w:pPr>
        <w:pStyle w:val="NormalWeb"/>
        <w:spacing w:before="0" w:beforeAutospacing="0" w:after="0" w:afterAutospacing="0"/>
        <w:ind w:left="-180" w:right="-334"/>
      </w:pPr>
    </w:p>
    <w:p w:rsidR="000A1C6A" w:rsidRDefault="000A1C6A" w:rsidP="000A1C6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0A1C6A" w:rsidRPr="00230F35" w:rsidRDefault="000A1C6A" w:rsidP="000A1C6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0A1C6A" w:rsidRPr="00230F35" w:rsidRDefault="000A1C6A" w:rsidP="000A1C6A">
      <w:pPr>
        <w:rPr>
          <w:rFonts w:ascii="Arial" w:hAnsi="Arial" w:cs="Arial"/>
          <w:sz w:val="28"/>
          <w:szCs w:val="28"/>
          <w:lang w:val="cy-GB"/>
        </w:rPr>
      </w:pPr>
    </w:p>
    <w:p w:rsidR="000A1C6A" w:rsidRDefault="000A1C6A" w:rsidP="000A1C6A">
      <w:pPr>
        <w:pStyle w:val="Heading3"/>
        <w:jc w:val="center"/>
        <w:rPr>
          <w:lang w:val="cy-GB"/>
        </w:rPr>
      </w:pPr>
      <w:r>
        <w:rPr>
          <w:lang w:val="cy-GB"/>
        </w:rPr>
        <w:t>THIS SHEET MUST BE THE FIRST PAGE OF THE ASSIGNMENT YOU ARE SUBMITTING  (DO NOT SEND AS A SEPARATE FILE)</w:t>
      </w:r>
    </w:p>
    <w:p w:rsidR="000A1C6A" w:rsidRDefault="000A1C6A" w:rsidP="000A1C6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A1C6A" w:rsidRPr="00230F35" w:rsidTr="003A3287">
        <w:trPr>
          <w:trHeight w:val="614"/>
        </w:trPr>
        <w:tc>
          <w:tcPr>
            <w:tcW w:w="8856" w:type="dxa"/>
            <w:gridSpan w:val="5"/>
          </w:tcPr>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A1C6A" w:rsidRPr="00230F35" w:rsidTr="003A3287">
        <w:trPr>
          <w:trHeight w:val="718"/>
        </w:trPr>
        <w:tc>
          <w:tcPr>
            <w:tcW w:w="8856" w:type="dxa"/>
            <w:gridSpan w:val="5"/>
          </w:tcPr>
          <w:p w:rsidR="000A1C6A"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0A1C6A" w:rsidRPr="00230F35" w:rsidRDefault="000A1C6A" w:rsidP="003A3287">
            <w:pPr>
              <w:pStyle w:val="NormalWeb"/>
              <w:spacing w:before="0" w:beforeAutospacing="0" w:after="0" w:afterAutospacing="0"/>
              <w:ind w:right="34"/>
              <w:rPr>
                <w:rFonts w:ascii="Arial" w:hAnsi="Arial" w:cs="Arial"/>
                <w:sz w:val="22"/>
                <w:szCs w:val="22"/>
              </w:rPr>
            </w:pPr>
            <w:r>
              <w:rPr>
                <w:rFonts w:ascii="Arial" w:hAnsi="Arial" w:cs="Arial"/>
                <w:sz w:val="22"/>
                <w:szCs w:val="22"/>
              </w:rPr>
              <w:t>Suzanne Caisey</w:t>
            </w:r>
          </w:p>
        </w:tc>
      </w:tr>
      <w:tr w:rsidR="000A1C6A" w:rsidRPr="00230F35" w:rsidTr="003A3287">
        <w:trPr>
          <w:trHeight w:val="849"/>
        </w:trPr>
        <w:tc>
          <w:tcPr>
            <w:tcW w:w="4788" w:type="dxa"/>
          </w:tcPr>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CSEN7028</w:t>
            </w:r>
          </w:p>
          <w:p w:rsidR="000A1C6A" w:rsidRPr="00230F35" w:rsidRDefault="000A1C6A" w:rsidP="003A3287">
            <w:pPr>
              <w:pStyle w:val="NormalWeb"/>
              <w:spacing w:before="0" w:beforeAutospacing="0" w:after="0" w:afterAutospacing="0"/>
              <w:ind w:right="34"/>
              <w:rPr>
                <w:rFonts w:ascii="Arial" w:hAnsi="Arial" w:cs="Arial"/>
                <w:sz w:val="22"/>
                <w:szCs w:val="22"/>
              </w:rPr>
            </w:pPr>
          </w:p>
          <w:p w:rsidR="000A1C6A"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Beowulf and the Anglo-Saxon Heroic</w:t>
            </w:r>
          </w:p>
          <w:p w:rsidR="000A1C6A" w:rsidRDefault="000A1C6A" w:rsidP="003A3287">
            <w:pPr>
              <w:pStyle w:val="NormalWeb"/>
              <w:spacing w:before="0" w:beforeAutospacing="0" w:after="0" w:afterAutospacing="0"/>
              <w:ind w:right="34"/>
              <w:rPr>
                <w:rFonts w:ascii="Arial" w:hAnsi="Arial" w:cs="Arial"/>
                <w:sz w:val="22"/>
                <w:szCs w:val="22"/>
              </w:rPr>
            </w:pPr>
          </w:p>
          <w:p w:rsidR="000A1C6A" w:rsidRPr="00230F35" w:rsidRDefault="000A1C6A" w:rsidP="003A3287">
            <w:pPr>
              <w:pStyle w:val="NormalWeb"/>
              <w:spacing w:before="0" w:beforeAutospacing="0" w:after="0" w:afterAutospacing="0"/>
              <w:ind w:right="34"/>
              <w:rPr>
                <w:rFonts w:ascii="Arial" w:hAnsi="Arial" w:cs="Arial"/>
                <w:sz w:val="22"/>
                <w:szCs w:val="22"/>
              </w:rPr>
            </w:pPr>
          </w:p>
        </w:tc>
        <w:tc>
          <w:tcPr>
            <w:tcW w:w="2266" w:type="dxa"/>
            <w:gridSpan w:val="3"/>
          </w:tcPr>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1708467</w:t>
            </w:r>
          </w:p>
        </w:tc>
        <w:tc>
          <w:tcPr>
            <w:tcW w:w="1802" w:type="dxa"/>
          </w:tcPr>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A1C6A" w:rsidRPr="00230F35" w:rsidTr="003A3287">
        <w:trPr>
          <w:trHeight w:val="1139"/>
        </w:trPr>
        <w:tc>
          <w:tcPr>
            <w:tcW w:w="8856" w:type="dxa"/>
            <w:gridSpan w:val="5"/>
          </w:tcPr>
          <w:p w:rsidR="000A1C6A" w:rsidRPr="00230F35" w:rsidRDefault="000A1C6A" w:rsidP="003A3287">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William Marx</w:t>
            </w:r>
          </w:p>
          <w:p w:rsidR="000A1C6A" w:rsidRPr="00230F35" w:rsidRDefault="000A1C6A" w:rsidP="003A3287">
            <w:pPr>
              <w:pStyle w:val="NormalWeb"/>
              <w:spacing w:before="0" w:beforeAutospacing="0" w:after="0" w:afterAutospacing="0"/>
              <w:ind w:right="34"/>
              <w:rPr>
                <w:rFonts w:ascii="Arial" w:hAnsi="Arial" w:cs="Arial"/>
                <w:sz w:val="22"/>
                <w:szCs w:val="22"/>
              </w:rPr>
            </w:pPr>
          </w:p>
          <w:p w:rsidR="000A1C6A" w:rsidRDefault="000A1C6A" w:rsidP="003A3287">
            <w:pPr>
              <w:pStyle w:val="NormalWeb"/>
              <w:spacing w:before="0" w:beforeAutospacing="0" w:after="0" w:afterAutospacing="0"/>
              <w:ind w:right="34"/>
              <w:rPr>
                <w:rFonts w:ascii="Arial" w:hAnsi="Arial" w:cs="Arial"/>
                <w:sz w:val="22"/>
                <w:szCs w:val="22"/>
              </w:rPr>
            </w:pPr>
          </w:p>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31</w:t>
            </w:r>
            <w:r w:rsidRPr="000A1C6A">
              <w:rPr>
                <w:rFonts w:ascii="Arial" w:hAnsi="Arial" w:cs="Arial"/>
                <w:sz w:val="22"/>
                <w:szCs w:val="22"/>
                <w:vertAlign w:val="superscript"/>
              </w:rPr>
              <w:t>st</w:t>
            </w:r>
            <w:r>
              <w:rPr>
                <w:rFonts w:ascii="Arial" w:hAnsi="Arial" w:cs="Arial"/>
                <w:sz w:val="22"/>
                <w:szCs w:val="22"/>
              </w:rPr>
              <w:t xml:space="preserve"> August 2018</w:t>
            </w:r>
            <w:bookmarkStart w:id="0" w:name="_GoBack"/>
            <w:bookmarkEnd w:id="0"/>
          </w:p>
        </w:tc>
      </w:tr>
      <w:tr w:rsidR="000A1C6A" w:rsidRPr="00230F35" w:rsidTr="003A3287">
        <w:trPr>
          <w:trHeight w:val="978"/>
        </w:trPr>
        <w:tc>
          <w:tcPr>
            <w:tcW w:w="8856" w:type="dxa"/>
            <w:gridSpan w:val="5"/>
            <w:tcBorders>
              <w:bottom w:val="single" w:sz="4" w:space="0" w:color="000000"/>
            </w:tcBorders>
          </w:tcPr>
          <w:p w:rsidR="000A1C6A" w:rsidRDefault="000A1C6A" w:rsidP="003A3287">
            <w:pPr>
              <w:rPr>
                <w:rFonts w:ascii="Arial" w:hAnsi="Arial" w:cs="Arial"/>
              </w:rPr>
            </w:pPr>
            <w:r>
              <w:rPr>
                <w:rFonts w:ascii="Arial" w:hAnsi="Arial" w:cs="Arial"/>
              </w:rPr>
              <w:t>If your module has multiple submissions please indicate which piece of work this is.</w:t>
            </w:r>
          </w:p>
          <w:p w:rsidR="000A1C6A" w:rsidRDefault="000A1C6A" w:rsidP="003A3287">
            <w:pPr>
              <w:rPr>
                <w:rFonts w:ascii="Arial" w:hAnsi="Arial" w:cs="Arial"/>
              </w:rPr>
            </w:pPr>
          </w:p>
          <w:p w:rsidR="000A1C6A" w:rsidRPr="00230F35" w:rsidRDefault="000A1C6A" w:rsidP="003A3287">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p>
        </w:tc>
      </w:tr>
      <w:tr w:rsidR="000A1C6A" w:rsidRPr="00230F35" w:rsidTr="003A3287">
        <w:trPr>
          <w:trHeight w:val="978"/>
        </w:trPr>
        <w:tc>
          <w:tcPr>
            <w:tcW w:w="8856" w:type="dxa"/>
            <w:gridSpan w:val="5"/>
            <w:shd w:val="clear" w:color="auto" w:fill="D9D9D9"/>
          </w:tcPr>
          <w:p w:rsidR="000A1C6A" w:rsidRPr="00230F35"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0A1C6A" w:rsidRDefault="000A1C6A" w:rsidP="003A32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0A1C6A" w:rsidRDefault="000A1C6A" w:rsidP="003A328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w:t>
            </w:r>
          </w:p>
          <w:p w:rsidR="000A1C6A" w:rsidRPr="00230F35" w:rsidRDefault="000A1C6A" w:rsidP="003A3287">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0A1C6A" w:rsidRPr="00230F35" w:rsidTr="003A3287">
        <w:trPr>
          <w:trHeight w:val="3972"/>
        </w:trPr>
        <w:tc>
          <w:tcPr>
            <w:tcW w:w="8856" w:type="dxa"/>
            <w:gridSpan w:val="5"/>
          </w:tcPr>
          <w:p w:rsidR="000A1C6A" w:rsidRDefault="000A1C6A" w:rsidP="003A3287">
            <w:pPr>
              <w:rPr>
                <w:rFonts w:ascii="Arial" w:hAnsi="Arial"/>
                <w:b/>
              </w:rPr>
            </w:pPr>
          </w:p>
          <w:p w:rsidR="000A1C6A" w:rsidRPr="00116CE6" w:rsidRDefault="000A1C6A" w:rsidP="003A328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A1C6A" w:rsidRPr="00116CE6" w:rsidTr="003A3287">
              <w:tc>
                <w:tcPr>
                  <w:tcW w:w="6970" w:type="dxa"/>
                </w:tcPr>
                <w:p w:rsidR="000A1C6A" w:rsidRPr="00116CE6" w:rsidRDefault="000A1C6A" w:rsidP="003A3287">
                  <w:pPr>
                    <w:rPr>
                      <w:rFonts w:ascii="Arial" w:hAnsi="Arial"/>
                      <w:sz w:val="20"/>
                      <w:szCs w:val="20"/>
                    </w:rPr>
                  </w:pPr>
                </w:p>
                <w:p w:rsidR="000A1C6A" w:rsidRPr="00116CE6" w:rsidRDefault="000A1C6A" w:rsidP="003A328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0A1C6A" w:rsidRPr="00116CE6" w:rsidRDefault="000A1C6A" w:rsidP="003A3287">
                  <w:pPr>
                    <w:rPr>
                      <w:rFonts w:ascii="Arial" w:hAnsi="Arial"/>
                      <w:sz w:val="20"/>
                      <w:szCs w:val="20"/>
                    </w:rPr>
                  </w:pPr>
                </w:p>
              </w:tc>
            </w:tr>
            <w:tr w:rsidR="000A1C6A" w:rsidRPr="00116CE6" w:rsidTr="003A3287">
              <w:tc>
                <w:tcPr>
                  <w:tcW w:w="6970" w:type="dxa"/>
                </w:tcPr>
                <w:p w:rsidR="000A1C6A" w:rsidRPr="00116CE6" w:rsidRDefault="000A1C6A" w:rsidP="003A3287">
                  <w:pPr>
                    <w:rPr>
                      <w:rFonts w:ascii="Arial" w:hAnsi="Arial"/>
                      <w:sz w:val="20"/>
                      <w:szCs w:val="20"/>
                    </w:rPr>
                  </w:pPr>
                </w:p>
                <w:p w:rsidR="000A1C6A" w:rsidRPr="00116CE6" w:rsidRDefault="000A1C6A" w:rsidP="003A328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0A1C6A" w:rsidRPr="00116CE6" w:rsidRDefault="000A1C6A" w:rsidP="003A3287">
                  <w:pPr>
                    <w:rPr>
                      <w:rFonts w:ascii="Arial" w:hAnsi="Arial"/>
                      <w:sz w:val="20"/>
                      <w:szCs w:val="20"/>
                    </w:rPr>
                  </w:pPr>
                </w:p>
              </w:tc>
            </w:tr>
            <w:tr w:rsidR="000A1C6A" w:rsidRPr="00116CE6" w:rsidTr="003A3287">
              <w:tc>
                <w:tcPr>
                  <w:tcW w:w="6970" w:type="dxa"/>
                </w:tcPr>
                <w:p w:rsidR="000A1C6A" w:rsidRPr="00116CE6" w:rsidRDefault="000A1C6A" w:rsidP="003A3287">
                  <w:pPr>
                    <w:rPr>
                      <w:rFonts w:ascii="Arial" w:hAnsi="Arial"/>
                      <w:sz w:val="20"/>
                      <w:szCs w:val="20"/>
                    </w:rPr>
                  </w:pPr>
                </w:p>
                <w:p w:rsidR="000A1C6A" w:rsidRPr="00116CE6" w:rsidRDefault="000A1C6A" w:rsidP="003A328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0A1C6A" w:rsidRPr="00116CE6" w:rsidRDefault="000A1C6A" w:rsidP="003A3287">
                  <w:pPr>
                    <w:rPr>
                      <w:rFonts w:ascii="Arial" w:hAnsi="Arial"/>
                      <w:sz w:val="20"/>
                      <w:szCs w:val="20"/>
                    </w:rPr>
                  </w:pPr>
                </w:p>
              </w:tc>
            </w:tr>
            <w:tr w:rsidR="000A1C6A" w:rsidRPr="00116CE6" w:rsidTr="003A3287">
              <w:tc>
                <w:tcPr>
                  <w:tcW w:w="6970" w:type="dxa"/>
                </w:tcPr>
                <w:p w:rsidR="000A1C6A" w:rsidRDefault="000A1C6A" w:rsidP="003A3287">
                  <w:pPr>
                    <w:rPr>
                      <w:rFonts w:ascii="Arial" w:hAnsi="Arial"/>
                      <w:sz w:val="20"/>
                      <w:szCs w:val="20"/>
                    </w:rPr>
                  </w:pPr>
                </w:p>
                <w:p w:rsidR="000A1C6A" w:rsidRPr="00022345" w:rsidRDefault="000A1C6A" w:rsidP="003A3287">
                  <w:pPr>
                    <w:rPr>
                      <w:rFonts w:ascii="Arial" w:hAnsi="Arial"/>
                      <w:b/>
                      <w:sz w:val="20"/>
                      <w:szCs w:val="20"/>
                    </w:rPr>
                  </w:pPr>
                  <w:r w:rsidRPr="00022345">
                    <w:rPr>
                      <w:rFonts w:ascii="Arial" w:hAnsi="Arial"/>
                      <w:b/>
                      <w:sz w:val="20"/>
                      <w:szCs w:val="20"/>
                    </w:rPr>
                    <w:t>Final Mark</w:t>
                  </w:r>
                </w:p>
                <w:p w:rsidR="000A1C6A" w:rsidRPr="00116CE6" w:rsidRDefault="000A1C6A" w:rsidP="003A3287">
                  <w:pPr>
                    <w:rPr>
                      <w:rFonts w:ascii="Arial" w:hAnsi="Arial"/>
                      <w:sz w:val="20"/>
                      <w:szCs w:val="20"/>
                    </w:rPr>
                  </w:pPr>
                </w:p>
              </w:tc>
              <w:tc>
                <w:tcPr>
                  <w:tcW w:w="1660" w:type="dxa"/>
                </w:tcPr>
                <w:p w:rsidR="000A1C6A" w:rsidRPr="00116CE6" w:rsidRDefault="000A1C6A" w:rsidP="003A3287">
                  <w:pPr>
                    <w:rPr>
                      <w:rFonts w:ascii="Arial" w:hAnsi="Arial"/>
                      <w:sz w:val="20"/>
                      <w:szCs w:val="20"/>
                    </w:rPr>
                  </w:pPr>
                </w:p>
              </w:tc>
            </w:tr>
          </w:tbl>
          <w:p w:rsidR="000A1C6A" w:rsidRDefault="000A1C6A" w:rsidP="003A3287">
            <w:pPr>
              <w:pStyle w:val="NormalWeb"/>
              <w:spacing w:before="0" w:beforeAutospacing="0" w:after="0" w:afterAutospacing="0"/>
              <w:ind w:left="142" w:right="34"/>
              <w:rPr>
                <w:rFonts w:ascii="Arial" w:hAnsi="Arial" w:cs="Arial"/>
                <w:b/>
                <w:sz w:val="22"/>
                <w:szCs w:val="22"/>
              </w:rPr>
            </w:pPr>
          </w:p>
          <w:p w:rsidR="000A1C6A" w:rsidRPr="00230F35" w:rsidRDefault="000A1C6A" w:rsidP="003A328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0A1C6A" w:rsidRDefault="000A1C6A" w:rsidP="003A3287">
            <w:pPr>
              <w:pStyle w:val="NormalWeb"/>
              <w:spacing w:before="0" w:beforeAutospacing="0" w:after="0" w:afterAutospacing="0"/>
              <w:rPr>
                <w:rFonts w:ascii="Arial" w:hAnsi="Arial" w:cs="Arial"/>
                <w:b/>
                <w:sz w:val="22"/>
                <w:szCs w:val="22"/>
              </w:rPr>
            </w:pPr>
          </w:p>
          <w:p w:rsidR="000A1C6A" w:rsidRDefault="000A1C6A" w:rsidP="003A3287">
            <w:pPr>
              <w:pStyle w:val="NormalWeb"/>
              <w:spacing w:before="0" w:beforeAutospacing="0" w:after="0" w:afterAutospacing="0"/>
              <w:rPr>
                <w:rFonts w:ascii="Arial" w:hAnsi="Arial" w:cs="Arial"/>
                <w:b/>
                <w:sz w:val="22"/>
                <w:szCs w:val="22"/>
              </w:rPr>
            </w:pPr>
          </w:p>
          <w:p w:rsidR="000A1C6A" w:rsidRDefault="000A1C6A" w:rsidP="003A3287">
            <w:pPr>
              <w:pStyle w:val="NormalWeb"/>
              <w:spacing w:before="0" w:beforeAutospacing="0" w:after="0" w:afterAutospacing="0"/>
              <w:rPr>
                <w:rFonts w:ascii="Arial" w:hAnsi="Arial" w:cs="Arial"/>
                <w:b/>
                <w:sz w:val="22"/>
                <w:szCs w:val="22"/>
              </w:rPr>
            </w:pPr>
          </w:p>
          <w:p w:rsidR="000A1C6A" w:rsidRDefault="000A1C6A" w:rsidP="003A3287">
            <w:pPr>
              <w:pStyle w:val="NormalWeb"/>
              <w:spacing w:before="0" w:beforeAutospacing="0" w:after="0" w:afterAutospacing="0"/>
              <w:rPr>
                <w:rFonts w:ascii="Arial" w:hAnsi="Arial" w:cs="Arial"/>
                <w:b/>
                <w:sz w:val="22"/>
                <w:szCs w:val="22"/>
              </w:rPr>
            </w:pPr>
          </w:p>
          <w:p w:rsidR="000A1C6A" w:rsidRDefault="000A1C6A" w:rsidP="003A3287">
            <w:pPr>
              <w:pStyle w:val="NormalWeb"/>
              <w:spacing w:before="0" w:beforeAutospacing="0" w:after="0" w:afterAutospacing="0"/>
              <w:rPr>
                <w:rFonts w:ascii="Arial" w:hAnsi="Arial" w:cs="Arial"/>
                <w:b/>
                <w:sz w:val="22"/>
                <w:szCs w:val="22"/>
              </w:rPr>
            </w:pPr>
          </w:p>
          <w:p w:rsidR="000A1C6A" w:rsidRPr="00230F35" w:rsidRDefault="000A1C6A" w:rsidP="003A328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0A1C6A" w:rsidRDefault="000A1C6A" w:rsidP="003A328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0A1C6A" w:rsidRPr="00001C3B" w:rsidRDefault="000A1C6A" w:rsidP="003A3287">
            <w:pPr>
              <w:pStyle w:val="NormalWeb"/>
              <w:rPr>
                <w:rFonts w:ascii="Arial" w:hAnsi="Arial" w:cs="Arial"/>
                <w:sz w:val="22"/>
                <w:szCs w:val="22"/>
              </w:rPr>
            </w:pPr>
          </w:p>
        </w:tc>
      </w:tr>
      <w:tr w:rsidR="000A1C6A" w:rsidRPr="00230F35" w:rsidTr="003A3287">
        <w:trPr>
          <w:trHeight w:val="492"/>
        </w:trPr>
        <w:tc>
          <w:tcPr>
            <w:tcW w:w="6768" w:type="dxa"/>
            <w:gridSpan w:val="3"/>
          </w:tcPr>
          <w:p w:rsidR="000A1C6A" w:rsidRPr="00230F35" w:rsidRDefault="000A1C6A" w:rsidP="003A328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0A1C6A" w:rsidRPr="00230F35" w:rsidRDefault="000A1C6A" w:rsidP="003A3287">
            <w:pPr>
              <w:pStyle w:val="NormalWeb"/>
              <w:spacing w:after="0"/>
              <w:ind w:left="142" w:right="34"/>
              <w:rPr>
                <w:rFonts w:ascii="Arial" w:hAnsi="Arial" w:cs="Arial"/>
                <w:sz w:val="22"/>
                <w:szCs w:val="22"/>
              </w:rPr>
            </w:pPr>
            <w:r w:rsidRPr="00230F35">
              <w:rPr>
                <w:rFonts w:ascii="Arial" w:hAnsi="Arial" w:cs="Arial"/>
                <w:sz w:val="22"/>
                <w:szCs w:val="22"/>
              </w:rPr>
              <w:t>Date:</w:t>
            </w:r>
          </w:p>
        </w:tc>
      </w:tr>
      <w:tr w:rsidR="000A1C6A" w:rsidRPr="002F467C" w:rsidTr="003A3287">
        <w:tc>
          <w:tcPr>
            <w:tcW w:w="8856" w:type="dxa"/>
            <w:gridSpan w:val="5"/>
          </w:tcPr>
          <w:p w:rsidR="000A1C6A" w:rsidRPr="00230F35" w:rsidRDefault="000A1C6A" w:rsidP="003A3287">
            <w:pPr>
              <w:pStyle w:val="NormalWeb"/>
              <w:spacing w:before="0" w:beforeAutospacing="0" w:after="0" w:afterAutospacing="0"/>
              <w:ind w:right="-334"/>
              <w:rPr>
                <w:rFonts w:ascii="Arial" w:hAnsi="Arial" w:cs="Arial"/>
                <w:bCs/>
                <w:i/>
                <w:sz w:val="22"/>
                <w:szCs w:val="22"/>
              </w:rPr>
            </w:pPr>
          </w:p>
          <w:p w:rsidR="000A1C6A" w:rsidRPr="00230F35" w:rsidRDefault="000A1C6A" w:rsidP="003A328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0A1C6A" w:rsidRPr="00230F35" w:rsidRDefault="000A1C6A" w:rsidP="003A3287">
            <w:pPr>
              <w:pStyle w:val="NormalWeb"/>
              <w:spacing w:before="0" w:beforeAutospacing="0" w:after="0" w:afterAutospacing="0"/>
              <w:ind w:right="-334"/>
              <w:rPr>
                <w:rFonts w:ascii="Arial" w:hAnsi="Arial" w:cs="Arial"/>
                <w:b/>
                <w:bCs/>
                <w:sz w:val="22"/>
                <w:szCs w:val="22"/>
              </w:rPr>
            </w:pPr>
          </w:p>
          <w:p w:rsidR="000A1C6A" w:rsidRPr="00230F35" w:rsidRDefault="000A1C6A" w:rsidP="003A328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0A1C6A" w:rsidRPr="00230F35" w:rsidRDefault="000A1C6A" w:rsidP="003A3287">
            <w:pPr>
              <w:pStyle w:val="NormalWeb"/>
              <w:spacing w:before="0" w:beforeAutospacing="0" w:after="0" w:afterAutospacing="0"/>
              <w:ind w:right="-334"/>
              <w:rPr>
                <w:rFonts w:ascii="Arial" w:hAnsi="Arial" w:cs="Arial"/>
                <w:bCs/>
                <w:sz w:val="22"/>
                <w:szCs w:val="22"/>
              </w:rPr>
            </w:pPr>
          </w:p>
          <w:p w:rsidR="000A1C6A" w:rsidRPr="00230F35" w:rsidRDefault="000A1C6A" w:rsidP="003A3287">
            <w:pPr>
              <w:pStyle w:val="NormalWeb"/>
              <w:spacing w:before="0" w:beforeAutospacing="0" w:after="0" w:afterAutospacing="0"/>
              <w:ind w:right="-334"/>
              <w:rPr>
                <w:rFonts w:ascii="Arial" w:hAnsi="Arial" w:cs="Arial"/>
                <w:bCs/>
                <w:sz w:val="22"/>
                <w:szCs w:val="22"/>
              </w:rPr>
            </w:pPr>
          </w:p>
          <w:p w:rsidR="000A1C6A" w:rsidRPr="00230F35" w:rsidRDefault="000A1C6A" w:rsidP="003A3287">
            <w:pPr>
              <w:pStyle w:val="NormalWeb"/>
              <w:spacing w:before="0" w:beforeAutospacing="0" w:after="0" w:afterAutospacing="0"/>
              <w:ind w:right="-334"/>
              <w:rPr>
                <w:rFonts w:ascii="Arial" w:hAnsi="Arial" w:cs="Arial"/>
                <w:bCs/>
                <w:sz w:val="22"/>
                <w:szCs w:val="22"/>
              </w:rPr>
            </w:pPr>
          </w:p>
        </w:tc>
      </w:tr>
      <w:tr w:rsidR="000A1C6A" w:rsidRPr="002F467C" w:rsidTr="003A3287">
        <w:trPr>
          <w:trHeight w:val="720"/>
        </w:trPr>
        <w:tc>
          <w:tcPr>
            <w:tcW w:w="5211" w:type="dxa"/>
            <w:gridSpan w:val="2"/>
          </w:tcPr>
          <w:p w:rsidR="000A1C6A" w:rsidRPr="00230F35" w:rsidRDefault="000A1C6A" w:rsidP="003A328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0A1C6A" w:rsidRPr="00230F35" w:rsidRDefault="000A1C6A" w:rsidP="003A328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A1C6A" w:rsidRPr="002F467C" w:rsidTr="003A3287">
        <w:trPr>
          <w:trHeight w:val="720"/>
        </w:trPr>
        <w:tc>
          <w:tcPr>
            <w:tcW w:w="8856" w:type="dxa"/>
            <w:gridSpan w:val="5"/>
          </w:tcPr>
          <w:p w:rsidR="000A1C6A" w:rsidRPr="00B34964" w:rsidRDefault="000A1C6A" w:rsidP="003A3287">
            <w:pPr>
              <w:rPr>
                <w:rFonts w:ascii="Arial" w:hAnsi="Arial" w:cs="Arial"/>
                <w:b/>
              </w:rPr>
            </w:pPr>
            <w:r w:rsidRPr="00B34964">
              <w:rPr>
                <w:rFonts w:ascii="Arial" w:hAnsi="Arial" w:cs="Arial"/>
                <w:b/>
              </w:rPr>
              <w:t>External Examiner’s comments (if relevant)</w:t>
            </w:r>
          </w:p>
          <w:p w:rsidR="000A1C6A" w:rsidRPr="00230F35" w:rsidRDefault="000A1C6A" w:rsidP="003A3287">
            <w:pPr>
              <w:pStyle w:val="NormalWeb"/>
              <w:spacing w:before="0" w:beforeAutospacing="0" w:after="0" w:afterAutospacing="0"/>
              <w:ind w:right="-334"/>
              <w:rPr>
                <w:rFonts w:ascii="Arial" w:hAnsi="Arial" w:cs="Arial"/>
                <w:bCs/>
                <w:sz w:val="22"/>
                <w:szCs w:val="22"/>
              </w:rPr>
            </w:pPr>
          </w:p>
          <w:p w:rsidR="000A1C6A" w:rsidRPr="00230F35" w:rsidRDefault="000A1C6A" w:rsidP="003A3287">
            <w:pPr>
              <w:pStyle w:val="NormalWeb"/>
              <w:spacing w:before="0" w:beforeAutospacing="0" w:after="0" w:afterAutospacing="0"/>
              <w:ind w:right="-334"/>
              <w:rPr>
                <w:rFonts w:ascii="Arial" w:hAnsi="Arial" w:cs="Arial"/>
                <w:bCs/>
                <w:sz w:val="22"/>
                <w:szCs w:val="22"/>
              </w:rPr>
            </w:pPr>
          </w:p>
          <w:p w:rsidR="000A1C6A" w:rsidRPr="00230F35" w:rsidRDefault="000A1C6A" w:rsidP="003A3287">
            <w:pPr>
              <w:pStyle w:val="NormalWeb"/>
              <w:spacing w:before="0" w:beforeAutospacing="0" w:after="0" w:afterAutospacing="0"/>
              <w:ind w:right="-334"/>
              <w:rPr>
                <w:rFonts w:ascii="Arial" w:hAnsi="Arial" w:cs="Arial"/>
                <w:bCs/>
                <w:sz w:val="22"/>
                <w:szCs w:val="22"/>
              </w:rPr>
            </w:pPr>
          </w:p>
        </w:tc>
      </w:tr>
      <w:tr w:rsidR="000A1C6A" w:rsidRPr="002F467C" w:rsidTr="003A3287">
        <w:trPr>
          <w:trHeight w:val="720"/>
        </w:trPr>
        <w:tc>
          <w:tcPr>
            <w:tcW w:w="5211" w:type="dxa"/>
            <w:gridSpan w:val="2"/>
          </w:tcPr>
          <w:p w:rsidR="000A1C6A" w:rsidRPr="00230F35" w:rsidRDefault="000A1C6A" w:rsidP="003A3287">
            <w:pPr>
              <w:rPr>
                <w:rFonts w:ascii="Arial" w:hAnsi="Arial" w:cs="Arial"/>
              </w:rPr>
            </w:pPr>
            <w:r w:rsidRPr="00230F35">
              <w:rPr>
                <w:rFonts w:ascii="Arial" w:hAnsi="Arial" w:cs="Arial"/>
              </w:rPr>
              <w:t>External Examiner’s Signature:</w:t>
            </w:r>
          </w:p>
        </w:tc>
        <w:tc>
          <w:tcPr>
            <w:tcW w:w="3645" w:type="dxa"/>
            <w:gridSpan w:val="3"/>
          </w:tcPr>
          <w:p w:rsidR="000A1C6A" w:rsidRPr="00230F35" w:rsidRDefault="000A1C6A" w:rsidP="003A3287">
            <w:pPr>
              <w:rPr>
                <w:rFonts w:ascii="Arial" w:hAnsi="Arial" w:cs="Arial"/>
              </w:rPr>
            </w:pPr>
            <w:r w:rsidRPr="00230F35">
              <w:rPr>
                <w:rFonts w:ascii="Arial" w:hAnsi="Arial" w:cs="Arial"/>
              </w:rPr>
              <w:t>Date:</w:t>
            </w:r>
          </w:p>
        </w:tc>
      </w:tr>
    </w:tbl>
    <w:p w:rsidR="000A1C6A" w:rsidRPr="00D67BF8" w:rsidRDefault="000A1C6A" w:rsidP="000A1C6A">
      <w:pPr>
        <w:pStyle w:val="NormalWeb"/>
        <w:spacing w:before="0" w:beforeAutospacing="0" w:after="0" w:afterAutospacing="0"/>
        <w:ind w:right="-334"/>
        <w:rPr>
          <w:rFonts w:ascii="Trebuchet MS" w:hAnsi="Trebuchet MS" w:cs="Tahoma"/>
          <w:bCs/>
          <w:sz w:val="24"/>
          <w:szCs w:val="24"/>
        </w:rPr>
      </w:pPr>
    </w:p>
    <w:p w:rsidR="000A1C6A" w:rsidRDefault="000A1C6A" w:rsidP="003D123E">
      <w:pPr>
        <w:ind w:left="360"/>
        <w:jc w:val="center"/>
        <w:rPr>
          <w:rFonts w:ascii="Times New Roman" w:hAnsi="Times New Roman" w:cs="Times New Roman"/>
          <w:b/>
          <w:sz w:val="24"/>
          <w:szCs w:val="24"/>
        </w:rPr>
      </w:pPr>
    </w:p>
    <w:p w:rsidR="00657FD5" w:rsidRDefault="00F8485D" w:rsidP="003D123E">
      <w:pPr>
        <w:ind w:left="360"/>
        <w:jc w:val="center"/>
        <w:rPr>
          <w:rFonts w:ascii="Times New Roman" w:hAnsi="Times New Roman" w:cs="Times New Roman"/>
          <w:b/>
          <w:sz w:val="24"/>
          <w:szCs w:val="24"/>
        </w:rPr>
      </w:pPr>
      <w:r w:rsidRPr="003D123E">
        <w:rPr>
          <w:rFonts w:ascii="Times New Roman" w:hAnsi="Times New Roman" w:cs="Times New Roman"/>
          <w:b/>
          <w:sz w:val="24"/>
          <w:szCs w:val="24"/>
        </w:rPr>
        <w:lastRenderedPageBreak/>
        <w:t xml:space="preserve"> </w:t>
      </w:r>
      <w:r w:rsidR="003D123E" w:rsidRPr="003D123E">
        <w:rPr>
          <w:rFonts w:ascii="Times New Roman" w:hAnsi="Times New Roman" w:cs="Times New Roman"/>
          <w:b/>
          <w:sz w:val="24"/>
          <w:szCs w:val="24"/>
        </w:rPr>
        <w:t>‘Although it is the product of a thoroughly Christian culture, there is in Anglo Saxon literature a tension between Christianity and pre-Christian heroic culture.’ Discuss.</w:t>
      </w:r>
    </w:p>
    <w:p w:rsidR="003D123E" w:rsidRDefault="003D123E" w:rsidP="003D123E">
      <w:pPr>
        <w:ind w:left="360"/>
        <w:rPr>
          <w:rFonts w:ascii="Times New Roman" w:hAnsi="Times New Roman" w:cs="Times New Roman"/>
          <w:sz w:val="24"/>
          <w:szCs w:val="24"/>
        </w:rPr>
      </w:pPr>
    </w:p>
    <w:p w:rsidR="003D123E" w:rsidRDefault="003D123E"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When considering this statement, the first thing we must do is understand what is meant by Anglo Saxon literature. The Anglo Saxon period is generally considered to have taken place between </w:t>
      </w:r>
      <w:r w:rsidR="00764978">
        <w:rPr>
          <w:rFonts w:ascii="Times New Roman" w:hAnsi="Times New Roman" w:cs="Times New Roman"/>
          <w:sz w:val="24"/>
          <w:szCs w:val="24"/>
        </w:rPr>
        <w:t>the mid-5</w:t>
      </w:r>
      <w:r w:rsidR="00764978" w:rsidRPr="00764978">
        <w:rPr>
          <w:rFonts w:ascii="Times New Roman" w:hAnsi="Times New Roman" w:cs="Times New Roman"/>
          <w:sz w:val="24"/>
          <w:szCs w:val="24"/>
          <w:vertAlign w:val="superscript"/>
        </w:rPr>
        <w:t>th</w:t>
      </w:r>
      <w:r w:rsidR="00764978">
        <w:rPr>
          <w:rFonts w:ascii="Times New Roman" w:hAnsi="Times New Roman" w:cs="Times New Roman"/>
          <w:sz w:val="24"/>
          <w:szCs w:val="24"/>
        </w:rPr>
        <w:t xml:space="preserve"> century, when the withdrawal of Roman forces from Britain left the land open to invasion of the Germanic peoples who would come to be known as the Anglo Saxons, </w:t>
      </w:r>
      <w:r>
        <w:rPr>
          <w:rFonts w:ascii="Times New Roman" w:hAnsi="Times New Roman" w:cs="Times New Roman"/>
          <w:sz w:val="24"/>
          <w:szCs w:val="24"/>
        </w:rPr>
        <w:t>and 1066, with the arrival of the Norman invasion.</w:t>
      </w:r>
      <w:r w:rsidR="00285014">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On the other hand, Anglo Saxon literature may simply refer to any literature written in the Anglo Saxon language, otherwise known as Old English. With these parameters in mind, there are then a number of examples of Anglo Saxon literature to choose from</w:t>
      </w:r>
      <w:r w:rsidR="003C3529">
        <w:rPr>
          <w:rFonts w:ascii="Times New Roman" w:hAnsi="Times New Roman" w:cs="Times New Roman"/>
          <w:sz w:val="24"/>
          <w:szCs w:val="24"/>
        </w:rPr>
        <w:t>. In this case I have chosen to focus on the poems Beowulf</w:t>
      </w:r>
      <w:r w:rsidR="003923D2">
        <w:rPr>
          <w:rFonts w:ascii="Times New Roman" w:hAnsi="Times New Roman" w:cs="Times New Roman"/>
          <w:sz w:val="24"/>
          <w:szCs w:val="24"/>
        </w:rPr>
        <w:t>, thought to have been written sometime in the 10</w:t>
      </w:r>
      <w:r w:rsidR="003923D2" w:rsidRPr="003923D2">
        <w:rPr>
          <w:rFonts w:ascii="Times New Roman" w:hAnsi="Times New Roman" w:cs="Times New Roman"/>
          <w:sz w:val="24"/>
          <w:szCs w:val="24"/>
          <w:vertAlign w:val="superscript"/>
        </w:rPr>
        <w:t>th</w:t>
      </w:r>
      <w:r w:rsidR="003923D2">
        <w:rPr>
          <w:rFonts w:ascii="Times New Roman" w:hAnsi="Times New Roman" w:cs="Times New Roman"/>
          <w:sz w:val="24"/>
          <w:szCs w:val="24"/>
        </w:rPr>
        <w:t xml:space="preserve"> or 11</w:t>
      </w:r>
      <w:r w:rsidR="003923D2" w:rsidRPr="003923D2">
        <w:rPr>
          <w:rFonts w:ascii="Times New Roman" w:hAnsi="Times New Roman" w:cs="Times New Roman"/>
          <w:sz w:val="24"/>
          <w:szCs w:val="24"/>
          <w:vertAlign w:val="superscript"/>
        </w:rPr>
        <w:t>th</w:t>
      </w:r>
      <w:r w:rsidR="003923D2">
        <w:rPr>
          <w:rFonts w:ascii="Times New Roman" w:hAnsi="Times New Roman" w:cs="Times New Roman"/>
          <w:sz w:val="24"/>
          <w:szCs w:val="24"/>
        </w:rPr>
        <w:t xml:space="preserve"> century although the story is generally believed to be several centuries older</w:t>
      </w:r>
      <w:r w:rsidR="003C3529">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2"/>
      </w:r>
      <w:r w:rsidR="003C3529">
        <w:rPr>
          <w:rFonts w:ascii="Times New Roman" w:hAnsi="Times New Roman" w:cs="Times New Roman"/>
          <w:sz w:val="24"/>
          <w:szCs w:val="24"/>
        </w:rPr>
        <w:t xml:space="preserve"> The Battle of Maldon</w:t>
      </w:r>
      <w:r w:rsidR="003923D2">
        <w:rPr>
          <w:rFonts w:ascii="Times New Roman" w:hAnsi="Times New Roman" w:cs="Times New Roman"/>
          <w:sz w:val="24"/>
          <w:szCs w:val="24"/>
        </w:rPr>
        <w:t>, written sometime after the year 991</w:t>
      </w:r>
      <w:r w:rsidR="003C3529">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3"/>
      </w:r>
      <w:r w:rsidR="003C3529">
        <w:rPr>
          <w:rFonts w:ascii="Times New Roman" w:hAnsi="Times New Roman" w:cs="Times New Roman"/>
          <w:sz w:val="24"/>
          <w:szCs w:val="24"/>
        </w:rPr>
        <w:t xml:space="preserve"> </w:t>
      </w:r>
      <w:r w:rsidR="009C6FDD">
        <w:rPr>
          <w:rFonts w:ascii="Times New Roman" w:hAnsi="Times New Roman" w:cs="Times New Roman"/>
          <w:sz w:val="24"/>
          <w:szCs w:val="24"/>
        </w:rPr>
        <w:t>The Dream of the Rood, potentially from as far back as the 8</w:t>
      </w:r>
      <w:r w:rsidR="009C6FDD" w:rsidRPr="009C6FDD">
        <w:rPr>
          <w:rFonts w:ascii="Times New Roman" w:hAnsi="Times New Roman" w:cs="Times New Roman"/>
          <w:sz w:val="24"/>
          <w:szCs w:val="24"/>
          <w:vertAlign w:val="superscript"/>
        </w:rPr>
        <w:t>th</w:t>
      </w:r>
      <w:r w:rsidR="009C6FDD">
        <w:rPr>
          <w:rFonts w:ascii="Times New Roman" w:hAnsi="Times New Roman" w:cs="Times New Roman"/>
          <w:sz w:val="24"/>
          <w:szCs w:val="24"/>
        </w:rPr>
        <w:t xml:space="preserve"> century,</w:t>
      </w:r>
      <w:r w:rsidR="00285014">
        <w:rPr>
          <w:rStyle w:val="FootnoteReference"/>
          <w:rFonts w:ascii="Times New Roman" w:hAnsi="Times New Roman" w:cs="Times New Roman"/>
          <w:sz w:val="24"/>
          <w:szCs w:val="24"/>
        </w:rPr>
        <w:footnoteReference w:id="4"/>
      </w:r>
      <w:r w:rsidR="009C6FDD">
        <w:rPr>
          <w:rFonts w:ascii="Times New Roman" w:hAnsi="Times New Roman" w:cs="Times New Roman"/>
          <w:sz w:val="24"/>
          <w:szCs w:val="24"/>
        </w:rPr>
        <w:t xml:space="preserve"> </w:t>
      </w:r>
      <w:r w:rsidR="003C3529">
        <w:rPr>
          <w:rFonts w:ascii="Times New Roman" w:hAnsi="Times New Roman" w:cs="Times New Roman"/>
          <w:sz w:val="24"/>
          <w:szCs w:val="24"/>
        </w:rPr>
        <w:t xml:space="preserve">The </w:t>
      </w:r>
      <w:r w:rsidR="00FC5985">
        <w:rPr>
          <w:rFonts w:ascii="Times New Roman" w:hAnsi="Times New Roman" w:cs="Times New Roman"/>
          <w:sz w:val="24"/>
          <w:szCs w:val="24"/>
        </w:rPr>
        <w:t>Seafarer, from a 10</w:t>
      </w:r>
      <w:r w:rsidR="003923D2" w:rsidRPr="003923D2">
        <w:rPr>
          <w:rFonts w:ascii="Times New Roman" w:hAnsi="Times New Roman" w:cs="Times New Roman"/>
          <w:sz w:val="24"/>
          <w:szCs w:val="24"/>
          <w:vertAlign w:val="superscript"/>
        </w:rPr>
        <w:t>th</w:t>
      </w:r>
      <w:r w:rsidR="003923D2">
        <w:rPr>
          <w:rFonts w:ascii="Times New Roman" w:hAnsi="Times New Roman" w:cs="Times New Roman"/>
          <w:sz w:val="24"/>
          <w:szCs w:val="24"/>
        </w:rPr>
        <w:t xml:space="preserve"> century</w:t>
      </w:r>
      <w:r w:rsidR="00FC5985">
        <w:rPr>
          <w:rFonts w:ascii="Times New Roman" w:hAnsi="Times New Roman" w:cs="Times New Roman"/>
          <w:sz w:val="24"/>
          <w:szCs w:val="24"/>
        </w:rPr>
        <w:t xml:space="preserve"> manuscript</w:t>
      </w:r>
      <w:r w:rsidR="003C3529">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5"/>
      </w:r>
      <w:r w:rsidR="003C3529">
        <w:rPr>
          <w:rFonts w:ascii="Times New Roman" w:hAnsi="Times New Roman" w:cs="Times New Roman"/>
          <w:sz w:val="24"/>
          <w:szCs w:val="24"/>
        </w:rPr>
        <w:t xml:space="preserve"> </w:t>
      </w:r>
      <w:r w:rsidR="006A3072">
        <w:rPr>
          <w:rFonts w:ascii="Times New Roman" w:hAnsi="Times New Roman" w:cs="Times New Roman"/>
          <w:sz w:val="24"/>
          <w:szCs w:val="24"/>
        </w:rPr>
        <w:t>and the Wanderer which similarly to Beowulf is preserved in a manuscript from 976 but believed to have been written earlier</w:t>
      </w:r>
      <w:r w:rsidR="003C3529">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6"/>
      </w:r>
    </w:p>
    <w:p w:rsidR="003923D2" w:rsidRDefault="003923D2" w:rsidP="003D123E">
      <w:pPr>
        <w:spacing w:line="480" w:lineRule="auto"/>
        <w:rPr>
          <w:rFonts w:ascii="Times New Roman" w:hAnsi="Times New Roman" w:cs="Times New Roman"/>
          <w:sz w:val="24"/>
          <w:szCs w:val="24"/>
        </w:rPr>
      </w:pPr>
      <w:r>
        <w:rPr>
          <w:rFonts w:ascii="Times New Roman" w:hAnsi="Times New Roman" w:cs="Times New Roman"/>
          <w:sz w:val="24"/>
          <w:szCs w:val="24"/>
        </w:rPr>
        <w:t>Both Christianity and pre-Christian heroic culture each have their own set of beliefs and ideals. If tension exists then in Anglo Saxon literature, it comes about from the different and often opposing ideals inherent in each culture. One of perhaps the most obvious contrasts is in how each culture approaches the idea of death and mortality.</w:t>
      </w:r>
      <w:r w:rsidR="00A916C6">
        <w:rPr>
          <w:rFonts w:ascii="Times New Roman" w:hAnsi="Times New Roman" w:cs="Times New Roman"/>
          <w:sz w:val="24"/>
          <w:szCs w:val="24"/>
        </w:rPr>
        <w:t xml:space="preserve"> In pre-Christian heroic culture, the people had a very clear awareness of their own mortality and the overall </w:t>
      </w:r>
      <w:r w:rsidR="00A916C6">
        <w:rPr>
          <w:rFonts w:ascii="Times New Roman" w:hAnsi="Times New Roman" w:cs="Times New Roman"/>
          <w:sz w:val="24"/>
          <w:szCs w:val="24"/>
        </w:rPr>
        <w:lastRenderedPageBreak/>
        <w:t>temporary nature of life.</w:t>
      </w:r>
      <w:r w:rsidR="00285014">
        <w:rPr>
          <w:rStyle w:val="FootnoteReference"/>
          <w:rFonts w:ascii="Times New Roman" w:hAnsi="Times New Roman" w:cs="Times New Roman"/>
          <w:sz w:val="24"/>
          <w:szCs w:val="24"/>
        </w:rPr>
        <w:footnoteReference w:id="7"/>
      </w:r>
      <w:r w:rsidR="00A916C6">
        <w:rPr>
          <w:rFonts w:ascii="Times New Roman" w:hAnsi="Times New Roman" w:cs="Times New Roman"/>
          <w:sz w:val="24"/>
          <w:szCs w:val="24"/>
        </w:rPr>
        <w:t xml:space="preserve"> This is not surprising when we consider that the period of history they were living in is one marked by great upheaval. As such in much of Anglo Saxon literature we see a lot of references made to the fleeting nature of life, and the importance of using the time you have well. Beowulf provides many great instances of this</w:t>
      </w:r>
      <w:r w:rsidR="00B7134F">
        <w:rPr>
          <w:rFonts w:ascii="Times New Roman" w:hAnsi="Times New Roman" w:cs="Times New Roman"/>
          <w:sz w:val="24"/>
          <w:szCs w:val="24"/>
        </w:rPr>
        <w:t>, but particularly emphasises the point by opening and closing on a funeral scene. First is a detailed description of the funeral rites for the Danish King Scyld Scefing</w:t>
      </w:r>
      <w:r w:rsidR="006F3AF2">
        <w:rPr>
          <w:rFonts w:ascii="Times New Roman" w:hAnsi="Times New Roman" w:cs="Times New Roman"/>
          <w:sz w:val="24"/>
          <w:szCs w:val="24"/>
        </w:rPr>
        <w:t>’s burial at sea</w:t>
      </w:r>
      <w:r w:rsidR="00B7134F">
        <w:rPr>
          <w:rFonts w:ascii="Times New Roman" w:hAnsi="Times New Roman" w:cs="Times New Roman"/>
          <w:sz w:val="24"/>
          <w:szCs w:val="24"/>
        </w:rPr>
        <w:t xml:space="preserve"> ‘</w:t>
      </w:r>
      <w:r w:rsidR="00B7134F">
        <w:rPr>
          <w:rFonts w:ascii="Times New Roman" w:hAnsi="Times New Roman" w:cs="Times New Roman"/>
          <w:i/>
          <w:sz w:val="24"/>
          <w:szCs w:val="24"/>
        </w:rPr>
        <w:t>him ða Scyld gewat to gescæphwi</w:t>
      </w:r>
      <w:r w:rsidR="006F3AF2">
        <w:rPr>
          <w:rFonts w:ascii="Times New Roman" w:hAnsi="Times New Roman" w:cs="Times New Roman"/>
          <w:i/>
          <w:sz w:val="24"/>
          <w:szCs w:val="24"/>
        </w:rPr>
        <w:t xml:space="preserve">le, felahror </w:t>
      </w:r>
      <w:r w:rsidR="006F3AF2">
        <w:rPr>
          <w:rFonts w:ascii="Times New Roman" w:hAnsi="Times New Roman" w:cs="Times New Roman"/>
          <w:sz w:val="24"/>
          <w:szCs w:val="24"/>
        </w:rPr>
        <w:t xml:space="preserve">(then at his destined hour Scyld, still very active, passed away)’, while the last is a description of Beowulf’s own funeral </w:t>
      </w:r>
      <w:r w:rsidR="006F3AF2" w:rsidRPr="006F3AF2">
        <w:rPr>
          <w:rFonts w:ascii="Times New Roman" w:hAnsi="Times New Roman" w:cs="Times New Roman"/>
          <w:i/>
          <w:sz w:val="24"/>
          <w:szCs w:val="24"/>
        </w:rPr>
        <w:t>‘him ð</w:t>
      </w:r>
      <w:r w:rsidR="006F3AF2">
        <w:rPr>
          <w:rFonts w:ascii="Times New Roman" w:hAnsi="Times New Roman" w:cs="Times New Roman"/>
          <w:i/>
          <w:sz w:val="24"/>
          <w:szCs w:val="24"/>
        </w:rPr>
        <w:t xml:space="preserve">a gegiredan Geata leode ad on eorðan unwaclicne </w:t>
      </w:r>
      <w:r w:rsidR="006F3AF2">
        <w:rPr>
          <w:rFonts w:ascii="Times New Roman" w:hAnsi="Times New Roman" w:cs="Times New Roman"/>
          <w:sz w:val="24"/>
          <w:szCs w:val="24"/>
        </w:rPr>
        <w:t>(then the people of the Geats prepared a pyre for him on the earth).</w:t>
      </w:r>
    </w:p>
    <w:p w:rsidR="006F3AF2" w:rsidRDefault="000420EE" w:rsidP="003D123E">
      <w:pPr>
        <w:spacing w:line="480" w:lineRule="auto"/>
        <w:rPr>
          <w:rFonts w:ascii="Times New Roman" w:hAnsi="Times New Roman" w:cs="Times New Roman"/>
          <w:sz w:val="24"/>
          <w:szCs w:val="24"/>
        </w:rPr>
      </w:pPr>
      <w:r>
        <w:rPr>
          <w:rFonts w:ascii="Times New Roman" w:hAnsi="Times New Roman" w:cs="Times New Roman"/>
          <w:sz w:val="24"/>
          <w:szCs w:val="24"/>
        </w:rPr>
        <w:t>Michael Swanton argues that the inclusion of Scyld Scefing’s burial scene in the opening of the poem is a reminder of the fate that awaits Beowulf and a note to the audience that death is an inevitability for all men, no matter how much treasure and renown they</w:t>
      </w:r>
      <w:r w:rsidR="00594C1B">
        <w:rPr>
          <w:rFonts w:ascii="Times New Roman" w:hAnsi="Times New Roman" w:cs="Times New Roman"/>
          <w:sz w:val="24"/>
          <w:szCs w:val="24"/>
        </w:rPr>
        <w:t xml:space="preserve"> may have</w:t>
      </w:r>
      <w:r>
        <w:rPr>
          <w:rFonts w:ascii="Times New Roman" w:hAnsi="Times New Roman" w:cs="Times New Roman"/>
          <w:sz w:val="24"/>
          <w:szCs w:val="24"/>
        </w:rPr>
        <w:t xml:space="preserve"> held in life</w:t>
      </w:r>
      <w:r w:rsidR="00594C1B">
        <w:rPr>
          <w:rFonts w:ascii="Times New Roman" w:hAnsi="Times New Roman" w:cs="Times New Roman"/>
          <w:sz w:val="24"/>
          <w:szCs w:val="24"/>
        </w:rPr>
        <w:t>, existence is finite</w:t>
      </w:r>
      <w:r>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r w:rsidR="00594C1B">
        <w:rPr>
          <w:rFonts w:ascii="Times New Roman" w:hAnsi="Times New Roman" w:cs="Times New Roman"/>
          <w:sz w:val="24"/>
          <w:szCs w:val="24"/>
        </w:rPr>
        <w:t xml:space="preserve">Christianity on the other hand is largely centred on the idea that death is not the end, and that the soul is in fact eternal. In the Battle of Maldon for example we see how </w:t>
      </w:r>
      <w:r w:rsidR="00A0432C">
        <w:rPr>
          <w:rFonts w:ascii="Times New Roman" w:hAnsi="Times New Roman" w:cs="Times New Roman"/>
          <w:sz w:val="24"/>
          <w:szCs w:val="24"/>
        </w:rPr>
        <w:t>Byrhtnoth in his dying words, entreats God to allow his soul to travel peacefully and unmolested up to heaven ‘</w:t>
      </w:r>
      <w:r w:rsidR="00DF389C">
        <w:rPr>
          <w:rFonts w:ascii="Times New Roman" w:hAnsi="Times New Roman" w:cs="Times New Roman"/>
          <w:i/>
          <w:sz w:val="24"/>
          <w:szCs w:val="24"/>
        </w:rPr>
        <w:t xml:space="preserve">Ic eom frymdi to þe þæt hi helsceaðan hynan ne moton </w:t>
      </w:r>
      <w:r w:rsidR="00DF389C">
        <w:rPr>
          <w:rFonts w:ascii="Times New Roman" w:hAnsi="Times New Roman" w:cs="Times New Roman"/>
          <w:sz w:val="24"/>
          <w:szCs w:val="24"/>
        </w:rPr>
        <w:t>(I beg you that the fiends of hell may not harm it)’. This is interesting in that it implies that while the soul will outlast the body, it is still vulnerable to damage from the so called ‘fiends of hell’, here most likely referring to the Vikings that Byrhtnoth and his army are fighting.</w:t>
      </w:r>
    </w:p>
    <w:p w:rsidR="006A1E2B" w:rsidRDefault="00440628"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more subtle conflict of ideals is how Christian and pre Christian heroic cultures deal with the idea of the heroes reward, and we can see how this is also closely linked with beliefs surrounding life and death. </w:t>
      </w:r>
      <w:r w:rsidR="00FF6E04">
        <w:rPr>
          <w:rFonts w:ascii="Times New Roman" w:hAnsi="Times New Roman" w:cs="Times New Roman"/>
          <w:sz w:val="24"/>
          <w:szCs w:val="24"/>
        </w:rPr>
        <w:t>The</w:t>
      </w:r>
      <w:r>
        <w:rPr>
          <w:rFonts w:ascii="Times New Roman" w:hAnsi="Times New Roman" w:cs="Times New Roman"/>
          <w:sz w:val="24"/>
          <w:szCs w:val="24"/>
        </w:rPr>
        <w:t xml:space="preserve"> key to the heroic ethic lies in </w:t>
      </w:r>
      <w:r>
        <w:rPr>
          <w:rFonts w:ascii="Times New Roman" w:hAnsi="Times New Roman" w:cs="Times New Roman"/>
          <w:i/>
          <w:sz w:val="24"/>
          <w:szCs w:val="24"/>
        </w:rPr>
        <w:t xml:space="preserve">lof </w:t>
      </w:r>
      <w:r>
        <w:rPr>
          <w:rFonts w:ascii="Times New Roman" w:hAnsi="Times New Roman" w:cs="Times New Roman"/>
          <w:sz w:val="24"/>
          <w:szCs w:val="24"/>
        </w:rPr>
        <w:t xml:space="preserve">and </w:t>
      </w:r>
      <w:r>
        <w:rPr>
          <w:rFonts w:ascii="Times New Roman" w:hAnsi="Times New Roman" w:cs="Times New Roman"/>
          <w:i/>
          <w:sz w:val="24"/>
          <w:szCs w:val="24"/>
        </w:rPr>
        <w:t xml:space="preserve">dom </w:t>
      </w:r>
      <w:r>
        <w:rPr>
          <w:rFonts w:ascii="Times New Roman" w:hAnsi="Times New Roman" w:cs="Times New Roman"/>
          <w:sz w:val="24"/>
          <w:szCs w:val="24"/>
        </w:rPr>
        <w:t>meaning glory and praise, once again the subject of mortality and the transience of life</w:t>
      </w:r>
      <w:r w:rsidR="00FF6E04">
        <w:rPr>
          <w:rFonts w:ascii="Times New Roman" w:hAnsi="Times New Roman" w:cs="Times New Roman"/>
          <w:sz w:val="24"/>
          <w:szCs w:val="24"/>
        </w:rPr>
        <w:t xml:space="preserve"> is at the heart of things or </w:t>
      </w:r>
      <w:r w:rsidR="00FF6E04">
        <w:rPr>
          <w:rFonts w:ascii="Times New Roman" w:hAnsi="Times New Roman" w:cs="Times New Roman"/>
          <w:sz w:val="24"/>
          <w:szCs w:val="24"/>
        </w:rPr>
        <w:lastRenderedPageBreak/>
        <w:t>as Swanton describes it ‘</w:t>
      </w:r>
      <w:r w:rsidR="00FF6E04" w:rsidRPr="00FF6E04">
        <w:rPr>
          <w:rFonts w:ascii="Times New Roman" w:hAnsi="Times New Roman" w:cs="Times New Roman"/>
          <w:sz w:val="24"/>
          <w:szCs w:val="24"/>
        </w:rPr>
        <w:t>we shall all die; let us therefore so act as to merit the praise and remembrance of men</w:t>
      </w:r>
      <w:r w:rsidR="00FF6E04">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9"/>
      </w:r>
      <w:r w:rsidR="00FF6E04">
        <w:rPr>
          <w:rFonts w:ascii="Times New Roman" w:hAnsi="Times New Roman" w:cs="Times New Roman"/>
          <w:sz w:val="24"/>
          <w:szCs w:val="24"/>
        </w:rPr>
        <w:t xml:space="preserve"> Ultimately then heroic code states that glory and reward are something to be attained in life through our deeds, however in Christianity, glory and reward are </w:t>
      </w:r>
      <w:r w:rsidR="00B2720E">
        <w:rPr>
          <w:rFonts w:ascii="Times New Roman" w:hAnsi="Times New Roman" w:cs="Times New Roman"/>
          <w:sz w:val="24"/>
          <w:szCs w:val="24"/>
        </w:rPr>
        <w:t xml:space="preserve">primarily </w:t>
      </w:r>
      <w:r w:rsidR="00FF6E04">
        <w:rPr>
          <w:rFonts w:ascii="Times New Roman" w:hAnsi="Times New Roman" w:cs="Times New Roman"/>
          <w:sz w:val="24"/>
          <w:szCs w:val="24"/>
        </w:rPr>
        <w:t>products of the afterlife.</w:t>
      </w:r>
      <w:r w:rsidR="002104B1">
        <w:rPr>
          <w:rFonts w:ascii="Times New Roman" w:hAnsi="Times New Roman" w:cs="Times New Roman"/>
          <w:sz w:val="24"/>
          <w:szCs w:val="24"/>
        </w:rPr>
        <w:t xml:space="preserve"> </w:t>
      </w:r>
      <w:r w:rsidR="006A1E2B">
        <w:rPr>
          <w:rFonts w:ascii="Times New Roman" w:hAnsi="Times New Roman" w:cs="Times New Roman"/>
          <w:sz w:val="24"/>
          <w:szCs w:val="24"/>
        </w:rPr>
        <w:t>One Anglo Saxon work that includes an interesting look at both kinds is The Seafarer.</w:t>
      </w:r>
    </w:p>
    <w:p w:rsidR="00036DF9" w:rsidRDefault="002104B1"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Seafarer, a poem which describes the unhappy experience of a man alone at sea, contains a rather abrupt shift of subject matter and tone from line 63 when the narrator goes from describing the trials and troubles of seafaring </w:t>
      </w:r>
      <w:r w:rsidR="002F253A">
        <w:rPr>
          <w:rFonts w:ascii="Times New Roman" w:hAnsi="Times New Roman" w:cs="Times New Roman"/>
          <w:sz w:val="24"/>
          <w:szCs w:val="24"/>
        </w:rPr>
        <w:t>to an exaltation of heaven and the joys to be found there.</w:t>
      </w:r>
      <w:r w:rsidR="006A1E2B">
        <w:rPr>
          <w:rFonts w:ascii="Times New Roman" w:hAnsi="Times New Roman" w:cs="Times New Roman"/>
          <w:sz w:val="24"/>
          <w:szCs w:val="24"/>
        </w:rPr>
        <w:t xml:space="preserve"> </w:t>
      </w:r>
      <w:r w:rsidR="00036DF9">
        <w:rPr>
          <w:rFonts w:ascii="Times New Roman" w:hAnsi="Times New Roman" w:cs="Times New Roman"/>
          <w:sz w:val="24"/>
          <w:szCs w:val="24"/>
        </w:rPr>
        <w:t xml:space="preserve">This sudden change </w:t>
      </w:r>
      <w:r w:rsidR="000D4693">
        <w:rPr>
          <w:rFonts w:ascii="Times New Roman" w:hAnsi="Times New Roman" w:cs="Times New Roman"/>
          <w:sz w:val="24"/>
          <w:szCs w:val="24"/>
        </w:rPr>
        <w:t xml:space="preserve">of subject has led </w:t>
      </w:r>
      <w:r w:rsidR="00607666">
        <w:rPr>
          <w:rFonts w:ascii="Times New Roman" w:hAnsi="Times New Roman" w:cs="Times New Roman"/>
          <w:sz w:val="24"/>
          <w:szCs w:val="24"/>
        </w:rPr>
        <w:t>to a number of different theories being postulated</w:t>
      </w:r>
      <w:r w:rsidR="00117DCB">
        <w:rPr>
          <w:rFonts w:ascii="Times New Roman" w:hAnsi="Times New Roman" w:cs="Times New Roman"/>
          <w:sz w:val="24"/>
          <w:szCs w:val="24"/>
        </w:rPr>
        <w:t xml:space="preserve">. One is that The Seafarer is </w:t>
      </w:r>
      <w:r w:rsidR="001531E0">
        <w:rPr>
          <w:rFonts w:ascii="Times New Roman" w:hAnsi="Times New Roman" w:cs="Times New Roman"/>
          <w:sz w:val="24"/>
          <w:szCs w:val="24"/>
        </w:rPr>
        <w:t xml:space="preserve">actually two separate poems simply recorded as one, while another theory states that </w:t>
      </w:r>
      <w:r w:rsidR="00543924">
        <w:rPr>
          <w:rFonts w:ascii="Times New Roman" w:hAnsi="Times New Roman" w:cs="Times New Roman"/>
          <w:sz w:val="24"/>
          <w:szCs w:val="24"/>
        </w:rPr>
        <w:t xml:space="preserve">the </w:t>
      </w:r>
      <w:r w:rsidR="00723A79">
        <w:rPr>
          <w:rFonts w:ascii="Times New Roman" w:hAnsi="Times New Roman" w:cs="Times New Roman"/>
          <w:sz w:val="24"/>
          <w:szCs w:val="24"/>
        </w:rPr>
        <w:t>latter part of the poem was a late addition by a Christian scribe to a</w:t>
      </w:r>
      <w:r w:rsidR="004C4052">
        <w:rPr>
          <w:rFonts w:ascii="Times New Roman" w:hAnsi="Times New Roman" w:cs="Times New Roman"/>
          <w:sz w:val="24"/>
          <w:szCs w:val="24"/>
        </w:rPr>
        <w:t xml:space="preserve"> </w:t>
      </w:r>
      <w:r w:rsidR="00565CAA">
        <w:rPr>
          <w:rFonts w:ascii="Times New Roman" w:hAnsi="Times New Roman" w:cs="Times New Roman"/>
          <w:sz w:val="24"/>
          <w:szCs w:val="24"/>
        </w:rPr>
        <w:t xml:space="preserve">pre-existing, </w:t>
      </w:r>
      <w:r w:rsidR="00723A79">
        <w:rPr>
          <w:rFonts w:ascii="Times New Roman" w:hAnsi="Times New Roman" w:cs="Times New Roman"/>
          <w:sz w:val="24"/>
          <w:szCs w:val="24"/>
        </w:rPr>
        <w:t xml:space="preserve">pre-Christian </w:t>
      </w:r>
      <w:r w:rsidR="002A5D0F">
        <w:rPr>
          <w:rFonts w:ascii="Times New Roman" w:hAnsi="Times New Roman" w:cs="Times New Roman"/>
          <w:sz w:val="24"/>
          <w:szCs w:val="24"/>
        </w:rPr>
        <w:t>poem</w:t>
      </w:r>
      <w:r w:rsidR="00565CAA">
        <w:rPr>
          <w:rFonts w:ascii="Times New Roman" w:hAnsi="Times New Roman" w:cs="Times New Roman"/>
          <w:sz w:val="24"/>
          <w:szCs w:val="24"/>
        </w:rPr>
        <w:t>.</w:t>
      </w:r>
      <w:r w:rsidR="00285014">
        <w:rPr>
          <w:rStyle w:val="FootnoteReference"/>
          <w:rFonts w:ascii="Times New Roman" w:hAnsi="Times New Roman" w:cs="Times New Roman"/>
          <w:sz w:val="24"/>
          <w:szCs w:val="24"/>
        </w:rPr>
        <w:footnoteReference w:id="10"/>
      </w:r>
      <w:r w:rsidR="00565CAA">
        <w:rPr>
          <w:rFonts w:ascii="Times New Roman" w:hAnsi="Times New Roman" w:cs="Times New Roman"/>
          <w:sz w:val="24"/>
          <w:szCs w:val="24"/>
        </w:rPr>
        <w:t xml:space="preserve"> One theory </w:t>
      </w:r>
      <w:r w:rsidR="004F2802">
        <w:rPr>
          <w:rFonts w:ascii="Times New Roman" w:hAnsi="Times New Roman" w:cs="Times New Roman"/>
          <w:sz w:val="24"/>
          <w:szCs w:val="24"/>
        </w:rPr>
        <w:t xml:space="preserve">which </w:t>
      </w:r>
      <w:r w:rsidR="00A80223">
        <w:rPr>
          <w:rFonts w:ascii="Times New Roman" w:hAnsi="Times New Roman" w:cs="Times New Roman"/>
          <w:sz w:val="24"/>
          <w:szCs w:val="24"/>
        </w:rPr>
        <w:t xml:space="preserve">views the poem as a </w:t>
      </w:r>
      <w:r w:rsidR="0018013E">
        <w:rPr>
          <w:rFonts w:ascii="Times New Roman" w:hAnsi="Times New Roman" w:cs="Times New Roman"/>
          <w:sz w:val="24"/>
          <w:szCs w:val="24"/>
        </w:rPr>
        <w:t>whole, composed at one time</w:t>
      </w:r>
      <w:r w:rsidR="00867BE4">
        <w:rPr>
          <w:rFonts w:ascii="Times New Roman" w:hAnsi="Times New Roman" w:cs="Times New Roman"/>
          <w:sz w:val="24"/>
          <w:szCs w:val="24"/>
        </w:rPr>
        <w:t xml:space="preserve"> by a single Christian author, argues that </w:t>
      </w:r>
      <w:r w:rsidR="00B318D2">
        <w:rPr>
          <w:rFonts w:ascii="Times New Roman" w:hAnsi="Times New Roman" w:cs="Times New Roman"/>
          <w:sz w:val="24"/>
          <w:szCs w:val="24"/>
        </w:rPr>
        <w:t xml:space="preserve">the last section is an indication that </w:t>
      </w:r>
      <w:r w:rsidR="00DB0AD7">
        <w:rPr>
          <w:rFonts w:ascii="Times New Roman" w:hAnsi="Times New Roman" w:cs="Times New Roman"/>
          <w:sz w:val="24"/>
          <w:szCs w:val="24"/>
        </w:rPr>
        <w:t xml:space="preserve">the preceding parts should be read </w:t>
      </w:r>
      <w:r w:rsidR="00FF6C0C">
        <w:rPr>
          <w:rFonts w:ascii="Times New Roman" w:hAnsi="Times New Roman" w:cs="Times New Roman"/>
          <w:sz w:val="24"/>
          <w:szCs w:val="24"/>
        </w:rPr>
        <w:t>as not a literal journey but a spiritual one.</w:t>
      </w:r>
      <w:r w:rsidR="00285014">
        <w:rPr>
          <w:rStyle w:val="FootnoteReference"/>
          <w:rFonts w:ascii="Times New Roman" w:hAnsi="Times New Roman" w:cs="Times New Roman"/>
          <w:sz w:val="24"/>
          <w:szCs w:val="24"/>
        </w:rPr>
        <w:footnoteReference w:id="11"/>
      </w:r>
      <w:r w:rsidR="00670F74">
        <w:rPr>
          <w:rFonts w:ascii="Times New Roman" w:hAnsi="Times New Roman" w:cs="Times New Roman"/>
          <w:sz w:val="24"/>
          <w:szCs w:val="24"/>
        </w:rPr>
        <w:t xml:space="preserve"> </w:t>
      </w:r>
      <w:r w:rsidR="00DD4DDF">
        <w:rPr>
          <w:rFonts w:ascii="Times New Roman" w:hAnsi="Times New Roman" w:cs="Times New Roman"/>
          <w:sz w:val="24"/>
          <w:szCs w:val="24"/>
        </w:rPr>
        <w:t xml:space="preserve">Viewed in this way, one could </w:t>
      </w:r>
      <w:r w:rsidR="00B45823">
        <w:rPr>
          <w:rFonts w:ascii="Times New Roman" w:hAnsi="Times New Roman" w:cs="Times New Roman"/>
          <w:sz w:val="24"/>
          <w:szCs w:val="24"/>
        </w:rPr>
        <w:t xml:space="preserve">certainly argue that </w:t>
      </w:r>
      <w:r w:rsidR="00F004A0">
        <w:rPr>
          <w:rFonts w:ascii="Times New Roman" w:hAnsi="Times New Roman" w:cs="Times New Roman"/>
          <w:sz w:val="24"/>
          <w:szCs w:val="24"/>
        </w:rPr>
        <w:t xml:space="preserve">the trials and suffering </w:t>
      </w:r>
      <w:r w:rsidR="00B704F7">
        <w:rPr>
          <w:rFonts w:ascii="Times New Roman" w:hAnsi="Times New Roman" w:cs="Times New Roman"/>
          <w:sz w:val="24"/>
          <w:szCs w:val="24"/>
        </w:rPr>
        <w:t xml:space="preserve">expounded on </w:t>
      </w:r>
      <w:r w:rsidR="004345DB">
        <w:rPr>
          <w:rFonts w:ascii="Times New Roman" w:hAnsi="Times New Roman" w:cs="Times New Roman"/>
          <w:sz w:val="24"/>
          <w:szCs w:val="24"/>
        </w:rPr>
        <w:t xml:space="preserve">are very much in keeping with the Christian preoccupation with martyrdom and self-sacrifice </w:t>
      </w:r>
      <w:r w:rsidR="006F6697">
        <w:rPr>
          <w:rFonts w:ascii="Times New Roman" w:hAnsi="Times New Roman" w:cs="Times New Roman"/>
          <w:sz w:val="24"/>
          <w:szCs w:val="24"/>
        </w:rPr>
        <w:t>that was so popular in the m</w:t>
      </w:r>
      <w:r w:rsidR="00402F71">
        <w:rPr>
          <w:rFonts w:ascii="Times New Roman" w:hAnsi="Times New Roman" w:cs="Times New Roman"/>
          <w:sz w:val="24"/>
          <w:szCs w:val="24"/>
        </w:rPr>
        <w:t>edieval period.</w:t>
      </w:r>
      <w:r w:rsidR="00285014">
        <w:rPr>
          <w:rStyle w:val="FootnoteReference"/>
          <w:rFonts w:ascii="Times New Roman" w:hAnsi="Times New Roman" w:cs="Times New Roman"/>
          <w:sz w:val="24"/>
          <w:szCs w:val="24"/>
        </w:rPr>
        <w:footnoteReference w:id="12"/>
      </w:r>
    </w:p>
    <w:p w:rsidR="003B1CB2" w:rsidRDefault="006A1E2B" w:rsidP="003D123E">
      <w:pPr>
        <w:spacing w:line="480" w:lineRule="auto"/>
        <w:rPr>
          <w:rFonts w:ascii="Times New Roman" w:hAnsi="Times New Roman" w:cs="Times New Roman"/>
          <w:sz w:val="24"/>
          <w:szCs w:val="24"/>
        </w:rPr>
      </w:pPr>
      <w:r>
        <w:rPr>
          <w:rFonts w:ascii="Times New Roman" w:hAnsi="Times New Roman" w:cs="Times New Roman"/>
          <w:sz w:val="24"/>
          <w:szCs w:val="24"/>
        </w:rPr>
        <w:t>Whether this poem was the product of a single Christian author or not, the writer shows themselves to be quite comfortable with the pre-Christian ideal of having your memory kept alive by subsequent generations</w:t>
      </w:r>
      <w:r w:rsidR="00D74620">
        <w:rPr>
          <w:rFonts w:ascii="Times New Roman" w:hAnsi="Times New Roman" w:cs="Times New Roman"/>
          <w:sz w:val="24"/>
          <w:szCs w:val="24"/>
        </w:rPr>
        <w:t xml:space="preserve"> who pass down the stories of your heroic deeds in life.</w:t>
      </w:r>
      <w:r w:rsidR="00285014">
        <w:rPr>
          <w:rStyle w:val="FootnoteReference"/>
          <w:rFonts w:ascii="Times New Roman" w:hAnsi="Times New Roman" w:cs="Times New Roman"/>
          <w:sz w:val="24"/>
          <w:szCs w:val="24"/>
        </w:rPr>
        <w:footnoteReference w:id="13"/>
      </w:r>
      <w:r w:rsidR="00D74620">
        <w:rPr>
          <w:rFonts w:ascii="Times New Roman" w:hAnsi="Times New Roman" w:cs="Times New Roman"/>
          <w:sz w:val="24"/>
          <w:szCs w:val="24"/>
        </w:rPr>
        <w:t xml:space="preserve"> They even go so far as to say that ‘</w:t>
      </w:r>
      <w:r w:rsidR="00D74620">
        <w:rPr>
          <w:rFonts w:ascii="Times New Roman" w:hAnsi="Times New Roman" w:cs="Times New Roman"/>
          <w:i/>
          <w:sz w:val="24"/>
          <w:szCs w:val="24"/>
        </w:rPr>
        <w:t xml:space="preserve">forþon biþ eorla gehwam æftercweþendra lof lifgendra </w:t>
      </w:r>
      <w:r w:rsidR="00D74620">
        <w:rPr>
          <w:rFonts w:ascii="Times New Roman" w:hAnsi="Times New Roman" w:cs="Times New Roman"/>
          <w:i/>
          <w:sz w:val="24"/>
          <w:szCs w:val="24"/>
        </w:rPr>
        <w:lastRenderedPageBreak/>
        <w:t xml:space="preserve">lastworda betst </w:t>
      </w:r>
      <w:r w:rsidR="00D74620">
        <w:rPr>
          <w:rFonts w:ascii="Times New Roman" w:hAnsi="Times New Roman" w:cs="Times New Roman"/>
          <w:sz w:val="24"/>
          <w:szCs w:val="24"/>
        </w:rPr>
        <w:t xml:space="preserve">(and so it is for each man the praise of the living, of those who speak afterwards, that is the best epitaph)’. </w:t>
      </w:r>
      <w:r w:rsidR="00145F55">
        <w:rPr>
          <w:rFonts w:ascii="Times New Roman" w:hAnsi="Times New Roman" w:cs="Times New Roman"/>
          <w:sz w:val="24"/>
          <w:szCs w:val="24"/>
        </w:rPr>
        <w:t xml:space="preserve">Preceding </w:t>
      </w:r>
      <w:r w:rsidR="008A7763">
        <w:rPr>
          <w:rFonts w:ascii="Times New Roman" w:hAnsi="Times New Roman" w:cs="Times New Roman"/>
          <w:sz w:val="24"/>
          <w:szCs w:val="24"/>
        </w:rPr>
        <w:t>the Christian reward, summed up simply as ‘</w:t>
      </w:r>
      <w:r w:rsidR="008A7763" w:rsidRPr="008D4D60">
        <w:rPr>
          <w:rFonts w:ascii="Times New Roman" w:hAnsi="Times New Roman" w:cs="Times New Roman"/>
          <w:i/>
          <w:sz w:val="24"/>
          <w:szCs w:val="24"/>
        </w:rPr>
        <w:t>hyht in heofonum</w:t>
      </w:r>
      <w:r w:rsidR="008A7763">
        <w:rPr>
          <w:rFonts w:ascii="Times New Roman" w:hAnsi="Times New Roman" w:cs="Times New Roman"/>
          <w:i/>
          <w:sz w:val="24"/>
          <w:szCs w:val="24"/>
        </w:rPr>
        <w:t xml:space="preserve"> </w:t>
      </w:r>
      <w:r w:rsidR="008A7763">
        <w:rPr>
          <w:rFonts w:ascii="Times New Roman" w:hAnsi="Times New Roman" w:cs="Times New Roman"/>
          <w:sz w:val="24"/>
          <w:szCs w:val="24"/>
        </w:rPr>
        <w:t xml:space="preserve">(joy in the heavens)’, </w:t>
      </w:r>
      <w:r w:rsidR="00145F55">
        <w:rPr>
          <w:rFonts w:ascii="Times New Roman" w:hAnsi="Times New Roman" w:cs="Times New Roman"/>
          <w:sz w:val="24"/>
          <w:szCs w:val="24"/>
        </w:rPr>
        <w:t xml:space="preserve">there are several lines devoted to how one must live in order to </w:t>
      </w:r>
      <w:r w:rsidR="008A7763">
        <w:rPr>
          <w:rFonts w:ascii="Times New Roman" w:hAnsi="Times New Roman" w:cs="Times New Roman"/>
          <w:sz w:val="24"/>
          <w:szCs w:val="24"/>
        </w:rPr>
        <w:t>reach heaven</w:t>
      </w:r>
      <w:r w:rsidR="00515310">
        <w:rPr>
          <w:rFonts w:ascii="Times New Roman" w:hAnsi="Times New Roman" w:cs="Times New Roman"/>
          <w:sz w:val="24"/>
          <w:szCs w:val="24"/>
        </w:rPr>
        <w:t xml:space="preserve">, </w:t>
      </w:r>
      <w:r w:rsidR="00145F55">
        <w:rPr>
          <w:rFonts w:ascii="Times New Roman" w:hAnsi="Times New Roman" w:cs="Times New Roman"/>
          <w:sz w:val="24"/>
          <w:szCs w:val="24"/>
        </w:rPr>
        <w:t xml:space="preserve">and </w:t>
      </w:r>
      <w:r w:rsidR="00515310">
        <w:rPr>
          <w:rFonts w:ascii="Times New Roman" w:hAnsi="Times New Roman" w:cs="Times New Roman"/>
          <w:sz w:val="24"/>
          <w:szCs w:val="24"/>
        </w:rPr>
        <w:t xml:space="preserve">one line in particular shows the conflict between these two kinds of heroes reward. </w:t>
      </w:r>
    </w:p>
    <w:p w:rsidR="008D4D60" w:rsidRDefault="00515310" w:rsidP="003D123E">
      <w:pPr>
        <w:spacing w:line="48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 xml:space="preserve">Eadig bið se þe eaþmod leofaþ </w:t>
      </w:r>
      <w:r>
        <w:rPr>
          <w:rFonts w:ascii="Times New Roman" w:hAnsi="Times New Roman" w:cs="Times New Roman"/>
          <w:sz w:val="24"/>
          <w:szCs w:val="24"/>
        </w:rPr>
        <w:t>(Blessed is he who lives humbly)</w:t>
      </w:r>
      <w:r w:rsidR="008A7763">
        <w:rPr>
          <w:rFonts w:ascii="Times New Roman" w:hAnsi="Times New Roman" w:cs="Times New Roman"/>
          <w:sz w:val="24"/>
          <w:szCs w:val="24"/>
        </w:rPr>
        <w:t>’ suggests that everyone should strive to live a modest life, free from vices like pride, lust, and possess minimal material wealth</w:t>
      </w:r>
      <w:r w:rsidR="001C67BD">
        <w:rPr>
          <w:rFonts w:ascii="Times New Roman" w:hAnsi="Times New Roman" w:cs="Times New Roman"/>
          <w:sz w:val="24"/>
          <w:szCs w:val="24"/>
        </w:rPr>
        <w:t>. T</w:t>
      </w:r>
      <w:r w:rsidR="008A7763">
        <w:rPr>
          <w:rFonts w:ascii="Times New Roman" w:hAnsi="Times New Roman" w:cs="Times New Roman"/>
          <w:sz w:val="24"/>
          <w:szCs w:val="24"/>
        </w:rPr>
        <w:t xml:space="preserve">he protagonist of The Seafarer emphasises this last point especially </w:t>
      </w:r>
      <w:r w:rsidR="001C67BD">
        <w:rPr>
          <w:rFonts w:ascii="Times New Roman" w:hAnsi="Times New Roman" w:cs="Times New Roman"/>
          <w:sz w:val="24"/>
          <w:szCs w:val="24"/>
        </w:rPr>
        <w:t>by referencing the common custom of burying a kinsman with treasure and pointing out that it is ultimately of no use to a soul in the afterlife.</w:t>
      </w:r>
      <w:r w:rsidR="003B1CB2">
        <w:rPr>
          <w:rFonts w:ascii="Times New Roman" w:hAnsi="Times New Roman" w:cs="Times New Roman"/>
          <w:sz w:val="24"/>
          <w:szCs w:val="24"/>
        </w:rPr>
        <w:t xml:space="preserve"> This is a problem when we consider the pre-Christian notion of a heroes reward which along with the pride inherent in striving for </w:t>
      </w:r>
      <w:r w:rsidR="00DC2879">
        <w:rPr>
          <w:rFonts w:ascii="Times New Roman" w:hAnsi="Times New Roman" w:cs="Times New Roman"/>
          <w:sz w:val="24"/>
          <w:szCs w:val="24"/>
        </w:rPr>
        <w:t>fame and notoriety</w:t>
      </w:r>
      <w:r w:rsidR="00674027">
        <w:rPr>
          <w:rFonts w:ascii="Times New Roman" w:hAnsi="Times New Roman" w:cs="Times New Roman"/>
          <w:sz w:val="24"/>
          <w:szCs w:val="24"/>
        </w:rPr>
        <w:t xml:space="preserve"> - </w:t>
      </w:r>
      <w:r w:rsidR="00DC2879">
        <w:rPr>
          <w:rFonts w:ascii="Times New Roman" w:hAnsi="Times New Roman" w:cs="Times New Roman"/>
          <w:sz w:val="24"/>
          <w:szCs w:val="24"/>
        </w:rPr>
        <w:t>Beowulf for example is described as the man ‘most desirous of renown’</w:t>
      </w:r>
      <w:r w:rsidR="00674027">
        <w:rPr>
          <w:rFonts w:ascii="Times New Roman" w:hAnsi="Times New Roman" w:cs="Times New Roman"/>
          <w:sz w:val="24"/>
          <w:szCs w:val="24"/>
        </w:rPr>
        <w:t xml:space="preserve"> -</w:t>
      </w:r>
      <w:r w:rsidR="00DC2879">
        <w:rPr>
          <w:rFonts w:ascii="Times New Roman" w:hAnsi="Times New Roman" w:cs="Times New Roman"/>
          <w:sz w:val="24"/>
          <w:szCs w:val="24"/>
        </w:rPr>
        <w:t xml:space="preserve"> there is also often an element of reward of the material kind. Again Beowulf provides examples of this when the hero is given pieces of armour, weapons, treasure, and land by H</w:t>
      </w:r>
      <w:r w:rsidR="0031799A">
        <w:rPr>
          <w:rFonts w:ascii="Times New Roman" w:hAnsi="Times New Roman" w:cs="Times New Roman"/>
          <w:sz w:val="24"/>
          <w:szCs w:val="24"/>
        </w:rPr>
        <w:t>rothgar</w:t>
      </w:r>
      <w:r w:rsidR="00DC2879">
        <w:rPr>
          <w:rFonts w:ascii="Times New Roman" w:hAnsi="Times New Roman" w:cs="Times New Roman"/>
          <w:sz w:val="24"/>
          <w:szCs w:val="24"/>
        </w:rPr>
        <w:t xml:space="preserve"> in thanks for saving the Danes from the slaughter of Grendel and his mother.</w:t>
      </w:r>
    </w:p>
    <w:p w:rsidR="0035280C" w:rsidRDefault="0035280C"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contrast to The Seafarer, the author of Beowulf </w:t>
      </w:r>
      <w:r w:rsidR="000D544B">
        <w:rPr>
          <w:rFonts w:ascii="Times New Roman" w:hAnsi="Times New Roman" w:cs="Times New Roman"/>
          <w:sz w:val="24"/>
          <w:szCs w:val="24"/>
        </w:rPr>
        <w:t xml:space="preserve">for the most part </w:t>
      </w:r>
      <w:r w:rsidR="008D310D">
        <w:rPr>
          <w:rFonts w:ascii="Times New Roman" w:hAnsi="Times New Roman" w:cs="Times New Roman"/>
          <w:sz w:val="24"/>
          <w:szCs w:val="24"/>
        </w:rPr>
        <w:t xml:space="preserve">doesn’t suggest there is anything wrong with </w:t>
      </w:r>
      <w:r w:rsidR="00326F66">
        <w:rPr>
          <w:rFonts w:ascii="Times New Roman" w:hAnsi="Times New Roman" w:cs="Times New Roman"/>
          <w:sz w:val="24"/>
          <w:szCs w:val="24"/>
        </w:rPr>
        <w:t>possessing material wealth</w:t>
      </w:r>
      <w:r w:rsidR="0097056B">
        <w:rPr>
          <w:rFonts w:ascii="Times New Roman" w:hAnsi="Times New Roman" w:cs="Times New Roman"/>
          <w:sz w:val="24"/>
          <w:szCs w:val="24"/>
        </w:rPr>
        <w:t xml:space="preserve"> </w:t>
      </w:r>
      <w:r w:rsidR="00DB40A1">
        <w:rPr>
          <w:rFonts w:ascii="Times New Roman" w:hAnsi="Times New Roman" w:cs="Times New Roman"/>
          <w:sz w:val="24"/>
          <w:szCs w:val="24"/>
        </w:rPr>
        <w:t xml:space="preserve">so long </w:t>
      </w:r>
      <w:r w:rsidR="00F0340E">
        <w:rPr>
          <w:rFonts w:ascii="Times New Roman" w:hAnsi="Times New Roman" w:cs="Times New Roman"/>
          <w:sz w:val="24"/>
          <w:szCs w:val="24"/>
        </w:rPr>
        <w:t xml:space="preserve">as </w:t>
      </w:r>
      <w:r w:rsidR="001B6FD0">
        <w:rPr>
          <w:rFonts w:ascii="Times New Roman" w:hAnsi="Times New Roman" w:cs="Times New Roman"/>
          <w:sz w:val="24"/>
          <w:szCs w:val="24"/>
        </w:rPr>
        <w:t xml:space="preserve">it is </w:t>
      </w:r>
      <w:r w:rsidR="009123AD">
        <w:rPr>
          <w:rFonts w:ascii="Times New Roman" w:hAnsi="Times New Roman" w:cs="Times New Roman"/>
          <w:sz w:val="24"/>
          <w:szCs w:val="24"/>
        </w:rPr>
        <w:t xml:space="preserve">shared </w:t>
      </w:r>
      <w:r w:rsidR="009E78B6">
        <w:rPr>
          <w:rFonts w:ascii="Times New Roman" w:hAnsi="Times New Roman" w:cs="Times New Roman"/>
          <w:sz w:val="24"/>
          <w:szCs w:val="24"/>
        </w:rPr>
        <w:t xml:space="preserve">with those who earn it. </w:t>
      </w:r>
      <w:r w:rsidR="0045443C">
        <w:rPr>
          <w:rFonts w:ascii="Times New Roman" w:hAnsi="Times New Roman" w:cs="Times New Roman"/>
          <w:sz w:val="24"/>
          <w:szCs w:val="24"/>
        </w:rPr>
        <w:t xml:space="preserve">One of the heroic ideals for a leader for instance was generosity, often characterised by the giving of rings to </w:t>
      </w:r>
      <w:r w:rsidR="00B3701B">
        <w:rPr>
          <w:rFonts w:ascii="Times New Roman" w:hAnsi="Times New Roman" w:cs="Times New Roman"/>
          <w:sz w:val="24"/>
          <w:szCs w:val="24"/>
        </w:rPr>
        <w:t xml:space="preserve">his warriors </w:t>
      </w:r>
      <w:r w:rsidR="00161897">
        <w:rPr>
          <w:rFonts w:ascii="Times New Roman" w:hAnsi="Times New Roman" w:cs="Times New Roman"/>
          <w:sz w:val="24"/>
          <w:szCs w:val="24"/>
        </w:rPr>
        <w:t xml:space="preserve">or comitatus </w:t>
      </w:r>
      <w:r w:rsidR="00B3701B">
        <w:rPr>
          <w:rFonts w:ascii="Times New Roman" w:hAnsi="Times New Roman" w:cs="Times New Roman"/>
          <w:sz w:val="24"/>
          <w:szCs w:val="24"/>
        </w:rPr>
        <w:t xml:space="preserve">in return for </w:t>
      </w:r>
      <w:r w:rsidR="000559F7">
        <w:rPr>
          <w:rFonts w:ascii="Times New Roman" w:hAnsi="Times New Roman" w:cs="Times New Roman"/>
          <w:sz w:val="24"/>
          <w:szCs w:val="24"/>
        </w:rPr>
        <w:t>their loyalty.</w:t>
      </w:r>
      <w:r w:rsidR="00285014">
        <w:rPr>
          <w:rStyle w:val="FootnoteReference"/>
          <w:rFonts w:ascii="Times New Roman" w:hAnsi="Times New Roman" w:cs="Times New Roman"/>
          <w:sz w:val="24"/>
          <w:szCs w:val="24"/>
        </w:rPr>
        <w:footnoteReference w:id="14"/>
      </w:r>
      <w:r w:rsidR="00344208">
        <w:rPr>
          <w:rFonts w:ascii="Times New Roman" w:hAnsi="Times New Roman" w:cs="Times New Roman"/>
          <w:sz w:val="24"/>
          <w:szCs w:val="24"/>
        </w:rPr>
        <w:t xml:space="preserve"> </w:t>
      </w:r>
      <w:r w:rsidR="002F3453">
        <w:rPr>
          <w:rFonts w:ascii="Times New Roman" w:hAnsi="Times New Roman" w:cs="Times New Roman"/>
          <w:sz w:val="24"/>
          <w:szCs w:val="24"/>
        </w:rPr>
        <w:t xml:space="preserve">Furthermore </w:t>
      </w:r>
      <w:r w:rsidR="0086770E">
        <w:rPr>
          <w:rFonts w:ascii="Times New Roman" w:hAnsi="Times New Roman" w:cs="Times New Roman"/>
          <w:sz w:val="24"/>
          <w:szCs w:val="24"/>
        </w:rPr>
        <w:t xml:space="preserve">while the Seafarer </w:t>
      </w:r>
      <w:r w:rsidR="00EE5EED">
        <w:rPr>
          <w:rFonts w:ascii="Times New Roman" w:hAnsi="Times New Roman" w:cs="Times New Roman"/>
          <w:sz w:val="24"/>
          <w:szCs w:val="24"/>
        </w:rPr>
        <w:t xml:space="preserve">claims </w:t>
      </w:r>
      <w:r w:rsidR="00E926C1">
        <w:rPr>
          <w:rFonts w:ascii="Times New Roman" w:hAnsi="Times New Roman" w:cs="Times New Roman"/>
          <w:sz w:val="24"/>
          <w:szCs w:val="24"/>
        </w:rPr>
        <w:t xml:space="preserve">that the </w:t>
      </w:r>
      <w:r w:rsidR="006C08DF">
        <w:rPr>
          <w:rFonts w:ascii="Times New Roman" w:hAnsi="Times New Roman" w:cs="Times New Roman"/>
          <w:sz w:val="24"/>
          <w:szCs w:val="24"/>
        </w:rPr>
        <w:t xml:space="preserve">so called heathen burial </w:t>
      </w:r>
      <w:r w:rsidR="002B3881">
        <w:rPr>
          <w:rFonts w:ascii="Times New Roman" w:hAnsi="Times New Roman" w:cs="Times New Roman"/>
          <w:sz w:val="24"/>
          <w:szCs w:val="24"/>
        </w:rPr>
        <w:t xml:space="preserve">customs as described in </w:t>
      </w:r>
      <w:r w:rsidR="00DE63A5">
        <w:rPr>
          <w:rFonts w:ascii="Times New Roman" w:hAnsi="Times New Roman" w:cs="Times New Roman"/>
          <w:sz w:val="24"/>
          <w:szCs w:val="24"/>
        </w:rPr>
        <w:t xml:space="preserve">great detail in Beowulf </w:t>
      </w:r>
      <w:r w:rsidR="00D353D5">
        <w:rPr>
          <w:rFonts w:ascii="Times New Roman" w:hAnsi="Times New Roman" w:cs="Times New Roman"/>
          <w:sz w:val="24"/>
          <w:szCs w:val="24"/>
        </w:rPr>
        <w:t>are futile</w:t>
      </w:r>
      <w:r w:rsidR="00707861">
        <w:rPr>
          <w:rFonts w:ascii="Times New Roman" w:hAnsi="Times New Roman" w:cs="Times New Roman"/>
          <w:sz w:val="24"/>
          <w:szCs w:val="24"/>
        </w:rPr>
        <w:t xml:space="preserve">; </w:t>
      </w:r>
      <w:r w:rsidR="00BE6873">
        <w:rPr>
          <w:rFonts w:ascii="Times New Roman" w:hAnsi="Times New Roman" w:cs="Times New Roman"/>
          <w:sz w:val="24"/>
          <w:szCs w:val="24"/>
        </w:rPr>
        <w:t xml:space="preserve">as it would seem from </w:t>
      </w:r>
      <w:r w:rsidR="00CA1870">
        <w:rPr>
          <w:rFonts w:ascii="Times New Roman" w:hAnsi="Times New Roman" w:cs="Times New Roman"/>
          <w:sz w:val="24"/>
          <w:szCs w:val="24"/>
        </w:rPr>
        <w:t xml:space="preserve">a </w:t>
      </w:r>
      <w:r w:rsidR="00BE6873">
        <w:rPr>
          <w:rFonts w:ascii="Times New Roman" w:hAnsi="Times New Roman" w:cs="Times New Roman"/>
          <w:sz w:val="24"/>
          <w:szCs w:val="24"/>
        </w:rPr>
        <w:t>Christian perspective with their emphasis on the afterlife,</w:t>
      </w:r>
      <w:r w:rsidR="0030782B">
        <w:rPr>
          <w:rFonts w:ascii="Times New Roman" w:hAnsi="Times New Roman" w:cs="Times New Roman"/>
          <w:sz w:val="24"/>
          <w:szCs w:val="24"/>
        </w:rPr>
        <w:t xml:space="preserve"> </w:t>
      </w:r>
      <w:r w:rsidR="002540A1">
        <w:rPr>
          <w:rFonts w:ascii="Times New Roman" w:hAnsi="Times New Roman" w:cs="Times New Roman"/>
          <w:sz w:val="24"/>
          <w:szCs w:val="24"/>
        </w:rPr>
        <w:t xml:space="preserve">Beowulf’s composer </w:t>
      </w:r>
      <w:r w:rsidR="006F2185">
        <w:rPr>
          <w:rFonts w:ascii="Times New Roman" w:hAnsi="Times New Roman" w:cs="Times New Roman"/>
          <w:sz w:val="24"/>
          <w:szCs w:val="24"/>
        </w:rPr>
        <w:t xml:space="preserve">acknowledges the pre-Christian </w:t>
      </w:r>
      <w:r w:rsidR="000556C5">
        <w:rPr>
          <w:rFonts w:ascii="Times New Roman" w:hAnsi="Times New Roman" w:cs="Times New Roman"/>
          <w:sz w:val="24"/>
          <w:szCs w:val="24"/>
        </w:rPr>
        <w:t xml:space="preserve">view </w:t>
      </w:r>
      <w:r w:rsidR="004140F0">
        <w:rPr>
          <w:rFonts w:ascii="Times New Roman" w:hAnsi="Times New Roman" w:cs="Times New Roman"/>
          <w:sz w:val="24"/>
          <w:szCs w:val="24"/>
        </w:rPr>
        <w:t xml:space="preserve">that </w:t>
      </w:r>
      <w:r w:rsidR="00AB118A">
        <w:rPr>
          <w:rFonts w:ascii="Times New Roman" w:hAnsi="Times New Roman" w:cs="Times New Roman"/>
          <w:sz w:val="24"/>
          <w:szCs w:val="24"/>
        </w:rPr>
        <w:t>funerals are</w:t>
      </w:r>
      <w:r w:rsidR="00924C0F">
        <w:rPr>
          <w:rFonts w:ascii="Times New Roman" w:hAnsi="Times New Roman" w:cs="Times New Roman"/>
          <w:sz w:val="24"/>
          <w:szCs w:val="24"/>
        </w:rPr>
        <w:t xml:space="preserve"> </w:t>
      </w:r>
      <w:r w:rsidR="00924C0F">
        <w:rPr>
          <w:rFonts w:ascii="Times New Roman" w:hAnsi="Times New Roman" w:cs="Times New Roman"/>
          <w:sz w:val="24"/>
          <w:szCs w:val="24"/>
        </w:rPr>
        <w:lastRenderedPageBreak/>
        <w:t>primarily</w:t>
      </w:r>
      <w:r w:rsidR="00AB118A">
        <w:rPr>
          <w:rFonts w:ascii="Times New Roman" w:hAnsi="Times New Roman" w:cs="Times New Roman"/>
          <w:sz w:val="24"/>
          <w:szCs w:val="24"/>
        </w:rPr>
        <w:t xml:space="preserve"> </w:t>
      </w:r>
      <w:r w:rsidR="00924C0F">
        <w:rPr>
          <w:rFonts w:ascii="Times New Roman" w:hAnsi="Times New Roman" w:cs="Times New Roman"/>
          <w:sz w:val="24"/>
          <w:szCs w:val="24"/>
        </w:rPr>
        <w:t xml:space="preserve">about remembrance, and that </w:t>
      </w:r>
      <w:r w:rsidR="00901FB0">
        <w:rPr>
          <w:rFonts w:ascii="Times New Roman" w:hAnsi="Times New Roman" w:cs="Times New Roman"/>
          <w:sz w:val="24"/>
          <w:szCs w:val="24"/>
        </w:rPr>
        <w:t xml:space="preserve">burying </w:t>
      </w:r>
      <w:r w:rsidR="00F10172">
        <w:rPr>
          <w:rFonts w:ascii="Times New Roman" w:hAnsi="Times New Roman" w:cs="Times New Roman"/>
          <w:sz w:val="24"/>
          <w:szCs w:val="24"/>
        </w:rPr>
        <w:t xml:space="preserve">a great man with </w:t>
      </w:r>
      <w:r w:rsidR="002E59D8">
        <w:rPr>
          <w:rFonts w:ascii="Times New Roman" w:hAnsi="Times New Roman" w:cs="Times New Roman"/>
          <w:sz w:val="24"/>
          <w:szCs w:val="24"/>
        </w:rPr>
        <w:t>‘</w:t>
      </w:r>
      <w:r w:rsidR="00784B93" w:rsidRPr="00784B93">
        <w:rPr>
          <w:rFonts w:ascii="Times New Roman" w:hAnsi="Times New Roman" w:cs="Times New Roman"/>
          <w:i/>
          <w:sz w:val="24"/>
          <w:szCs w:val="24"/>
        </w:rPr>
        <w:t>þeodgestreonum</w:t>
      </w:r>
      <w:r w:rsidR="002E59D8">
        <w:rPr>
          <w:rFonts w:ascii="Times New Roman" w:hAnsi="Times New Roman" w:cs="Times New Roman"/>
          <w:i/>
          <w:sz w:val="24"/>
          <w:szCs w:val="24"/>
        </w:rPr>
        <w:t xml:space="preserve"> </w:t>
      </w:r>
      <w:r w:rsidR="002E59D8">
        <w:rPr>
          <w:rFonts w:ascii="Times New Roman" w:hAnsi="Times New Roman" w:cs="Times New Roman"/>
          <w:sz w:val="24"/>
          <w:szCs w:val="24"/>
        </w:rPr>
        <w:t>(treasures of the nation)’</w:t>
      </w:r>
      <w:r w:rsidR="00806F64">
        <w:rPr>
          <w:rFonts w:ascii="Times New Roman" w:hAnsi="Times New Roman" w:cs="Times New Roman"/>
          <w:sz w:val="24"/>
          <w:szCs w:val="24"/>
        </w:rPr>
        <w:t xml:space="preserve"> </w:t>
      </w:r>
      <w:r w:rsidR="00F64DD4">
        <w:rPr>
          <w:rFonts w:ascii="Times New Roman" w:hAnsi="Times New Roman" w:cs="Times New Roman"/>
          <w:sz w:val="24"/>
          <w:szCs w:val="24"/>
        </w:rPr>
        <w:t xml:space="preserve">is a sign </w:t>
      </w:r>
      <w:r w:rsidR="0056327F">
        <w:rPr>
          <w:rFonts w:ascii="Times New Roman" w:hAnsi="Times New Roman" w:cs="Times New Roman"/>
          <w:sz w:val="24"/>
          <w:szCs w:val="24"/>
        </w:rPr>
        <w:t xml:space="preserve">that he was a </w:t>
      </w:r>
      <w:r w:rsidR="003D7681">
        <w:rPr>
          <w:rFonts w:ascii="Times New Roman" w:hAnsi="Times New Roman" w:cs="Times New Roman"/>
          <w:sz w:val="24"/>
          <w:szCs w:val="24"/>
        </w:rPr>
        <w:t>‘</w:t>
      </w:r>
      <w:r w:rsidR="003D7681" w:rsidRPr="003D7681">
        <w:rPr>
          <w:rFonts w:ascii="Times New Roman" w:hAnsi="Times New Roman" w:cs="Times New Roman"/>
          <w:i/>
          <w:sz w:val="24"/>
          <w:szCs w:val="24"/>
        </w:rPr>
        <w:t>leofne</w:t>
      </w:r>
      <w:r w:rsidR="003D7681">
        <w:rPr>
          <w:rFonts w:ascii="Times New Roman" w:hAnsi="Times New Roman" w:cs="Times New Roman"/>
          <w:sz w:val="24"/>
          <w:szCs w:val="24"/>
        </w:rPr>
        <w:t xml:space="preserve"> </w:t>
      </w:r>
      <w:r w:rsidR="003D7681" w:rsidRPr="003D7681">
        <w:rPr>
          <w:rFonts w:ascii="Times New Roman" w:hAnsi="Times New Roman" w:cs="Times New Roman"/>
          <w:i/>
          <w:sz w:val="24"/>
          <w:szCs w:val="24"/>
        </w:rPr>
        <w:t>þeoden</w:t>
      </w:r>
      <w:r w:rsidR="003D7681">
        <w:rPr>
          <w:rFonts w:ascii="Times New Roman" w:hAnsi="Times New Roman" w:cs="Times New Roman"/>
          <w:sz w:val="24"/>
          <w:szCs w:val="24"/>
        </w:rPr>
        <w:t xml:space="preserve"> (beloved ruler)’</w:t>
      </w:r>
      <w:r w:rsidR="00A07153">
        <w:rPr>
          <w:rFonts w:ascii="Times New Roman" w:hAnsi="Times New Roman" w:cs="Times New Roman"/>
          <w:sz w:val="24"/>
          <w:szCs w:val="24"/>
        </w:rPr>
        <w:t>.</w:t>
      </w:r>
    </w:p>
    <w:p w:rsidR="00CF5E7B" w:rsidRDefault="00CF5E7B"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relationship between a lord and his retainer is often mirrored in the relationship between a Christian hero and the Lord, but the manner in which it is expressed is often quite distinct </w:t>
      </w:r>
      <w:r w:rsidR="00CA1870">
        <w:rPr>
          <w:rFonts w:ascii="Times New Roman" w:hAnsi="Times New Roman" w:cs="Times New Roman"/>
          <w:sz w:val="24"/>
          <w:szCs w:val="24"/>
        </w:rPr>
        <w:t xml:space="preserve">with heroic culture favouring a more active kind of loyalty </w:t>
      </w:r>
      <w:r w:rsidR="00BA7E6A">
        <w:rPr>
          <w:rFonts w:ascii="Times New Roman" w:hAnsi="Times New Roman" w:cs="Times New Roman"/>
          <w:sz w:val="24"/>
          <w:szCs w:val="24"/>
        </w:rPr>
        <w:t>and</w:t>
      </w:r>
      <w:r w:rsidR="00CA1870">
        <w:rPr>
          <w:rFonts w:ascii="Times New Roman" w:hAnsi="Times New Roman" w:cs="Times New Roman"/>
          <w:sz w:val="24"/>
          <w:szCs w:val="24"/>
        </w:rPr>
        <w:t xml:space="preserve"> Christianity favouring a more passive approach.</w:t>
      </w:r>
      <w:r w:rsidR="009E5233">
        <w:rPr>
          <w:rStyle w:val="FootnoteReference"/>
          <w:rFonts w:ascii="Times New Roman" w:hAnsi="Times New Roman" w:cs="Times New Roman"/>
          <w:sz w:val="24"/>
          <w:szCs w:val="24"/>
        </w:rPr>
        <w:footnoteReference w:id="15"/>
      </w:r>
      <w:r w:rsidR="00CA1870">
        <w:rPr>
          <w:rFonts w:ascii="Times New Roman" w:hAnsi="Times New Roman" w:cs="Times New Roman"/>
          <w:sz w:val="24"/>
          <w:szCs w:val="24"/>
        </w:rPr>
        <w:t xml:space="preserve"> As such this</w:t>
      </w:r>
      <w:r>
        <w:rPr>
          <w:rFonts w:ascii="Times New Roman" w:hAnsi="Times New Roman" w:cs="Times New Roman"/>
          <w:sz w:val="24"/>
          <w:szCs w:val="24"/>
        </w:rPr>
        <w:t xml:space="preserve"> can serve as another source of tension in Anglo Saxon literature. We can see this in the Anglo Saxon poem The Dream of the Rood which describes the crucifixion from the perspective of </w:t>
      </w:r>
      <w:r w:rsidR="00C10ACE">
        <w:rPr>
          <w:rFonts w:ascii="Times New Roman" w:hAnsi="Times New Roman" w:cs="Times New Roman"/>
          <w:sz w:val="24"/>
          <w:szCs w:val="24"/>
        </w:rPr>
        <w:t>the Rood itself. The Dream of the Rood is particularly notable because it represents the relationship between Jesus Christ and the Rood as one of lord and retainer, and in so doing changes the character of Christ from what Mark C. Amodio describes as a ‘passive sufferer’ to ‘an active participant in his own death’.</w:t>
      </w:r>
      <w:r w:rsidR="009E5233">
        <w:rPr>
          <w:rStyle w:val="FootnoteReference"/>
          <w:rFonts w:ascii="Times New Roman" w:hAnsi="Times New Roman" w:cs="Times New Roman"/>
          <w:sz w:val="24"/>
          <w:szCs w:val="24"/>
        </w:rPr>
        <w:footnoteReference w:id="16"/>
      </w:r>
    </w:p>
    <w:p w:rsidR="009127CB" w:rsidRDefault="00422003"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final images of Beowulf is the </w:t>
      </w:r>
      <w:r w:rsidR="00EC7135">
        <w:rPr>
          <w:rFonts w:ascii="Times New Roman" w:hAnsi="Times New Roman" w:cs="Times New Roman"/>
          <w:sz w:val="24"/>
          <w:szCs w:val="24"/>
        </w:rPr>
        <w:t>great hoard of treasure in the dragon’s den ‘</w:t>
      </w:r>
      <w:r w:rsidR="00EC7135">
        <w:rPr>
          <w:rFonts w:ascii="Times New Roman" w:hAnsi="Times New Roman" w:cs="Times New Roman"/>
          <w:i/>
          <w:sz w:val="24"/>
          <w:szCs w:val="24"/>
        </w:rPr>
        <w:t xml:space="preserve">omige, þurhetone </w:t>
      </w:r>
      <w:r w:rsidR="00EC7135">
        <w:rPr>
          <w:rFonts w:ascii="Times New Roman" w:hAnsi="Times New Roman" w:cs="Times New Roman"/>
          <w:sz w:val="24"/>
          <w:szCs w:val="24"/>
        </w:rPr>
        <w:t xml:space="preserve">(lying rusty, eaten through)’. </w:t>
      </w:r>
      <w:r w:rsidR="000D544B">
        <w:rPr>
          <w:rFonts w:ascii="Times New Roman" w:hAnsi="Times New Roman" w:cs="Times New Roman"/>
          <w:sz w:val="24"/>
          <w:szCs w:val="24"/>
        </w:rPr>
        <w:t>Viewed from a Christian standpoint, this may be another warning against pride and greed, after all it is in the fight with the dragon that Beowulf finally meets his end</w:t>
      </w:r>
      <w:r w:rsidR="009127CB">
        <w:rPr>
          <w:rFonts w:ascii="Times New Roman" w:hAnsi="Times New Roman" w:cs="Times New Roman"/>
          <w:sz w:val="24"/>
          <w:szCs w:val="24"/>
        </w:rPr>
        <w:t>, and this is an argument put forth by many critics like Margaret Goldsmith, Frederick Klaeber, and Alan Bliss</w:t>
      </w:r>
      <w:r w:rsidR="000D544B">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17"/>
      </w:r>
      <w:r w:rsidR="002A5F98">
        <w:rPr>
          <w:rFonts w:ascii="Times New Roman" w:hAnsi="Times New Roman" w:cs="Times New Roman"/>
          <w:sz w:val="24"/>
          <w:szCs w:val="24"/>
        </w:rPr>
        <w:t xml:space="preserve"> </w:t>
      </w:r>
      <w:r w:rsidR="009127CB">
        <w:rPr>
          <w:rFonts w:ascii="Times New Roman" w:hAnsi="Times New Roman" w:cs="Times New Roman"/>
          <w:sz w:val="24"/>
          <w:szCs w:val="24"/>
        </w:rPr>
        <w:t>But if this were the case it could be considered a contradiction of what the poet has told us of the character of Beowulf, particularly in how well he fills the role of king in accordance with the heroic ideal, which as mentioned above includes generosity as one of its key principles. We would expect then that Beowulf’s motives for goi</w:t>
      </w:r>
      <w:r w:rsidR="002B3766">
        <w:rPr>
          <w:rFonts w:ascii="Times New Roman" w:hAnsi="Times New Roman" w:cs="Times New Roman"/>
          <w:sz w:val="24"/>
          <w:szCs w:val="24"/>
        </w:rPr>
        <w:t>ng after the treasure were not selfish but for the benefit of his people.</w:t>
      </w:r>
    </w:p>
    <w:p w:rsidR="00422003" w:rsidRDefault="002A5F98" w:rsidP="003D123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We are informed that a curse was laid upon the treasur</w:t>
      </w:r>
      <w:r w:rsidR="00A10A3E">
        <w:rPr>
          <w:rFonts w:ascii="Times New Roman" w:hAnsi="Times New Roman" w:cs="Times New Roman"/>
          <w:sz w:val="24"/>
          <w:szCs w:val="24"/>
        </w:rPr>
        <w:t>e by famous princes of the past, and while the curse is framed rather anachronistically in explicitly Christian terms with mentions of hell-bonds</w:t>
      </w:r>
      <w:r w:rsidR="004A0609">
        <w:rPr>
          <w:rFonts w:ascii="Times New Roman" w:hAnsi="Times New Roman" w:cs="Times New Roman"/>
          <w:sz w:val="24"/>
          <w:szCs w:val="24"/>
        </w:rPr>
        <w:t>, doomsday,</w:t>
      </w:r>
      <w:r w:rsidR="00A10A3E">
        <w:rPr>
          <w:rFonts w:ascii="Times New Roman" w:hAnsi="Times New Roman" w:cs="Times New Roman"/>
          <w:sz w:val="24"/>
          <w:szCs w:val="24"/>
        </w:rPr>
        <w:t xml:space="preserve"> and the guilt of sin, the idea of cursed treasure is a common theme in pre-Christian mythology.</w:t>
      </w:r>
      <w:r w:rsidR="00F93A54">
        <w:rPr>
          <w:rFonts w:ascii="Times New Roman" w:hAnsi="Times New Roman" w:cs="Times New Roman"/>
          <w:sz w:val="24"/>
          <w:szCs w:val="24"/>
        </w:rPr>
        <w:t xml:space="preserve"> The most famous example is perhaps the story contained in the Völsunga saga of Norse mythology involving Sigurd the dragon slayer and the cursed gold of Andvari.</w:t>
      </w:r>
      <w:r w:rsidR="009E5233">
        <w:rPr>
          <w:rStyle w:val="FootnoteReference"/>
          <w:rFonts w:ascii="Times New Roman" w:hAnsi="Times New Roman" w:cs="Times New Roman"/>
          <w:sz w:val="24"/>
          <w:szCs w:val="24"/>
        </w:rPr>
        <w:footnoteReference w:id="18"/>
      </w:r>
      <w:r w:rsidR="00F93A54">
        <w:rPr>
          <w:rFonts w:ascii="Times New Roman" w:hAnsi="Times New Roman" w:cs="Times New Roman"/>
          <w:sz w:val="24"/>
          <w:szCs w:val="24"/>
        </w:rPr>
        <w:t xml:space="preserve"> The characters of Beowulf and by extension the poet himself must have been familiar with this pre-Christian story as evidenced by the mention of Sigemund in the text.</w:t>
      </w:r>
    </w:p>
    <w:p w:rsidR="004A0609" w:rsidRDefault="004A0609" w:rsidP="003D123E">
      <w:pPr>
        <w:spacing w:line="480" w:lineRule="auto"/>
        <w:rPr>
          <w:rFonts w:ascii="Times New Roman" w:hAnsi="Times New Roman" w:cs="Times New Roman"/>
          <w:sz w:val="24"/>
          <w:szCs w:val="24"/>
        </w:rPr>
      </w:pPr>
      <w:r>
        <w:rPr>
          <w:rFonts w:ascii="Times New Roman" w:hAnsi="Times New Roman" w:cs="Times New Roman"/>
          <w:sz w:val="24"/>
          <w:szCs w:val="24"/>
        </w:rPr>
        <w:t>The emphasis on Christian imagery in this passage is all the more jarring however when we consider that</w:t>
      </w:r>
      <w:r w:rsidR="003E424E">
        <w:rPr>
          <w:rFonts w:ascii="Times New Roman" w:hAnsi="Times New Roman" w:cs="Times New Roman"/>
          <w:sz w:val="24"/>
          <w:szCs w:val="24"/>
        </w:rPr>
        <w:t xml:space="preserve"> it</w:t>
      </w:r>
      <w:r>
        <w:rPr>
          <w:rFonts w:ascii="Times New Roman" w:hAnsi="Times New Roman" w:cs="Times New Roman"/>
          <w:sz w:val="24"/>
          <w:szCs w:val="24"/>
        </w:rPr>
        <w:t xml:space="preserve"> is immediately preceded by Wiglaf’s </w:t>
      </w:r>
      <w:r w:rsidR="00A80C39">
        <w:rPr>
          <w:rFonts w:ascii="Times New Roman" w:hAnsi="Times New Roman" w:cs="Times New Roman"/>
          <w:sz w:val="24"/>
          <w:szCs w:val="24"/>
        </w:rPr>
        <w:t>speech condemning his fellow warriors for not taking up arms and fighting alongside Beowulf in accordance with the heroic code.</w:t>
      </w:r>
      <w:r w:rsidR="003E424E">
        <w:rPr>
          <w:rFonts w:ascii="Times New Roman" w:hAnsi="Times New Roman" w:cs="Times New Roman"/>
          <w:sz w:val="24"/>
          <w:szCs w:val="24"/>
        </w:rPr>
        <w:t xml:space="preserve"> Patience may be a virtue in Christianity but in heroic culture anything other than immediate action was seen as </w:t>
      </w:r>
      <w:r w:rsidR="006A3072">
        <w:rPr>
          <w:rFonts w:ascii="Times New Roman" w:hAnsi="Times New Roman" w:cs="Times New Roman"/>
          <w:sz w:val="24"/>
          <w:szCs w:val="24"/>
        </w:rPr>
        <w:t>dishonourable</w:t>
      </w:r>
      <w:r w:rsidR="003E424E">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19"/>
      </w:r>
      <w:r w:rsidR="003E424E">
        <w:rPr>
          <w:rFonts w:ascii="Times New Roman" w:hAnsi="Times New Roman" w:cs="Times New Roman"/>
          <w:sz w:val="24"/>
          <w:szCs w:val="24"/>
        </w:rPr>
        <w:t xml:space="preserve"> Beowulf’s kinsmen’s decision to abstain from the battle is given as the ultimate reason for the conflict and eventual destruction of the Geats as a whole, for as Wiglaf describes it ‘</w:t>
      </w:r>
      <w:r w:rsidR="003E424E">
        <w:rPr>
          <w:rFonts w:ascii="Times New Roman" w:hAnsi="Times New Roman" w:cs="Times New Roman"/>
          <w:i/>
          <w:sz w:val="24"/>
          <w:szCs w:val="24"/>
        </w:rPr>
        <w:t xml:space="preserve">deað bið sella eorla gehwylcum þonne edwitlif! </w:t>
      </w:r>
      <w:r w:rsidR="003E424E">
        <w:rPr>
          <w:rFonts w:ascii="Times New Roman" w:hAnsi="Times New Roman" w:cs="Times New Roman"/>
          <w:sz w:val="24"/>
          <w:szCs w:val="24"/>
        </w:rPr>
        <w:t>(To any warrior death is better than a life of disgrace!)’</w:t>
      </w:r>
    </w:p>
    <w:p w:rsidR="00413A06" w:rsidRDefault="00E7120D" w:rsidP="003D123E">
      <w:pPr>
        <w:spacing w:line="480" w:lineRule="auto"/>
        <w:rPr>
          <w:rFonts w:ascii="Times New Roman" w:hAnsi="Times New Roman" w:cs="Times New Roman"/>
          <w:sz w:val="24"/>
          <w:szCs w:val="24"/>
        </w:rPr>
      </w:pPr>
      <w:r>
        <w:rPr>
          <w:rFonts w:ascii="Times New Roman" w:hAnsi="Times New Roman" w:cs="Times New Roman"/>
          <w:sz w:val="24"/>
          <w:szCs w:val="24"/>
        </w:rPr>
        <w:t>Similarly while Christian beliefs include the principle of turning the other cheek</w:t>
      </w:r>
      <w:r w:rsidR="00413A06">
        <w:rPr>
          <w:rFonts w:ascii="Times New Roman" w:hAnsi="Times New Roman" w:cs="Times New Roman"/>
          <w:sz w:val="24"/>
          <w:szCs w:val="24"/>
        </w:rPr>
        <w:t xml:space="preserve"> and loving your enemy</w:t>
      </w:r>
      <w:r>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heroic culture demanded the direct opposite with retaliation and retribution expected or even encouraged, and failure to do so was </w:t>
      </w:r>
      <w:r w:rsidR="00863C68">
        <w:rPr>
          <w:rFonts w:ascii="Times New Roman" w:hAnsi="Times New Roman" w:cs="Times New Roman"/>
          <w:sz w:val="24"/>
          <w:szCs w:val="24"/>
        </w:rPr>
        <w:t>to bring shame upon yourself</w:t>
      </w:r>
      <w:r>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21"/>
      </w:r>
      <w:r w:rsidR="00413A06">
        <w:rPr>
          <w:rFonts w:ascii="Times New Roman" w:hAnsi="Times New Roman" w:cs="Times New Roman"/>
          <w:sz w:val="24"/>
          <w:szCs w:val="24"/>
        </w:rPr>
        <w:t xml:space="preserve"> As Beowulf says to Hrothgar after Æschere is killed by Grendel’s mother, ‘</w:t>
      </w:r>
      <w:r w:rsidR="00413A06">
        <w:rPr>
          <w:rFonts w:ascii="Times New Roman" w:hAnsi="Times New Roman" w:cs="Times New Roman"/>
          <w:i/>
          <w:sz w:val="24"/>
          <w:szCs w:val="24"/>
        </w:rPr>
        <w:t>selre bið æghwæm þæt he his freond wrece, þonne he fela murne</w:t>
      </w:r>
      <w:r w:rsidR="002B276A">
        <w:rPr>
          <w:rFonts w:ascii="Times New Roman" w:hAnsi="Times New Roman" w:cs="Times New Roman"/>
          <w:i/>
          <w:sz w:val="24"/>
          <w:szCs w:val="24"/>
        </w:rPr>
        <w:t xml:space="preserve"> </w:t>
      </w:r>
      <w:r w:rsidR="002B276A">
        <w:rPr>
          <w:rFonts w:ascii="Times New Roman" w:hAnsi="Times New Roman" w:cs="Times New Roman"/>
          <w:sz w:val="24"/>
          <w:szCs w:val="24"/>
        </w:rPr>
        <w:t>(it is better for anyone that he should avenge his friend, rather than mourn greatly)’</w:t>
      </w:r>
      <w:r w:rsidR="00413A06">
        <w:rPr>
          <w:rFonts w:ascii="Times New Roman" w:hAnsi="Times New Roman" w:cs="Times New Roman"/>
          <w:sz w:val="24"/>
          <w:szCs w:val="24"/>
        </w:rPr>
        <w:t>.</w:t>
      </w:r>
      <w:r w:rsidR="00F54F8F">
        <w:rPr>
          <w:rFonts w:ascii="Times New Roman" w:hAnsi="Times New Roman" w:cs="Times New Roman"/>
          <w:sz w:val="24"/>
          <w:szCs w:val="24"/>
        </w:rPr>
        <w:t xml:space="preserve"> In fact the perceived duty a man had to take revenge </w:t>
      </w:r>
      <w:r w:rsidR="00F54F8F">
        <w:rPr>
          <w:rFonts w:ascii="Times New Roman" w:hAnsi="Times New Roman" w:cs="Times New Roman"/>
          <w:sz w:val="24"/>
          <w:szCs w:val="24"/>
        </w:rPr>
        <w:lastRenderedPageBreak/>
        <w:t xml:space="preserve">was so deeply ingrained in Anglo Saxon heroic culture that not only did </w:t>
      </w:r>
      <w:r w:rsidR="0031799A">
        <w:rPr>
          <w:rFonts w:ascii="Times New Roman" w:hAnsi="Times New Roman" w:cs="Times New Roman"/>
          <w:sz w:val="24"/>
          <w:szCs w:val="24"/>
        </w:rPr>
        <w:t>it outrank all other duties, but it made taking the peaceable Christian approach virtually impossible</w:t>
      </w:r>
      <w:r w:rsidR="000524BC">
        <w:rPr>
          <w:rFonts w:ascii="Times New Roman" w:hAnsi="Times New Roman" w:cs="Times New Roman"/>
          <w:sz w:val="24"/>
          <w:szCs w:val="24"/>
        </w:rPr>
        <w:t xml:space="preserve">. </w:t>
      </w:r>
    </w:p>
    <w:p w:rsidR="00E7120D" w:rsidRDefault="000524BC" w:rsidP="003D123E">
      <w:pPr>
        <w:spacing w:line="480" w:lineRule="auto"/>
        <w:rPr>
          <w:rFonts w:ascii="Times New Roman" w:hAnsi="Times New Roman" w:cs="Times New Roman"/>
          <w:sz w:val="24"/>
          <w:szCs w:val="24"/>
        </w:rPr>
      </w:pPr>
      <w:r>
        <w:rPr>
          <w:rFonts w:ascii="Times New Roman" w:hAnsi="Times New Roman" w:cs="Times New Roman"/>
          <w:sz w:val="24"/>
          <w:szCs w:val="24"/>
        </w:rPr>
        <w:t>This is perhaps best illustrated by the story of Ingeld which Beowulf relates in his report to Hygelac, wherein Ingeld is wedded to his enemy’s daughter Freawaru in an attempt to broker peace between the two kingdoms</w:t>
      </w:r>
      <w:r w:rsidR="006A3072">
        <w:rPr>
          <w:rFonts w:ascii="Times New Roman" w:hAnsi="Times New Roman" w:cs="Times New Roman"/>
          <w:sz w:val="24"/>
          <w:szCs w:val="24"/>
        </w:rPr>
        <w:t>,</w:t>
      </w:r>
      <w:r>
        <w:rPr>
          <w:rFonts w:ascii="Times New Roman" w:hAnsi="Times New Roman" w:cs="Times New Roman"/>
          <w:sz w:val="24"/>
          <w:szCs w:val="24"/>
        </w:rPr>
        <w:t xml:space="preserve"> after Ingeld’s father Froda is slain by Freawaru’</w:t>
      </w:r>
      <w:r w:rsidR="0058637F">
        <w:rPr>
          <w:rFonts w:ascii="Times New Roman" w:hAnsi="Times New Roman" w:cs="Times New Roman"/>
          <w:sz w:val="24"/>
          <w:szCs w:val="24"/>
        </w:rPr>
        <w:t>s father Hrothgar. Ingeld is thus torn between his love for his bride and desire for peace, and his duty of revenge. Alas as Beowulf predicts, the vengeance obligation wins out and the story ends in tragedy.</w:t>
      </w:r>
    </w:p>
    <w:p w:rsidR="00372566" w:rsidRDefault="002338E4" w:rsidP="003D123E">
      <w:pPr>
        <w:spacing w:line="480" w:lineRule="auto"/>
        <w:rPr>
          <w:rFonts w:ascii="Times New Roman" w:hAnsi="Times New Roman" w:cs="Times New Roman"/>
          <w:sz w:val="24"/>
          <w:szCs w:val="24"/>
        </w:rPr>
      </w:pPr>
      <w:r>
        <w:rPr>
          <w:rFonts w:ascii="Times New Roman" w:hAnsi="Times New Roman" w:cs="Times New Roman"/>
          <w:sz w:val="24"/>
          <w:szCs w:val="24"/>
        </w:rPr>
        <w:t>Interestingly this heroic ideal also features prominently in the Battle of Maldon which otherwise puts fairly heavy emphasis on the separation between the heathen enemy Vikings and the good Christian Anglo Saxon army</w:t>
      </w:r>
      <w:r w:rsidR="00C667CA">
        <w:rPr>
          <w:rFonts w:ascii="Times New Roman" w:hAnsi="Times New Roman" w:cs="Times New Roman"/>
          <w:sz w:val="24"/>
          <w:szCs w:val="24"/>
        </w:rPr>
        <w:t>. Indeed if the battle itself wasn’t enough to contradict the Christian principle of loving your enemy,</w:t>
      </w:r>
      <w:r w:rsidR="009E5233">
        <w:rPr>
          <w:rStyle w:val="FootnoteReference"/>
          <w:rFonts w:ascii="Times New Roman" w:hAnsi="Times New Roman" w:cs="Times New Roman"/>
          <w:sz w:val="24"/>
          <w:szCs w:val="24"/>
        </w:rPr>
        <w:footnoteReference w:id="22"/>
      </w:r>
      <w:r w:rsidR="00C667CA">
        <w:rPr>
          <w:rFonts w:ascii="Times New Roman" w:hAnsi="Times New Roman" w:cs="Times New Roman"/>
          <w:sz w:val="24"/>
          <w:szCs w:val="24"/>
        </w:rPr>
        <w:t xml:space="preserve"> then the repeated use of slurs and demonising imagery to describe the Vikings certainly is</w:t>
      </w:r>
      <w:r>
        <w:rPr>
          <w:rFonts w:ascii="Times New Roman" w:hAnsi="Times New Roman" w:cs="Times New Roman"/>
          <w:sz w:val="24"/>
          <w:szCs w:val="24"/>
        </w:rPr>
        <w:t>. When Byrhtnoth falls in battle his loyal retainers declare that ‘</w:t>
      </w:r>
      <w:r>
        <w:rPr>
          <w:rFonts w:ascii="Times New Roman" w:hAnsi="Times New Roman" w:cs="Times New Roman"/>
          <w:i/>
          <w:sz w:val="24"/>
          <w:szCs w:val="24"/>
        </w:rPr>
        <w:t xml:space="preserve">hi woldon þa ealle oðer twega, lif forlætan oððe leofne gewrecan </w:t>
      </w:r>
      <w:r>
        <w:rPr>
          <w:rFonts w:ascii="Times New Roman" w:hAnsi="Times New Roman" w:cs="Times New Roman"/>
          <w:sz w:val="24"/>
          <w:szCs w:val="24"/>
        </w:rPr>
        <w:t>(</w:t>
      </w:r>
      <w:r w:rsidR="005E4AAF">
        <w:rPr>
          <w:rFonts w:ascii="Times New Roman" w:hAnsi="Times New Roman" w:cs="Times New Roman"/>
          <w:sz w:val="24"/>
          <w:szCs w:val="24"/>
        </w:rPr>
        <w:t>they all wished one of two things, to lose life or to avenge their beloved leader), before advancing to what would become their demise. Equally the men who chose to flee from the battle in favour of saving their own lives are named both coward and betrayer</w:t>
      </w:r>
      <w:r w:rsidR="00C667CA">
        <w:rPr>
          <w:rFonts w:ascii="Times New Roman" w:hAnsi="Times New Roman" w:cs="Times New Roman"/>
          <w:sz w:val="24"/>
          <w:szCs w:val="24"/>
        </w:rPr>
        <w:t xml:space="preserve"> and echoing the sentiments of Wiglaf above, Leofsunu states his intentions to be slain rather than return in shame to his people ‘</w:t>
      </w:r>
      <w:r w:rsidR="00C667CA">
        <w:rPr>
          <w:rFonts w:ascii="Times New Roman" w:hAnsi="Times New Roman" w:cs="Times New Roman"/>
          <w:i/>
          <w:sz w:val="24"/>
          <w:szCs w:val="24"/>
        </w:rPr>
        <w:t xml:space="preserve">hlafordleas </w:t>
      </w:r>
      <w:r w:rsidR="00C667CA">
        <w:rPr>
          <w:rFonts w:ascii="Times New Roman" w:hAnsi="Times New Roman" w:cs="Times New Roman"/>
          <w:sz w:val="24"/>
          <w:szCs w:val="24"/>
        </w:rPr>
        <w:t>(lordless)’.</w:t>
      </w:r>
    </w:p>
    <w:p w:rsidR="00EC3E83" w:rsidRPr="00B67C20" w:rsidRDefault="003B223F" w:rsidP="003D123E">
      <w:pPr>
        <w:spacing w:line="480" w:lineRule="auto"/>
        <w:rPr>
          <w:rFonts w:ascii="Times New Roman" w:hAnsi="Times New Roman" w:cs="Times New Roman"/>
          <w:sz w:val="24"/>
          <w:szCs w:val="24"/>
        </w:rPr>
      </w:pPr>
      <w:r>
        <w:rPr>
          <w:rFonts w:ascii="Times New Roman" w:hAnsi="Times New Roman" w:cs="Times New Roman"/>
          <w:sz w:val="24"/>
          <w:szCs w:val="24"/>
        </w:rPr>
        <w:t>So too does the protagonist of the Anglo Saxon poem The Wanderer highlight this aspect of heroic culture, as he mourns for the loss of his lord and fellow warriors while walking alone in exile.</w:t>
      </w:r>
      <w:r w:rsidR="00EB3D00">
        <w:rPr>
          <w:rFonts w:ascii="Times New Roman" w:hAnsi="Times New Roman" w:cs="Times New Roman"/>
          <w:sz w:val="24"/>
          <w:szCs w:val="24"/>
        </w:rPr>
        <w:t xml:space="preserve"> The Wanderer also introduces us to another central element of heroic society, namely the importance of community and kinship, the lack of which is what has driven the </w:t>
      </w:r>
      <w:r w:rsidR="00EB3D00">
        <w:rPr>
          <w:rFonts w:ascii="Times New Roman" w:hAnsi="Times New Roman" w:cs="Times New Roman"/>
          <w:sz w:val="24"/>
          <w:szCs w:val="24"/>
        </w:rPr>
        <w:lastRenderedPageBreak/>
        <w:t>wandering protagonist to such a state of misery and hardship.</w:t>
      </w:r>
      <w:r w:rsidR="009E5233">
        <w:rPr>
          <w:rStyle w:val="FootnoteReference"/>
          <w:rFonts w:ascii="Times New Roman" w:hAnsi="Times New Roman" w:cs="Times New Roman"/>
          <w:sz w:val="24"/>
          <w:szCs w:val="24"/>
        </w:rPr>
        <w:footnoteReference w:id="23"/>
      </w:r>
      <w:r w:rsidR="00EB3D00">
        <w:rPr>
          <w:rFonts w:ascii="Times New Roman" w:hAnsi="Times New Roman" w:cs="Times New Roman"/>
          <w:sz w:val="24"/>
          <w:szCs w:val="24"/>
        </w:rPr>
        <w:t xml:space="preserve"> </w:t>
      </w:r>
      <w:r w:rsidR="00EC3E83">
        <w:rPr>
          <w:rFonts w:ascii="Times New Roman" w:hAnsi="Times New Roman" w:cs="Times New Roman"/>
          <w:sz w:val="24"/>
          <w:szCs w:val="24"/>
        </w:rPr>
        <w:t>Typically when describing a solitary figure in Anglo Saxon literature they are described as a ‘</w:t>
      </w:r>
      <w:r w:rsidR="00EC3E83">
        <w:rPr>
          <w:rFonts w:ascii="Times New Roman" w:hAnsi="Times New Roman" w:cs="Times New Roman"/>
          <w:i/>
          <w:sz w:val="24"/>
          <w:szCs w:val="24"/>
        </w:rPr>
        <w:t xml:space="preserve">wrecca </w:t>
      </w:r>
      <w:r w:rsidR="00EC3E83">
        <w:rPr>
          <w:rFonts w:ascii="Times New Roman" w:hAnsi="Times New Roman" w:cs="Times New Roman"/>
          <w:sz w:val="24"/>
          <w:szCs w:val="24"/>
        </w:rPr>
        <w:t xml:space="preserve">(exile)’ but there exists multiple types of </w:t>
      </w:r>
      <w:r w:rsidR="00EC3E83">
        <w:rPr>
          <w:rFonts w:ascii="Times New Roman" w:hAnsi="Times New Roman" w:cs="Times New Roman"/>
          <w:i/>
          <w:sz w:val="24"/>
          <w:szCs w:val="24"/>
        </w:rPr>
        <w:t>wreccan.</w:t>
      </w:r>
      <w:r w:rsidR="009E5233">
        <w:rPr>
          <w:rStyle w:val="FootnoteReference"/>
          <w:rFonts w:ascii="Times New Roman" w:hAnsi="Times New Roman" w:cs="Times New Roman"/>
          <w:i/>
          <w:sz w:val="24"/>
          <w:szCs w:val="24"/>
        </w:rPr>
        <w:footnoteReference w:id="24"/>
      </w:r>
      <w:r w:rsidR="00EC3E83">
        <w:rPr>
          <w:rFonts w:ascii="Times New Roman" w:hAnsi="Times New Roman" w:cs="Times New Roman"/>
          <w:i/>
          <w:sz w:val="24"/>
          <w:szCs w:val="24"/>
        </w:rPr>
        <w:t xml:space="preserve"> </w:t>
      </w:r>
      <w:r w:rsidR="00EC3E83">
        <w:rPr>
          <w:rFonts w:ascii="Times New Roman" w:hAnsi="Times New Roman" w:cs="Times New Roman"/>
          <w:sz w:val="24"/>
          <w:szCs w:val="24"/>
        </w:rPr>
        <w:t xml:space="preserve">The solitary </w:t>
      </w:r>
      <w:r w:rsidR="00EC3E83">
        <w:rPr>
          <w:rFonts w:ascii="Times New Roman" w:hAnsi="Times New Roman" w:cs="Times New Roman"/>
          <w:i/>
          <w:sz w:val="24"/>
          <w:szCs w:val="24"/>
        </w:rPr>
        <w:t xml:space="preserve">wrecca </w:t>
      </w:r>
      <w:r w:rsidR="00EC3E83">
        <w:rPr>
          <w:rFonts w:ascii="Times New Roman" w:hAnsi="Times New Roman" w:cs="Times New Roman"/>
          <w:sz w:val="24"/>
          <w:szCs w:val="24"/>
        </w:rPr>
        <w:t>in The Wanderer and T</w:t>
      </w:r>
      <w:r w:rsidR="00C37E8B">
        <w:rPr>
          <w:rFonts w:ascii="Times New Roman" w:hAnsi="Times New Roman" w:cs="Times New Roman"/>
          <w:sz w:val="24"/>
          <w:szCs w:val="24"/>
        </w:rPr>
        <w:t xml:space="preserve">he Seafarer represents one kind, made an exile by virtue of losing their lord and kin to war and is as such an object of pity. There is the kind that flees judgement from shame or punishment and exists as a fugitive as is implied to be the fate of the men who fled from The Battle of Maldon. And then there are the </w:t>
      </w:r>
      <w:r w:rsidR="00C37E8B">
        <w:rPr>
          <w:rFonts w:ascii="Times New Roman" w:hAnsi="Times New Roman" w:cs="Times New Roman"/>
          <w:i/>
          <w:sz w:val="24"/>
          <w:szCs w:val="24"/>
        </w:rPr>
        <w:t xml:space="preserve">wreccan </w:t>
      </w:r>
      <w:r w:rsidR="00C37E8B">
        <w:rPr>
          <w:rFonts w:ascii="Times New Roman" w:hAnsi="Times New Roman" w:cs="Times New Roman"/>
          <w:sz w:val="24"/>
          <w:szCs w:val="24"/>
        </w:rPr>
        <w:t>that by modern standards could well be described as psychopaths</w:t>
      </w:r>
      <w:r w:rsidR="00B67C20">
        <w:rPr>
          <w:rFonts w:ascii="Times New Roman" w:hAnsi="Times New Roman" w:cs="Times New Roman"/>
          <w:sz w:val="24"/>
          <w:szCs w:val="24"/>
        </w:rPr>
        <w:t>, and were naturally considered untrustworthy and objects of fear</w:t>
      </w:r>
      <w:r w:rsidR="0013400A">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25"/>
      </w:r>
      <w:r w:rsidR="0013400A">
        <w:rPr>
          <w:rFonts w:ascii="Times New Roman" w:hAnsi="Times New Roman" w:cs="Times New Roman"/>
          <w:sz w:val="24"/>
          <w:szCs w:val="24"/>
        </w:rPr>
        <w:t xml:space="preserve"> D</w:t>
      </w:r>
      <w:r w:rsidR="00F25588">
        <w:rPr>
          <w:rFonts w:ascii="Times New Roman" w:hAnsi="Times New Roman" w:cs="Times New Roman"/>
          <w:sz w:val="24"/>
          <w:szCs w:val="24"/>
        </w:rPr>
        <w:t xml:space="preserve">riven from their homes because of acts of extreme violence or betrayal whose recklessness and unchecked ambition have the potential to </w:t>
      </w:r>
      <w:r w:rsidR="0013400A">
        <w:rPr>
          <w:rFonts w:ascii="Times New Roman" w:hAnsi="Times New Roman" w:cs="Times New Roman"/>
          <w:sz w:val="24"/>
          <w:szCs w:val="24"/>
        </w:rPr>
        <w:t>bring ruin and disaster, as was the case with Heremod the Danish King who Hrothgar explains brought ‘</w:t>
      </w:r>
      <w:r w:rsidR="00B67C20">
        <w:rPr>
          <w:rFonts w:ascii="Times New Roman" w:hAnsi="Times New Roman" w:cs="Times New Roman"/>
          <w:i/>
          <w:sz w:val="24"/>
          <w:szCs w:val="24"/>
        </w:rPr>
        <w:t xml:space="preserve">wælfealle ond to deaðcwalum Deniga leodum </w:t>
      </w:r>
      <w:r w:rsidR="00B67C20">
        <w:rPr>
          <w:rFonts w:ascii="Times New Roman" w:hAnsi="Times New Roman" w:cs="Times New Roman"/>
          <w:sz w:val="24"/>
          <w:szCs w:val="24"/>
        </w:rPr>
        <w:t>(slaughter and deadly injury to the Danish people).</w:t>
      </w:r>
    </w:p>
    <w:p w:rsidR="00733EBC" w:rsidRDefault="00733EBC" w:rsidP="003D123E">
      <w:pPr>
        <w:spacing w:line="480" w:lineRule="auto"/>
        <w:rPr>
          <w:rFonts w:ascii="Times New Roman" w:hAnsi="Times New Roman" w:cs="Times New Roman"/>
          <w:sz w:val="24"/>
          <w:szCs w:val="24"/>
        </w:rPr>
      </w:pPr>
      <w:r>
        <w:rPr>
          <w:rFonts w:ascii="Times New Roman" w:hAnsi="Times New Roman" w:cs="Times New Roman"/>
          <w:sz w:val="24"/>
          <w:szCs w:val="24"/>
        </w:rPr>
        <w:t>Once again this does not fit particularly well with Christian tradition, with seclusion and the solitary hero being common hallmarks in biblical stories.</w:t>
      </w:r>
      <w:r w:rsidR="00AF4D7E">
        <w:rPr>
          <w:rFonts w:ascii="Times New Roman" w:hAnsi="Times New Roman" w:cs="Times New Roman"/>
          <w:sz w:val="24"/>
          <w:szCs w:val="24"/>
        </w:rPr>
        <w:t xml:space="preserve"> In fact the decision to remove oneself from society was usually a sign of extreme piety</w:t>
      </w:r>
      <w:r w:rsidR="00C26D81">
        <w:rPr>
          <w:rFonts w:ascii="Times New Roman" w:hAnsi="Times New Roman" w:cs="Times New Roman"/>
          <w:sz w:val="24"/>
          <w:szCs w:val="24"/>
        </w:rPr>
        <w:t xml:space="preserve"> such as in the case of hermits and monks</w:t>
      </w:r>
      <w:r w:rsidR="00AF4D7E">
        <w:rPr>
          <w:rFonts w:ascii="Times New Roman" w:hAnsi="Times New Roman" w:cs="Times New Roman"/>
          <w:sz w:val="24"/>
          <w:szCs w:val="24"/>
        </w:rPr>
        <w:t>, the reasoning being that only by renouncing all worldly pursuits and devoting your whole self to worship can you avoid sin and become one with God.</w:t>
      </w:r>
      <w:r w:rsidR="009E5233">
        <w:rPr>
          <w:rStyle w:val="FootnoteReference"/>
          <w:rFonts w:ascii="Times New Roman" w:hAnsi="Times New Roman" w:cs="Times New Roman"/>
          <w:sz w:val="24"/>
          <w:szCs w:val="24"/>
        </w:rPr>
        <w:footnoteReference w:id="26"/>
      </w:r>
      <w:r w:rsidR="00AF4D7E">
        <w:rPr>
          <w:rFonts w:ascii="Times New Roman" w:hAnsi="Times New Roman" w:cs="Times New Roman"/>
          <w:sz w:val="24"/>
          <w:szCs w:val="24"/>
        </w:rPr>
        <w:t xml:space="preserve"> </w:t>
      </w:r>
      <w:r w:rsidR="00D86824">
        <w:rPr>
          <w:rFonts w:ascii="Times New Roman" w:hAnsi="Times New Roman" w:cs="Times New Roman"/>
          <w:sz w:val="24"/>
          <w:szCs w:val="24"/>
        </w:rPr>
        <w:t>This difference in beliefs makes a certain amount of sense when we consider societal differences. The prophets and saints of biblical stories after all exist in a desert society</w:t>
      </w:r>
      <w:r w:rsidR="002D43BC">
        <w:rPr>
          <w:rFonts w:ascii="Times New Roman" w:hAnsi="Times New Roman" w:cs="Times New Roman"/>
          <w:sz w:val="24"/>
          <w:szCs w:val="24"/>
        </w:rPr>
        <w:t>, a large and often harsh environment where it was very easy to seek isolation.</w:t>
      </w:r>
      <w:r w:rsidR="009E5233">
        <w:rPr>
          <w:rStyle w:val="FootnoteReference"/>
          <w:rFonts w:ascii="Times New Roman" w:hAnsi="Times New Roman" w:cs="Times New Roman"/>
          <w:sz w:val="24"/>
          <w:szCs w:val="24"/>
        </w:rPr>
        <w:footnoteReference w:id="27"/>
      </w:r>
      <w:r w:rsidR="002D43BC">
        <w:rPr>
          <w:rFonts w:ascii="Times New Roman" w:hAnsi="Times New Roman" w:cs="Times New Roman"/>
          <w:sz w:val="24"/>
          <w:szCs w:val="24"/>
        </w:rPr>
        <w:t xml:space="preserve"> As such Jesus Christ surviving forty days and nights alone in the desert wilderness becomes a heroic testament to his strength and faith in the Lord.</w:t>
      </w:r>
      <w:r w:rsidR="000C6133">
        <w:rPr>
          <w:rFonts w:ascii="Times New Roman" w:hAnsi="Times New Roman" w:cs="Times New Roman"/>
          <w:sz w:val="24"/>
          <w:szCs w:val="24"/>
        </w:rPr>
        <w:t xml:space="preserve"> Anglo Saxon society on the other hand is </w:t>
      </w:r>
      <w:r w:rsidR="00B67C20">
        <w:rPr>
          <w:rFonts w:ascii="Times New Roman" w:hAnsi="Times New Roman" w:cs="Times New Roman"/>
          <w:sz w:val="24"/>
          <w:szCs w:val="24"/>
        </w:rPr>
        <w:t>presented</w:t>
      </w:r>
      <w:r w:rsidR="000C6133">
        <w:rPr>
          <w:rFonts w:ascii="Times New Roman" w:hAnsi="Times New Roman" w:cs="Times New Roman"/>
          <w:sz w:val="24"/>
          <w:szCs w:val="24"/>
        </w:rPr>
        <w:t xml:space="preserve"> as a time of near </w:t>
      </w:r>
      <w:r w:rsidR="000C6133">
        <w:rPr>
          <w:rFonts w:ascii="Times New Roman" w:hAnsi="Times New Roman" w:cs="Times New Roman"/>
          <w:sz w:val="24"/>
          <w:szCs w:val="24"/>
        </w:rPr>
        <w:lastRenderedPageBreak/>
        <w:t>endless battles between neighbouring kingdoms in a constant struggle for power.</w:t>
      </w:r>
      <w:r w:rsidR="009E5233">
        <w:rPr>
          <w:rStyle w:val="FootnoteReference"/>
          <w:rFonts w:ascii="Times New Roman" w:hAnsi="Times New Roman" w:cs="Times New Roman"/>
          <w:sz w:val="24"/>
          <w:szCs w:val="24"/>
        </w:rPr>
        <w:footnoteReference w:id="28"/>
      </w:r>
      <w:r w:rsidR="000C6133">
        <w:rPr>
          <w:rFonts w:ascii="Times New Roman" w:hAnsi="Times New Roman" w:cs="Times New Roman"/>
          <w:sz w:val="24"/>
          <w:szCs w:val="24"/>
        </w:rPr>
        <w:t xml:space="preserve"> A stranger with no one to vouch for their character is therefore suspect</w:t>
      </w:r>
      <w:r w:rsidR="00B67C20">
        <w:rPr>
          <w:rFonts w:ascii="Times New Roman" w:hAnsi="Times New Roman" w:cs="Times New Roman"/>
          <w:sz w:val="24"/>
          <w:szCs w:val="24"/>
        </w:rPr>
        <w:t xml:space="preserve">, for there is no way of telling if they are the more pitiable kind of </w:t>
      </w:r>
      <w:r w:rsidR="00B67C20" w:rsidRPr="00B67C20">
        <w:rPr>
          <w:rFonts w:ascii="Times New Roman" w:hAnsi="Times New Roman" w:cs="Times New Roman"/>
          <w:i/>
          <w:sz w:val="24"/>
          <w:szCs w:val="24"/>
        </w:rPr>
        <w:t>wrecca</w:t>
      </w:r>
      <w:r w:rsidR="00B67C20">
        <w:rPr>
          <w:rFonts w:ascii="Times New Roman" w:hAnsi="Times New Roman" w:cs="Times New Roman"/>
          <w:sz w:val="24"/>
          <w:szCs w:val="24"/>
        </w:rPr>
        <w:t>, or the infinitely more dangerous psychopathic kind.</w:t>
      </w:r>
    </w:p>
    <w:p w:rsidR="009145F3" w:rsidRDefault="00B67C20"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reasons these </w:t>
      </w:r>
      <w:r>
        <w:rPr>
          <w:rFonts w:ascii="Times New Roman" w:hAnsi="Times New Roman" w:cs="Times New Roman"/>
          <w:i/>
          <w:sz w:val="24"/>
          <w:szCs w:val="24"/>
        </w:rPr>
        <w:t xml:space="preserve">wreccan </w:t>
      </w:r>
      <w:r>
        <w:rPr>
          <w:rFonts w:ascii="Times New Roman" w:hAnsi="Times New Roman" w:cs="Times New Roman"/>
          <w:sz w:val="24"/>
          <w:szCs w:val="24"/>
        </w:rPr>
        <w:t>w</w:t>
      </w:r>
      <w:r w:rsidR="00F86DC9">
        <w:rPr>
          <w:rFonts w:ascii="Times New Roman" w:hAnsi="Times New Roman" w:cs="Times New Roman"/>
          <w:sz w:val="24"/>
          <w:szCs w:val="24"/>
        </w:rPr>
        <w:t>ere considered so suspicious was due to their lack of, or ambiguous loyalties.</w:t>
      </w:r>
      <w:r w:rsidR="009E5233">
        <w:rPr>
          <w:rStyle w:val="FootnoteReference"/>
          <w:rFonts w:ascii="Times New Roman" w:hAnsi="Times New Roman" w:cs="Times New Roman"/>
          <w:sz w:val="24"/>
          <w:szCs w:val="24"/>
        </w:rPr>
        <w:footnoteReference w:id="29"/>
      </w:r>
      <w:r w:rsidR="00F86DC9">
        <w:rPr>
          <w:rFonts w:ascii="Times New Roman" w:hAnsi="Times New Roman" w:cs="Times New Roman"/>
          <w:sz w:val="24"/>
          <w:szCs w:val="24"/>
        </w:rPr>
        <w:t xml:space="preserve"> </w:t>
      </w:r>
      <w:r>
        <w:rPr>
          <w:rFonts w:ascii="Times New Roman" w:hAnsi="Times New Roman" w:cs="Times New Roman"/>
          <w:sz w:val="24"/>
          <w:szCs w:val="24"/>
        </w:rPr>
        <w:t>Grendel</w:t>
      </w:r>
      <w:r w:rsidR="00F86DC9">
        <w:rPr>
          <w:rFonts w:ascii="Times New Roman" w:hAnsi="Times New Roman" w:cs="Times New Roman"/>
          <w:sz w:val="24"/>
          <w:szCs w:val="24"/>
        </w:rPr>
        <w:t xml:space="preserve"> therefore can be described as a </w:t>
      </w:r>
      <w:r w:rsidR="00F86DC9">
        <w:rPr>
          <w:rFonts w:ascii="Times New Roman" w:hAnsi="Times New Roman" w:cs="Times New Roman"/>
          <w:i/>
          <w:sz w:val="24"/>
          <w:szCs w:val="24"/>
        </w:rPr>
        <w:t xml:space="preserve">wrecca </w:t>
      </w:r>
      <w:r w:rsidR="00F86DC9">
        <w:rPr>
          <w:rFonts w:ascii="Times New Roman" w:hAnsi="Times New Roman" w:cs="Times New Roman"/>
          <w:sz w:val="24"/>
          <w:szCs w:val="24"/>
        </w:rPr>
        <w:t>due to not only his repeated slaughter of the Danes but also because he holds no allegiance to anyone, in fact he</w:t>
      </w:r>
      <w:r>
        <w:rPr>
          <w:rFonts w:ascii="Times New Roman" w:hAnsi="Times New Roman" w:cs="Times New Roman"/>
          <w:sz w:val="24"/>
          <w:szCs w:val="24"/>
        </w:rPr>
        <w:t xml:space="preserve"> is described as prowling the borderlands </w:t>
      </w:r>
      <w:r w:rsidR="00F86DC9">
        <w:rPr>
          <w:rFonts w:ascii="Times New Roman" w:hAnsi="Times New Roman" w:cs="Times New Roman"/>
          <w:sz w:val="24"/>
          <w:szCs w:val="24"/>
        </w:rPr>
        <w:t xml:space="preserve">alone </w:t>
      </w:r>
      <w:r>
        <w:rPr>
          <w:rFonts w:ascii="Times New Roman" w:hAnsi="Times New Roman" w:cs="Times New Roman"/>
          <w:sz w:val="24"/>
          <w:szCs w:val="24"/>
        </w:rPr>
        <w:t>and ‘</w:t>
      </w:r>
      <w:r>
        <w:rPr>
          <w:rFonts w:ascii="Times New Roman" w:hAnsi="Times New Roman" w:cs="Times New Roman"/>
          <w:i/>
          <w:sz w:val="24"/>
          <w:szCs w:val="24"/>
        </w:rPr>
        <w:t xml:space="preserve">sibbe ne wolde </w:t>
      </w:r>
      <w:r>
        <w:rPr>
          <w:rFonts w:ascii="Times New Roman" w:hAnsi="Times New Roman" w:cs="Times New Roman"/>
          <w:sz w:val="24"/>
          <w:szCs w:val="24"/>
        </w:rPr>
        <w:t>(wanting no friendship)’.</w:t>
      </w:r>
      <w:r w:rsidR="0052734C">
        <w:rPr>
          <w:rFonts w:ascii="Times New Roman" w:hAnsi="Times New Roman" w:cs="Times New Roman"/>
          <w:sz w:val="24"/>
          <w:szCs w:val="24"/>
        </w:rPr>
        <w:t xml:space="preserve"> This emphasis on the importance of loyalty is actually a common feature of Christian belief as well.</w:t>
      </w:r>
      <w:r w:rsidR="000D6D7D">
        <w:rPr>
          <w:rFonts w:ascii="Times New Roman" w:hAnsi="Times New Roman" w:cs="Times New Roman"/>
          <w:sz w:val="24"/>
          <w:szCs w:val="24"/>
        </w:rPr>
        <w:t xml:space="preserve"> In both Christian and pre-Christian heroic culture one of the key identifiers of a hero was his loyalty, not only to his kin but often to a higher power such as a king. </w:t>
      </w:r>
      <w:r w:rsidR="000D228F">
        <w:rPr>
          <w:rFonts w:ascii="Times New Roman" w:hAnsi="Times New Roman" w:cs="Times New Roman"/>
          <w:sz w:val="24"/>
          <w:szCs w:val="24"/>
        </w:rPr>
        <w:t>God or Jesus Christ is referred to by many names in Anglo Saxon literature, one of which was King of Kings and Lord of Lords. For the thanes and warriors who already understood the principle of loyalty to a human lord therefore, it was a simple process to understand the principle of loyalty to a spiritual Lord as well.</w:t>
      </w:r>
      <w:r w:rsidR="009E5233">
        <w:rPr>
          <w:rStyle w:val="FootnoteReference"/>
          <w:rFonts w:ascii="Times New Roman" w:hAnsi="Times New Roman" w:cs="Times New Roman"/>
          <w:sz w:val="24"/>
          <w:szCs w:val="24"/>
        </w:rPr>
        <w:footnoteReference w:id="30"/>
      </w:r>
      <w:r w:rsidR="00BE1FCA">
        <w:rPr>
          <w:rFonts w:ascii="Times New Roman" w:hAnsi="Times New Roman" w:cs="Times New Roman"/>
          <w:sz w:val="24"/>
          <w:szCs w:val="24"/>
        </w:rPr>
        <w:t xml:space="preserve"> In fact if one’s lord was already a Christian, nothing need change at all for loyalty to </w:t>
      </w:r>
      <w:r w:rsidR="00BE1FCA" w:rsidRPr="00BE1FCA">
        <w:rPr>
          <w:rFonts w:ascii="Times New Roman" w:hAnsi="Times New Roman" w:cs="Times New Roman"/>
          <w:i/>
          <w:sz w:val="24"/>
          <w:szCs w:val="24"/>
        </w:rPr>
        <w:t>one’s</w:t>
      </w:r>
      <w:r w:rsidR="00827187">
        <w:rPr>
          <w:rFonts w:ascii="Times New Roman" w:hAnsi="Times New Roman" w:cs="Times New Roman"/>
          <w:sz w:val="24"/>
          <w:szCs w:val="24"/>
        </w:rPr>
        <w:t xml:space="preserve"> lord automatically beca</w:t>
      </w:r>
      <w:r w:rsidR="00BE1FCA">
        <w:rPr>
          <w:rFonts w:ascii="Times New Roman" w:hAnsi="Times New Roman" w:cs="Times New Roman"/>
          <w:sz w:val="24"/>
          <w:szCs w:val="24"/>
        </w:rPr>
        <w:t xml:space="preserve">me loyalty to </w:t>
      </w:r>
      <w:r w:rsidR="00BE1FCA">
        <w:rPr>
          <w:rFonts w:ascii="Times New Roman" w:hAnsi="Times New Roman" w:cs="Times New Roman"/>
          <w:i/>
          <w:sz w:val="24"/>
          <w:szCs w:val="24"/>
        </w:rPr>
        <w:t xml:space="preserve">the </w:t>
      </w:r>
      <w:r w:rsidR="00BE1FCA">
        <w:rPr>
          <w:rFonts w:ascii="Times New Roman" w:hAnsi="Times New Roman" w:cs="Times New Roman"/>
          <w:sz w:val="24"/>
          <w:szCs w:val="24"/>
        </w:rPr>
        <w:t>Lord as well.</w:t>
      </w:r>
      <w:r w:rsidR="009E5233">
        <w:rPr>
          <w:rStyle w:val="FootnoteReference"/>
          <w:rFonts w:ascii="Times New Roman" w:hAnsi="Times New Roman" w:cs="Times New Roman"/>
          <w:sz w:val="24"/>
          <w:szCs w:val="24"/>
        </w:rPr>
        <w:footnoteReference w:id="31"/>
      </w:r>
      <w:r w:rsidR="00827187">
        <w:rPr>
          <w:rFonts w:ascii="Times New Roman" w:hAnsi="Times New Roman" w:cs="Times New Roman"/>
          <w:sz w:val="24"/>
          <w:szCs w:val="24"/>
        </w:rPr>
        <w:t xml:space="preserve"> </w:t>
      </w:r>
      <w:r w:rsidR="00CA1870">
        <w:rPr>
          <w:rFonts w:ascii="Times New Roman" w:hAnsi="Times New Roman" w:cs="Times New Roman"/>
          <w:sz w:val="24"/>
          <w:szCs w:val="24"/>
        </w:rPr>
        <w:t>We can see a literal version of this in Dream of the Rood where as part of the personification of the Rood, it expresses its wish to inflict violence on Christ’s enemies but ultimately remains obedient to its lord’s will.</w:t>
      </w:r>
    </w:p>
    <w:p w:rsidR="00B67C20" w:rsidRDefault="000D4FDD"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Consequently if in Anglo Saxon society there were instances of tension between the duties of loyalty between a retainer and their lord and loyalty to God, it is not something that is reflected in Anglo Saxon literature which neatly sidesteps the issue by couching their </w:t>
      </w:r>
      <w:r>
        <w:rPr>
          <w:rFonts w:ascii="Times New Roman" w:hAnsi="Times New Roman" w:cs="Times New Roman"/>
          <w:sz w:val="24"/>
          <w:szCs w:val="24"/>
        </w:rPr>
        <w:lastRenderedPageBreak/>
        <w:t>otherwise pagan heroes in Christian terms</w:t>
      </w:r>
      <w:r w:rsidR="009145F3">
        <w:rPr>
          <w:rFonts w:ascii="Times New Roman" w:hAnsi="Times New Roman" w:cs="Times New Roman"/>
          <w:sz w:val="24"/>
          <w:szCs w:val="24"/>
        </w:rPr>
        <w:t xml:space="preserve">. Such as in the case of Beowulf who despite being a product of pre-Christian culture, even </w:t>
      </w:r>
      <w:r w:rsidR="00A70785">
        <w:rPr>
          <w:rFonts w:ascii="Times New Roman" w:hAnsi="Times New Roman" w:cs="Times New Roman"/>
          <w:sz w:val="24"/>
          <w:szCs w:val="24"/>
        </w:rPr>
        <w:t xml:space="preserve">described as bearing the boar crest on his helmet which was an animal deemed sacred to the Vanir, the Germanic and Norse fertility gods, makes repeated references to </w:t>
      </w:r>
      <w:r w:rsidR="00A70785">
        <w:rPr>
          <w:rFonts w:ascii="Times New Roman" w:hAnsi="Times New Roman" w:cs="Times New Roman"/>
          <w:i/>
          <w:sz w:val="24"/>
          <w:szCs w:val="24"/>
        </w:rPr>
        <w:t xml:space="preserve">‘witig God, halig Dryhten </w:t>
      </w:r>
      <w:r w:rsidR="00A70785">
        <w:rPr>
          <w:rFonts w:ascii="Times New Roman" w:hAnsi="Times New Roman" w:cs="Times New Roman"/>
          <w:sz w:val="24"/>
          <w:szCs w:val="24"/>
        </w:rPr>
        <w:t>(wise God, holy Lord)’</w:t>
      </w:r>
      <w:r w:rsidR="00A70785">
        <w:rPr>
          <w:rFonts w:ascii="Times New Roman" w:hAnsi="Times New Roman" w:cs="Times New Roman"/>
          <w:i/>
          <w:sz w:val="24"/>
          <w:szCs w:val="24"/>
        </w:rPr>
        <w:t xml:space="preserve"> </w:t>
      </w:r>
      <w:r w:rsidR="00A70785" w:rsidRPr="00A70785">
        <w:rPr>
          <w:rFonts w:ascii="Times New Roman" w:hAnsi="Times New Roman" w:cs="Times New Roman"/>
          <w:sz w:val="24"/>
          <w:szCs w:val="24"/>
        </w:rPr>
        <w:t>and</w:t>
      </w:r>
      <w:r w:rsidR="00A70785">
        <w:rPr>
          <w:rFonts w:ascii="Times New Roman" w:hAnsi="Times New Roman" w:cs="Times New Roman"/>
          <w:i/>
          <w:sz w:val="24"/>
          <w:szCs w:val="24"/>
        </w:rPr>
        <w:t xml:space="preserve"> ‘heofone </w:t>
      </w:r>
      <w:r w:rsidR="00A70785">
        <w:rPr>
          <w:rFonts w:ascii="Times New Roman" w:hAnsi="Times New Roman" w:cs="Times New Roman"/>
          <w:sz w:val="24"/>
          <w:szCs w:val="24"/>
        </w:rPr>
        <w:t>(heaven)’.</w:t>
      </w:r>
    </w:p>
    <w:p w:rsidR="00E219D2" w:rsidRDefault="00E219D2" w:rsidP="003D123E">
      <w:pPr>
        <w:spacing w:line="480" w:lineRule="auto"/>
        <w:rPr>
          <w:rFonts w:ascii="Times New Roman" w:hAnsi="Times New Roman" w:cs="Times New Roman"/>
          <w:sz w:val="24"/>
          <w:szCs w:val="24"/>
        </w:rPr>
      </w:pPr>
      <w:r>
        <w:rPr>
          <w:rFonts w:ascii="Times New Roman" w:hAnsi="Times New Roman" w:cs="Times New Roman"/>
          <w:sz w:val="24"/>
          <w:szCs w:val="24"/>
        </w:rPr>
        <w:t>Loyalty is not the only shared commonality between Christian and heroic ideals however. Another component that belongs to both cultures is the idea that heroes are unique because they exist somewhere in the realm of being more than mortal but lower than gods.</w:t>
      </w:r>
      <w:r w:rsidR="009E5233">
        <w:rPr>
          <w:rStyle w:val="FootnoteReference"/>
          <w:rFonts w:ascii="Times New Roman" w:hAnsi="Times New Roman" w:cs="Times New Roman"/>
          <w:sz w:val="24"/>
          <w:szCs w:val="24"/>
        </w:rPr>
        <w:footnoteReference w:id="32"/>
      </w:r>
      <w:r w:rsidR="00D0217C">
        <w:rPr>
          <w:rFonts w:ascii="Times New Roman" w:hAnsi="Times New Roman" w:cs="Times New Roman"/>
          <w:sz w:val="24"/>
          <w:szCs w:val="24"/>
        </w:rPr>
        <w:t xml:space="preserve"> In many ways akin to the demi-gods that populate so much of Greek mythology.</w:t>
      </w:r>
      <w:r w:rsidR="005438A0">
        <w:rPr>
          <w:rFonts w:ascii="Times New Roman" w:hAnsi="Times New Roman" w:cs="Times New Roman"/>
          <w:sz w:val="24"/>
          <w:szCs w:val="24"/>
        </w:rPr>
        <w:t xml:space="preserve"> Beowulf is shown to have superhuman strength when he tears Grendel’s arm off with his bare hands, and repeatedly survives situations that would otherwise prove fatal to mortal men. In his final battle against the dragon</w:t>
      </w:r>
      <w:r w:rsidR="00470D99">
        <w:rPr>
          <w:rFonts w:ascii="Times New Roman" w:hAnsi="Times New Roman" w:cs="Times New Roman"/>
          <w:sz w:val="24"/>
          <w:szCs w:val="24"/>
        </w:rPr>
        <w:t>, Beowulf is wounded grievously when the dragon ‘</w:t>
      </w:r>
      <w:r w:rsidR="00470D99">
        <w:rPr>
          <w:rFonts w:ascii="Times New Roman" w:hAnsi="Times New Roman" w:cs="Times New Roman"/>
          <w:i/>
          <w:sz w:val="24"/>
          <w:szCs w:val="24"/>
        </w:rPr>
        <w:t xml:space="preserve">heals ealne ymbefeng biteran banum </w:t>
      </w:r>
      <w:r w:rsidR="00470D99">
        <w:rPr>
          <w:rFonts w:ascii="Times New Roman" w:hAnsi="Times New Roman" w:cs="Times New Roman"/>
          <w:sz w:val="24"/>
          <w:szCs w:val="24"/>
        </w:rPr>
        <w:t>(clenched his entire neck between sharp tusks)’, but despite this near decapitation he fights on. Ultimately it is the poison in the dragon’s bite that spells Beowulf’s doom, not merely the exsanguination.</w:t>
      </w:r>
    </w:p>
    <w:p w:rsidR="0088715B" w:rsidRDefault="00BF6D88"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Jesus </w:t>
      </w:r>
      <w:r w:rsidR="00A52AEC">
        <w:rPr>
          <w:rFonts w:ascii="Times New Roman" w:hAnsi="Times New Roman" w:cs="Times New Roman"/>
          <w:sz w:val="24"/>
          <w:szCs w:val="24"/>
        </w:rPr>
        <w:t>Christ and the anthropomorphic R</w:t>
      </w:r>
      <w:r>
        <w:rPr>
          <w:rFonts w:ascii="Times New Roman" w:hAnsi="Times New Roman" w:cs="Times New Roman"/>
          <w:sz w:val="24"/>
          <w:szCs w:val="24"/>
        </w:rPr>
        <w:t>ood in Dream of the Rood also have a kind of supernatural strength, though in this case it is less to do with physical strength so much as strength of conviction</w:t>
      </w:r>
      <w:r w:rsidR="00DE422E">
        <w:rPr>
          <w:rFonts w:ascii="Times New Roman" w:hAnsi="Times New Roman" w:cs="Times New Roman"/>
          <w:sz w:val="24"/>
          <w:szCs w:val="24"/>
        </w:rPr>
        <w:t xml:space="preserve"> as they endure the pain of the crucifixion with the stoicism befitting </w:t>
      </w:r>
      <w:r w:rsidR="00DA4327">
        <w:rPr>
          <w:rFonts w:ascii="Times New Roman" w:hAnsi="Times New Roman" w:cs="Times New Roman"/>
          <w:sz w:val="24"/>
          <w:szCs w:val="24"/>
        </w:rPr>
        <w:t>true Anglo Saxon heroes</w:t>
      </w:r>
      <w:r w:rsidR="00DE422E">
        <w:rPr>
          <w:rFonts w:ascii="Times New Roman" w:hAnsi="Times New Roman" w:cs="Times New Roman"/>
          <w:sz w:val="24"/>
          <w:szCs w:val="24"/>
        </w:rPr>
        <w:t>.</w:t>
      </w:r>
      <w:r w:rsidR="00754019">
        <w:rPr>
          <w:rFonts w:ascii="Times New Roman" w:hAnsi="Times New Roman" w:cs="Times New Roman"/>
          <w:sz w:val="24"/>
          <w:szCs w:val="24"/>
        </w:rPr>
        <w:t xml:space="preserve"> Stoicism being another ideal of heroic culture as shown in The Wanderer who despite his many misfortunes is prevented from bemoaning them to another by the heroic code.</w:t>
      </w:r>
      <w:r w:rsidR="00DA4327">
        <w:rPr>
          <w:rFonts w:ascii="Times New Roman" w:hAnsi="Times New Roman" w:cs="Times New Roman"/>
          <w:sz w:val="24"/>
          <w:szCs w:val="24"/>
        </w:rPr>
        <w:t xml:space="preserve"> They also share the same near invulnerability of Beowulf, </w:t>
      </w:r>
      <w:r w:rsidR="00A52AEC">
        <w:rPr>
          <w:rFonts w:ascii="Times New Roman" w:hAnsi="Times New Roman" w:cs="Times New Roman"/>
          <w:sz w:val="24"/>
          <w:szCs w:val="24"/>
        </w:rPr>
        <w:t>surviving seemingly impossible ordeals. For although Jesus and the Rood succumb to death just as Beowulf does, they ultimately survive by way of resurrection.</w:t>
      </w:r>
    </w:p>
    <w:p w:rsidR="007C17F2" w:rsidRDefault="00C2529C" w:rsidP="003D123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Though the definition of a hero has changed and broadened throughout history, bravery, sometimes to the point of arrogance has always </w:t>
      </w:r>
      <w:r w:rsidR="00A42D59">
        <w:rPr>
          <w:rFonts w:ascii="Times New Roman" w:hAnsi="Times New Roman" w:cs="Times New Roman"/>
          <w:sz w:val="24"/>
          <w:szCs w:val="24"/>
        </w:rPr>
        <w:t>been part of it.</w:t>
      </w:r>
      <w:r w:rsidR="009E5233">
        <w:rPr>
          <w:rStyle w:val="FootnoteReference"/>
          <w:rFonts w:ascii="Times New Roman" w:hAnsi="Times New Roman" w:cs="Times New Roman"/>
          <w:sz w:val="24"/>
          <w:szCs w:val="24"/>
        </w:rPr>
        <w:footnoteReference w:id="33"/>
      </w:r>
      <w:r w:rsidR="00A42D59">
        <w:rPr>
          <w:rFonts w:ascii="Times New Roman" w:hAnsi="Times New Roman" w:cs="Times New Roman"/>
          <w:sz w:val="24"/>
          <w:szCs w:val="24"/>
        </w:rPr>
        <w:t xml:space="preserve"> Most often this is showcased in a scene wh</w:t>
      </w:r>
      <w:r w:rsidR="00DA66B3">
        <w:rPr>
          <w:rFonts w:ascii="Times New Roman" w:hAnsi="Times New Roman" w:cs="Times New Roman"/>
          <w:sz w:val="24"/>
          <w:szCs w:val="24"/>
        </w:rPr>
        <w:t>ere the consequences of failure may prove fatal,</w:t>
      </w:r>
      <w:r w:rsidR="00A42D59">
        <w:rPr>
          <w:rFonts w:ascii="Times New Roman" w:hAnsi="Times New Roman" w:cs="Times New Roman"/>
          <w:sz w:val="24"/>
          <w:szCs w:val="24"/>
        </w:rPr>
        <w:t xml:space="preserve"> and Christian and pre-Christian heroism is no exception. Jesus, the Rood, </w:t>
      </w:r>
      <w:r w:rsidR="00DA66B3">
        <w:rPr>
          <w:rFonts w:ascii="Times New Roman" w:hAnsi="Times New Roman" w:cs="Times New Roman"/>
          <w:sz w:val="24"/>
          <w:szCs w:val="24"/>
        </w:rPr>
        <w:t xml:space="preserve">Byrhtnoth and his men, </w:t>
      </w:r>
      <w:r w:rsidR="00A42D59">
        <w:rPr>
          <w:rFonts w:ascii="Times New Roman" w:hAnsi="Times New Roman" w:cs="Times New Roman"/>
          <w:sz w:val="24"/>
          <w:szCs w:val="24"/>
        </w:rPr>
        <w:t xml:space="preserve">and </w:t>
      </w:r>
      <w:r w:rsidR="00DA66B3">
        <w:rPr>
          <w:rFonts w:ascii="Times New Roman" w:hAnsi="Times New Roman" w:cs="Times New Roman"/>
          <w:sz w:val="24"/>
          <w:szCs w:val="24"/>
        </w:rPr>
        <w:t xml:space="preserve">finally </w:t>
      </w:r>
      <w:r w:rsidR="00A42D59">
        <w:rPr>
          <w:rFonts w:ascii="Times New Roman" w:hAnsi="Times New Roman" w:cs="Times New Roman"/>
          <w:sz w:val="24"/>
          <w:szCs w:val="24"/>
        </w:rPr>
        <w:t xml:space="preserve">Beowulf </w:t>
      </w:r>
      <w:r w:rsidR="00DA66B3">
        <w:rPr>
          <w:rFonts w:ascii="Times New Roman" w:hAnsi="Times New Roman" w:cs="Times New Roman"/>
          <w:sz w:val="24"/>
          <w:szCs w:val="24"/>
        </w:rPr>
        <w:t xml:space="preserve">himself </w:t>
      </w:r>
      <w:r w:rsidR="00A42D59">
        <w:rPr>
          <w:rFonts w:ascii="Times New Roman" w:hAnsi="Times New Roman" w:cs="Times New Roman"/>
          <w:sz w:val="24"/>
          <w:szCs w:val="24"/>
        </w:rPr>
        <w:t>each face their deaths with immense bravery</w:t>
      </w:r>
      <w:r w:rsidR="00DA66B3">
        <w:rPr>
          <w:rFonts w:ascii="Times New Roman" w:hAnsi="Times New Roman" w:cs="Times New Roman"/>
          <w:sz w:val="24"/>
          <w:szCs w:val="24"/>
        </w:rPr>
        <w:t xml:space="preserve"> in their respective stories</w:t>
      </w:r>
      <w:r w:rsidR="00A025C3">
        <w:rPr>
          <w:rFonts w:ascii="Times New Roman" w:hAnsi="Times New Roman" w:cs="Times New Roman"/>
          <w:sz w:val="24"/>
          <w:szCs w:val="24"/>
        </w:rPr>
        <w:t>. In fact the concept of courage even in the face of death was so important to heroic code that it was seen as a man’s duty to strive for glory in battle even when victory is an impossibility.</w:t>
      </w:r>
      <w:r w:rsidR="009E5233">
        <w:rPr>
          <w:rStyle w:val="FootnoteReference"/>
          <w:rFonts w:ascii="Times New Roman" w:hAnsi="Times New Roman" w:cs="Times New Roman"/>
          <w:sz w:val="24"/>
          <w:szCs w:val="24"/>
        </w:rPr>
        <w:footnoteReference w:id="34"/>
      </w:r>
      <w:r w:rsidR="00A025C3">
        <w:rPr>
          <w:rFonts w:ascii="Times New Roman" w:hAnsi="Times New Roman" w:cs="Times New Roman"/>
          <w:sz w:val="24"/>
          <w:szCs w:val="24"/>
        </w:rPr>
        <w:t xml:space="preserve"> We can see this once again in Beowulf’s final fight against the dragon when he chooses to battle it alone, without the aid of his men, even knowing that it will likely bring about his doom.</w:t>
      </w:r>
    </w:p>
    <w:p w:rsidR="00CF5E7B" w:rsidRDefault="009431A3" w:rsidP="003D123E">
      <w:pPr>
        <w:spacing w:line="480" w:lineRule="auto"/>
        <w:rPr>
          <w:rFonts w:ascii="Times New Roman" w:hAnsi="Times New Roman" w:cs="Times New Roman"/>
          <w:sz w:val="24"/>
          <w:szCs w:val="24"/>
        </w:rPr>
      </w:pPr>
      <w:r>
        <w:rPr>
          <w:rFonts w:ascii="Times New Roman" w:hAnsi="Times New Roman" w:cs="Times New Roman"/>
          <w:sz w:val="24"/>
          <w:szCs w:val="24"/>
        </w:rPr>
        <w:t>But even with such impossible odds, some hope does remain for as Beowulf says himself ‘</w:t>
      </w:r>
      <w:r>
        <w:rPr>
          <w:rFonts w:ascii="Times New Roman" w:hAnsi="Times New Roman" w:cs="Times New Roman"/>
          <w:i/>
          <w:sz w:val="24"/>
          <w:szCs w:val="24"/>
        </w:rPr>
        <w:t xml:space="preserve">wyrd oft nereð unfægne eorl, þonne his ellen deah </w:t>
      </w:r>
      <w:r>
        <w:rPr>
          <w:rFonts w:ascii="Times New Roman" w:hAnsi="Times New Roman" w:cs="Times New Roman"/>
          <w:sz w:val="24"/>
          <w:szCs w:val="24"/>
        </w:rPr>
        <w:t>(fate will often spare a man not yet destined for death, when his courage is good)’. This brings us to another shared concept of Christian and pre-Christian cultures, the idea that our lives are ultimately ruled by fate, or as the Christians describe it god’s will.</w:t>
      </w:r>
      <w:r w:rsidR="004C538B">
        <w:rPr>
          <w:rFonts w:ascii="Times New Roman" w:hAnsi="Times New Roman" w:cs="Times New Roman"/>
          <w:sz w:val="24"/>
          <w:szCs w:val="24"/>
        </w:rPr>
        <w:t xml:space="preserve"> Fate</w:t>
      </w:r>
      <w:r w:rsidR="00F67AC5">
        <w:rPr>
          <w:rFonts w:ascii="Times New Roman" w:hAnsi="Times New Roman" w:cs="Times New Roman"/>
          <w:sz w:val="24"/>
          <w:szCs w:val="24"/>
        </w:rPr>
        <w:t xml:space="preserve"> or </w:t>
      </w:r>
      <w:r w:rsidR="00F67AC5">
        <w:rPr>
          <w:rFonts w:ascii="Times New Roman" w:hAnsi="Times New Roman" w:cs="Times New Roman"/>
          <w:i/>
          <w:sz w:val="24"/>
          <w:szCs w:val="24"/>
        </w:rPr>
        <w:t xml:space="preserve">wyrd </w:t>
      </w:r>
      <w:r w:rsidR="00F67AC5">
        <w:rPr>
          <w:rFonts w:ascii="Times New Roman" w:hAnsi="Times New Roman" w:cs="Times New Roman"/>
          <w:sz w:val="24"/>
          <w:szCs w:val="24"/>
        </w:rPr>
        <w:t>as it exists in Old English,</w:t>
      </w:r>
      <w:r w:rsidR="004C538B">
        <w:rPr>
          <w:rFonts w:ascii="Times New Roman" w:hAnsi="Times New Roman" w:cs="Times New Roman"/>
          <w:sz w:val="24"/>
          <w:szCs w:val="24"/>
        </w:rPr>
        <w:t xml:space="preserve"> is uncertain and beyond the reach of mortals, even the semi-mortal hero. Instead it exists in the realm of a higher power as stated in The Battle of Maldon when Byrhtnoth declares that ‘</w:t>
      </w:r>
      <w:r w:rsidR="004C538B">
        <w:rPr>
          <w:rFonts w:ascii="Times New Roman" w:hAnsi="Times New Roman" w:cs="Times New Roman"/>
          <w:i/>
          <w:sz w:val="24"/>
          <w:szCs w:val="24"/>
        </w:rPr>
        <w:t xml:space="preserve">God ana wat hwa þære wælstowe wealdan mote </w:t>
      </w:r>
      <w:r w:rsidR="004C538B">
        <w:rPr>
          <w:rFonts w:ascii="Times New Roman" w:hAnsi="Times New Roman" w:cs="Times New Roman"/>
          <w:sz w:val="24"/>
          <w:szCs w:val="24"/>
        </w:rPr>
        <w:t>(God alone knows who will be able to control this battlefield/place of slaughter)’.</w:t>
      </w:r>
      <w:r w:rsidR="00F67AC5">
        <w:rPr>
          <w:rFonts w:ascii="Times New Roman" w:hAnsi="Times New Roman" w:cs="Times New Roman"/>
          <w:sz w:val="24"/>
          <w:szCs w:val="24"/>
        </w:rPr>
        <w:t xml:space="preserve"> </w:t>
      </w:r>
    </w:p>
    <w:p w:rsidR="00754019" w:rsidRDefault="00BD70BE" w:rsidP="003D123E">
      <w:pPr>
        <w:spacing w:line="480" w:lineRule="auto"/>
        <w:rPr>
          <w:rFonts w:ascii="Times New Roman" w:hAnsi="Times New Roman" w:cs="Times New Roman"/>
          <w:sz w:val="24"/>
          <w:szCs w:val="24"/>
        </w:rPr>
      </w:pPr>
      <w:r>
        <w:rPr>
          <w:rFonts w:ascii="Times New Roman" w:hAnsi="Times New Roman" w:cs="Times New Roman"/>
          <w:sz w:val="24"/>
          <w:szCs w:val="24"/>
        </w:rPr>
        <w:t>Beowulf also gives us the quote ‘</w:t>
      </w:r>
      <w:r>
        <w:rPr>
          <w:rFonts w:ascii="Times New Roman" w:hAnsi="Times New Roman" w:cs="Times New Roman"/>
          <w:i/>
          <w:sz w:val="24"/>
          <w:szCs w:val="24"/>
        </w:rPr>
        <w:t xml:space="preserve">gæð a wyrd swa hio scell </w:t>
      </w:r>
      <w:r>
        <w:rPr>
          <w:rFonts w:ascii="Times New Roman" w:hAnsi="Times New Roman" w:cs="Times New Roman"/>
          <w:sz w:val="24"/>
          <w:szCs w:val="24"/>
        </w:rPr>
        <w:t>(fate will always go as it must)’, b</w:t>
      </w:r>
      <w:r w:rsidR="00F67AC5">
        <w:rPr>
          <w:rFonts w:ascii="Times New Roman" w:hAnsi="Times New Roman" w:cs="Times New Roman"/>
          <w:sz w:val="24"/>
          <w:szCs w:val="24"/>
        </w:rPr>
        <w:t xml:space="preserve">ut </w:t>
      </w:r>
      <w:r w:rsidR="00F67AC5">
        <w:rPr>
          <w:rFonts w:ascii="Times New Roman" w:hAnsi="Times New Roman" w:cs="Times New Roman"/>
          <w:i/>
          <w:sz w:val="24"/>
          <w:szCs w:val="24"/>
        </w:rPr>
        <w:t xml:space="preserve">wyrd </w:t>
      </w:r>
      <w:r w:rsidR="001C34C2">
        <w:rPr>
          <w:rFonts w:ascii="Times New Roman" w:hAnsi="Times New Roman" w:cs="Times New Roman"/>
          <w:sz w:val="24"/>
          <w:szCs w:val="24"/>
        </w:rPr>
        <w:t xml:space="preserve">is not inevitable. </w:t>
      </w:r>
      <w:r>
        <w:rPr>
          <w:rFonts w:ascii="Times New Roman" w:hAnsi="Times New Roman" w:cs="Times New Roman"/>
          <w:sz w:val="24"/>
          <w:szCs w:val="24"/>
        </w:rPr>
        <w:t>For a</w:t>
      </w:r>
      <w:r w:rsidR="00F67AC5">
        <w:rPr>
          <w:rFonts w:ascii="Times New Roman" w:hAnsi="Times New Roman" w:cs="Times New Roman"/>
          <w:sz w:val="24"/>
          <w:szCs w:val="24"/>
        </w:rPr>
        <w:t xml:space="preserve">s Beowulf’s </w:t>
      </w:r>
      <w:r>
        <w:rPr>
          <w:rFonts w:ascii="Times New Roman" w:hAnsi="Times New Roman" w:cs="Times New Roman"/>
          <w:sz w:val="24"/>
          <w:szCs w:val="24"/>
        </w:rPr>
        <w:t xml:space="preserve">previous </w:t>
      </w:r>
      <w:r w:rsidR="00F67AC5">
        <w:rPr>
          <w:rFonts w:ascii="Times New Roman" w:hAnsi="Times New Roman" w:cs="Times New Roman"/>
          <w:sz w:val="24"/>
          <w:szCs w:val="24"/>
        </w:rPr>
        <w:t>statement suggests,</w:t>
      </w:r>
      <w:r w:rsidR="001C34C2">
        <w:rPr>
          <w:rFonts w:ascii="Times New Roman" w:hAnsi="Times New Roman" w:cs="Times New Roman"/>
          <w:sz w:val="24"/>
          <w:szCs w:val="24"/>
        </w:rPr>
        <w:t xml:space="preserve"> so long as a man is not doomed, adherence to the heroic</w:t>
      </w:r>
      <w:r w:rsidR="005A2101">
        <w:rPr>
          <w:rFonts w:ascii="Times New Roman" w:hAnsi="Times New Roman" w:cs="Times New Roman"/>
          <w:sz w:val="24"/>
          <w:szCs w:val="24"/>
        </w:rPr>
        <w:t xml:space="preserve"> code or for the Christian hero</w:t>
      </w:r>
      <w:r w:rsidR="001C34C2">
        <w:rPr>
          <w:rFonts w:ascii="Times New Roman" w:hAnsi="Times New Roman" w:cs="Times New Roman"/>
          <w:sz w:val="24"/>
          <w:szCs w:val="24"/>
        </w:rPr>
        <w:t xml:space="preserve"> faith in God</w:t>
      </w:r>
      <w:r w:rsidR="005A2101">
        <w:rPr>
          <w:rFonts w:ascii="Times New Roman" w:hAnsi="Times New Roman" w:cs="Times New Roman"/>
          <w:sz w:val="24"/>
          <w:szCs w:val="24"/>
        </w:rPr>
        <w:t>,</w:t>
      </w:r>
      <w:r w:rsidR="001C34C2">
        <w:rPr>
          <w:rFonts w:ascii="Times New Roman" w:hAnsi="Times New Roman" w:cs="Times New Roman"/>
          <w:sz w:val="24"/>
          <w:szCs w:val="24"/>
        </w:rPr>
        <w:t xml:space="preserve"> can be enough to change one’s fate to allow for victory.</w:t>
      </w:r>
    </w:p>
    <w:p w:rsidR="00BD70BE" w:rsidRDefault="00BD70BE" w:rsidP="003D123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Along with fate, the number three has great significance in Anglo Saxon literature despite its significance to the religious aspects of Christian and pre-Chri</w:t>
      </w:r>
      <w:r w:rsidR="00CD75F9">
        <w:rPr>
          <w:rFonts w:ascii="Times New Roman" w:hAnsi="Times New Roman" w:cs="Times New Roman"/>
          <w:sz w:val="24"/>
          <w:szCs w:val="24"/>
        </w:rPr>
        <w:t>stian culture which otherwise are</w:t>
      </w:r>
      <w:r>
        <w:rPr>
          <w:rFonts w:ascii="Times New Roman" w:hAnsi="Times New Roman" w:cs="Times New Roman"/>
          <w:sz w:val="24"/>
          <w:szCs w:val="24"/>
        </w:rPr>
        <w:t xml:space="preserve"> often a source of tension. Both Christianity and Paganism acknowledged a triple deity</w:t>
      </w:r>
      <w:r w:rsidR="00CD75F9">
        <w:rPr>
          <w:rFonts w:ascii="Times New Roman" w:hAnsi="Times New Roman" w:cs="Times New Roman"/>
          <w:sz w:val="24"/>
          <w:szCs w:val="24"/>
        </w:rPr>
        <w:t>,</w:t>
      </w:r>
      <w:r>
        <w:rPr>
          <w:rFonts w:ascii="Times New Roman" w:hAnsi="Times New Roman" w:cs="Times New Roman"/>
          <w:sz w:val="24"/>
          <w:szCs w:val="24"/>
        </w:rPr>
        <w:t xml:space="preserve"> </w:t>
      </w:r>
      <w:r w:rsidR="00CD75F9">
        <w:rPr>
          <w:rFonts w:ascii="Times New Roman" w:hAnsi="Times New Roman" w:cs="Times New Roman"/>
          <w:sz w:val="24"/>
          <w:szCs w:val="24"/>
        </w:rPr>
        <w:t>and the stories containing their mythologies were often split into three as we can see in the Welsh triads or the story of Christ’s final days, and this is a theme carried through to poems like Beowulf.</w:t>
      </w:r>
      <w:r w:rsidR="009E5233">
        <w:rPr>
          <w:rStyle w:val="FootnoteReference"/>
          <w:rFonts w:ascii="Times New Roman" w:hAnsi="Times New Roman" w:cs="Times New Roman"/>
          <w:sz w:val="24"/>
          <w:szCs w:val="24"/>
        </w:rPr>
        <w:footnoteReference w:id="35"/>
      </w:r>
      <w:r w:rsidR="00CD75F9">
        <w:rPr>
          <w:rFonts w:ascii="Times New Roman" w:hAnsi="Times New Roman" w:cs="Times New Roman"/>
          <w:sz w:val="24"/>
          <w:szCs w:val="24"/>
        </w:rPr>
        <w:t xml:space="preserve"> Beowulf is very clearly separated into three parts, each one defined by a different monster our hero must defeat, Grendel, Grendel’s mother, and finally the dragon.</w:t>
      </w:r>
      <w:r w:rsidR="00710D7A">
        <w:rPr>
          <w:rFonts w:ascii="Times New Roman" w:hAnsi="Times New Roman" w:cs="Times New Roman"/>
          <w:sz w:val="24"/>
          <w:szCs w:val="24"/>
        </w:rPr>
        <w:t xml:space="preserve"> </w:t>
      </w:r>
      <w:r w:rsidR="00CF5740">
        <w:rPr>
          <w:rFonts w:ascii="Times New Roman" w:hAnsi="Times New Roman" w:cs="Times New Roman"/>
          <w:sz w:val="24"/>
          <w:szCs w:val="24"/>
        </w:rPr>
        <w:t xml:space="preserve">The Dream of the Rood is separated into three by the change of perspectives from the Dreamer to the Rood and back again, and </w:t>
      </w:r>
      <w:r w:rsidR="00A337EF">
        <w:rPr>
          <w:rFonts w:ascii="Times New Roman" w:hAnsi="Times New Roman" w:cs="Times New Roman"/>
          <w:sz w:val="24"/>
          <w:szCs w:val="24"/>
        </w:rPr>
        <w:t xml:space="preserve">John Pope argues that The Seafarer </w:t>
      </w:r>
      <w:r w:rsidR="00CF5740">
        <w:rPr>
          <w:rFonts w:ascii="Times New Roman" w:hAnsi="Times New Roman" w:cs="Times New Roman"/>
          <w:sz w:val="24"/>
          <w:szCs w:val="24"/>
        </w:rPr>
        <w:t>is yet another example</w:t>
      </w:r>
      <w:r w:rsidR="00A337EF">
        <w:rPr>
          <w:rFonts w:ascii="Times New Roman" w:hAnsi="Times New Roman" w:cs="Times New Roman"/>
          <w:sz w:val="24"/>
          <w:szCs w:val="24"/>
        </w:rPr>
        <w:t xml:space="preserve">, with the first part </w:t>
      </w:r>
      <w:r w:rsidR="00CF5740">
        <w:rPr>
          <w:rFonts w:ascii="Times New Roman" w:hAnsi="Times New Roman" w:cs="Times New Roman"/>
          <w:sz w:val="24"/>
          <w:szCs w:val="24"/>
        </w:rPr>
        <w:t>of the poem spoken by a weary experienced seafarer, the second by a young and eager seafarer, and the final part acting as a kind of epilogue.</w:t>
      </w:r>
      <w:r w:rsidR="009E5233">
        <w:rPr>
          <w:rStyle w:val="FootnoteReference"/>
          <w:rFonts w:ascii="Times New Roman" w:hAnsi="Times New Roman" w:cs="Times New Roman"/>
          <w:sz w:val="24"/>
          <w:szCs w:val="24"/>
        </w:rPr>
        <w:footnoteReference w:id="36"/>
      </w:r>
      <w:r w:rsidR="00A337EF">
        <w:rPr>
          <w:rFonts w:ascii="Times New Roman" w:hAnsi="Times New Roman" w:cs="Times New Roman"/>
          <w:sz w:val="24"/>
          <w:szCs w:val="24"/>
        </w:rPr>
        <w:t xml:space="preserve"> </w:t>
      </w:r>
    </w:p>
    <w:p w:rsidR="00EB1DF3" w:rsidRDefault="00EB1DF3"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pattern of three’s extends even further within the literature itself however as we can see in The Battle of Maldon. Three Anglo Saxon warriors </w:t>
      </w:r>
      <w:r w:rsidR="006C6BF0">
        <w:rPr>
          <w:rFonts w:ascii="Times New Roman" w:hAnsi="Times New Roman" w:cs="Times New Roman"/>
          <w:sz w:val="24"/>
          <w:szCs w:val="24"/>
        </w:rPr>
        <w:t xml:space="preserve">initially </w:t>
      </w:r>
      <w:r>
        <w:rPr>
          <w:rFonts w:ascii="Times New Roman" w:hAnsi="Times New Roman" w:cs="Times New Roman"/>
          <w:sz w:val="24"/>
          <w:szCs w:val="24"/>
        </w:rPr>
        <w:t>guard the bridge against the Vikings</w:t>
      </w:r>
      <w:r w:rsidR="006C6BF0">
        <w:rPr>
          <w:rFonts w:ascii="Times New Roman" w:hAnsi="Times New Roman" w:cs="Times New Roman"/>
          <w:sz w:val="24"/>
          <w:szCs w:val="24"/>
        </w:rPr>
        <w:t>, when the battle begins it is described in three terms ‘</w:t>
      </w:r>
      <w:r w:rsidR="006C6BF0">
        <w:rPr>
          <w:rFonts w:ascii="Times New Roman" w:hAnsi="Times New Roman" w:cs="Times New Roman"/>
          <w:i/>
          <w:sz w:val="24"/>
          <w:szCs w:val="24"/>
        </w:rPr>
        <w:t xml:space="preserve">grimme gegrundene garas fleogan; bogan wæran bysige, bord ord onfeng </w:t>
      </w:r>
      <w:r w:rsidR="006C6BF0">
        <w:rPr>
          <w:rFonts w:ascii="Times New Roman" w:hAnsi="Times New Roman" w:cs="Times New Roman"/>
          <w:sz w:val="24"/>
          <w:szCs w:val="24"/>
        </w:rPr>
        <w:t xml:space="preserve">(fiercely ground spears; bows were busy, shield received point)’, it is the three brothers Godric, Godwin, and Godwig who run from the fight, and Wistan is said to slay three Vikings before he himself is cut down. </w:t>
      </w:r>
    </w:p>
    <w:p w:rsidR="009C6FDD" w:rsidRDefault="00717856" w:rsidP="003D123E">
      <w:pPr>
        <w:spacing w:line="480" w:lineRule="auto"/>
        <w:rPr>
          <w:rFonts w:ascii="Times New Roman" w:hAnsi="Times New Roman" w:cs="Times New Roman"/>
          <w:sz w:val="24"/>
          <w:szCs w:val="24"/>
        </w:rPr>
      </w:pPr>
      <w:r>
        <w:rPr>
          <w:rFonts w:ascii="Times New Roman" w:hAnsi="Times New Roman" w:cs="Times New Roman"/>
          <w:sz w:val="24"/>
          <w:szCs w:val="24"/>
        </w:rPr>
        <w:t>Beowulf provides even more examples with Scyld Scefing being referred to as ‘</w:t>
      </w:r>
      <w:r>
        <w:rPr>
          <w:rFonts w:ascii="Times New Roman" w:hAnsi="Times New Roman" w:cs="Times New Roman"/>
          <w:i/>
          <w:sz w:val="24"/>
          <w:szCs w:val="24"/>
        </w:rPr>
        <w:t xml:space="preserve">leofne þeoden, beaga brytten… mærne be mæste </w:t>
      </w:r>
      <w:r>
        <w:rPr>
          <w:rFonts w:ascii="Times New Roman" w:hAnsi="Times New Roman" w:cs="Times New Roman"/>
          <w:sz w:val="24"/>
          <w:szCs w:val="24"/>
        </w:rPr>
        <w:t>(beloved ruler, the distributor of rings… the famous man by the mast)’</w:t>
      </w:r>
      <w:r w:rsidR="008D5E2E">
        <w:rPr>
          <w:rFonts w:ascii="Times New Roman" w:hAnsi="Times New Roman" w:cs="Times New Roman"/>
          <w:sz w:val="24"/>
          <w:szCs w:val="24"/>
        </w:rPr>
        <w:t>.</w:t>
      </w:r>
      <w:r>
        <w:rPr>
          <w:rFonts w:ascii="Times New Roman" w:hAnsi="Times New Roman" w:cs="Times New Roman"/>
          <w:sz w:val="24"/>
          <w:szCs w:val="24"/>
        </w:rPr>
        <w:t xml:space="preserve"> </w:t>
      </w:r>
      <w:r w:rsidR="008D5E2E">
        <w:rPr>
          <w:rFonts w:ascii="Times New Roman" w:hAnsi="Times New Roman" w:cs="Times New Roman"/>
          <w:sz w:val="24"/>
          <w:szCs w:val="24"/>
        </w:rPr>
        <w:t>T</w:t>
      </w:r>
      <w:r w:rsidR="007E4CFE">
        <w:rPr>
          <w:rFonts w:ascii="Times New Roman" w:hAnsi="Times New Roman" w:cs="Times New Roman"/>
          <w:sz w:val="24"/>
          <w:szCs w:val="24"/>
        </w:rPr>
        <w:t xml:space="preserve">he customary gift-giving is </w:t>
      </w:r>
      <w:r w:rsidR="008D5E2E">
        <w:rPr>
          <w:rFonts w:ascii="Times New Roman" w:hAnsi="Times New Roman" w:cs="Times New Roman"/>
          <w:sz w:val="24"/>
          <w:szCs w:val="24"/>
        </w:rPr>
        <w:t xml:space="preserve">also </w:t>
      </w:r>
      <w:r w:rsidR="007E4CFE">
        <w:rPr>
          <w:rFonts w:ascii="Times New Roman" w:hAnsi="Times New Roman" w:cs="Times New Roman"/>
          <w:sz w:val="24"/>
          <w:szCs w:val="24"/>
        </w:rPr>
        <w:t>repeatedly done in threes</w:t>
      </w:r>
      <w:r w:rsidR="008D5E2E">
        <w:rPr>
          <w:rFonts w:ascii="Times New Roman" w:hAnsi="Times New Roman" w:cs="Times New Roman"/>
          <w:sz w:val="24"/>
          <w:szCs w:val="24"/>
        </w:rPr>
        <w:t xml:space="preserve"> with Beowulf receiving a golden banner, a set of armour, and a sword from Hrothg</w:t>
      </w:r>
      <w:r w:rsidR="00B457E1">
        <w:rPr>
          <w:rFonts w:ascii="Times New Roman" w:hAnsi="Times New Roman" w:cs="Times New Roman"/>
          <w:sz w:val="24"/>
          <w:szCs w:val="24"/>
        </w:rPr>
        <w:t xml:space="preserve">ar after his </w:t>
      </w:r>
      <w:r w:rsidR="00B457E1">
        <w:rPr>
          <w:rFonts w:ascii="Times New Roman" w:hAnsi="Times New Roman" w:cs="Times New Roman"/>
          <w:sz w:val="24"/>
          <w:szCs w:val="24"/>
        </w:rPr>
        <w:lastRenderedPageBreak/>
        <w:t>defeat of Grendel. And</w:t>
      </w:r>
      <w:r w:rsidR="00875E56">
        <w:rPr>
          <w:rFonts w:ascii="Times New Roman" w:hAnsi="Times New Roman" w:cs="Times New Roman"/>
          <w:sz w:val="24"/>
          <w:szCs w:val="24"/>
        </w:rPr>
        <w:t xml:space="preserve"> it appears again</w:t>
      </w:r>
      <w:r w:rsidR="00B457E1">
        <w:rPr>
          <w:rFonts w:ascii="Times New Roman" w:hAnsi="Times New Roman" w:cs="Times New Roman"/>
          <w:sz w:val="24"/>
          <w:szCs w:val="24"/>
        </w:rPr>
        <w:t xml:space="preserve"> </w:t>
      </w:r>
      <w:r w:rsidR="00875E56">
        <w:rPr>
          <w:rFonts w:ascii="Times New Roman" w:hAnsi="Times New Roman" w:cs="Times New Roman"/>
          <w:sz w:val="24"/>
          <w:szCs w:val="24"/>
        </w:rPr>
        <w:t>later when</w:t>
      </w:r>
      <w:r w:rsidR="00B457E1">
        <w:rPr>
          <w:rFonts w:ascii="Times New Roman" w:hAnsi="Times New Roman" w:cs="Times New Roman"/>
          <w:sz w:val="24"/>
          <w:szCs w:val="24"/>
        </w:rPr>
        <w:t xml:space="preserve"> </w:t>
      </w:r>
      <w:r w:rsidR="008D5E2E">
        <w:rPr>
          <w:rFonts w:ascii="Times New Roman" w:hAnsi="Times New Roman" w:cs="Times New Roman"/>
          <w:sz w:val="24"/>
          <w:szCs w:val="24"/>
        </w:rPr>
        <w:t xml:space="preserve">Beowulf </w:t>
      </w:r>
      <w:r w:rsidR="00F220E3">
        <w:rPr>
          <w:rFonts w:ascii="Times New Roman" w:hAnsi="Times New Roman" w:cs="Times New Roman"/>
          <w:sz w:val="24"/>
          <w:szCs w:val="24"/>
        </w:rPr>
        <w:t>as King</w:t>
      </w:r>
      <w:r w:rsidR="008D5E2E">
        <w:rPr>
          <w:rFonts w:ascii="Times New Roman" w:hAnsi="Times New Roman" w:cs="Times New Roman"/>
          <w:sz w:val="24"/>
          <w:szCs w:val="24"/>
        </w:rPr>
        <w:t xml:space="preserve"> award</w:t>
      </w:r>
      <w:r w:rsidR="00875E56">
        <w:rPr>
          <w:rFonts w:ascii="Times New Roman" w:hAnsi="Times New Roman" w:cs="Times New Roman"/>
          <w:sz w:val="24"/>
          <w:szCs w:val="24"/>
        </w:rPr>
        <w:t>s</w:t>
      </w:r>
      <w:r w:rsidR="008D5E2E">
        <w:rPr>
          <w:rFonts w:ascii="Times New Roman" w:hAnsi="Times New Roman" w:cs="Times New Roman"/>
          <w:sz w:val="24"/>
          <w:szCs w:val="24"/>
        </w:rPr>
        <w:t xml:space="preserve"> Hygd a neck ring, three horses, and some fine saddles</w:t>
      </w:r>
      <w:r w:rsidR="00B457E1">
        <w:rPr>
          <w:rFonts w:ascii="Times New Roman" w:hAnsi="Times New Roman" w:cs="Times New Roman"/>
          <w:sz w:val="24"/>
          <w:szCs w:val="24"/>
        </w:rPr>
        <w:t>.</w:t>
      </w:r>
    </w:p>
    <w:p w:rsidR="00CF6989" w:rsidRDefault="009C6FDD" w:rsidP="003D123E">
      <w:pPr>
        <w:spacing w:line="480" w:lineRule="auto"/>
        <w:rPr>
          <w:rFonts w:ascii="Times New Roman" w:hAnsi="Times New Roman" w:cs="Times New Roman"/>
          <w:sz w:val="24"/>
          <w:szCs w:val="24"/>
        </w:rPr>
      </w:pPr>
      <w:r>
        <w:rPr>
          <w:rFonts w:ascii="Times New Roman" w:hAnsi="Times New Roman" w:cs="Times New Roman"/>
          <w:sz w:val="24"/>
          <w:szCs w:val="24"/>
        </w:rPr>
        <w:t>One final point that should be considered throughout all of this, is to what extent Anglo Saxon literature can be said to truly come from a thoroughly Christian culture.</w:t>
      </w:r>
      <w:r w:rsidR="006C4E48">
        <w:rPr>
          <w:rFonts w:ascii="Times New Roman" w:hAnsi="Times New Roman" w:cs="Times New Roman"/>
          <w:sz w:val="24"/>
          <w:szCs w:val="24"/>
        </w:rPr>
        <w:t xml:space="preserve"> The last openly pagan Anglo Saxon King was after all King Arwald who died in the late 7</w:t>
      </w:r>
      <w:r w:rsidR="006C4E48" w:rsidRPr="006C4E48">
        <w:rPr>
          <w:rFonts w:ascii="Times New Roman" w:hAnsi="Times New Roman" w:cs="Times New Roman"/>
          <w:sz w:val="24"/>
          <w:szCs w:val="24"/>
          <w:vertAlign w:val="superscript"/>
        </w:rPr>
        <w:t>th</w:t>
      </w:r>
      <w:r w:rsidR="006C4E48">
        <w:rPr>
          <w:rFonts w:ascii="Times New Roman" w:hAnsi="Times New Roman" w:cs="Times New Roman"/>
          <w:sz w:val="24"/>
          <w:szCs w:val="24"/>
        </w:rPr>
        <w:t xml:space="preserve"> century</w:t>
      </w:r>
      <w:r w:rsidR="00E005FD">
        <w:rPr>
          <w:rFonts w:ascii="Times New Roman" w:hAnsi="Times New Roman" w:cs="Times New Roman"/>
          <w:sz w:val="24"/>
          <w:szCs w:val="24"/>
        </w:rPr>
        <w:t xml:space="preserve"> and with the arrival of the 9</w:t>
      </w:r>
      <w:r w:rsidR="00E005FD" w:rsidRPr="00E005FD">
        <w:rPr>
          <w:rFonts w:ascii="Times New Roman" w:hAnsi="Times New Roman" w:cs="Times New Roman"/>
          <w:sz w:val="24"/>
          <w:szCs w:val="24"/>
          <w:vertAlign w:val="superscript"/>
        </w:rPr>
        <w:t>th</w:t>
      </w:r>
      <w:r w:rsidR="00E005FD">
        <w:rPr>
          <w:rFonts w:ascii="Times New Roman" w:hAnsi="Times New Roman" w:cs="Times New Roman"/>
          <w:sz w:val="24"/>
          <w:szCs w:val="24"/>
        </w:rPr>
        <w:t xml:space="preserve"> century came a spate of Norse settlers who brought their decidedly non-Christian culture with them.</w:t>
      </w:r>
      <w:r w:rsidR="009E5233">
        <w:rPr>
          <w:rStyle w:val="FootnoteReference"/>
          <w:rFonts w:ascii="Times New Roman" w:hAnsi="Times New Roman" w:cs="Times New Roman"/>
          <w:sz w:val="24"/>
          <w:szCs w:val="24"/>
        </w:rPr>
        <w:footnoteReference w:id="37"/>
      </w:r>
      <w:r w:rsidR="00E005FD">
        <w:rPr>
          <w:rFonts w:ascii="Times New Roman" w:hAnsi="Times New Roman" w:cs="Times New Roman"/>
          <w:sz w:val="24"/>
          <w:szCs w:val="24"/>
        </w:rPr>
        <w:t xml:space="preserve"> The Anglo Saxons themselves were made up of the native Celtic populations and a host of different Germanic tribes each with their own beliefs, stories, and customs</w:t>
      </w:r>
      <w:r w:rsidR="009146B2">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38"/>
      </w:r>
      <w:r w:rsidR="00CF6989">
        <w:rPr>
          <w:rFonts w:ascii="Times New Roman" w:hAnsi="Times New Roman" w:cs="Times New Roman"/>
          <w:sz w:val="24"/>
          <w:szCs w:val="24"/>
        </w:rPr>
        <w:t xml:space="preserve"> Even after the arrival of the Normans, pagan beliefs persisted in the form of English folklore, with elves, trolls, and sidhe as real and potentially dangerous as the devil.</w:t>
      </w:r>
      <w:r w:rsidR="009E5233">
        <w:rPr>
          <w:rStyle w:val="FootnoteReference"/>
          <w:rFonts w:ascii="Times New Roman" w:hAnsi="Times New Roman" w:cs="Times New Roman"/>
          <w:sz w:val="24"/>
          <w:szCs w:val="24"/>
        </w:rPr>
        <w:footnoteReference w:id="39"/>
      </w:r>
    </w:p>
    <w:p w:rsidR="009C6FDD" w:rsidRDefault="00281F96" w:rsidP="003D123E">
      <w:pPr>
        <w:spacing w:line="480" w:lineRule="auto"/>
        <w:rPr>
          <w:rFonts w:ascii="Times New Roman" w:hAnsi="Times New Roman" w:cs="Times New Roman"/>
          <w:sz w:val="24"/>
          <w:szCs w:val="24"/>
        </w:rPr>
      </w:pPr>
      <w:r>
        <w:rPr>
          <w:rFonts w:ascii="Times New Roman" w:hAnsi="Times New Roman" w:cs="Times New Roman"/>
          <w:sz w:val="24"/>
          <w:szCs w:val="24"/>
        </w:rPr>
        <w:t>We find clear evidence of the influence of these stories</w:t>
      </w:r>
      <w:r w:rsidR="00184D29">
        <w:rPr>
          <w:rFonts w:ascii="Times New Roman" w:hAnsi="Times New Roman" w:cs="Times New Roman"/>
          <w:sz w:val="24"/>
          <w:szCs w:val="24"/>
        </w:rPr>
        <w:t xml:space="preserve"> throughout Anglo Saxon literature by the consistent referencing to them. </w:t>
      </w:r>
      <w:r>
        <w:rPr>
          <w:rFonts w:ascii="Times New Roman" w:hAnsi="Times New Roman" w:cs="Times New Roman"/>
          <w:sz w:val="24"/>
          <w:szCs w:val="24"/>
        </w:rPr>
        <w:t>As mentioned above, Beowulf is paralleled to Sigemund</w:t>
      </w:r>
      <w:r w:rsidR="006861CB">
        <w:rPr>
          <w:rFonts w:ascii="Times New Roman" w:hAnsi="Times New Roman" w:cs="Times New Roman"/>
          <w:sz w:val="24"/>
          <w:szCs w:val="24"/>
        </w:rPr>
        <w:t xml:space="preserve"> the dragon slayer</w:t>
      </w:r>
      <w:r>
        <w:rPr>
          <w:rFonts w:ascii="Times New Roman" w:hAnsi="Times New Roman" w:cs="Times New Roman"/>
          <w:sz w:val="24"/>
          <w:szCs w:val="24"/>
        </w:rPr>
        <w:t>, a character from Norse mythology</w:t>
      </w:r>
      <w:r w:rsidR="006861CB">
        <w:rPr>
          <w:rFonts w:ascii="Times New Roman" w:hAnsi="Times New Roman" w:cs="Times New Roman"/>
          <w:sz w:val="24"/>
          <w:szCs w:val="24"/>
        </w:rPr>
        <w:t xml:space="preserve">. What is significant about this mention in terms of pre-Christian influences is the fact that only the first part of the story is narrated, suggesting that the audience was already familiar with this Norse tale </w:t>
      </w:r>
      <w:r w:rsidR="0031477E">
        <w:rPr>
          <w:rFonts w:ascii="Times New Roman" w:hAnsi="Times New Roman" w:cs="Times New Roman"/>
          <w:sz w:val="24"/>
          <w:szCs w:val="24"/>
        </w:rPr>
        <w:t>and could fill in the ending for themselves.</w:t>
      </w:r>
      <w:r w:rsidR="006B6821">
        <w:rPr>
          <w:rFonts w:ascii="Times New Roman" w:hAnsi="Times New Roman" w:cs="Times New Roman"/>
          <w:sz w:val="24"/>
          <w:szCs w:val="24"/>
        </w:rPr>
        <w:t xml:space="preserve"> Weland the legendary blacksmith is another figure from Germanic and Norse mythology that appears in multiple Anglo Saxon poems such as Beowulf and Waldere, and is often credited with having made the hero’s superior weapons or armour.</w:t>
      </w:r>
      <w:r w:rsidR="009E5233">
        <w:rPr>
          <w:rStyle w:val="FootnoteReference"/>
          <w:rFonts w:ascii="Times New Roman" w:hAnsi="Times New Roman" w:cs="Times New Roman"/>
          <w:sz w:val="24"/>
          <w:szCs w:val="24"/>
        </w:rPr>
        <w:footnoteReference w:id="40"/>
      </w:r>
      <w:r w:rsidR="00112006">
        <w:rPr>
          <w:rFonts w:ascii="Times New Roman" w:hAnsi="Times New Roman" w:cs="Times New Roman"/>
          <w:sz w:val="24"/>
          <w:szCs w:val="24"/>
        </w:rPr>
        <w:t xml:space="preserve"> These pagan heroes do present a problem however when we consider the Christian principle of worshiping no false idols, and we have at least one real life example of how this could </w:t>
      </w:r>
      <w:r w:rsidR="00112006">
        <w:rPr>
          <w:rFonts w:ascii="Times New Roman" w:hAnsi="Times New Roman" w:cs="Times New Roman"/>
          <w:sz w:val="24"/>
          <w:szCs w:val="24"/>
        </w:rPr>
        <w:lastRenderedPageBreak/>
        <w:t>create tension when Alcuin demanded of the monks of Lindisfarne ‘what has Ingeld to do with Christ?’</w:t>
      </w:r>
      <w:r w:rsidR="009E5233">
        <w:rPr>
          <w:rStyle w:val="FootnoteReference"/>
          <w:rFonts w:ascii="Times New Roman" w:hAnsi="Times New Roman" w:cs="Times New Roman"/>
          <w:sz w:val="24"/>
          <w:szCs w:val="24"/>
        </w:rPr>
        <w:footnoteReference w:id="41"/>
      </w:r>
    </w:p>
    <w:p w:rsidR="00AB360E" w:rsidRDefault="00AB360E" w:rsidP="003D123E">
      <w:pPr>
        <w:spacing w:line="480" w:lineRule="auto"/>
        <w:rPr>
          <w:rFonts w:ascii="Times New Roman" w:hAnsi="Times New Roman" w:cs="Times New Roman"/>
          <w:sz w:val="24"/>
          <w:szCs w:val="24"/>
        </w:rPr>
      </w:pPr>
      <w:r>
        <w:rPr>
          <w:rFonts w:ascii="Times New Roman" w:hAnsi="Times New Roman" w:cs="Times New Roman"/>
          <w:sz w:val="24"/>
          <w:szCs w:val="24"/>
        </w:rPr>
        <w:t>There is also the repeated appearance of the mead hall as a poetic image</w:t>
      </w:r>
      <w:r w:rsidR="00112006">
        <w:rPr>
          <w:rFonts w:ascii="Times New Roman" w:hAnsi="Times New Roman" w:cs="Times New Roman"/>
          <w:sz w:val="24"/>
          <w:szCs w:val="24"/>
        </w:rPr>
        <w:t xml:space="preserve"> to consider</w:t>
      </w:r>
      <w:r>
        <w:rPr>
          <w:rFonts w:ascii="Times New Roman" w:hAnsi="Times New Roman" w:cs="Times New Roman"/>
          <w:sz w:val="24"/>
          <w:szCs w:val="24"/>
        </w:rPr>
        <w:t>.</w:t>
      </w:r>
      <w:r w:rsidR="009E5233">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Heorot in Beowulf is perhaps the most obvious example but references </w:t>
      </w:r>
      <w:r w:rsidR="00882925">
        <w:rPr>
          <w:rFonts w:ascii="Times New Roman" w:hAnsi="Times New Roman" w:cs="Times New Roman"/>
          <w:sz w:val="24"/>
          <w:szCs w:val="24"/>
        </w:rPr>
        <w:t>to the mead hall also occur in The Battle of Maldon, multiple occurrences appear in The Wanderer, and even The Dream of the Rood describes Christ’s tomb as an ‘earthen hall’.</w:t>
      </w:r>
      <w:r w:rsidR="00E97CF2">
        <w:rPr>
          <w:rFonts w:ascii="Times New Roman" w:hAnsi="Times New Roman" w:cs="Times New Roman"/>
          <w:sz w:val="24"/>
          <w:szCs w:val="24"/>
        </w:rPr>
        <w:t xml:space="preserve"> The mead hall contains stro</w:t>
      </w:r>
      <w:r w:rsidR="005C7EE0">
        <w:rPr>
          <w:rFonts w:ascii="Times New Roman" w:hAnsi="Times New Roman" w:cs="Times New Roman"/>
          <w:sz w:val="24"/>
          <w:szCs w:val="24"/>
        </w:rPr>
        <w:t>ngly pre-Christian connotations, the most significant likely being Valhalla, the mead hall presided over by the Norse god Odin where those valiant warriors slain in battle were admitted to feast and enjoy themselves until Ragnarok arrived and they were called up to fight by the All-Father.</w:t>
      </w:r>
      <w:r w:rsidR="009E5233">
        <w:rPr>
          <w:rStyle w:val="FootnoteReference"/>
          <w:rFonts w:ascii="Times New Roman" w:hAnsi="Times New Roman" w:cs="Times New Roman"/>
          <w:sz w:val="24"/>
          <w:szCs w:val="24"/>
        </w:rPr>
        <w:footnoteReference w:id="43"/>
      </w:r>
    </w:p>
    <w:p w:rsidR="00A23DFC" w:rsidRDefault="005C7EE0" w:rsidP="003D123E">
      <w:pPr>
        <w:spacing w:line="480" w:lineRule="auto"/>
        <w:rPr>
          <w:rFonts w:ascii="Times New Roman" w:hAnsi="Times New Roman" w:cs="Times New Roman"/>
          <w:sz w:val="24"/>
          <w:szCs w:val="24"/>
        </w:rPr>
      </w:pPr>
      <w:r>
        <w:rPr>
          <w:rFonts w:ascii="Times New Roman" w:hAnsi="Times New Roman" w:cs="Times New Roman"/>
          <w:sz w:val="24"/>
          <w:szCs w:val="24"/>
        </w:rPr>
        <w:t>In Anglo Saxon literature, the mead hall is presented as a place of gathering</w:t>
      </w:r>
      <w:r w:rsidR="00AE0910">
        <w:rPr>
          <w:rFonts w:ascii="Times New Roman" w:hAnsi="Times New Roman" w:cs="Times New Roman"/>
          <w:sz w:val="24"/>
          <w:szCs w:val="24"/>
        </w:rPr>
        <w:t xml:space="preserve"> and community, in many ways it represents the heart of society and so in Beowulf the destruction and abandonment of the hall is indicative of the collapse of society.</w:t>
      </w:r>
      <w:r w:rsidR="009E5233">
        <w:rPr>
          <w:rStyle w:val="FootnoteReference"/>
          <w:rFonts w:ascii="Times New Roman" w:hAnsi="Times New Roman" w:cs="Times New Roman"/>
          <w:sz w:val="24"/>
          <w:szCs w:val="24"/>
        </w:rPr>
        <w:footnoteReference w:id="44"/>
      </w:r>
      <w:r w:rsidR="00AE0910">
        <w:rPr>
          <w:rFonts w:ascii="Times New Roman" w:hAnsi="Times New Roman" w:cs="Times New Roman"/>
          <w:sz w:val="24"/>
          <w:szCs w:val="24"/>
        </w:rPr>
        <w:t xml:space="preserve"> It is therefore interesting that even in the more overtly Christian poems like The Battle of Maldon which</w:t>
      </w:r>
      <w:r w:rsidR="0011649D">
        <w:rPr>
          <w:rFonts w:ascii="Times New Roman" w:hAnsi="Times New Roman" w:cs="Times New Roman"/>
          <w:sz w:val="24"/>
          <w:szCs w:val="24"/>
        </w:rPr>
        <w:t xml:space="preserve"> otherwise vilifies the pagan Vikings, the mead hall even with all its pagan overtones, remains a staple symbol as the</w:t>
      </w:r>
      <w:r w:rsidR="00076E96">
        <w:rPr>
          <w:rFonts w:ascii="Times New Roman" w:hAnsi="Times New Roman" w:cs="Times New Roman"/>
          <w:sz w:val="24"/>
          <w:szCs w:val="24"/>
        </w:rPr>
        <w:t xml:space="preserve"> centre of the heroes community rather than a more Christian substitute.</w:t>
      </w:r>
      <w:r w:rsidR="009B6229">
        <w:rPr>
          <w:rFonts w:ascii="Times New Roman" w:hAnsi="Times New Roman" w:cs="Times New Roman"/>
          <w:sz w:val="24"/>
          <w:szCs w:val="24"/>
        </w:rPr>
        <w:t xml:space="preserve"> W</w:t>
      </w:r>
      <w:r w:rsidR="00047A19">
        <w:rPr>
          <w:rFonts w:ascii="Times New Roman" w:hAnsi="Times New Roman" w:cs="Times New Roman"/>
          <w:sz w:val="24"/>
          <w:szCs w:val="24"/>
        </w:rPr>
        <w:t xml:space="preserve">ith such potent pre-Christian symbols </w:t>
      </w:r>
      <w:r w:rsidR="009B6229">
        <w:rPr>
          <w:rFonts w:ascii="Times New Roman" w:hAnsi="Times New Roman" w:cs="Times New Roman"/>
          <w:sz w:val="24"/>
          <w:szCs w:val="24"/>
        </w:rPr>
        <w:t xml:space="preserve">therefore </w:t>
      </w:r>
      <w:r w:rsidR="00047A19">
        <w:rPr>
          <w:rFonts w:ascii="Times New Roman" w:hAnsi="Times New Roman" w:cs="Times New Roman"/>
          <w:sz w:val="24"/>
          <w:szCs w:val="24"/>
        </w:rPr>
        <w:t>s</w:t>
      </w:r>
      <w:r w:rsidR="00112006">
        <w:rPr>
          <w:rFonts w:ascii="Times New Roman" w:hAnsi="Times New Roman" w:cs="Times New Roman"/>
          <w:sz w:val="24"/>
          <w:szCs w:val="24"/>
        </w:rPr>
        <w:t>o pervasive</w:t>
      </w:r>
      <w:r w:rsidR="00047A19">
        <w:rPr>
          <w:rFonts w:ascii="Times New Roman" w:hAnsi="Times New Roman" w:cs="Times New Roman"/>
          <w:sz w:val="24"/>
          <w:szCs w:val="24"/>
        </w:rPr>
        <w:t xml:space="preserve">, and </w:t>
      </w:r>
      <w:r w:rsidR="00B91E02">
        <w:rPr>
          <w:rFonts w:ascii="Times New Roman" w:hAnsi="Times New Roman" w:cs="Times New Roman"/>
          <w:sz w:val="24"/>
          <w:szCs w:val="24"/>
        </w:rPr>
        <w:t xml:space="preserve">mythological stories with pagan heroes like Sigemund and Weland presented as general knowledge in Anglo Saxon literature, one can </w:t>
      </w:r>
      <w:r w:rsidR="00875E56">
        <w:rPr>
          <w:rFonts w:ascii="Times New Roman" w:hAnsi="Times New Roman" w:cs="Times New Roman"/>
          <w:sz w:val="24"/>
          <w:szCs w:val="24"/>
        </w:rPr>
        <w:t xml:space="preserve">ultimately </w:t>
      </w:r>
      <w:r w:rsidR="00B91E02">
        <w:rPr>
          <w:rFonts w:ascii="Times New Roman" w:hAnsi="Times New Roman" w:cs="Times New Roman"/>
          <w:sz w:val="24"/>
          <w:szCs w:val="24"/>
        </w:rPr>
        <w:t>assume that Anglo Saxon culture was not a thoroughly Christian cu</w:t>
      </w:r>
      <w:r w:rsidR="00875E56">
        <w:rPr>
          <w:rFonts w:ascii="Times New Roman" w:hAnsi="Times New Roman" w:cs="Times New Roman"/>
          <w:sz w:val="24"/>
          <w:szCs w:val="24"/>
        </w:rPr>
        <w:t>lture</w:t>
      </w:r>
      <w:r w:rsidR="009B6229">
        <w:rPr>
          <w:rFonts w:ascii="Times New Roman" w:hAnsi="Times New Roman" w:cs="Times New Roman"/>
          <w:sz w:val="24"/>
          <w:szCs w:val="24"/>
        </w:rPr>
        <w:t>.</w:t>
      </w:r>
      <w:r w:rsidR="00875E56">
        <w:rPr>
          <w:rFonts w:ascii="Times New Roman" w:hAnsi="Times New Roman" w:cs="Times New Roman"/>
          <w:sz w:val="24"/>
          <w:szCs w:val="24"/>
        </w:rPr>
        <w:t xml:space="preserve"> </w:t>
      </w:r>
    </w:p>
    <w:p w:rsidR="00047A19" w:rsidRDefault="00875E56" w:rsidP="003D123E">
      <w:pPr>
        <w:spacing w:line="480" w:lineRule="auto"/>
        <w:rPr>
          <w:rFonts w:ascii="Times New Roman" w:hAnsi="Times New Roman" w:cs="Times New Roman"/>
          <w:sz w:val="24"/>
          <w:szCs w:val="24"/>
        </w:rPr>
      </w:pPr>
      <w:r>
        <w:rPr>
          <w:rFonts w:ascii="Times New Roman" w:hAnsi="Times New Roman" w:cs="Times New Roman"/>
          <w:sz w:val="24"/>
          <w:szCs w:val="24"/>
        </w:rPr>
        <w:t xml:space="preserve">That said there are many instances when elements of Christianity and pre-Christian heroic culture align, bravery and loyalty being key ideals for both culture’s perception of heroism, a shared belief in fate, and the significance of the number three. Equally there are plenty of </w:t>
      </w:r>
      <w:r>
        <w:rPr>
          <w:rFonts w:ascii="Times New Roman" w:hAnsi="Times New Roman" w:cs="Times New Roman"/>
          <w:sz w:val="24"/>
          <w:szCs w:val="24"/>
        </w:rPr>
        <w:lastRenderedPageBreak/>
        <w:t>differences between the two cultures</w:t>
      </w:r>
      <w:r w:rsidR="00DD62E1">
        <w:rPr>
          <w:rFonts w:ascii="Times New Roman" w:hAnsi="Times New Roman" w:cs="Times New Roman"/>
          <w:sz w:val="24"/>
          <w:szCs w:val="24"/>
        </w:rPr>
        <w:t xml:space="preserve"> and when a piece of literature tries to accommodate them both, it can create tension and contradiction. The Battle of Maldon may feature Christian heroes but their drive for retaliation once their leader is killed belongs firmly to heroic culture and contradicts the Christian pacifist approach to enemies.</w:t>
      </w:r>
      <w:r w:rsidR="00A23DFC">
        <w:rPr>
          <w:rFonts w:ascii="Times New Roman" w:hAnsi="Times New Roman" w:cs="Times New Roman"/>
          <w:sz w:val="24"/>
          <w:szCs w:val="24"/>
        </w:rPr>
        <w:t xml:space="preserve"> The Seafarer proclaims the importance of living a humble life free of vice and material wealth while simultaneously lamenting the past material pleasures of the mead hall.</w:t>
      </w:r>
      <w:r w:rsidR="00046DA1">
        <w:rPr>
          <w:rFonts w:ascii="Times New Roman" w:hAnsi="Times New Roman" w:cs="Times New Roman"/>
          <w:sz w:val="24"/>
          <w:szCs w:val="24"/>
        </w:rPr>
        <w:t xml:space="preserve"> Both The Seafarer and The Wanderer show the despair and wretchedness of those forced into solitude, and Beowulf shows how monstrous and suspicious those who chose solitude were perceived to be in heroic culture, and yet in Christianity isolation was a path for the devout.</w:t>
      </w:r>
    </w:p>
    <w:p w:rsidR="009B6229" w:rsidRDefault="009B6229" w:rsidP="003D123E">
      <w:pPr>
        <w:spacing w:line="480" w:lineRule="auto"/>
        <w:rPr>
          <w:rFonts w:ascii="Times New Roman" w:hAnsi="Times New Roman" w:cs="Times New Roman"/>
          <w:sz w:val="24"/>
          <w:szCs w:val="24"/>
        </w:rPr>
      </w:pPr>
      <w:r>
        <w:rPr>
          <w:rFonts w:ascii="Times New Roman" w:hAnsi="Times New Roman" w:cs="Times New Roman"/>
          <w:sz w:val="24"/>
          <w:szCs w:val="24"/>
        </w:rPr>
        <w:t>Ultimately no two cultures are the same, and the Anglo Saxon period especially was a time of multiple cultures coming together in many different ways, not all of which were particularly harmonious.</w:t>
      </w:r>
      <w:r w:rsidR="0099507C">
        <w:rPr>
          <w:rFonts w:ascii="Times New Roman" w:hAnsi="Times New Roman" w:cs="Times New Roman"/>
          <w:sz w:val="24"/>
          <w:szCs w:val="24"/>
        </w:rPr>
        <w:t xml:space="preserve"> Anglo Saxon literature, like all good literature, reflects the society of the time and just as tension existed in Anglo Saxon society between pre-Christian heroic culture and Christianity, so too did it exist in the literature of the period.</w:t>
      </w:r>
    </w:p>
    <w:p w:rsidR="00705593" w:rsidRDefault="00705593" w:rsidP="003D123E">
      <w:pPr>
        <w:spacing w:line="480" w:lineRule="auto"/>
        <w:rPr>
          <w:rFonts w:ascii="Times New Roman" w:hAnsi="Times New Roman" w:cs="Times New Roman"/>
          <w:sz w:val="24"/>
          <w:szCs w:val="24"/>
        </w:rPr>
      </w:pPr>
    </w:p>
    <w:p w:rsidR="00705593" w:rsidRDefault="00705593" w:rsidP="00794D54">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Bibliography</w:t>
      </w:r>
    </w:p>
    <w:p w:rsidR="00F8485D" w:rsidRDefault="00F8485D" w:rsidP="00794D54">
      <w:pPr>
        <w:spacing w:line="240" w:lineRule="auto"/>
        <w:rPr>
          <w:rFonts w:ascii="Times New Roman" w:hAnsi="Times New Roman" w:cs="Times New Roman"/>
          <w:sz w:val="24"/>
          <w:szCs w:val="24"/>
        </w:rPr>
      </w:pPr>
      <w:r w:rsidRPr="00F8485D">
        <w:rPr>
          <w:rFonts w:ascii="Times New Roman" w:hAnsi="Times New Roman" w:cs="Times New Roman"/>
          <w:i/>
          <w:sz w:val="24"/>
          <w:szCs w:val="24"/>
        </w:rPr>
        <w:t xml:space="preserve">A Dictionary of Medieval Heroes: Characters in Medieval Narrative Traditions and Their Afterlife in Literature, Theatre and the Visual Arts, </w:t>
      </w:r>
      <w:r w:rsidRPr="00F8485D">
        <w:rPr>
          <w:rFonts w:ascii="Times New Roman" w:hAnsi="Times New Roman" w:cs="Times New Roman"/>
          <w:sz w:val="24"/>
          <w:szCs w:val="24"/>
        </w:rPr>
        <w:t>eds. W.P. Gerritsen, and A.G. Van Melle</w:t>
      </w:r>
      <w:r w:rsidRPr="00F8485D">
        <w:rPr>
          <w:rFonts w:ascii="Times New Roman" w:hAnsi="Times New Roman" w:cs="Times New Roman"/>
          <w:i/>
          <w:sz w:val="24"/>
          <w:szCs w:val="24"/>
        </w:rPr>
        <w:t xml:space="preserve"> </w:t>
      </w:r>
      <w:r w:rsidRPr="00F8485D">
        <w:rPr>
          <w:rFonts w:ascii="Times New Roman" w:hAnsi="Times New Roman" w:cs="Times New Roman"/>
          <w:sz w:val="24"/>
          <w:szCs w:val="24"/>
        </w:rPr>
        <w:t>(Suffolk: The Boydell Press, 2000)</w:t>
      </w:r>
      <w:r>
        <w:rPr>
          <w:rFonts w:ascii="Times New Roman" w:hAnsi="Times New Roman" w:cs="Times New Roman"/>
          <w:sz w:val="24"/>
          <w:szCs w:val="24"/>
        </w:rPr>
        <w:t>.</w:t>
      </w:r>
      <w:r w:rsidRPr="00F8485D">
        <w:rPr>
          <w:rFonts w:ascii="Times New Roman" w:hAnsi="Times New Roman" w:cs="Times New Roman"/>
          <w:i/>
          <w:sz w:val="24"/>
          <w:szCs w:val="24"/>
        </w:rPr>
        <w:t xml:space="preserve"> </w:t>
      </w:r>
    </w:p>
    <w:p w:rsidR="0062308D" w:rsidRPr="0062308D" w:rsidRDefault="0062308D" w:rsidP="00794D54">
      <w:pPr>
        <w:spacing w:line="240" w:lineRule="auto"/>
        <w:rPr>
          <w:rFonts w:ascii="Times New Roman" w:hAnsi="Times New Roman" w:cs="Times New Roman"/>
          <w:sz w:val="24"/>
          <w:szCs w:val="24"/>
        </w:rPr>
      </w:pPr>
      <w:r w:rsidRPr="0062308D">
        <w:rPr>
          <w:rFonts w:ascii="Times New Roman" w:hAnsi="Times New Roman" w:cs="Times New Roman"/>
          <w:sz w:val="24"/>
          <w:szCs w:val="24"/>
        </w:rPr>
        <w:t>Amodio</w:t>
      </w:r>
      <w:r>
        <w:rPr>
          <w:rFonts w:ascii="Times New Roman" w:hAnsi="Times New Roman" w:cs="Times New Roman"/>
          <w:sz w:val="24"/>
          <w:szCs w:val="24"/>
        </w:rPr>
        <w:t>, M.C.</w:t>
      </w:r>
      <w:r w:rsidRPr="0062308D">
        <w:rPr>
          <w:rFonts w:ascii="Times New Roman" w:hAnsi="Times New Roman" w:cs="Times New Roman"/>
          <w:sz w:val="24"/>
          <w:szCs w:val="24"/>
        </w:rPr>
        <w:t xml:space="preserve">, </w:t>
      </w:r>
      <w:r w:rsidRPr="0062308D">
        <w:rPr>
          <w:rFonts w:ascii="Times New Roman" w:hAnsi="Times New Roman" w:cs="Times New Roman"/>
          <w:i/>
          <w:sz w:val="24"/>
          <w:szCs w:val="24"/>
        </w:rPr>
        <w:t xml:space="preserve">The Anglo Saxon Literature Handbook </w:t>
      </w:r>
      <w:r w:rsidRPr="0062308D">
        <w:rPr>
          <w:rFonts w:ascii="Times New Roman" w:hAnsi="Times New Roman" w:cs="Times New Roman"/>
          <w:sz w:val="24"/>
          <w:szCs w:val="24"/>
        </w:rPr>
        <w:t>(Sussex: Blackwell Publishing, 2014).</w:t>
      </w:r>
    </w:p>
    <w:p w:rsidR="00794D54" w:rsidRDefault="00705593" w:rsidP="00794D54">
      <w:pPr>
        <w:spacing w:line="240" w:lineRule="auto"/>
        <w:rPr>
          <w:rFonts w:ascii="Times New Roman" w:hAnsi="Times New Roman" w:cs="Times New Roman"/>
          <w:sz w:val="24"/>
          <w:szCs w:val="24"/>
        </w:rPr>
      </w:pPr>
      <w:r w:rsidRPr="00705593">
        <w:rPr>
          <w:rFonts w:ascii="Times New Roman" w:hAnsi="Times New Roman" w:cs="Times New Roman"/>
          <w:i/>
          <w:sz w:val="24"/>
          <w:szCs w:val="24"/>
        </w:rPr>
        <w:t xml:space="preserve">Beowulf, </w:t>
      </w:r>
      <w:r w:rsidR="00796F9B">
        <w:rPr>
          <w:rFonts w:ascii="Times New Roman" w:hAnsi="Times New Roman" w:cs="Times New Roman"/>
          <w:sz w:val="24"/>
          <w:szCs w:val="24"/>
        </w:rPr>
        <w:t xml:space="preserve">ed. </w:t>
      </w:r>
      <w:r w:rsidRPr="00705593">
        <w:rPr>
          <w:rFonts w:ascii="Times New Roman" w:hAnsi="Times New Roman" w:cs="Times New Roman"/>
          <w:sz w:val="24"/>
          <w:szCs w:val="24"/>
        </w:rPr>
        <w:t>Swanton</w:t>
      </w:r>
      <w:r w:rsidR="00796F9B">
        <w:rPr>
          <w:rFonts w:ascii="Times New Roman" w:hAnsi="Times New Roman" w:cs="Times New Roman"/>
          <w:sz w:val="24"/>
          <w:szCs w:val="24"/>
        </w:rPr>
        <w:t>, M.</w:t>
      </w:r>
      <w:r w:rsidRPr="00705593">
        <w:rPr>
          <w:rFonts w:ascii="Times New Roman" w:hAnsi="Times New Roman" w:cs="Times New Roman"/>
          <w:i/>
          <w:sz w:val="24"/>
          <w:szCs w:val="24"/>
        </w:rPr>
        <w:t xml:space="preserve"> </w:t>
      </w:r>
      <w:r w:rsidRPr="00705593">
        <w:rPr>
          <w:rFonts w:ascii="Times New Roman" w:hAnsi="Times New Roman" w:cs="Times New Roman"/>
          <w:sz w:val="24"/>
          <w:szCs w:val="24"/>
        </w:rPr>
        <w:t>(Manchester: Manchester University Press, 1997).</w:t>
      </w:r>
    </w:p>
    <w:p w:rsidR="0062308D" w:rsidRDefault="0062308D" w:rsidP="00794D54">
      <w:pPr>
        <w:spacing w:line="240" w:lineRule="auto"/>
        <w:rPr>
          <w:rFonts w:ascii="Times New Roman" w:hAnsi="Times New Roman" w:cs="Times New Roman"/>
          <w:sz w:val="24"/>
          <w:szCs w:val="24"/>
        </w:rPr>
      </w:pPr>
      <w:r w:rsidRPr="0062308D">
        <w:rPr>
          <w:rFonts w:ascii="Times New Roman" w:hAnsi="Times New Roman" w:cs="Times New Roman"/>
          <w:sz w:val="24"/>
          <w:szCs w:val="24"/>
        </w:rPr>
        <w:t>Boyden</w:t>
      </w:r>
      <w:r>
        <w:rPr>
          <w:rFonts w:ascii="Times New Roman" w:hAnsi="Times New Roman" w:cs="Times New Roman"/>
          <w:sz w:val="24"/>
          <w:szCs w:val="24"/>
        </w:rPr>
        <w:t>, J.</w:t>
      </w:r>
      <w:r w:rsidRPr="0062308D">
        <w:rPr>
          <w:rFonts w:ascii="Times New Roman" w:hAnsi="Times New Roman" w:cs="Times New Roman"/>
          <w:sz w:val="24"/>
          <w:szCs w:val="24"/>
        </w:rPr>
        <w:t xml:space="preserve">, </w:t>
      </w:r>
      <w:r w:rsidRPr="0062308D">
        <w:rPr>
          <w:rFonts w:ascii="Times New Roman" w:hAnsi="Times New Roman" w:cs="Times New Roman"/>
          <w:i/>
          <w:sz w:val="24"/>
          <w:szCs w:val="24"/>
        </w:rPr>
        <w:t xml:space="preserve">Beowulf – A Pagan Hero: A Modern Poetic Translation </w:t>
      </w:r>
      <w:r w:rsidRPr="0062308D">
        <w:rPr>
          <w:rFonts w:ascii="Times New Roman" w:hAnsi="Times New Roman" w:cs="Times New Roman"/>
          <w:sz w:val="24"/>
          <w:szCs w:val="24"/>
        </w:rPr>
        <w:t>(New York: Algora Publi</w:t>
      </w:r>
      <w:r>
        <w:rPr>
          <w:rFonts w:ascii="Times New Roman" w:hAnsi="Times New Roman" w:cs="Times New Roman"/>
          <w:sz w:val="24"/>
          <w:szCs w:val="24"/>
        </w:rPr>
        <w:t>shing, 2014).</w:t>
      </w:r>
    </w:p>
    <w:p w:rsidR="00405C13" w:rsidRDefault="00405C13" w:rsidP="00794D54">
      <w:pPr>
        <w:spacing w:line="240" w:lineRule="auto"/>
        <w:rPr>
          <w:rFonts w:ascii="Times New Roman" w:hAnsi="Times New Roman" w:cs="Times New Roman"/>
          <w:sz w:val="24"/>
          <w:szCs w:val="24"/>
        </w:rPr>
      </w:pPr>
      <w:r w:rsidRPr="00405C13">
        <w:rPr>
          <w:rFonts w:ascii="Times New Roman" w:hAnsi="Times New Roman" w:cs="Times New Roman"/>
          <w:sz w:val="24"/>
          <w:szCs w:val="24"/>
        </w:rPr>
        <w:t>Bradley</w:t>
      </w:r>
      <w:r>
        <w:rPr>
          <w:rFonts w:ascii="Times New Roman" w:hAnsi="Times New Roman" w:cs="Times New Roman"/>
          <w:sz w:val="24"/>
          <w:szCs w:val="24"/>
        </w:rPr>
        <w:t>, I.</w:t>
      </w:r>
      <w:r w:rsidRPr="00405C13">
        <w:rPr>
          <w:rFonts w:ascii="Times New Roman" w:hAnsi="Times New Roman" w:cs="Times New Roman"/>
          <w:sz w:val="24"/>
          <w:szCs w:val="24"/>
        </w:rPr>
        <w:t xml:space="preserve">, </w:t>
      </w:r>
      <w:r w:rsidRPr="00405C13">
        <w:rPr>
          <w:rFonts w:ascii="Times New Roman" w:hAnsi="Times New Roman" w:cs="Times New Roman"/>
          <w:i/>
          <w:sz w:val="24"/>
          <w:szCs w:val="24"/>
        </w:rPr>
        <w:t xml:space="preserve">God Save the Queen: The Spiritual Heart of the Monarchy </w:t>
      </w:r>
      <w:r w:rsidRPr="00405C13">
        <w:rPr>
          <w:rFonts w:ascii="Times New Roman" w:hAnsi="Times New Roman" w:cs="Times New Roman"/>
          <w:sz w:val="24"/>
          <w:szCs w:val="24"/>
        </w:rPr>
        <w:t>(London: Continuum Publishing, 2012).</w:t>
      </w:r>
    </w:p>
    <w:p w:rsidR="009F2D74" w:rsidRDefault="009F2D74" w:rsidP="00794D54">
      <w:pPr>
        <w:spacing w:line="240" w:lineRule="auto"/>
        <w:rPr>
          <w:rFonts w:ascii="Times New Roman" w:hAnsi="Times New Roman" w:cs="Times New Roman"/>
          <w:sz w:val="24"/>
          <w:szCs w:val="24"/>
        </w:rPr>
      </w:pPr>
      <w:r w:rsidRPr="009F2D74">
        <w:rPr>
          <w:rFonts w:ascii="Times New Roman" w:hAnsi="Times New Roman" w:cs="Times New Roman"/>
          <w:sz w:val="24"/>
          <w:szCs w:val="24"/>
        </w:rPr>
        <w:t>Caywood</w:t>
      </w:r>
      <w:r>
        <w:rPr>
          <w:rFonts w:ascii="Times New Roman" w:hAnsi="Times New Roman" w:cs="Times New Roman"/>
          <w:sz w:val="24"/>
          <w:szCs w:val="24"/>
        </w:rPr>
        <w:t>, J.</w:t>
      </w:r>
      <w:r w:rsidRPr="009F2D74">
        <w:rPr>
          <w:rFonts w:ascii="Times New Roman" w:hAnsi="Times New Roman" w:cs="Times New Roman"/>
          <w:sz w:val="24"/>
          <w:szCs w:val="24"/>
        </w:rPr>
        <w:t xml:space="preserve">, </w:t>
      </w:r>
      <w:r w:rsidRPr="009F2D74">
        <w:rPr>
          <w:rFonts w:ascii="Times New Roman" w:hAnsi="Times New Roman" w:cs="Times New Roman"/>
          <w:i/>
          <w:sz w:val="24"/>
          <w:szCs w:val="24"/>
        </w:rPr>
        <w:t xml:space="preserve">Rædende Iudithðe: The Heroic, Mythological and Christian Elements in the Old English Poem Judith, </w:t>
      </w:r>
      <w:r w:rsidRPr="009F2D74">
        <w:rPr>
          <w:rFonts w:ascii="Times New Roman" w:hAnsi="Times New Roman" w:cs="Times New Roman"/>
          <w:sz w:val="24"/>
          <w:szCs w:val="24"/>
        </w:rPr>
        <w:t>(Unpublished BA thesis) University of San Diego, 2015</w:t>
      </w:r>
      <w:r w:rsidR="0062308D">
        <w:rPr>
          <w:rFonts w:ascii="Times New Roman" w:hAnsi="Times New Roman" w:cs="Times New Roman"/>
          <w:sz w:val="24"/>
          <w:szCs w:val="24"/>
        </w:rPr>
        <w:t>.</w:t>
      </w:r>
    </w:p>
    <w:p w:rsidR="007F35DD" w:rsidRDefault="007F35DD" w:rsidP="00794D54">
      <w:pPr>
        <w:spacing w:line="240" w:lineRule="auto"/>
        <w:rPr>
          <w:rFonts w:ascii="Times New Roman" w:hAnsi="Times New Roman" w:cs="Times New Roman"/>
          <w:sz w:val="24"/>
          <w:szCs w:val="24"/>
        </w:rPr>
      </w:pPr>
      <w:r w:rsidRPr="007F35DD">
        <w:rPr>
          <w:rFonts w:ascii="Times New Roman" w:hAnsi="Times New Roman" w:cs="Times New Roman"/>
          <w:sz w:val="24"/>
          <w:szCs w:val="24"/>
        </w:rPr>
        <w:t>Crossley-Holland</w:t>
      </w:r>
      <w:r>
        <w:rPr>
          <w:rFonts w:ascii="Times New Roman" w:hAnsi="Times New Roman" w:cs="Times New Roman"/>
          <w:sz w:val="24"/>
          <w:szCs w:val="24"/>
        </w:rPr>
        <w:t>, K.</w:t>
      </w:r>
      <w:r w:rsidRPr="007F35DD">
        <w:rPr>
          <w:rFonts w:ascii="Times New Roman" w:hAnsi="Times New Roman" w:cs="Times New Roman"/>
          <w:sz w:val="24"/>
          <w:szCs w:val="24"/>
        </w:rPr>
        <w:t xml:space="preserve">, </w:t>
      </w:r>
      <w:r w:rsidRPr="007F35DD">
        <w:rPr>
          <w:rFonts w:ascii="Times New Roman" w:hAnsi="Times New Roman" w:cs="Times New Roman"/>
          <w:i/>
          <w:sz w:val="24"/>
          <w:szCs w:val="24"/>
        </w:rPr>
        <w:t xml:space="preserve">The Anglo-Saxon World: An Anthology </w:t>
      </w:r>
      <w:r w:rsidRPr="007F35DD">
        <w:rPr>
          <w:rFonts w:ascii="Times New Roman" w:hAnsi="Times New Roman" w:cs="Times New Roman"/>
          <w:sz w:val="24"/>
          <w:szCs w:val="24"/>
        </w:rPr>
        <w:t>(Oxford: Oxford University Press, 1999).</w:t>
      </w:r>
    </w:p>
    <w:p w:rsidR="0062308D" w:rsidRDefault="0062308D" w:rsidP="00794D54">
      <w:pPr>
        <w:spacing w:line="240" w:lineRule="auto"/>
        <w:rPr>
          <w:rFonts w:ascii="Times New Roman" w:hAnsi="Times New Roman" w:cs="Times New Roman"/>
          <w:sz w:val="24"/>
          <w:szCs w:val="24"/>
        </w:rPr>
      </w:pPr>
      <w:r w:rsidRPr="0062308D">
        <w:rPr>
          <w:rFonts w:ascii="Times New Roman" w:hAnsi="Times New Roman" w:cs="Times New Roman"/>
          <w:sz w:val="24"/>
          <w:szCs w:val="24"/>
        </w:rPr>
        <w:lastRenderedPageBreak/>
        <w:t>Crossley-Holland</w:t>
      </w:r>
      <w:r>
        <w:rPr>
          <w:rFonts w:ascii="Times New Roman" w:hAnsi="Times New Roman" w:cs="Times New Roman"/>
          <w:sz w:val="24"/>
          <w:szCs w:val="24"/>
        </w:rPr>
        <w:t>, K.</w:t>
      </w:r>
      <w:r w:rsidRPr="0062308D">
        <w:rPr>
          <w:rFonts w:ascii="Times New Roman" w:hAnsi="Times New Roman" w:cs="Times New Roman"/>
          <w:sz w:val="24"/>
          <w:szCs w:val="24"/>
        </w:rPr>
        <w:t xml:space="preserve">, </w:t>
      </w:r>
      <w:r w:rsidRPr="0062308D">
        <w:rPr>
          <w:rFonts w:ascii="Times New Roman" w:hAnsi="Times New Roman" w:cs="Times New Roman"/>
          <w:i/>
          <w:sz w:val="24"/>
          <w:szCs w:val="24"/>
        </w:rPr>
        <w:t xml:space="preserve">The Penguin Book of Norse Myths </w:t>
      </w:r>
      <w:r w:rsidRPr="0062308D">
        <w:rPr>
          <w:rFonts w:ascii="Times New Roman" w:hAnsi="Times New Roman" w:cs="Times New Roman"/>
          <w:sz w:val="24"/>
          <w:szCs w:val="24"/>
        </w:rPr>
        <w:t>(London: Penguin Books, 2011).</w:t>
      </w:r>
    </w:p>
    <w:p w:rsidR="00F8485D" w:rsidRDefault="00F8485D" w:rsidP="00794D54">
      <w:pPr>
        <w:spacing w:line="240" w:lineRule="auto"/>
        <w:rPr>
          <w:rFonts w:ascii="Times New Roman" w:hAnsi="Times New Roman" w:cs="Times New Roman"/>
          <w:sz w:val="24"/>
          <w:szCs w:val="24"/>
        </w:rPr>
      </w:pPr>
      <w:r w:rsidRPr="00F8485D">
        <w:rPr>
          <w:rFonts w:ascii="Times New Roman" w:hAnsi="Times New Roman" w:cs="Times New Roman"/>
          <w:sz w:val="24"/>
          <w:szCs w:val="24"/>
        </w:rPr>
        <w:t>DiNapoli</w:t>
      </w:r>
      <w:r>
        <w:rPr>
          <w:rFonts w:ascii="Times New Roman" w:hAnsi="Times New Roman" w:cs="Times New Roman"/>
          <w:sz w:val="24"/>
          <w:szCs w:val="24"/>
        </w:rPr>
        <w:t>, R.</w:t>
      </w:r>
      <w:r w:rsidRPr="00F8485D">
        <w:rPr>
          <w:rFonts w:ascii="Times New Roman" w:hAnsi="Times New Roman" w:cs="Times New Roman"/>
          <w:sz w:val="24"/>
          <w:szCs w:val="24"/>
        </w:rPr>
        <w:t xml:space="preserve">, </w:t>
      </w:r>
      <w:r w:rsidRPr="00F8485D">
        <w:rPr>
          <w:rFonts w:ascii="Times New Roman" w:hAnsi="Times New Roman" w:cs="Times New Roman"/>
          <w:i/>
          <w:sz w:val="24"/>
          <w:szCs w:val="24"/>
        </w:rPr>
        <w:t xml:space="preserve">A Far Light: A Reading of Beowulf </w:t>
      </w:r>
      <w:r w:rsidRPr="00F8485D">
        <w:rPr>
          <w:rFonts w:ascii="Times New Roman" w:hAnsi="Times New Roman" w:cs="Times New Roman"/>
          <w:sz w:val="24"/>
          <w:szCs w:val="24"/>
        </w:rPr>
        <w:t>(Cambridge: Cambridge Scholars Publishing, 2016</w:t>
      </w:r>
      <w:r>
        <w:rPr>
          <w:rFonts w:ascii="Times New Roman" w:hAnsi="Times New Roman" w:cs="Times New Roman"/>
          <w:sz w:val="24"/>
          <w:szCs w:val="24"/>
        </w:rPr>
        <w:t>).</w:t>
      </w:r>
    </w:p>
    <w:p w:rsidR="00796F9B" w:rsidRDefault="00796F9B" w:rsidP="00794D54">
      <w:pPr>
        <w:spacing w:line="240" w:lineRule="auto"/>
        <w:rPr>
          <w:rFonts w:ascii="Times New Roman" w:hAnsi="Times New Roman" w:cs="Times New Roman"/>
          <w:sz w:val="24"/>
          <w:szCs w:val="24"/>
        </w:rPr>
      </w:pPr>
      <w:r w:rsidRPr="00796F9B">
        <w:rPr>
          <w:rFonts w:ascii="Times New Roman" w:hAnsi="Times New Roman" w:cs="Times New Roman"/>
          <w:sz w:val="24"/>
          <w:szCs w:val="24"/>
        </w:rPr>
        <w:t>Gwara</w:t>
      </w:r>
      <w:r>
        <w:rPr>
          <w:rFonts w:ascii="Times New Roman" w:hAnsi="Times New Roman" w:cs="Times New Roman"/>
          <w:sz w:val="24"/>
          <w:szCs w:val="24"/>
        </w:rPr>
        <w:t>, S.</w:t>
      </w:r>
      <w:r w:rsidRPr="00796F9B">
        <w:rPr>
          <w:rFonts w:ascii="Times New Roman" w:hAnsi="Times New Roman" w:cs="Times New Roman"/>
          <w:sz w:val="24"/>
          <w:szCs w:val="24"/>
        </w:rPr>
        <w:t xml:space="preserve">, </w:t>
      </w:r>
      <w:r w:rsidRPr="00796F9B">
        <w:rPr>
          <w:rFonts w:ascii="Times New Roman" w:hAnsi="Times New Roman" w:cs="Times New Roman"/>
          <w:i/>
          <w:sz w:val="24"/>
          <w:szCs w:val="24"/>
        </w:rPr>
        <w:t xml:space="preserve">Heroic Identity in the World of Beowulf </w:t>
      </w:r>
      <w:r w:rsidR="0062308D">
        <w:rPr>
          <w:rFonts w:ascii="Times New Roman" w:hAnsi="Times New Roman" w:cs="Times New Roman"/>
          <w:sz w:val="24"/>
          <w:szCs w:val="24"/>
        </w:rPr>
        <w:t>(Leiden: Brill, 2008).</w:t>
      </w:r>
    </w:p>
    <w:p w:rsidR="00647569" w:rsidRDefault="00647569" w:rsidP="00794D54">
      <w:pPr>
        <w:spacing w:line="240" w:lineRule="auto"/>
        <w:rPr>
          <w:rFonts w:ascii="Times New Roman" w:hAnsi="Times New Roman" w:cs="Times New Roman"/>
          <w:sz w:val="24"/>
          <w:szCs w:val="24"/>
        </w:rPr>
      </w:pPr>
      <w:r w:rsidRPr="00647569">
        <w:rPr>
          <w:rFonts w:ascii="Times New Roman" w:hAnsi="Times New Roman" w:cs="Times New Roman"/>
          <w:sz w:val="24"/>
          <w:szCs w:val="24"/>
        </w:rPr>
        <w:t>Hadley</w:t>
      </w:r>
      <w:r>
        <w:rPr>
          <w:rFonts w:ascii="Times New Roman" w:hAnsi="Times New Roman" w:cs="Times New Roman"/>
          <w:sz w:val="24"/>
          <w:szCs w:val="24"/>
        </w:rPr>
        <w:t xml:space="preserve">, D.M., and </w:t>
      </w:r>
      <w:r w:rsidRPr="00647569">
        <w:rPr>
          <w:rFonts w:ascii="Times New Roman" w:hAnsi="Times New Roman" w:cs="Times New Roman"/>
          <w:sz w:val="24"/>
          <w:szCs w:val="24"/>
        </w:rPr>
        <w:t>Richard</w:t>
      </w:r>
      <w:r>
        <w:rPr>
          <w:rFonts w:ascii="Times New Roman" w:hAnsi="Times New Roman" w:cs="Times New Roman"/>
          <w:sz w:val="24"/>
          <w:szCs w:val="24"/>
        </w:rPr>
        <w:t>, J.D.</w:t>
      </w:r>
      <w:r w:rsidRPr="00647569">
        <w:rPr>
          <w:rFonts w:ascii="Times New Roman" w:hAnsi="Times New Roman" w:cs="Times New Roman"/>
          <w:sz w:val="24"/>
          <w:szCs w:val="24"/>
        </w:rPr>
        <w:t xml:space="preserve">, </w:t>
      </w:r>
      <w:r w:rsidRPr="00647569">
        <w:rPr>
          <w:rFonts w:ascii="Times New Roman" w:hAnsi="Times New Roman" w:cs="Times New Roman"/>
          <w:i/>
          <w:sz w:val="24"/>
          <w:szCs w:val="24"/>
        </w:rPr>
        <w:t xml:space="preserve">Cultures in Contact: Scandinavian Settlement in England in the Ninth and Tenth Centuries </w:t>
      </w:r>
      <w:r w:rsidRPr="00647569">
        <w:rPr>
          <w:rFonts w:ascii="Times New Roman" w:hAnsi="Times New Roman" w:cs="Times New Roman"/>
          <w:sz w:val="24"/>
          <w:szCs w:val="24"/>
        </w:rPr>
        <w:t>(Michigan: University of Michigan, 2000).</w:t>
      </w:r>
    </w:p>
    <w:p w:rsidR="005B03DC" w:rsidRDefault="005B03DC" w:rsidP="00794D54">
      <w:pPr>
        <w:spacing w:line="240" w:lineRule="auto"/>
        <w:rPr>
          <w:rFonts w:ascii="Times New Roman" w:hAnsi="Times New Roman" w:cs="Times New Roman"/>
          <w:sz w:val="24"/>
          <w:szCs w:val="24"/>
        </w:rPr>
      </w:pPr>
      <w:r w:rsidRPr="005B03DC">
        <w:rPr>
          <w:rFonts w:ascii="Times New Roman" w:hAnsi="Times New Roman" w:cs="Times New Roman"/>
          <w:sz w:val="24"/>
          <w:szCs w:val="24"/>
        </w:rPr>
        <w:t>Hillerbrand</w:t>
      </w:r>
      <w:r>
        <w:rPr>
          <w:rFonts w:ascii="Times New Roman" w:hAnsi="Times New Roman" w:cs="Times New Roman"/>
          <w:sz w:val="24"/>
          <w:szCs w:val="24"/>
        </w:rPr>
        <w:t>, H.J.</w:t>
      </w:r>
      <w:r w:rsidRPr="005B03DC">
        <w:rPr>
          <w:rFonts w:ascii="Times New Roman" w:hAnsi="Times New Roman" w:cs="Times New Roman"/>
          <w:sz w:val="24"/>
          <w:szCs w:val="24"/>
        </w:rPr>
        <w:t xml:space="preserve">, </w:t>
      </w:r>
      <w:r w:rsidRPr="005B03DC">
        <w:rPr>
          <w:rFonts w:ascii="Times New Roman" w:hAnsi="Times New Roman" w:cs="Times New Roman"/>
          <w:i/>
          <w:sz w:val="24"/>
          <w:szCs w:val="24"/>
        </w:rPr>
        <w:t xml:space="preserve">A New History of Christianity </w:t>
      </w:r>
      <w:r w:rsidRPr="005B03DC">
        <w:rPr>
          <w:rFonts w:ascii="Times New Roman" w:hAnsi="Times New Roman" w:cs="Times New Roman"/>
          <w:sz w:val="24"/>
          <w:szCs w:val="24"/>
        </w:rPr>
        <w:t>(Nashville: Abingdon Press, 2012</w:t>
      </w:r>
      <w:r>
        <w:rPr>
          <w:rFonts w:ascii="Times New Roman" w:hAnsi="Times New Roman" w:cs="Times New Roman"/>
          <w:sz w:val="24"/>
          <w:szCs w:val="24"/>
        </w:rPr>
        <w:t>).</w:t>
      </w:r>
    </w:p>
    <w:p w:rsidR="00705593" w:rsidRDefault="00705593" w:rsidP="00794D54">
      <w:pPr>
        <w:spacing w:line="240" w:lineRule="auto"/>
        <w:rPr>
          <w:rFonts w:ascii="Times New Roman" w:hAnsi="Times New Roman" w:cs="Times New Roman"/>
          <w:sz w:val="24"/>
          <w:szCs w:val="24"/>
        </w:rPr>
      </w:pPr>
      <w:r w:rsidRPr="00705593">
        <w:rPr>
          <w:rFonts w:ascii="Times New Roman" w:hAnsi="Times New Roman" w:cs="Times New Roman"/>
          <w:sz w:val="24"/>
          <w:szCs w:val="24"/>
        </w:rPr>
        <w:t>Hindley</w:t>
      </w:r>
      <w:r>
        <w:rPr>
          <w:rFonts w:ascii="Times New Roman" w:hAnsi="Times New Roman" w:cs="Times New Roman"/>
          <w:sz w:val="24"/>
          <w:szCs w:val="24"/>
        </w:rPr>
        <w:t>, G.</w:t>
      </w:r>
      <w:r w:rsidRPr="00705593">
        <w:rPr>
          <w:rFonts w:ascii="Times New Roman" w:hAnsi="Times New Roman" w:cs="Times New Roman"/>
          <w:sz w:val="24"/>
          <w:szCs w:val="24"/>
        </w:rPr>
        <w:t xml:space="preserve">, </w:t>
      </w:r>
      <w:r w:rsidRPr="00705593">
        <w:rPr>
          <w:rFonts w:ascii="Times New Roman" w:hAnsi="Times New Roman" w:cs="Times New Roman"/>
          <w:i/>
          <w:sz w:val="24"/>
          <w:szCs w:val="24"/>
        </w:rPr>
        <w:t xml:space="preserve">A Brief History of the Anglo-Saxons </w:t>
      </w:r>
      <w:r w:rsidRPr="00705593">
        <w:rPr>
          <w:rFonts w:ascii="Times New Roman" w:hAnsi="Times New Roman" w:cs="Times New Roman"/>
          <w:sz w:val="24"/>
          <w:szCs w:val="24"/>
        </w:rPr>
        <w:t>(London: Constable &amp; Robinson Ltd, 2006).</w:t>
      </w:r>
    </w:p>
    <w:p w:rsidR="0062308D" w:rsidRDefault="0062308D" w:rsidP="00794D54">
      <w:pPr>
        <w:spacing w:line="240" w:lineRule="auto"/>
        <w:rPr>
          <w:rFonts w:ascii="Times New Roman" w:hAnsi="Times New Roman" w:cs="Times New Roman"/>
          <w:sz w:val="24"/>
          <w:szCs w:val="24"/>
        </w:rPr>
      </w:pPr>
      <w:r w:rsidRPr="0062308D">
        <w:rPr>
          <w:rFonts w:ascii="Times New Roman" w:hAnsi="Times New Roman" w:cs="Times New Roman"/>
          <w:sz w:val="24"/>
          <w:szCs w:val="24"/>
        </w:rPr>
        <w:t>Marshall</w:t>
      </w:r>
      <w:r>
        <w:rPr>
          <w:rFonts w:ascii="Times New Roman" w:hAnsi="Times New Roman" w:cs="Times New Roman"/>
          <w:sz w:val="24"/>
          <w:szCs w:val="24"/>
        </w:rPr>
        <w:t>, J.E.</w:t>
      </w:r>
      <w:r w:rsidRPr="0062308D">
        <w:rPr>
          <w:rFonts w:ascii="Times New Roman" w:hAnsi="Times New Roman" w:cs="Times New Roman"/>
          <w:sz w:val="24"/>
          <w:szCs w:val="24"/>
        </w:rPr>
        <w:t xml:space="preserve">, ‘Goldgyfan or Goldwlance: A Christian Apology for Beowulf and Treasure’, </w:t>
      </w:r>
      <w:r w:rsidRPr="0062308D">
        <w:rPr>
          <w:rFonts w:ascii="Times New Roman" w:hAnsi="Times New Roman" w:cs="Times New Roman"/>
          <w:i/>
          <w:sz w:val="24"/>
          <w:szCs w:val="24"/>
        </w:rPr>
        <w:t xml:space="preserve">Studies in Philology, </w:t>
      </w:r>
      <w:r w:rsidRPr="0062308D">
        <w:rPr>
          <w:rFonts w:ascii="Times New Roman" w:hAnsi="Times New Roman" w:cs="Times New Roman"/>
          <w:sz w:val="24"/>
          <w:szCs w:val="24"/>
        </w:rPr>
        <w:t>107, 1, (2010), 1—24, p. 1.</w:t>
      </w:r>
    </w:p>
    <w:p w:rsidR="00796F9B" w:rsidRDefault="00796F9B" w:rsidP="00794D54">
      <w:pPr>
        <w:spacing w:line="240" w:lineRule="auto"/>
        <w:rPr>
          <w:rFonts w:ascii="Times New Roman" w:hAnsi="Times New Roman" w:cs="Times New Roman"/>
          <w:sz w:val="24"/>
          <w:szCs w:val="24"/>
        </w:rPr>
      </w:pPr>
      <w:r w:rsidRPr="00796F9B">
        <w:rPr>
          <w:rFonts w:ascii="Times New Roman" w:hAnsi="Times New Roman" w:cs="Times New Roman"/>
          <w:sz w:val="24"/>
          <w:szCs w:val="24"/>
        </w:rPr>
        <w:t>Piroyansky</w:t>
      </w:r>
      <w:r>
        <w:rPr>
          <w:rFonts w:ascii="Times New Roman" w:hAnsi="Times New Roman" w:cs="Times New Roman"/>
          <w:sz w:val="24"/>
          <w:szCs w:val="24"/>
        </w:rPr>
        <w:t>, D.</w:t>
      </w:r>
      <w:r w:rsidRPr="00796F9B">
        <w:rPr>
          <w:rFonts w:ascii="Times New Roman" w:hAnsi="Times New Roman" w:cs="Times New Roman"/>
          <w:sz w:val="24"/>
          <w:szCs w:val="24"/>
        </w:rPr>
        <w:t>,</w:t>
      </w:r>
      <w:r w:rsidRPr="00796F9B">
        <w:rPr>
          <w:rFonts w:ascii="Times New Roman" w:hAnsi="Times New Roman" w:cs="Times New Roman"/>
          <w:i/>
          <w:sz w:val="24"/>
          <w:szCs w:val="24"/>
        </w:rPr>
        <w:t xml:space="preserve"> Martyrs in the Making: Political Martyrdom in Late Medieval England </w:t>
      </w:r>
      <w:r w:rsidRPr="00796F9B">
        <w:rPr>
          <w:rFonts w:ascii="Times New Roman" w:hAnsi="Times New Roman" w:cs="Times New Roman"/>
          <w:sz w:val="24"/>
          <w:szCs w:val="24"/>
        </w:rPr>
        <w:t>(Basingstoke: Palgrave Macmillan, 2008).</w:t>
      </w:r>
    </w:p>
    <w:p w:rsidR="00B454D4" w:rsidRDefault="00B454D4" w:rsidP="00794D54">
      <w:pPr>
        <w:spacing w:line="240" w:lineRule="auto"/>
        <w:rPr>
          <w:rFonts w:ascii="Times New Roman" w:hAnsi="Times New Roman" w:cs="Times New Roman"/>
          <w:sz w:val="24"/>
          <w:szCs w:val="24"/>
        </w:rPr>
      </w:pPr>
      <w:r w:rsidRPr="00B454D4">
        <w:rPr>
          <w:rFonts w:ascii="Times New Roman" w:hAnsi="Times New Roman" w:cs="Times New Roman"/>
          <w:sz w:val="24"/>
          <w:szCs w:val="24"/>
        </w:rPr>
        <w:t>Pope</w:t>
      </w:r>
      <w:r>
        <w:rPr>
          <w:rFonts w:ascii="Times New Roman" w:hAnsi="Times New Roman" w:cs="Times New Roman"/>
          <w:sz w:val="24"/>
          <w:szCs w:val="24"/>
        </w:rPr>
        <w:t>, J.C.</w:t>
      </w:r>
      <w:r w:rsidRPr="00B454D4">
        <w:rPr>
          <w:rFonts w:ascii="Times New Roman" w:hAnsi="Times New Roman" w:cs="Times New Roman"/>
          <w:sz w:val="24"/>
          <w:szCs w:val="24"/>
        </w:rPr>
        <w:t xml:space="preserve">, </w:t>
      </w:r>
      <w:r w:rsidRPr="00B454D4">
        <w:rPr>
          <w:rFonts w:ascii="Times New Roman" w:hAnsi="Times New Roman" w:cs="Times New Roman"/>
          <w:i/>
          <w:iCs/>
          <w:sz w:val="24"/>
          <w:szCs w:val="24"/>
        </w:rPr>
        <w:t>Old English Shorter Poems: Basic Readings</w:t>
      </w:r>
      <w:r w:rsidRPr="00B454D4">
        <w:rPr>
          <w:rFonts w:ascii="Times New Roman" w:hAnsi="Times New Roman" w:cs="Times New Roman"/>
          <w:sz w:val="24"/>
          <w:szCs w:val="24"/>
        </w:rPr>
        <w:t>, ed</w:t>
      </w:r>
      <w:r>
        <w:rPr>
          <w:rFonts w:ascii="Times New Roman" w:hAnsi="Times New Roman" w:cs="Times New Roman"/>
          <w:sz w:val="24"/>
          <w:szCs w:val="24"/>
        </w:rPr>
        <w:t xml:space="preserve">. </w:t>
      </w:r>
      <w:r w:rsidRPr="00B454D4">
        <w:rPr>
          <w:rFonts w:ascii="Times New Roman" w:hAnsi="Times New Roman" w:cs="Times New Roman"/>
          <w:sz w:val="24"/>
          <w:szCs w:val="24"/>
        </w:rPr>
        <w:t>O'Brien</w:t>
      </w:r>
      <w:r>
        <w:rPr>
          <w:rFonts w:ascii="Times New Roman" w:hAnsi="Times New Roman" w:cs="Times New Roman"/>
          <w:sz w:val="24"/>
          <w:szCs w:val="24"/>
        </w:rPr>
        <w:t>, K.</w:t>
      </w:r>
      <w:r w:rsidRPr="00B454D4">
        <w:rPr>
          <w:rFonts w:ascii="Times New Roman" w:hAnsi="Times New Roman" w:cs="Times New Roman"/>
          <w:sz w:val="24"/>
          <w:szCs w:val="24"/>
        </w:rPr>
        <w:t xml:space="preserve"> (New York: Garland</w:t>
      </w:r>
      <w:r>
        <w:rPr>
          <w:rFonts w:ascii="Times New Roman" w:hAnsi="Times New Roman" w:cs="Times New Roman"/>
          <w:sz w:val="24"/>
          <w:szCs w:val="24"/>
        </w:rPr>
        <w:t>, 1994).</w:t>
      </w:r>
    </w:p>
    <w:p w:rsidR="00B454D4" w:rsidRDefault="00B454D4" w:rsidP="00794D54">
      <w:pPr>
        <w:spacing w:line="240" w:lineRule="auto"/>
        <w:rPr>
          <w:rFonts w:ascii="Times New Roman" w:hAnsi="Times New Roman" w:cs="Times New Roman"/>
          <w:sz w:val="24"/>
          <w:szCs w:val="24"/>
        </w:rPr>
      </w:pPr>
      <w:r w:rsidRPr="00B454D4">
        <w:rPr>
          <w:rFonts w:ascii="Times New Roman" w:hAnsi="Times New Roman" w:cs="Times New Roman"/>
          <w:sz w:val="24"/>
          <w:szCs w:val="24"/>
        </w:rPr>
        <w:t>Symons</w:t>
      </w:r>
      <w:r>
        <w:rPr>
          <w:rFonts w:ascii="Times New Roman" w:hAnsi="Times New Roman" w:cs="Times New Roman"/>
          <w:sz w:val="24"/>
          <w:szCs w:val="24"/>
        </w:rPr>
        <w:t>, V.</w:t>
      </w:r>
      <w:r w:rsidRPr="00B454D4">
        <w:rPr>
          <w:rFonts w:ascii="Times New Roman" w:hAnsi="Times New Roman" w:cs="Times New Roman"/>
          <w:sz w:val="24"/>
          <w:szCs w:val="24"/>
        </w:rPr>
        <w:t xml:space="preserve">, ‘Monsters and Heroes in Beowulf’, The British Library, (2018), [Online]. Available at </w:t>
      </w:r>
      <w:hyperlink r:id="rId9" w:history="1">
        <w:r w:rsidRPr="00B454D4">
          <w:rPr>
            <w:rStyle w:val="Hyperlink"/>
            <w:rFonts w:ascii="Times New Roman" w:hAnsi="Times New Roman" w:cs="Times New Roman"/>
            <w:sz w:val="24"/>
            <w:szCs w:val="24"/>
          </w:rPr>
          <w:t>https://www.bl.uk/medieval-literature/articles/monsters-and-heroes-in-beowulf</w:t>
        </w:r>
      </w:hyperlink>
      <w:r w:rsidRPr="00B454D4">
        <w:rPr>
          <w:rFonts w:ascii="Times New Roman" w:hAnsi="Times New Roman" w:cs="Times New Roman"/>
          <w:sz w:val="24"/>
          <w:szCs w:val="24"/>
        </w:rPr>
        <w:t>. Accessed 18</w:t>
      </w:r>
      <w:r w:rsidRPr="00B454D4">
        <w:rPr>
          <w:rFonts w:ascii="Times New Roman" w:hAnsi="Times New Roman" w:cs="Times New Roman"/>
          <w:sz w:val="24"/>
          <w:szCs w:val="24"/>
          <w:vertAlign w:val="superscript"/>
        </w:rPr>
        <w:t>th</w:t>
      </w:r>
      <w:r w:rsidRPr="00B454D4">
        <w:rPr>
          <w:rFonts w:ascii="Times New Roman" w:hAnsi="Times New Roman" w:cs="Times New Roman"/>
          <w:sz w:val="24"/>
          <w:szCs w:val="24"/>
        </w:rPr>
        <w:t xml:space="preserve"> August 2018.</w:t>
      </w:r>
    </w:p>
    <w:p w:rsidR="00705593" w:rsidRDefault="00794D54" w:rsidP="00794D54">
      <w:pPr>
        <w:spacing w:line="240" w:lineRule="auto"/>
        <w:rPr>
          <w:rFonts w:ascii="Times New Roman" w:hAnsi="Times New Roman" w:cs="Times New Roman"/>
          <w:sz w:val="24"/>
          <w:szCs w:val="24"/>
        </w:rPr>
      </w:pPr>
      <w:r w:rsidRPr="00794D54">
        <w:rPr>
          <w:rFonts w:ascii="Times New Roman" w:hAnsi="Times New Roman" w:cs="Times New Roman"/>
          <w:i/>
          <w:sz w:val="24"/>
          <w:szCs w:val="24"/>
        </w:rPr>
        <w:t xml:space="preserve">The Battle of Maldon, </w:t>
      </w:r>
      <w:r w:rsidR="00796F9B">
        <w:rPr>
          <w:rFonts w:ascii="Times New Roman" w:hAnsi="Times New Roman" w:cs="Times New Roman"/>
          <w:sz w:val="24"/>
          <w:szCs w:val="24"/>
        </w:rPr>
        <w:t>ed. S</w:t>
      </w:r>
      <w:r w:rsidRPr="00794D54">
        <w:rPr>
          <w:rFonts w:ascii="Times New Roman" w:hAnsi="Times New Roman" w:cs="Times New Roman"/>
          <w:sz w:val="24"/>
          <w:szCs w:val="24"/>
        </w:rPr>
        <w:t>cragg</w:t>
      </w:r>
      <w:r w:rsidR="00796F9B">
        <w:rPr>
          <w:rFonts w:ascii="Times New Roman" w:hAnsi="Times New Roman" w:cs="Times New Roman"/>
          <w:sz w:val="24"/>
          <w:szCs w:val="24"/>
        </w:rPr>
        <w:t>, D.G.</w:t>
      </w:r>
      <w:r w:rsidRPr="00794D54">
        <w:rPr>
          <w:rFonts w:ascii="Times New Roman" w:hAnsi="Times New Roman" w:cs="Times New Roman"/>
          <w:i/>
          <w:sz w:val="24"/>
          <w:szCs w:val="24"/>
        </w:rPr>
        <w:t xml:space="preserve"> </w:t>
      </w:r>
      <w:r w:rsidRPr="00794D54">
        <w:rPr>
          <w:rFonts w:ascii="Times New Roman" w:hAnsi="Times New Roman" w:cs="Times New Roman"/>
          <w:sz w:val="24"/>
          <w:szCs w:val="24"/>
        </w:rPr>
        <w:t>(Manchester, Manchester University Press, 1981).</w:t>
      </w:r>
    </w:p>
    <w:p w:rsidR="00794D54" w:rsidRDefault="00794D54" w:rsidP="00794D54">
      <w:pPr>
        <w:spacing w:line="240" w:lineRule="auto"/>
        <w:rPr>
          <w:rFonts w:ascii="Times New Roman" w:hAnsi="Times New Roman" w:cs="Times New Roman"/>
          <w:sz w:val="24"/>
          <w:szCs w:val="24"/>
        </w:rPr>
      </w:pPr>
      <w:r w:rsidRPr="00794D54">
        <w:rPr>
          <w:rFonts w:ascii="Times New Roman" w:hAnsi="Times New Roman" w:cs="Times New Roman"/>
          <w:i/>
          <w:sz w:val="24"/>
          <w:szCs w:val="24"/>
        </w:rPr>
        <w:t xml:space="preserve">The Dream of the Rood, </w:t>
      </w:r>
      <w:r w:rsidR="00796F9B">
        <w:rPr>
          <w:rFonts w:ascii="Times New Roman" w:hAnsi="Times New Roman" w:cs="Times New Roman"/>
          <w:sz w:val="24"/>
          <w:szCs w:val="24"/>
        </w:rPr>
        <w:t xml:space="preserve">ed. </w:t>
      </w:r>
      <w:r w:rsidRPr="00794D54">
        <w:rPr>
          <w:rFonts w:ascii="Times New Roman" w:hAnsi="Times New Roman" w:cs="Times New Roman"/>
          <w:sz w:val="24"/>
          <w:szCs w:val="24"/>
        </w:rPr>
        <w:t>Swanton</w:t>
      </w:r>
      <w:r w:rsidR="00796F9B">
        <w:rPr>
          <w:rFonts w:ascii="Times New Roman" w:hAnsi="Times New Roman" w:cs="Times New Roman"/>
          <w:sz w:val="24"/>
          <w:szCs w:val="24"/>
        </w:rPr>
        <w:t>, M.</w:t>
      </w:r>
      <w:r w:rsidRPr="00794D54">
        <w:rPr>
          <w:rFonts w:ascii="Times New Roman" w:hAnsi="Times New Roman" w:cs="Times New Roman"/>
          <w:sz w:val="24"/>
          <w:szCs w:val="24"/>
        </w:rPr>
        <w:t xml:space="preserve"> (Manchester: Manchester University Press, 1978).</w:t>
      </w:r>
    </w:p>
    <w:p w:rsidR="00794D54" w:rsidRDefault="00794D54" w:rsidP="00794D54">
      <w:pPr>
        <w:spacing w:line="240" w:lineRule="auto"/>
        <w:rPr>
          <w:rFonts w:ascii="Times New Roman" w:hAnsi="Times New Roman" w:cs="Times New Roman"/>
          <w:sz w:val="24"/>
          <w:szCs w:val="24"/>
        </w:rPr>
      </w:pPr>
      <w:r w:rsidRPr="00794D54">
        <w:rPr>
          <w:rFonts w:ascii="Times New Roman" w:hAnsi="Times New Roman" w:cs="Times New Roman"/>
          <w:i/>
          <w:sz w:val="24"/>
          <w:szCs w:val="24"/>
        </w:rPr>
        <w:t xml:space="preserve">The Seafarer, </w:t>
      </w:r>
      <w:r w:rsidR="00796F9B">
        <w:rPr>
          <w:rFonts w:ascii="Times New Roman" w:hAnsi="Times New Roman" w:cs="Times New Roman"/>
          <w:sz w:val="24"/>
          <w:szCs w:val="24"/>
        </w:rPr>
        <w:t xml:space="preserve">ed. </w:t>
      </w:r>
      <w:r w:rsidRPr="00794D54">
        <w:rPr>
          <w:rFonts w:ascii="Times New Roman" w:hAnsi="Times New Roman" w:cs="Times New Roman"/>
          <w:sz w:val="24"/>
          <w:szCs w:val="24"/>
        </w:rPr>
        <w:t>Gordon</w:t>
      </w:r>
      <w:r w:rsidR="00796F9B">
        <w:rPr>
          <w:rFonts w:ascii="Times New Roman" w:hAnsi="Times New Roman" w:cs="Times New Roman"/>
          <w:sz w:val="24"/>
          <w:szCs w:val="24"/>
        </w:rPr>
        <w:t>, I.L.</w:t>
      </w:r>
      <w:r w:rsidRPr="00794D54">
        <w:rPr>
          <w:rFonts w:ascii="Times New Roman" w:hAnsi="Times New Roman" w:cs="Times New Roman"/>
          <w:sz w:val="24"/>
          <w:szCs w:val="24"/>
        </w:rPr>
        <w:t xml:space="preserve"> (Manchester: Manchester University Press, 1979).</w:t>
      </w:r>
    </w:p>
    <w:p w:rsidR="00794D54" w:rsidRDefault="00794D54" w:rsidP="00794D54">
      <w:pPr>
        <w:spacing w:line="240" w:lineRule="auto"/>
        <w:rPr>
          <w:rFonts w:ascii="Times New Roman" w:hAnsi="Times New Roman" w:cs="Times New Roman"/>
          <w:sz w:val="24"/>
          <w:szCs w:val="24"/>
        </w:rPr>
      </w:pPr>
      <w:r w:rsidRPr="00794D54">
        <w:rPr>
          <w:rFonts w:ascii="Times New Roman" w:hAnsi="Times New Roman" w:cs="Times New Roman"/>
          <w:i/>
          <w:sz w:val="24"/>
          <w:szCs w:val="24"/>
        </w:rPr>
        <w:t xml:space="preserve">The Wanderer: Elegies, Epics, Riddles, </w:t>
      </w:r>
      <w:r w:rsidR="00796F9B">
        <w:rPr>
          <w:rFonts w:ascii="Times New Roman" w:hAnsi="Times New Roman" w:cs="Times New Roman"/>
          <w:sz w:val="24"/>
          <w:szCs w:val="24"/>
        </w:rPr>
        <w:t xml:space="preserve">ed. </w:t>
      </w:r>
      <w:r w:rsidRPr="00794D54">
        <w:rPr>
          <w:rFonts w:ascii="Times New Roman" w:hAnsi="Times New Roman" w:cs="Times New Roman"/>
          <w:sz w:val="24"/>
          <w:szCs w:val="24"/>
        </w:rPr>
        <w:t>Alexander</w:t>
      </w:r>
      <w:r w:rsidR="00796F9B">
        <w:rPr>
          <w:rFonts w:ascii="Times New Roman" w:hAnsi="Times New Roman" w:cs="Times New Roman"/>
          <w:sz w:val="24"/>
          <w:szCs w:val="24"/>
        </w:rPr>
        <w:t>, M.</w:t>
      </w:r>
      <w:r w:rsidRPr="00794D54">
        <w:rPr>
          <w:rFonts w:ascii="Times New Roman" w:hAnsi="Times New Roman" w:cs="Times New Roman"/>
          <w:sz w:val="24"/>
          <w:szCs w:val="24"/>
        </w:rPr>
        <w:t xml:space="preserve"> (London: Penguin UK, 2013).</w:t>
      </w:r>
    </w:p>
    <w:p w:rsidR="0062308D" w:rsidRPr="00705593" w:rsidRDefault="0062308D" w:rsidP="00794D54">
      <w:pPr>
        <w:spacing w:line="240" w:lineRule="auto"/>
        <w:rPr>
          <w:rFonts w:ascii="Times New Roman" w:hAnsi="Times New Roman" w:cs="Times New Roman"/>
          <w:sz w:val="24"/>
          <w:szCs w:val="24"/>
        </w:rPr>
      </w:pPr>
      <w:r w:rsidRPr="0062308D">
        <w:rPr>
          <w:rFonts w:ascii="Times New Roman" w:hAnsi="Times New Roman" w:cs="Times New Roman"/>
          <w:sz w:val="24"/>
          <w:szCs w:val="24"/>
        </w:rPr>
        <w:t>Wills</w:t>
      </w:r>
      <w:r>
        <w:rPr>
          <w:rFonts w:ascii="Times New Roman" w:hAnsi="Times New Roman" w:cs="Times New Roman"/>
          <w:sz w:val="24"/>
          <w:szCs w:val="24"/>
        </w:rPr>
        <w:t>, G.</w:t>
      </w:r>
      <w:r w:rsidRPr="0062308D">
        <w:rPr>
          <w:rFonts w:ascii="Times New Roman" w:hAnsi="Times New Roman" w:cs="Times New Roman"/>
          <w:sz w:val="24"/>
          <w:szCs w:val="24"/>
        </w:rPr>
        <w:t xml:space="preserve">, </w:t>
      </w:r>
      <w:r w:rsidRPr="0062308D">
        <w:rPr>
          <w:rFonts w:ascii="Times New Roman" w:hAnsi="Times New Roman" w:cs="Times New Roman"/>
          <w:i/>
          <w:sz w:val="24"/>
          <w:szCs w:val="24"/>
        </w:rPr>
        <w:t xml:space="preserve">What Jesus Meant </w:t>
      </w:r>
      <w:r w:rsidRPr="0062308D">
        <w:rPr>
          <w:rFonts w:ascii="Times New Roman" w:hAnsi="Times New Roman" w:cs="Times New Roman"/>
          <w:sz w:val="24"/>
          <w:szCs w:val="24"/>
        </w:rPr>
        <w:t>(London: Penguin Books, 2006).</w:t>
      </w:r>
    </w:p>
    <w:sectPr w:rsidR="0062308D" w:rsidRPr="0070559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5D0" w:rsidRDefault="001315D0" w:rsidP="00285014">
      <w:pPr>
        <w:spacing w:after="0" w:line="240" w:lineRule="auto"/>
      </w:pPr>
      <w:r>
        <w:separator/>
      </w:r>
    </w:p>
  </w:endnote>
  <w:endnote w:type="continuationSeparator" w:id="0">
    <w:p w:rsidR="001315D0" w:rsidRDefault="001315D0" w:rsidP="00285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3845485"/>
      <w:docPartObj>
        <w:docPartGallery w:val="Page Numbers (Bottom of Page)"/>
        <w:docPartUnique/>
      </w:docPartObj>
    </w:sdtPr>
    <w:sdtEndPr>
      <w:rPr>
        <w:noProof/>
      </w:rPr>
    </w:sdtEndPr>
    <w:sdtContent>
      <w:p w:rsidR="000A1C6A" w:rsidRDefault="000A1C6A">
        <w:pPr>
          <w:pStyle w:val="Footer"/>
        </w:pPr>
        <w:r>
          <w:fldChar w:fldCharType="begin"/>
        </w:r>
        <w:r>
          <w:instrText xml:space="preserve"> PAGE   \* MERGEFORMAT </w:instrText>
        </w:r>
        <w:r>
          <w:fldChar w:fldCharType="separate"/>
        </w:r>
        <w:r>
          <w:rPr>
            <w:noProof/>
          </w:rPr>
          <w:t>18</w:t>
        </w:r>
        <w:r>
          <w:rPr>
            <w:noProof/>
          </w:rPr>
          <w:fldChar w:fldCharType="end"/>
        </w:r>
      </w:p>
    </w:sdtContent>
  </w:sdt>
  <w:p w:rsidR="000A1C6A" w:rsidRDefault="000A1C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5D0" w:rsidRDefault="001315D0" w:rsidP="00285014">
      <w:pPr>
        <w:spacing w:after="0" w:line="240" w:lineRule="auto"/>
      </w:pPr>
      <w:r>
        <w:separator/>
      </w:r>
    </w:p>
  </w:footnote>
  <w:footnote w:type="continuationSeparator" w:id="0">
    <w:p w:rsidR="001315D0" w:rsidRDefault="001315D0" w:rsidP="00285014">
      <w:pPr>
        <w:spacing w:after="0" w:line="240" w:lineRule="auto"/>
      </w:pPr>
      <w:r>
        <w:continuationSeparator/>
      </w:r>
    </w:p>
  </w:footnote>
  <w:footnote w:id="1">
    <w:p w:rsidR="00285014" w:rsidRPr="004D785F" w:rsidRDefault="00285014">
      <w:pPr>
        <w:pStyle w:val="FootnoteText"/>
      </w:pPr>
      <w:r>
        <w:rPr>
          <w:rStyle w:val="FootnoteReference"/>
        </w:rPr>
        <w:footnoteRef/>
      </w:r>
      <w:r>
        <w:t xml:space="preserve"> </w:t>
      </w:r>
      <w:r w:rsidR="004D785F">
        <w:t xml:space="preserve">G. Hindley, </w:t>
      </w:r>
      <w:r w:rsidR="004D785F">
        <w:rPr>
          <w:i/>
        </w:rPr>
        <w:t xml:space="preserve">A Brief History of the Anglo-Saxons </w:t>
      </w:r>
      <w:r w:rsidR="004D785F">
        <w:t>(London: Constable &amp; Robinson Ltd, 2006).</w:t>
      </w:r>
    </w:p>
  </w:footnote>
  <w:footnote w:id="2">
    <w:p w:rsidR="00285014" w:rsidRPr="004D785F" w:rsidRDefault="00285014">
      <w:pPr>
        <w:pStyle w:val="FootnoteText"/>
      </w:pPr>
      <w:r>
        <w:rPr>
          <w:rStyle w:val="FootnoteReference"/>
        </w:rPr>
        <w:footnoteRef/>
      </w:r>
      <w:r>
        <w:t xml:space="preserve"> </w:t>
      </w:r>
      <w:r w:rsidR="004D785F">
        <w:rPr>
          <w:i/>
        </w:rPr>
        <w:t xml:space="preserve">Beowulf, </w:t>
      </w:r>
      <w:r w:rsidR="004D785F">
        <w:t>ed. M. Swanton</w:t>
      </w:r>
      <w:r w:rsidR="004D785F">
        <w:rPr>
          <w:i/>
        </w:rPr>
        <w:t xml:space="preserve"> </w:t>
      </w:r>
      <w:r w:rsidR="004D785F">
        <w:t>(Manchester: Manchester University Press, 1997).</w:t>
      </w:r>
    </w:p>
  </w:footnote>
  <w:footnote w:id="3">
    <w:p w:rsidR="00285014" w:rsidRPr="004D785F" w:rsidRDefault="00285014">
      <w:pPr>
        <w:pStyle w:val="FootnoteText"/>
      </w:pPr>
      <w:r>
        <w:rPr>
          <w:rStyle w:val="FootnoteReference"/>
        </w:rPr>
        <w:footnoteRef/>
      </w:r>
      <w:r>
        <w:t xml:space="preserve"> </w:t>
      </w:r>
      <w:r w:rsidR="004D785F">
        <w:rPr>
          <w:i/>
        </w:rPr>
        <w:t xml:space="preserve">The Battle of Maldon, </w:t>
      </w:r>
      <w:r w:rsidR="004D785F">
        <w:t>ed. D.G. Scragg</w:t>
      </w:r>
      <w:r w:rsidR="004D785F">
        <w:rPr>
          <w:i/>
        </w:rPr>
        <w:t xml:space="preserve"> </w:t>
      </w:r>
      <w:r w:rsidR="004D785F">
        <w:t>(Manchester, Manchester University Press, 1981).</w:t>
      </w:r>
    </w:p>
  </w:footnote>
  <w:footnote w:id="4">
    <w:p w:rsidR="00285014" w:rsidRPr="004D785F" w:rsidRDefault="00285014">
      <w:pPr>
        <w:pStyle w:val="FootnoteText"/>
      </w:pPr>
      <w:r>
        <w:rPr>
          <w:rStyle w:val="FootnoteReference"/>
        </w:rPr>
        <w:footnoteRef/>
      </w:r>
      <w:r>
        <w:t xml:space="preserve"> </w:t>
      </w:r>
      <w:r w:rsidR="004D785F">
        <w:rPr>
          <w:i/>
        </w:rPr>
        <w:t xml:space="preserve">The Dream of the Rood, </w:t>
      </w:r>
      <w:r w:rsidR="004D785F">
        <w:t>ed. M. Swanton (Manchester: Manchester University Press, 1978).</w:t>
      </w:r>
    </w:p>
  </w:footnote>
  <w:footnote w:id="5">
    <w:p w:rsidR="00285014" w:rsidRPr="004D785F" w:rsidRDefault="00285014">
      <w:pPr>
        <w:pStyle w:val="FootnoteText"/>
      </w:pPr>
      <w:r>
        <w:rPr>
          <w:rStyle w:val="FootnoteReference"/>
        </w:rPr>
        <w:footnoteRef/>
      </w:r>
      <w:r>
        <w:t xml:space="preserve"> </w:t>
      </w:r>
      <w:r w:rsidR="004D785F">
        <w:rPr>
          <w:i/>
        </w:rPr>
        <w:t xml:space="preserve">The Seafarer, </w:t>
      </w:r>
      <w:r w:rsidR="004D785F">
        <w:t>ed. I.L. Gordon (Manchester: Manchester University Press, 1979).</w:t>
      </w:r>
    </w:p>
  </w:footnote>
  <w:footnote w:id="6">
    <w:p w:rsidR="00285014" w:rsidRPr="007E48D3" w:rsidRDefault="00285014">
      <w:pPr>
        <w:pStyle w:val="FootnoteText"/>
      </w:pPr>
      <w:r>
        <w:rPr>
          <w:rStyle w:val="FootnoteReference"/>
        </w:rPr>
        <w:footnoteRef/>
      </w:r>
      <w:r>
        <w:t xml:space="preserve"> </w:t>
      </w:r>
      <w:r w:rsidR="007E48D3">
        <w:rPr>
          <w:i/>
        </w:rPr>
        <w:t xml:space="preserve">The Wanderer: Elegies, Epics, Riddles, </w:t>
      </w:r>
      <w:r w:rsidR="007E48D3">
        <w:t>ed. M. Alexander (London: Penguin UK, 2013).</w:t>
      </w:r>
    </w:p>
  </w:footnote>
  <w:footnote w:id="7">
    <w:p w:rsidR="00285014" w:rsidRPr="00E2210F" w:rsidRDefault="00285014">
      <w:pPr>
        <w:pStyle w:val="FootnoteText"/>
      </w:pPr>
      <w:r>
        <w:rPr>
          <w:rStyle w:val="FootnoteReference"/>
        </w:rPr>
        <w:footnoteRef/>
      </w:r>
      <w:r>
        <w:t xml:space="preserve"> </w:t>
      </w:r>
      <w:r w:rsidR="00E2210F">
        <w:rPr>
          <w:i/>
        </w:rPr>
        <w:t xml:space="preserve">Beowulf, </w:t>
      </w:r>
      <w:r w:rsidR="00E2210F">
        <w:t>ed. M. Swanton, p. 19</w:t>
      </w:r>
    </w:p>
  </w:footnote>
  <w:footnote w:id="8">
    <w:p w:rsidR="00285014" w:rsidRDefault="00285014">
      <w:pPr>
        <w:pStyle w:val="FootnoteText"/>
      </w:pPr>
      <w:r>
        <w:rPr>
          <w:rStyle w:val="FootnoteReference"/>
        </w:rPr>
        <w:footnoteRef/>
      </w:r>
      <w:r>
        <w:t xml:space="preserve"> </w:t>
      </w:r>
      <w:r w:rsidR="00E2210F">
        <w:t>Ibid.</w:t>
      </w:r>
    </w:p>
  </w:footnote>
  <w:footnote w:id="9">
    <w:p w:rsidR="00285014" w:rsidRDefault="00285014">
      <w:pPr>
        <w:pStyle w:val="FootnoteText"/>
      </w:pPr>
      <w:r>
        <w:rPr>
          <w:rStyle w:val="FootnoteReference"/>
        </w:rPr>
        <w:footnoteRef/>
      </w:r>
      <w:r>
        <w:t xml:space="preserve"> </w:t>
      </w:r>
      <w:r w:rsidR="00E2210F">
        <w:t>Ibid.</w:t>
      </w:r>
    </w:p>
  </w:footnote>
  <w:footnote w:id="10">
    <w:p w:rsidR="00285014" w:rsidRPr="00A60A74" w:rsidRDefault="00285014">
      <w:pPr>
        <w:pStyle w:val="FootnoteText"/>
      </w:pPr>
      <w:r>
        <w:rPr>
          <w:rStyle w:val="FootnoteReference"/>
        </w:rPr>
        <w:footnoteRef/>
      </w:r>
      <w:r>
        <w:t xml:space="preserve"> </w:t>
      </w:r>
      <w:r w:rsidR="00A60A74">
        <w:rPr>
          <w:i/>
        </w:rPr>
        <w:t xml:space="preserve">The Seafarer, </w:t>
      </w:r>
      <w:r w:rsidR="00A60A74">
        <w:t>ed. I.L. Gordon, p. 2.</w:t>
      </w:r>
    </w:p>
  </w:footnote>
  <w:footnote w:id="11">
    <w:p w:rsidR="00285014" w:rsidRDefault="00285014">
      <w:pPr>
        <w:pStyle w:val="FootnoteText"/>
      </w:pPr>
      <w:r>
        <w:rPr>
          <w:rStyle w:val="FootnoteReference"/>
        </w:rPr>
        <w:footnoteRef/>
      </w:r>
      <w:r>
        <w:t xml:space="preserve"> </w:t>
      </w:r>
      <w:r w:rsidR="00A60A74">
        <w:rPr>
          <w:i/>
        </w:rPr>
        <w:t xml:space="preserve">The Seafarer, </w:t>
      </w:r>
      <w:r w:rsidR="00A60A74">
        <w:t>ed. I.L. Gordon, p. 4.</w:t>
      </w:r>
    </w:p>
  </w:footnote>
  <w:footnote w:id="12">
    <w:p w:rsidR="00285014" w:rsidRPr="00A60A74" w:rsidRDefault="00285014">
      <w:pPr>
        <w:pStyle w:val="FootnoteText"/>
      </w:pPr>
      <w:r>
        <w:rPr>
          <w:rStyle w:val="FootnoteReference"/>
        </w:rPr>
        <w:footnoteRef/>
      </w:r>
      <w:r>
        <w:t xml:space="preserve"> </w:t>
      </w:r>
      <w:r w:rsidR="00A60A74">
        <w:t>D. Piroyansky,</w:t>
      </w:r>
      <w:r w:rsidR="00A60A74" w:rsidRPr="00A60A74">
        <w:rPr>
          <w:i/>
        </w:rPr>
        <w:t xml:space="preserve"> Martyrs in the Making: Political Martyrdom in Late Medieval England</w:t>
      </w:r>
      <w:r w:rsidR="00A60A74">
        <w:rPr>
          <w:i/>
        </w:rPr>
        <w:t xml:space="preserve"> </w:t>
      </w:r>
      <w:r w:rsidR="00A60A74">
        <w:t>(Basingstoke: Palgrave Macmillan, 2008).</w:t>
      </w:r>
    </w:p>
  </w:footnote>
  <w:footnote w:id="13">
    <w:p w:rsidR="00285014" w:rsidRPr="008F01BD" w:rsidRDefault="00285014">
      <w:pPr>
        <w:pStyle w:val="FootnoteText"/>
      </w:pPr>
      <w:r>
        <w:rPr>
          <w:rStyle w:val="FootnoteReference"/>
        </w:rPr>
        <w:footnoteRef/>
      </w:r>
      <w:r>
        <w:t xml:space="preserve"> </w:t>
      </w:r>
      <w:r w:rsidR="008F01BD">
        <w:t xml:space="preserve">S. Gwara, </w:t>
      </w:r>
      <w:r w:rsidR="008F01BD">
        <w:rPr>
          <w:i/>
        </w:rPr>
        <w:t xml:space="preserve">Heroic Identity in the World of Beowulf </w:t>
      </w:r>
      <w:r w:rsidR="008F01BD">
        <w:t>(Leiden: Brill, 2008), p. 27.</w:t>
      </w:r>
    </w:p>
  </w:footnote>
  <w:footnote w:id="14">
    <w:p w:rsidR="00285014" w:rsidRPr="00D04DF2" w:rsidRDefault="00285014" w:rsidP="00D04DF2">
      <w:pPr>
        <w:pStyle w:val="FootnoteText"/>
      </w:pPr>
      <w:r>
        <w:rPr>
          <w:rStyle w:val="FootnoteReference"/>
        </w:rPr>
        <w:footnoteRef/>
      </w:r>
      <w:r>
        <w:t xml:space="preserve"> </w:t>
      </w:r>
      <w:r w:rsidR="00D04DF2">
        <w:t xml:space="preserve">J. Caywood, </w:t>
      </w:r>
      <w:r w:rsidR="00D04DF2" w:rsidRPr="00D04DF2">
        <w:rPr>
          <w:i/>
        </w:rPr>
        <w:t>Rædende Iudithð</w:t>
      </w:r>
      <w:r w:rsidR="00D04DF2">
        <w:rPr>
          <w:i/>
        </w:rPr>
        <w:t xml:space="preserve">e: The Heroic, Mythological and </w:t>
      </w:r>
      <w:r w:rsidR="00D04DF2" w:rsidRPr="00D04DF2">
        <w:rPr>
          <w:i/>
        </w:rPr>
        <w:t>Christian Elements in the Old English Poem Judith</w:t>
      </w:r>
      <w:r w:rsidR="00D04DF2">
        <w:rPr>
          <w:i/>
        </w:rPr>
        <w:t xml:space="preserve">, </w:t>
      </w:r>
      <w:r w:rsidR="00D04DF2">
        <w:t>(Unpublished BA thesis) University of San Diego, 2015, p. 29.</w:t>
      </w:r>
    </w:p>
  </w:footnote>
  <w:footnote w:id="15">
    <w:p w:rsidR="009E5233" w:rsidRPr="00425711" w:rsidRDefault="009E5233">
      <w:pPr>
        <w:pStyle w:val="FootnoteText"/>
      </w:pPr>
      <w:r>
        <w:rPr>
          <w:rStyle w:val="FootnoteReference"/>
        </w:rPr>
        <w:footnoteRef/>
      </w:r>
      <w:r>
        <w:t xml:space="preserve"> </w:t>
      </w:r>
      <w:r w:rsidR="00425711">
        <w:t xml:space="preserve">M.C. Amodio, </w:t>
      </w:r>
      <w:r w:rsidR="00425711">
        <w:rPr>
          <w:i/>
        </w:rPr>
        <w:t xml:space="preserve">The Anglo Saxon Literature Handbook </w:t>
      </w:r>
      <w:r w:rsidR="00425711">
        <w:t>(Sussex: Blackwell Publishing, 2014).</w:t>
      </w:r>
    </w:p>
  </w:footnote>
  <w:footnote w:id="16">
    <w:p w:rsidR="009E5233" w:rsidRDefault="009E5233">
      <w:pPr>
        <w:pStyle w:val="FootnoteText"/>
      </w:pPr>
      <w:r>
        <w:rPr>
          <w:rStyle w:val="FootnoteReference"/>
        </w:rPr>
        <w:footnoteRef/>
      </w:r>
      <w:r>
        <w:t xml:space="preserve"> </w:t>
      </w:r>
      <w:r w:rsidR="00425711">
        <w:t>Ibid.</w:t>
      </w:r>
    </w:p>
  </w:footnote>
  <w:footnote w:id="17">
    <w:p w:rsidR="009E5233" w:rsidRPr="00425711" w:rsidRDefault="009E5233">
      <w:pPr>
        <w:pStyle w:val="FootnoteText"/>
      </w:pPr>
      <w:r>
        <w:rPr>
          <w:rStyle w:val="FootnoteReference"/>
        </w:rPr>
        <w:footnoteRef/>
      </w:r>
      <w:r>
        <w:t xml:space="preserve"> </w:t>
      </w:r>
      <w:r w:rsidR="00425711">
        <w:t>J.E. Marshall, ‘</w:t>
      </w:r>
      <w:r w:rsidR="00425711" w:rsidRPr="00425711">
        <w:t>Goldgyfan or Goldwlance: A Christian Apology for Beowulf and Treasure</w:t>
      </w:r>
      <w:r w:rsidR="00425711">
        <w:t xml:space="preserve">’, </w:t>
      </w:r>
      <w:r w:rsidR="00425711">
        <w:rPr>
          <w:i/>
        </w:rPr>
        <w:t xml:space="preserve">Studies in Philology, </w:t>
      </w:r>
      <w:r w:rsidR="00425711">
        <w:t>107, 1, (2010), 1—24, p. 1.</w:t>
      </w:r>
    </w:p>
  </w:footnote>
  <w:footnote w:id="18">
    <w:p w:rsidR="009E5233" w:rsidRPr="005D228F" w:rsidRDefault="009E5233">
      <w:pPr>
        <w:pStyle w:val="FootnoteText"/>
      </w:pPr>
      <w:r>
        <w:rPr>
          <w:rStyle w:val="FootnoteReference"/>
        </w:rPr>
        <w:footnoteRef/>
      </w:r>
      <w:r>
        <w:t xml:space="preserve"> </w:t>
      </w:r>
      <w:r w:rsidR="005D228F">
        <w:t xml:space="preserve">K. Crossley-Holland, </w:t>
      </w:r>
      <w:r w:rsidR="005D228F">
        <w:rPr>
          <w:i/>
        </w:rPr>
        <w:t xml:space="preserve">The Penguin Book of Norse Myths </w:t>
      </w:r>
      <w:r w:rsidR="005D228F">
        <w:t>(London: Penguin Books, 2011).</w:t>
      </w:r>
    </w:p>
  </w:footnote>
  <w:footnote w:id="19">
    <w:p w:rsidR="009E5233" w:rsidRPr="00601DD2" w:rsidRDefault="009E5233">
      <w:pPr>
        <w:pStyle w:val="FootnoteText"/>
      </w:pPr>
      <w:r>
        <w:rPr>
          <w:rStyle w:val="FootnoteReference"/>
        </w:rPr>
        <w:footnoteRef/>
      </w:r>
      <w:r>
        <w:t xml:space="preserve"> </w:t>
      </w:r>
      <w:r w:rsidR="00601DD2">
        <w:t xml:space="preserve">M. Swanton, </w:t>
      </w:r>
      <w:r w:rsidR="00601DD2">
        <w:rPr>
          <w:i/>
        </w:rPr>
        <w:t xml:space="preserve">Beowulf, </w:t>
      </w:r>
      <w:r w:rsidR="00601DD2">
        <w:t>p. 24.</w:t>
      </w:r>
    </w:p>
  </w:footnote>
  <w:footnote w:id="20">
    <w:p w:rsidR="009E5233" w:rsidRDefault="009E5233">
      <w:pPr>
        <w:pStyle w:val="FootnoteText"/>
      </w:pPr>
      <w:r>
        <w:rPr>
          <w:rStyle w:val="FootnoteReference"/>
        </w:rPr>
        <w:footnoteRef/>
      </w:r>
      <w:r>
        <w:t xml:space="preserve"> </w:t>
      </w:r>
      <w:r w:rsidR="00601DD2">
        <w:t xml:space="preserve">G. Wills, </w:t>
      </w:r>
      <w:r w:rsidR="00601DD2">
        <w:rPr>
          <w:i/>
        </w:rPr>
        <w:t xml:space="preserve">What Jesus Meant </w:t>
      </w:r>
      <w:r w:rsidR="00601DD2">
        <w:t>(London: Penguin Books, 2006).</w:t>
      </w:r>
    </w:p>
  </w:footnote>
  <w:footnote w:id="21">
    <w:p w:rsidR="009E5233" w:rsidRPr="00601DD2" w:rsidRDefault="009E5233">
      <w:pPr>
        <w:pStyle w:val="FootnoteText"/>
      </w:pPr>
      <w:r>
        <w:rPr>
          <w:rStyle w:val="FootnoteReference"/>
        </w:rPr>
        <w:footnoteRef/>
      </w:r>
      <w:r>
        <w:t xml:space="preserve"> </w:t>
      </w:r>
      <w:r w:rsidR="00601DD2">
        <w:t xml:space="preserve">J. Boyden, </w:t>
      </w:r>
      <w:r w:rsidR="00601DD2">
        <w:rPr>
          <w:i/>
        </w:rPr>
        <w:t xml:space="preserve">Beowulf – A Pagan Hero: A Modern Poetic Translation </w:t>
      </w:r>
      <w:r w:rsidR="00601DD2">
        <w:t>(New York: Algora Publishing, 2014), p. 6.</w:t>
      </w:r>
    </w:p>
  </w:footnote>
  <w:footnote w:id="22">
    <w:p w:rsidR="009E5233" w:rsidRPr="000B26BA" w:rsidRDefault="009E5233">
      <w:pPr>
        <w:pStyle w:val="FootnoteText"/>
      </w:pPr>
      <w:r>
        <w:rPr>
          <w:rStyle w:val="FootnoteReference"/>
        </w:rPr>
        <w:footnoteRef/>
      </w:r>
      <w:r>
        <w:t xml:space="preserve"> </w:t>
      </w:r>
      <w:r w:rsidR="000B26BA">
        <w:t xml:space="preserve">G. Wills, </w:t>
      </w:r>
      <w:r w:rsidR="000B26BA">
        <w:rPr>
          <w:i/>
        </w:rPr>
        <w:t xml:space="preserve">What Jesus Meant, </w:t>
      </w:r>
      <w:r w:rsidR="000B26BA">
        <w:t>p. 29.</w:t>
      </w:r>
    </w:p>
  </w:footnote>
  <w:footnote w:id="23">
    <w:p w:rsidR="009E5233" w:rsidRPr="000B26BA" w:rsidRDefault="009E5233">
      <w:pPr>
        <w:pStyle w:val="FootnoteText"/>
      </w:pPr>
      <w:r>
        <w:rPr>
          <w:rStyle w:val="FootnoteReference"/>
        </w:rPr>
        <w:footnoteRef/>
      </w:r>
      <w:r>
        <w:t xml:space="preserve"> </w:t>
      </w:r>
      <w:r w:rsidR="000B26BA">
        <w:t xml:space="preserve">S. Gwara, </w:t>
      </w:r>
      <w:r w:rsidR="000B26BA">
        <w:rPr>
          <w:i/>
        </w:rPr>
        <w:t xml:space="preserve">Heroic Identity, </w:t>
      </w:r>
      <w:r w:rsidR="000B26BA">
        <w:t>p. 74.</w:t>
      </w:r>
    </w:p>
  </w:footnote>
  <w:footnote w:id="24">
    <w:p w:rsidR="009E5233" w:rsidRDefault="009E5233">
      <w:pPr>
        <w:pStyle w:val="FootnoteText"/>
      </w:pPr>
      <w:r>
        <w:rPr>
          <w:rStyle w:val="FootnoteReference"/>
        </w:rPr>
        <w:footnoteRef/>
      </w:r>
      <w:r>
        <w:t xml:space="preserve"> </w:t>
      </w:r>
      <w:r w:rsidR="000B26BA">
        <w:t>Ibid.</w:t>
      </w:r>
    </w:p>
  </w:footnote>
  <w:footnote w:id="25">
    <w:p w:rsidR="009E5233" w:rsidRPr="000B26BA" w:rsidRDefault="009E5233">
      <w:pPr>
        <w:pStyle w:val="FootnoteText"/>
      </w:pPr>
      <w:r>
        <w:rPr>
          <w:rStyle w:val="FootnoteReference"/>
        </w:rPr>
        <w:footnoteRef/>
      </w:r>
      <w:r>
        <w:t xml:space="preserve"> </w:t>
      </w:r>
      <w:r w:rsidR="000B26BA">
        <w:t xml:space="preserve">S. Gwara, </w:t>
      </w:r>
      <w:r w:rsidR="000B26BA">
        <w:rPr>
          <w:i/>
        </w:rPr>
        <w:t xml:space="preserve">Heroic Identity, </w:t>
      </w:r>
      <w:r w:rsidR="000B26BA">
        <w:t>p. 75.</w:t>
      </w:r>
    </w:p>
  </w:footnote>
  <w:footnote w:id="26">
    <w:p w:rsidR="009E5233" w:rsidRPr="000B26BA" w:rsidRDefault="009E5233">
      <w:pPr>
        <w:pStyle w:val="FootnoteText"/>
      </w:pPr>
      <w:r>
        <w:rPr>
          <w:rStyle w:val="FootnoteReference"/>
        </w:rPr>
        <w:footnoteRef/>
      </w:r>
      <w:r>
        <w:t xml:space="preserve"> </w:t>
      </w:r>
      <w:r w:rsidR="000B26BA">
        <w:t xml:space="preserve">H.J. Hillerbrand, </w:t>
      </w:r>
      <w:r w:rsidR="000B26BA">
        <w:rPr>
          <w:i/>
        </w:rPr>
        <w:t xml:space="preserve">A New History of Christianity </w:t>
      </w:r>
      <w:r w:rsidR="000B26BA">
        <w:t>(Nashville: Abingdon Press, 2012),</w:t>
      </w:r>
      <w:r w:rsidR="000B26BA">
        <w:rPr>
          <w:i/>
        </w:rPr>
        <w:t xml:space="preserve"> </w:t>
      </w:r>
      <w:r w:rsidR="000B26BA">
        <w:t>p. 81.</w:t>
      </w:r>
    </w:p>
  </w:footnote>
  <w:footnote w:id="27">
    <w:p w:rsidR="009E5233" w:rsidRDefault="009E5233">
      <w:pPr>
        <w:pStyle w:val="FootnoteText"/>
      </w:pPr>
      <w:r>
        <w:rPr>
          <w:rStyle w:val="FootnoteReference"/>
        </w:rPr>
        <w:footnoteRef/>
      </w:r>
      <w:r>
        <w:t xml:space="preserve"> </w:t>
      </w:r>
      <w:r w:rsidR="000B26BA">
        <w:t>Ibid.</w:t>
      </w:r>
    </w:p>
  </w:footnote>
  <w:footnote w:id="28">
    <w:p w:rsidR="009E5233" w:rsidRPr="000B26BA" w:rsidRDefault="009E5233">
      <w:pPr>
        <w:pStyle w:val="FootnoteText"/>
      </w:pPr>
      <w:r>
        <w:rPr>
          <w:rStyle w:val="FootnoteReference"/>
        </w:rPr>
        <w:footnoteRef/>
      </w:r>
      <w:r>
        <w:t xml:space="preserve"> </w:t>
      </w:r>
      <w:r w:rsidR="000B26BA">
        <w:t xml:space="preserve">K. Crossley-Holland, </w:t>
      </w:r>
      <w:r w:rsidR="000B26BA">
        <w:rPr>
          <w:i/>
        </w:rPr>
        <w:t xml:space="preserve">The Anglo-Saxon World: An Anthology </w:t>
      </w:r>
      <w:r w:rsidR="000B26BA">
        <w:t>(Oxford: Oxford University Press, 1999).</w:t>
      </w:r>
    </w:p>
  </w:footnote>
  <w:footnote w:id="29">
    <w:p w:rsidR="009E5233" w:rsidRPr="00554C56" w:rsidRDefault="009E5233">
      <w:pPr>
        <w:pStyle w:val="FootnoteText"/>
      </w:pPr>
      <w:r>
        <w:rPr>
          <w:rStyle w:val="FootnoteReference"/>
        </w:rPr>
        <w:footnoteRef/>
      </w:r>
      <w:r>
        <w:t xml:space="preserve"> </w:t>
      </w:r>
      <w:r w:rsidR="00554C56">
        <w:t xml:space="preserve">S. Gwara, </w:t>
      </w:r>
      <w:r w:rsidR="00554C56">
        <w:rPr>
          <w:i/>
        </w:rPr>
        <w:t xml:space="preserve">Heroic Identity, </w:t>
      </w:r>
      <w:r w:rsidR="00554C56">
        <w:t>p. 75.</w:t>
      </w:r>
    </w:p>
  </w:footnote>
  <w:footnote w:id="30">
    <w:p w:rsidR="009E5233" w:rsidRPr="00554C56" w:rsidRDefault="009E5233">
      <w:pPr>
        <w:pStyle w:val="FootnoteText"/>
      </w:pPr>
      <w:r>
        <w:rPr>
          <w:rStyle w:val="FootnoteReference"/>
        </w:rPr>
        <w:footnoteRef/>
      </w:r>
      <w:r>
        <w:t xml:space="preserve"> </w:t>
      </w:r>
      <w:r w:rsidR="00554C56">
        <w:t xml:space="preserve">I. Bradley, </w:t>
      </w:r>
      <w:r w:rsidR="00554C56">
        <w:rPr>
          <w:i/>
        </w:rPr>
        <w:t xml:space="preserve">God Save the Queen: The Spiritual Heart of the Monarchy </w:t>
      </w:r>
      <w:r w:rsidR="00554C56">
        <w:t>(London: Continuum Publishing, 2012).</w:t>
      </w:r>
    </w:p>
  </w:footnote>
  <w:footnote w:id="31">
    <w:p w:rsidR="009E5233" w:rsidRDefault="009E5233">
      <w:pPr>
        <w:pStyle w:val="FootnoteText"/>
      </w:pPr>
      <w:r>
        <w:rPr>
          <w:rStyle w:val="FootnoteReference"/>
        </w:rPr>
        <w:footnoteRef/>
      </w:r>
      <w:r>
        <w:t xml:space="preserve"> </w:t>
      </w:r>
      <w:r w:rsidR="00554C56">
        <w:t>Ibid.</w:t>
      </w:r>
    </w:p>
  </w:footnote>
  <w:footnote w:id="32">
    <w:p w:rsidR="009E5233" w:rsidRPr="00553618" w:rsidRDefault="009E5233">
      <w:pPr>
        <w:pStyle w:val="FootnoteText"/>
      </w:pPr>
      <w:r>
        <w:rPr>
          <w:rStyle w:val="FootnoteReference"/>
        </w:rPr>
        <w:footnoteRef/>
      </w:r>
      <w:r>
        <w:t xml:space="preserve"> </w:t>
      </w:r>
      <w:r w:rsidR="00553618">
        <w:t xml:space="preserve">M. Swanton, </w:t>
      </w:r>
      <w:r w:rsidR="00553618">
        <w:rPr>
          <w:i/>
        </w:rPr>
        <w:t xml:space="preserve">Beowulf, </w:t>
      </w:r>
      <w:r w:rsidR="00553618">
        <w:t>p. 24.</w:t>
      </w:r>
    </w:p>
  </w:footnote>
  <w:footnote w:id="33">
    <w:p w:rsidR="009E5233" w:rsidRDefault="009E5233">
      <w:pPr>
        <w:pStyle w:val="FootnoteText"/>
      </w:pPr>
      <w:r>
        <w:rPr>
          <w:rStyle w:val="FootnoteReference"/>
        </w:rPr>
        <w:footnoteRef/>
      </w:r>
      <w:r>
        <w:t xml:space="preserve"> </w:t>
      </w:r>
      <w:r w:rsidR="00553618">
        <w:t xml:space="preserve">J. Boyden, </w:t>
      </w:r>
      <w:r w:rsidR="00553618">
        <w:rPr>
          <w:i/>
        </w:rPr>
        <w:t>Beowulf – A Pagan Hero</w:t>
      </w:r>
      <w:r w:rsidR="00553618">
        <w:t>, p. 6.</w:t>
      </w:r>
    </w:p>
  </w:footnote>
  <w:footnote w:id="34">
    <w:p w:rsidR="009E5233" w:rsidRPr="00834C57" w:rsidRDefault="009E5233">
      <w:pPr>
        <w:pStyle w:val="FootnoteText"/>
      </w:pPr>
      <w:r>
        <w:rPr>
          <w:rStyle w:val="FootnoteReference"/>
        </w:rPr>
        <w:footnoteRef/>
      </w:r>
      <w:r>
        <w:t xml:space="preserve"> </w:t>
      </w:r>
      <w:r w:rsidR="00834C57">
        <w:t xml:space="preserve">S. Gwara, </w:t>
      </w:r>
      <w:r w:rsidR="00834C57">
        <w:rPr>
          <w:i/>
        </w:rPr>
        <w:t xml:space="preserve">Heroic Identity, </w:t>
      </w:r>
      <w:r w:rsidR="00834C57">
        <w:t>p. 59.</w:t>
      </w:r>
    </w:p>
  </w:footnote>
  <w:footnote w:id="35">
    <w:p w:rsidR="009E5233" w:rsidRDefault="009E5233">
      <w:pPr>
        <w:pStyle w:val="FootnoteText"/>
      </w:pPr>
      <w:r>
        <w:rPr>
          <w:rStyle w:val="FootnoteReference"/>
        </w:rPr>
        <w:footnoteRef/>
      </w:r>
      <w:r>
        <w:t xml:space="preserve"> </w:t>
      </w:r>
      <w:r w:rsidR="00834C57">
        <w:t xml:space="preserve">V. Symons, ‘Monsters and Heroes in Beowulf’, The British Library, (2018), [Online]. Available at </w:t>
      </w:r>
      <w:hyperlink r:id="rId1" w:history="1">
        <w:r w:rsidR="00834C57" w:rsidRPr="00721326">
          <w:rPr>
            <w:rStyle w:val="Hyperlink"/>
          </w:rPr>
          <w:t>https://www.bl.uk/medieval-literature/articles/monsters-and-heroes-in-beowulf</w:t>
        </w:r>
      </w:hyperlink>
      <w:r w:rsidR="00834C57">
        <w:t>. Accessed 18</w:t>
      </w:r>
      <w:r w:rsidR="00834C57" w:rsidRPr="00834C57">
        <w:rPr>
          <w:vertAlign w:val="superscript"/>
        </w:rPr>
        <w:t>th</w:t>
      </w:r>
      <w:r w:rsidR="00834C57">
        <w:t xml:space="preserve"> August 2018.</w:t>
      </w:r>
    </w:p>
  </w:footnote>
  <w:footnote w:id="36">
    <w:p w:rsidR="009E5233" w:rsidRDefault="009E5233">
      <w:pPr>
        <w:pStyle w:val="FootnoteText"/>
      </w:pPr>
      <w:r>
        <w:rPr>
          <w:rStyle w:val="FootnoteReference"/>
        </w:rPr>
        <w:footnoteRef/>
      </w:r>
      <w:r w:rsidR="00A350C6">
        <w:t xml:space="preserve"> J.</w:t>
      </w:r>
      <w:r w:rsidR="00A350C6" w:rsidRPr="00A350C6">
        <w:t>C</w:t>
      </w:r>
      <w:r w:rsidR="00A350C6">
        <w:t xml:space="preserve">. Pope, </w:t>
      </w:r>
      <w:r w:rsidR="00A350C6" w:rsidRPr="00A350C6">
        <w:rPr>
          <w:i/>
          <w:iCs/>
        </w:rPr>
        <w:t>Old English Shorter Poems: Basic Readings</w:t>
      </w:r>
      <w:r w:rsidR="00A350C6">
        <w:t>, ed. K. O'Brien (</w:t>
      </w:r>
      <w:r w:rsidR="00A350C6" w:rsidRPr="00A350C6">
        <w:t>New York: Garland</w:t>
      </w:r>
      <w:r w:rsidR="00A350C6">
        <w:t>, 1994),</w:t>
      </w:r>
      <w:r w:rsidR="00A350C6" w:rsidRPr="00A350C6">
        <w:t xml:space="preserve"> p. 222</w:t>
      </w:r>
      <w:r w:rsidR="00A350C6">
        <w:t>.</w:t>
      </w:r>
    </w:p>
  </w:footnote>
  <w:footnote w:id="37">
    <w:p w:rsidR="009E5233" w:rsidRPr="00027C5E" w:rsidRDefault="009E5233">
      <w:pPr>
        <w:pStyle w:val="FootnoteText"/>
      </w:pPr>
      <w:r>
        <w:rPr>
          <w:rStyle w:val="FootnoteReference"/>
        </w:rPr>
        <w:footnoteRef/>
      </w:r>
      <w:r>
        <w:t xml:space="preserve"> </w:t>
      </w:r>
      <w:r w:rsidR="00027C5E">
        <w:t xml:space="preserve">D.M. Hadley, and J.D. Richard, </w:t>
      </w:r>
      <w:r w:rsidR="00027C5E" w:rsidRPr="00027C5E">
        <w:rPr>
          <w:i/>
        </w:rPr>
        <w:t>Cultures in Contact: Scandinavian Settlement in England in the Ninth and Tenth Centuries</w:t>
      </w:r>
      <w:r w:rsidR="00027C5E">
        <w:rPr>
          <w:i/>
        </w:rPr>
        <w:t xml:space="preserve"> </w:t>
      </w:r>
      <w:r w:rsidR="00027C5E">
        <w:t>(Michigan: University of Michigan, 2000).</w:t>
      </w:r>
    </w:p>
  </w:footnote>
  <w:footnote w:id="38">
    <w:p w:rsidR="009E5233" w:rsidRDefault="009E5233">
      <w:pPr>
        <w:pStyle w:val="FootnoteText"/>
      </w:pPr>
      <w:r>
        <w:rPr>
          <w:rStyle w:val="FootnoteReference"/>
        </w:rPr>
        <w:footnoteRef/>
      </w:r>
      <w:r>
        <w:t xml:space="preserve"> </w:t>
      </w:r>
      <w:r w:rsidR="00027C5E">
        <w:t xml:space="preserve">G. Hindley, </w:t>
      </w:r>
      <w:r w:rsidR="00027C5E">
        <w:rPr>
          <w:i/>
        </w:rPr>
        <w:t>A Br</w:t>
      </w:r>
      <w:r w:rsidR="00027C5E">
        <w:rPr>
          <w:i/>
        </w:rPr>
        <w:t>ief History of the Anglo-Saxons.</w:t>
      </w:r>
    </w:p>
  </w:footnote>
  <w:footnote w:id="39">
    <w:p w:rsidR="009E5233" w:rsidRPr="00027C5E" w:rsidRDefault="009E5233">
      <w:pPr>
        <w:pStyle w:val="FootnoteText"/>
      </w:pPr>
      <w:r>
        <w:rPr>
          <w:rStyle w:val="FootnoteReference"/>
        </w:rPr>
        <w:footnoteRef/>
      </w:r>
      <w:r>
        <w:t xml:space="preserve"> </w:t>
      </w:r>
      <w:r w:rsidR="00027C5E">
        <w:t xml:space="preserve">M. Swanton, </w:t>
      </w:r>
      <w:r w:rsidR="00027C5E">
        <w:rPr>
          <w:i/>
        </w:rPr>
        <w:t xml:space="preserve">Beowulf, </w:t>
      </w:r>
      <w:r w:rsidR="00027C5E">
        <w:t>p.</w:t>
      </w:r>
      <w:r w:rsidR="004644A9">
        <w:t xml:space="preserve"> 20.</w:t>
      </w:r>
    </w:p>
  </w:footnote>
  <w:footnote w:id="40">
    <w:p w:rsidR="009E5233" w:rsidRDefault="009E5233">
      <w:pPr>
        <w:pStyle w:val="FootnoteText"/>
      </w:pPr>
      <w:r>
        <w:rPr>
          <w:rStyle w:val="FootnoteReference"/>
        </w:rPr>
        <w:footnoteRef/>
      </w:r>
      <w:r>
        <w:t xml:space="preserve"> </w:t>
      </w:r>
      <w:r w:rsidR="004644A9">
        <w:rPr>
          <w:i/>
        </w:rPr>
        <w:t xml:space="preserve">A Dictionary of Medieval Heroes: </w:t>
      </w:r>
      <w:r w:rsidR="004644A9" w:rsidRPr="004644A9">
        <w:rPr>
          <w:i/>
        </w:rPr>
        <w:t>Characters in Medieval Narrative Traditions and Their Afterlife in Literature, Theatre and the Visual Arts</w:t>
      </w:r>
      <w:r w:rsidR="00F8485D">
        <w:rPr>
          <w:i/>
        </w:rPr>
        <w:t xml:space="preserve">, </w:t>
      </w:r>
      <w:r w:rsidR="00F8485D">
        <w:t>eds. W.P. Gerritsen, and A.G. Van Melle</w:t>
      </w:r>
      <w:r w:rsidR="004644A9">
        <w:rPr>
          <w:i/>
        </w:rPr>
        <w:t xml:space="preserve"> </w:t>
      </w:r>
      <w:r w:rsidR="004644A9">
        <w:t>(Suffolk: The Boydell Press, 2000), p. 292.</w:t>
      </w:r>
    </w:p>
  </w:footnote>
  <w:footnote w:id="41">
    <w:p w:rsidR="009E5233" w:rsidRPr="00E5670A" w:rsidRDefault="009E5233">
      <w:pPr>
        <w:pStyle w:val="FootnoteText"/>
      </w:pPr>
      <w:r>
        <w:rPr>
          <w:rStyle w:val="FootnoteReference"/>
        </w:rPr>
        <w:footnoteRef/>
      </w:r>
      <w:r>
        <w:t xml:space="preserve"> </w:t>
      </w:r>
      <w:r w:rsidR="00E5670A">
        <w:t xml:space="preserve">M. Swanton, </w:t>
      </w:r>
      <w:r w:rsidR="00E5670A">
        <w:rPr>
          <w:i/>
        </w:rPr>
        <w:t xml:space="preserve">Beowulf, </w:t>
      </w:r>
      <w:r w:rsidR="00E5670A">
        <w:t>p. 4.</w:t>
      </w:r>
    </w:p>
  </w:footnote>
  <w:footnote w:id="42">
    <w:p w:rsidR="009E5233" w:rsidRPr="00E5670A" w:rsidRDefault="009E5233">
      <w:pPr>
        <w:pStyle w:val="FootnoteText"/>
      </w:pPr>
      <w:r>
        <w:rPr>
          <w:rStyle w:val="FootnoteReference"/>
        </w:rPr>
        <w:footnoteRef/>
      </w:r>
      <w:r>
        <w:t xml:space="preserve"> </w:t>
      </w:r>
      <w:r w:rsidR="00E5670A">
        <w:t xml:space="preserve">M. Swanton, </w:t>
      </w:r>
      <w:r w:rsidR="00E5670A">
        <w:rPr>
          <w:i/>
        </w:rPr>
        <w:t xml:space="preserve">Beowulf, </w:t>
      </w:r>
      <w:r w:rsidR="00E5670A">
        <w:t>p. 19.</w:t>
      </w:r>
    </w:p>
  </w:footnote>
  <w:footnote w:id="43">
    <w:p w:rsidR="009E5233" w:rsidRDefault="009E5233">
      <w:pPr>
        <w:pStyle w:val="FootnoteText"/>
      </w:pPr>
      <w:r>
        <w:rPr>
          <w:rStyle w:val="FootnoteReference"/>
        </w:rPr>
        <w:footnoteRef/>
      </w:r>
      <w:r>
        <w:t xml:space="preserve"> </w:t>
      </w:r>
      <w:r w:rsidR="00E5670A">
        <w:t xml:space="preserve">R. DiNapoli, </w:t>
      </w:r>
      <w:r w:rsidR="00E5670A">
        <w:rPr>
          <w:i/>
        </w:rPr>
        <w:t xml:space="preserve">A Far Light: A Reading of Beowulf </w:t>
      </w:r>
      <w:r w:rsidR="00E5670A">
        <w:t>(Cambridge: Cambridge Scholars Publishing, 2016), p.44.</w:t>
      </w:r>
    </w:p>
  </w:footnote>
  <w:footnote w:id="44">
    <w:p w:rsidR="009E5233" w:rsidRPr="00E5670A" w:rsidRDefault="009E5233">
      <w:pPr>
        <w:pStyle w:val="FootnoteText"/>
      </w:pPr>
      <w:r>
        <w:rPr>
          <w:rStyle w:val="FootnoteReference"/>
        </w:rPr>
        <w:footnoteRef/>
      </w:r>
      <w:r>
        <w:t xml:space="preserve"> </w:t>
      </w:r>
      <w:r w:rsidR="00E5670A">
        <w:t xml:space="preserve">M. Swanton, </w:t>
      </w:r>
      <w:r w:rsidR="00E5670A">
        <w:rPr>
          <w:i/>
        </w:rPr>
        <w:t xml:space="preserve">Beowulf, </w:t>
      </w:r>
      <w:r w:rsidR="00E5670A">
        <w:t>p. 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61840"/>
    <w:multiLevelType w:val="hybridMultilevel"/>
    <w:tmpl w:val="4CAE0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871ABB"/>
    <w:multiLevelType w:val="hybridMultilevel"/>
    <w:tmpl w:val="040818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214B16"/>
    <w:multiLevelType w:val="hybridMultilevel"/>
    <w:tmpl w:val="797A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17F"/>
    <w:rsid w:val="00000FE7"/>
    <w:rsid w:val="0000481B"/>
    <w:rsid w:val="0001265E"/>
    <w:rsid w:val="00017574"/>
    <w:rsid w:val="00027C5E"/>
    <w:rsid w:val="00036DF9"/>
    <w:rsid w:val="000406B9"/>
    <w:rsid w:val="000420EE"/>
    <w:rsid w:val="000439E4"/>
    <w:rsid w:val="00046DA1"/>
    <w:rsid w:val="00047A19"/>
    <w:rsid w:val="000524BC"/>
    <w:rsid w:val="000556C5"/>
    <w:rsid w:val="000559F7"/>
    <w:rsid w:val="000577CF"/>
    <w:rsid w:val="00076E96"/>
    <w:rsid w:val="000A1C6A"/>
    <w:rsid w:val="000B26BA"/>
    <w:rsid w:val="000C3DDF"/>
    <w:rsid w:val="000C6133"/>
    <w:rsid w:val="000D1F63"/>
    <w:rsid w:val="000D228F"/>
    <w:rsid w:val="000D4693"/>
    <w:rsid w:val="000D4FDD"/>
    <w:rsid w:val="000D544B"/>
    <w:rsid w:val="000D6D7D"/>
    <w:rsid w:val="000F3825"/>
    <w:rsid w:val="00112006"/>
    <w:rsid w:val="0011649D"/>
    <w:rsid w:val="00117DCB"/>
    <w:rsid w:val="0012637B"/>
    <w:rsid w:val="001315D0"/>
    <w:rsid w:val="0013400A"/>
    <w:rsid w:val="00145F55"/>
    <w:rsid w:val="001531E0"/>
    <w:rsid w:val="00161897"/>
    <w:rsid w:val="00170659"/>
    <w:rsid w:val="00170E97"/>
    <w:rsid w:val="0018013E"/>
    <w:rsid w:val="00184D29"/>
    <w:rsid w:val="001853E1"/>
    <w:rsid w:val="00187792"/>
    <w:rsid w:val="00192F25"/>
    <w:rsid w:val="001B6FD0"/>
    <w:rsid w:val="001C34C2"/>
    <w:rsid w:val="001C67BD"/>
    <w:rsid w:val="001D1B08"/>
    <w:rsid w:val="002104B1"/>
    <w:rsid w:val="00220EA9"/>
    <w:rsid w:val="00232022"/>
    <w:rsid w:val="002338E4"/>
    <w:rsid w:val="002540A1"/>
    <w:rsid w:val="00264E8D"/>
    <w:rsid w:val="0027778B"/>
    <w:rsid w:val="00281F96"/>
    <w:rsid w:val="00285014"/>
    <w:rsid w:val="002A5D0F"/>
    <w:rsid w:val="002A5F98"/>
    <w:rsid w:val="002B276A"/>
    <w:rsid w:val="002B3766"/>
    <w:rsid w:val="002B3881"/>
    <w:rsid w:val="002C7CA3"/>
    <w:rsid w:val="002D43BC"/>
    <w:rsid w:val="002D5999"/>
    <w:rsid w:val="002E59D8"/>
    <w:rsid w:val="002F253A"/>
    <w:rsid w:val="002F3453"/>
    <w:rsid w:val="002F6582"/>
    <w:rsid w:val="00304453"/>
    <w:rsid w:val="0030782B"/>
    <w:rsid w:val="003117AE"/>
    <w:rsid w:val="0031399A"/>
    <w:rsid w:val="0031477E"/>
    <w:rsid w:val="0031799A"/>
    <w:rsid w:val="00326F66"/>
    <w:rsid w:val="00327383"/>
    <w:rsid w:val="0032752C"/>
    <w:rsid w:val="00344208"/>
    <w:rsid w:val="0035280C"/>
    <w:rsid w:val="00372566"/>
    <w:rsid w:val="00383F2B"/>
    <w:rsid w:val="0038428D"/>
    <w:rsid w:val="003923D2"/>
    <w:rsid w:val="003A2ED9"/>
    <w:rsid w:val="003B1CB2"/>
    <w:rsid w:val="003B223F"/>
    <w:rsid w:val="003C3338"/>
    <w:rsid w:val="003C3529"/>
    <w:rsid w:val="003D123E"/>
    <w:rsid w:val="003D7681"/>
    <w:rsid w:val="003E424E"/>
    <w:rsid w:val="003F4963"/>
    <w:rsid w:val="00402F71"/>
    <w:rsid w:val="00405C13"/>
    <w:rsid w:val="00413A06"/>
    <w:rsid w:val="004140F0"/>
    <w:rsid w:val="00416AC9"/>
    <w:rsid w:val="004176EF"/>
    <w:rsid w:val="00422003"/>
    <w:rsid w:val="004246C4"/>
    <w:rsid w:val="00425711"/>
    <w:rsid w:val="004345DB"/>
    <w:rsid w:val="00440628"/>
    <w:rsid w:val="00444056"/>
    <w:rsid w:val="0045443C"/>
    <w:rsid w:val="00457447"/>
    <w:rsid w:val="00460A38"/>
    <w:rsid w:val="004639FD"/>
    <w:rsid w:val="004644A9"/>
    <w:rsid w:val="00466567"/>
    <w:rsid w:val="00470D99"/>
    <w:rsid w:val="00483B15"/>
    <w:rsid w:val="004A0609"/>
    <w:rsid w:val="004B48B7"/>
    <w:rsid w:val="004C4052"/>
    <w:rsid w:val="004C538B"/>
    <w:rsid w:val="004D7480"/>
    <w:rsid w:val="004D785F"/>
    <w:rsid w:val="004E5581"/>
    <w:rsid w:val="004F2802"/>
    <w:rsid w:val="00515310"/>
    <w:rsid w:val="00515A94"/>
    <w:rsid w:val="0052734C"/>
    <w:rsid w:val="005438A0"/>
    <w:rsid w:val="00543924"/>
    <w:rsid w:val="00553618"/>
    <w:rsid w:val="00554C56"/>
    <w:rsid w:val="0056327F"/>
    <w:rsid w:val="005641E4"/>
    <w:rsid w:val="00565CAA"/>
    <w:rsid w:val="0057417F"/>
    <w:rsid w:val="00583C20"/>
    <w:rsid w:val="0058637F"/>
    <w:rsid w:val="00594C1B"/>
    <w:rsid w:val="005A2101"/>
    <w:rsid w:val="005A3F06"/>
    <w:rsid w:val="005B03DC"/>
    <w:rsid w:val="005B44CD"/>
    <w:rsid w:val="005B64D1"/>
    <w:rsid w:val="005C2EA4"/>
    <w:rsid w:val="005C6D0A"/>
    <w:rsid w:val="005C7EE0"/>
    <w:rsid w:val="005D228F"/>
    <w:rsid w:val="005E4AAF"/>
    <w:rsid w:val="00601DD2"/>
    <w:rsid w:val="00607666"/>
    <w:rsid w:val="0062308D"/>
    <w:rsid w:val="00647067"/>
    <w:rsid w:val="00647569"/>
    <w:rsid w:val="00657FD5"/>
    <w:rsid w:val="00664133"/>
    <w:rsid w:val="00670F74"/>
    <w:rsid w:val="00674027"/>
    <w:rsid w:val="006743E9"/>
    <w:rsid w:val="006861CB"/>
    <w:rsid w:val="006871C2"/>
    <w:rsid w:val="006A1E2B"/>
    <w:rsid w:val="006A2961"/>
    <w:rsid w:val="006A3072"/>
    <w:rsid w:val="006B6821"/>
    <w:rsid w:val="006C08DF"/>
    <w:rsid w:val="006C4E48"/>
    <w:rsid w:val="006C6BF0"/>
    <w:rsid w:val="006F2185"/>
    <w:rsid w:val="006F2616"/>
    <w:rsid w:val="006F3AF2"/>
    <w:rsid w:val="006F6697"/>
    <w:rsid w:val="00701D48"/>
    <w:rsid w:val="00705593"/>
    <w:rsid w:val="00706CBA"/>
    <w:rsid w:val="00707861"/>
    <w:rsid w:val="00710473"/>
    <w:rsid w:val="00710D7A"/>
    <w:rsid w:val="00717856"/>
    <w:rsid w:val="00723A79"/>
    <w:rsid w:val="00733EBC"/>
    <w:rsid w:val="00736E23"/>
    <w:rsid w:val="00754019"/>
    <w:rsid w:val="00764978"/>
    <w:rsid w:val="00784B93"/>
    <w:rsid w:val="00792B64"/>
    <w:rsid w:val="00794D54"/>
    <w:rsid w:val="00796F9B"/>
    <w:rsid w:val="007A66EB"/>
    <w:rsid w:val="007A7292"/>
    <w:rsid w:val="007B21F6"/>
    <w:rsid w:val="007B4058"/>
    <w:rsid w:val="007C17F2"/>
    <w:rsid w:val="007E48D3"/>
    <w:rsid w:val="007E4CFE"/>
    <w:rsid w:val="007E5FAD"/>
    <w:rsid w:val="007F35DD"/>
    <w:rsid w:val="00806F64"/>
    <w:rsid w:val="008103BF"/>
    <w:rsid w:val="00822592"/>
    <w:rsid w:val="00822FF4"/>
    <w:rsid w:val="00827187"/>
    <w:rsid w:val="00834C57"/>
    <w:rsid w:val="0083705B"/>
    <w:rsid w:val="00850FB1"/>
    <w:rsid w:val="008607B7"/>
    <w:rsid w:val="00863C68"/>
    <w:rsid w:val="0086761A"/>
    <w:rsid w:val="0086770E"/>
    <w:rsid w:val="00867BE4"/>
    <w:rsid w:val="00875E56"/>
    <w:rsid w:val="008761B1"/>
    <w:rsid w:val="00882925"/>
    <w:rsid w:val="0088715B"/>
    <w:rsid w:val="00891F51"/>
    <w:rsid w:val="00896FA0"/>
    <w:rsid w:val="008A366E"/>
    <w:rsid w:val="008A7763"/>
    <w:rsid w:val="008D310D"/>
    <w:rsid w:val="008D4D60"/>
    <w:rsid w:val="008D5E2E"/>
    <w:rsid w:val="008F01BD"/>
    <w:rsid w:val="00901FB0"/>
    <w:rsid w:val="009068C0"/>
    <w:rsid w:val="009123AD"/>
    <w:rsid w:val="009127CB"/>
    <w:rsid w:val="009145F3"/>
    <w:rsid w:val="009146B2"/>
    <w:rsid w:val="00924C0F"/>
    <w:rsid w:val="009431A3"/>
    <w:rsid w:val="00945F15"/>
    <w:rsid w:val="00951A54"/>
    <w:rsid w:val="009531CA"/>
    <w:rsid w:val="0097056B"/>
    <w:rsid w:val="0099507C"/>
    <w:rsid w:val="009B6229"/>
    <w:rsid w:val="009C1C7D"/>
    <w:rsid w:val="009C6FDD"/>
    <w:rsid w:val="009D45DF"/>
    <w:rsid w:val="009E451B"/>
    <w:rsid w:val="009E5233"/>
    <w:rsid w:val="009E78B6"/>
    <w:rsid w:val="009F2D74"/>
    <w:rsid w:val="00A025C3"/>
    <w:rsid w:val="00A0432C"/>
    <w:rsid w:val="00A07153"/>
    <w:rsid w:val="00A10A3E"/>
    <w:rsid w:val="00A23DFC"/>
    <w:rsid w:val="00A25DCC"/>
    <w:rsid w:val="00A337EF"/>
    <w:rsid w:val="00A350C6"/>
    <w:rsid w:val="00A42D59"/>
    <w:rsid w:val="00A52AEC"/>
    <w:rsid w:val="00A533D8"/>
    <w:rsid w:val="00A549F1"/>
    <w:rsid w:val="00A60856"/>
    <w:rsid w:val="00A60A74"/>
    <w:rsid w:val="00A619FC"/>
    <w:rsid w:val="00A70785"/>
    <w:rsid w:val="00A7693D"/>
    <w:rsid w:val="00A80223"/>
    <w:rsid w:val="00A80C39"/>
    <w:rsid w:val="00A83ADE"/>
    <w:rsid w:val="00A916C6"/>
    <w:rsid w:val="00AB118A"/>
    <w:rsid w:val="00AB360E"/>
    <w:rsid w:val="00AB6584"/>
    <w:rsid w:val="00AC3ABC"/>
    <w:rsid w:val="00AC6AB3"/>
    <w:rsid w:val="00AC7BB9"/>
    <w:rsid w:val="00AE0910"/>
    <w:rsid w:val="00AE092F"/>
    <w:rsid w:val="00AF4D7E"/>
    <w:rsid w:val="00B2720E"/>
    <w:rsid w:val="00B318D2"/>
    <w:rsid w:val="00B3701B"/>
    <w:rsid w:val="00B454D4"/>
    <w:rsid w:val="00B457E1"/>
    <w:rsid w:val="00B45823"/>
    <w:rsid w:val="00B46CB5"/>
    <w:rsid w:val="00B67C20"/>
    <w:rsid w:val="00B704F7"/>
    <w:rsid w:val="00B7134F"/>
    <w:rsid w:val="00B91E02"/>
    <w:rsid w:val="00BA0A02"/>
    <w:rsid w:val="00BA66A9"/>
    <w:rsid w:val="00BA7E6A"/>
    <w:rsid w:val="00BB0785"/>
    <w:rsid w:val="00BD70BE"/>
    <w:rsid w:val="00BE1FCA"/>
    <w:rsid w:val="00BE6873"/>
    <w:rsid w:val="00BF6D88"/>
    <w:rsid w:val="00BF7015"/>
    <w:rsid w:val="00C10ACE"/>
    <w:rsid w:val="00C22812"/>
    <w:rsid w:val="00C2529C"/>
    <w:rsid w:val="00C26D81"/>
    <w:rsid w:val="00C37E8B"/>
    <w:rsid w:val="00C4408D"/>
    <w:rsid w:val="00C443E7"/>
    <w:rsid w:val="00C667CA"/>
    <w:rsid w:val="00C77D24"/>
    <w:rsid w:val="00C804BE"/>
    <w:rsid w:val="00C817E4"/>
    <w:rsid w:val="00C8294D"/>
    <w:rsid w:val="00C90981"/>
    <w:rsid w:val="00C9709B"/>
    <w:rsid w:val="00C97634"/>
    <w:rsid w:val="00CA1870"/>
    <w:rsid w:val="00CD75F9"/>
    <w:rsid w:val="00CF0CF2"/>
    <w:rsid w:val="00CF5740"/>
    <w:rsid w:val="00CF5E7B"/>
    <w:rsid w:val="00CF6989"/>
    <w:rsid w:val="00D0217C"/>
    <w:rsid w:val="00D04DF2"/>
    <w:rsid w:val="00D10916"/>
    <w:rsid w:val="00D1359F"/>
    <w:rsid w:val="00D32074"/>
    <w:rsid w:val="00D353D5"/>
    <w:rsid w:val="00D40507"/>
    <w:rsid w:val="00D61A81"/>
    <w:rsid w:val="00D74620"/>
    <w:rsid w:val="00D86824"/>
    <w:rsid w:val="00DA4327"/>
    <w:rsid w:val="00DA66B3"/>
    <w:rsid w:val="00DB0AD7"/>
    <w:rsid w:val="00DB40A1"/>
    <w:rsid w:val="00DB68AE"/>
    <w:rsid w:val="00DC2879"/>
    <w:rsid w:val="00DC4B64"/>
    <w:rsid w:val="00DD4DDF"/>
    <w:rsid w:val="00DD62E1"/>
    <w:rsid w:val="00DE422E"/>
    <w:rsid w:val="00DE5806"/>
    <w:rsid w:val="00DE63A5"/>
    <w:rsid w:val="00DE7378"/>
    <w:rsid w:val="00DF389C"/>
    <w:rsid w:val="00E005FD"/>
    <w:rsid w:val="00E009A3"/>
    <w:rsid w:val="00E11329"/>
    <w:rsid w:val="00E219D2"/>
    <w:rsid w:val="00E2210F"/>
    <w:rsid w:val="00E254D4"/>
    <w:rsid w:val="00E26048"/>
    <w:rsid w:val="00E41ADA"/>
    <w:rsid w:val="00E5670A"/>
    <w:rsid w:val="00E7120D"/>
    <w:rsid w:val="00E926C1"/>
    <w:rsid w:val="00E97CF2"/>
    <w:rsid w:val="00EB1DF3"/>
    <w:rsid w:val="00EB3D00"/>
    <w:rsid w:val="00EC3E83"/>
    <w:rsid w:val="00EC7135"/>
    <w:rsid w:val="00EE5EED"/>
    <w:rsid w:val="00EF0901"/>
    <w:rsid w:val="00F004A0"/>
    <w:rsid w:val="00F0340E"/>
    <w:rsid w:val="00F10172"/>
    <w:rsid w:val="00F20637"/>
    <w:rsid w:val="00F220E3"/>
    <w:rsid w:val="00F25588"/>
    <w:rsid w:val="00F54F8F"/>
    <w:rsid w:val="00F64DD4"/>
    <w:rsid w:val="00F67AC5"/>
    <w:rsid w:val="00F8485D"/>
    <w:rsid w:val="00F86DC9"/>
    <w:rsid w:val="00F929F2"/>
    <w:rsid w:val="00F93A54"/>
    <w:rsid w:val="00FC4125"/>
    <w:rsid w:val="00FC5985"/>
    <w:rsid w:val="00FC796E"/>
    <w:rsid w:val="00FD45A9"/>
    <w:rsid w:val="00FF6C0C"/>
    <w:rsid w:val="00FF6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B6AF0B-9C7A-4601-AFF6-E9D84C29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qFormat/>
    <w:rsid w:val="000A1C6A"/>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3E9"/>
    <w:rPr>
      <w:color w:val="0563C1" w:themeColor="hyperlink"/>
      <w:u w:val="single"/>
    </w:rPr>
  </w:style>
  <w:style w:type="paragraph" w:styleId="ListParagraph">
    <w:name w:val="List Paragraph"/>
    <w:basedOn w:val="Normal"/>
    <w:uiPriority w:val="34"/>
    <w:qFormat/>
    <w:rsid w:val="00647067"/>
    <w:pPr>
      <w:ind w:left="720"/>
      <w:contextualSpacing/>
    </w:pPr>
  </w:style>
  <w:style w:type="character" w:styleId="FollowedHyperlink">
    <w:name w:val="FollowedHyperlink"/>
    <w:basedOn w:val="DefaultParagraphFont"/>
    <w:uiPriority w:val="99"/>
    <w:semiHidden/>
    <w:unhideWhenUsed/>
    <w:rsid w:val="00583C20"/>
    <w:rPr>
      <w:color w:val="954F72" w:themeColor="followedHyperlink"/>
      <w:u w:val="single"/>
    </w:rPr>
  </w:style>
  <w:style w:type="character" w:styleId="PlaceholderText">
    <w:name w:val="Placeholder Text"/>
    <w:basedOn w:val="DefaultParagraphFont"/>
    <w:uiPriority w:val="99"/>
    <w:semiHidden/>
    <w:rsid w:val="002338E4"/>
    <w:rPr>
      <w:color w:val="808080"/>
    </w:rPr>
  </w:style>
  <w:style w:type="paragraph" w:styleId="FootnoteText">
    <w:name w:val="footnote text"/>
    <w:basedOn w:val="Normal"/>
    <w:link w:val="FootnoteTextChar"/>
    <w:uiPriority w:val="99"/>
    <w:semiHidden/>
    <w:unhideWhenUsed/>
    <w:rsid w:val="002850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5014"/>
    <w:rPr>
      <w:sz w:val="20"/>
      <w:szCs w:val="20"/>
    </w:rPr>
  </w:style>
  <w:style w:type="character" w:styleId="FootnoteReference">
    <w:name w:val="footnote reference"/>
    <w:basedOn w:val="DefaultParagraphFont"/>
    <w:uiPriority w:val="99"/>
    <w:semiHidden/>
    <w:unhideWhenUsed/>
    <w:rsid w:val="00285014"/>
    <w:rPr>
      <w:vertAlign w:val="superscript"/>
    </w:rPr>
  </w:style>
  <w:style w:type="paragraph" w:styleId="Header">
    <w:name w:val="header"/>
    <w:basedOn w:val="Normal"/>
    <w:link w:val="HeaderChar"/>
    <w:uiPriority w:val="99"/>
    <w:unhideWhenUsed/>
    <w:rsid w:val="00D0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DF2"/>
  </w:style>
  <w:style w:type="paragraph" w:styleId="Footer">
    <w:name w:val="footer"/>
    <w:basedOn w:val="Normal"/>
    <w:link w:val="FooterChar"/>
    <w:uiPriority w:val="99"/>
    <w:unhideWhenUsed/>
    <w:rsid w:val="00D0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DF2"/>
  </w:style>
  <w:style w:type="character" w:customStyle="1" w:styleId="Heading3Char">
    <w:name w:val="Heading 3 Char"/>
    <w:basedOn w:val="DefaultParagraphFont"/>
    <w:link w:val="Heading3"/>
    <w:rsid w:val="000A1C6A"/>
    <w:rPr>
      <w:rFonts w:ascii="Tahoma" w:eastAsia="SimSun" w:hAnsi="Tahoma" w:cs="Tahoma"/>
      <w:b/>
      <w:bCs/>
      <w:sz w:val="20"/>
      <w:szCs w:val="20"/>
      <w:lang w:eastAsia="zh-CN"/>
    </w:rPr>
  </w:style>
  <w:style w:type="paragraph" w:styleId="NormalWeb">
    <w:name w:val="Normal (Web)"/>
    <w:basedOn w:val="Normal"/>
    <w:rsid w:val="000A1C6A"/>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l.uk/medieval-literature/articles/monsters-and-heroes-in-beowul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l.uk/medieval-literature/articles/monsters-and-heroes-in-beowu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0D79A-4932-4ADD-845B-E039CD8B7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18</Pages>
  <Words>4734</Words>
  <Characters>26986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Caisey</dc:creator>
  <cp:keywords/>
  <dc:description/>
  <cp:lastModifiedBy>Suzie Caisey</cp:lastModifiedBy>
  <cp:revision>139</cp:revision>
  <dcterms:created xsi:type="dcterms:W3CDTF">2018-07-24T13:15:00Z</dcterms:created>
  <dcterms:modified xsi:type="dcterms:W3CDTF">2018-08-27T14:44:00Z</dcterms:modified>
</cp:coreProperties>
</file>