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54367E" w14:textId="77777777" w:rsidR="00174177" w:rsidRDefault="00174177">
      <w:r>
        <w:t xml:space="preserve">Student name: </w:t>
      </w:r>
      <w:proofErr w:type="spellStart"/>
      <w:r>
        <w:t>Desislava</w:t>
      </w:r>
      <w:proofErr w:type="spellEnd"/>
      <w:r>
        <w:t xml:space="preserve"> Markova</w:t>
      </w:r>
    </w:p>
    <w:p w14:paraId="32BB6ED1" w14:textId="77777777" w:rsidR="00174177" w:rsidRDefault="00174177">
      <w:r>
        <w:t>Student number: 2512936</w:t>
      </w:r>
    </w:p>
    <w:p w14:paraId="5B97291B" w14:textId="77777777" w:rsidR="00174177" w:rsidRDefault="00174177"/>
    <w:p w14:paraId="5110E133" w14:textId="77777777" w:rsidR="00174177" w:rsidRDefault="00174177">
      <w:r>
        <w:t>Programme: MSc Public Health and Social Care in Practice</w:t>
      </w:r>
    </w:p>
    <w:p w14:paraId="0F9C4D0D" w14:textId="77777777" w:rsidR="00174177" w:rsidRDefault="00174177"/>
    <w:p w14:paraId="7A44B84C" w14:textId="77777777" w:rsidR="00174177" w:rsidRDefault="00174177">
      <w:r>
        <w:t>Module: Practice-Based Research</w:t>
      </w:r>
    </w:p>
    <w:p w14:paraId="395F2DE0" w14:textId="77777777" w:rsidR="00174177" w:rsidRDefault="00174177"/>
    <w:p w14:paraId="136FC45E" w14:textId="77777777" w:rsidR="00174177" w:rsidRDefault="00174177">
      <w:r>
        <w:t>Module code: LCHS7008</w:t>
      </w:r>
    </w:p>
    <w:p w14:paraId="41CD0365" w14:textId="77777777" w:rsidR="00174177" w:rsidRDefault="00174177"/>
    <w:p w14:paraId="71080AD6" w14:textId="77777777" w:rsidR="00174177" w:rsidRDefault="00174177">
      <w:r>
        <w:t>Module Lecturer: Dr Zeno Leung</w:t>
      </w:r>
    </w:p>
    <w:p w14:paraId="5C94A914" w14:textId="77777777" w:rsidR="00174177" w:rsidRDefault="00174177"/>
    <w:p w14:paraId="4E274F56" w14:textId="77777777" w:rsidR="00174177" w:rsidRDefault="00174177">
      <w:r>
        <w:t>Assignment: Component 2 – Written Research Proposal</w:t>
      </w:r>
    </w:p>
    <w:p w14:paraId="1BE661EE" w14:textId="18DA864B" w:rsidR="00174177" w:rsidRPr="00193D9E" w:rsidRDefault="00174177" w:rsidP="00674C31">
      <w:r w:rsidRPr="00193D9E">
        <w:t>Association Between Educational Attainment, Health Literacy, Healthcare Access and Cardiovascular Disease Outcomes among South Asian Migrants in the United Kingdom: A Systematic Literature Review</w:t>
      </w:r>
    </w:p>
    <w:p w14:paraId="704798C3" w14:textId="77777777" w:rsidR="00174177" w:rsidRDefault="00174177"/>
    <w:p w14:paraId="05BC5E9D" w14:textId="62DAE816" w:rsidR="00174177" w:rsidRDefault="00174177" w:rsidP="00174177">
      <w:pPr>
        <w:pStyle w:val="ListParagraph"/>
        <w:numPr>
          <w:ilvl w:val="0"/>
          <w:numId w:val="1"/>
        </w:numPr>
      </w:pPr>
      <w:r>
        <w:t>Introduction</w:t>
      </w:r>
    </w:p>
    <w:p w14:paraId="2686648F" w14:textId="77777777" w:rsidR="00174177" w:rsidRDefault="00174177"/>
    <w:p w14:paraId="0CCC8C48" w14:textId="77777777" w:rsidR="00174177" w:rsidRDefault="00174177">
      <w:r>
        <w:t>Cardiovascular disease (CVD) remains one of the leading causes of morbidity and mortality worldwide and continues to present a major public health challenge in the United Kingdom despite significant advances in prevention, diagnosis and treatment (World Health Organization, 2025; British Heart Foundation, 2025a). Cardiovascular disease encompasses conditions including coronary heart disease, stroke, heart failure and peripheral arterial disease, which collectively contribute to premature mortality, reduced quality of life and increasing demands on health and social care services (British Heart Foundation, 2025a; Office for Health Improvement and Disparities, 2024).</w:t>
      </w:r>
    </w:p>
    <w:p w14:paraId="1E2E60D4" w14:textId="77777777" w:rsidR="00174177" w:rsidRDefault="00174177"/>
    <w:p w14:paraId="7445611B" w14:textId="66B4F684" w:rsidR="00174177" w:rsidRDefault="00174177">
      <w:r>
        <w:t>The burden of cardiovascular disease is unequally distributed across the population. Evidence indicates that social determinants of health, including educational attainment, health literacy and equitable access to healthcare, influence cardiovascular risk, disease progression and long-term health outcomes (</w:t>
      </w:r>
      <w:proofErr w:type="spellStart"/>
      <w:r>
        <w:t>Braveman</w:t>
      </w:r>
      <w:proofErr w:type="spellEnd"/>
      <w:r>
        <w:t xml:space="preserve"> and Gottlieb, 2014; Marmot et al., 2020). Educational attainment affects employment opportunities, income and health knowledge, while health literacy enables individuals to access, understand, evaluate and apply health information to support disease prevention, treatment and self-management (</w:t>
      </w:r>
      <w:proofErr w:type="spellStart"/>
      <w:r>
        <w:t>Nutbeam</w:t>
      </w:r>
      <w:proofErr w:type="spellEnd"/>
      <w:r>
        <w:t xml:space="preserve">, 2000; </w:t>
      </w:r>
      <w:proofErr w:type="spellStart"/>
      <w:r>
        <w:t>Sørensen</w:t>
      </w:r>
      <w:proofErr w:type="spellEnd"/>
      <w:r>
        <w:t xml:space="preserve"> et al., 2012). Equitable access to healthcare further facilitates timely diagnosis, appropriate treatment and effective long-term management of cardiovascular disease (Levesque, Harris and Russell, 2013</w:t>
      </w:r>
      <w:r w:rsidR="00376535">
        <w:t>; N</w:t>
      </w:r>
      <w:r w:rsidR="0091069F">
        <w:t xml:space="preserve">HS England, </w:t>
      </w:r>
      <w:proofErr w:type="spellStart"/>
      <w:r w:rsidR="0091069F">
        <w:t>n.d</w:t>
      </w:r>
      <w:proofErr w:type="spellEnd"/>
      <w:r>
        <w:t>).</w:t>
      </w:r>
    </w:p>
    <w:p w14:paraId="24AB3C93" w14:textId="77777777" w:rsidR="00174177" w:rsidRDefault="00174177"/>
    <w:p w14:paraId="583F9F4E" w14:textId="77777777" w:rsidR="00174177" w:rsidRDefault="00174177">
      <w:r>
        <w:t>These determinants are particularly relevant to South Asian migrants living in the United Kingdom. Individuals born in India, Pakistan, Bangladesh and Sri Lanka experience disproportionately high rates of coronary heart disease, hypertension and type 2 diabetes compared with the White British population, with cardiovascular disease often developing at younger ages (</w:t>
      </w:r>
      <w:proofErr w:type="spellStart"/>
      <w:r>
        <w:t>Anand</w:t>
      </w:r>
      <w:proofErr w:type="spellEnd"/>
      <w:r>
        <w:t xml:space="preserve"> et al., 2000; </w:t>
      </w:r>
      <w:proofErr w:type="spellStart"/>
      <w:r>
        <w:t>Agyemang</w:t>
      </w:r>
      <w:proofErr w:type="spellEnd"/>
      <w:r>
        <w:t xml:space="preserve"> et al., 2024; British Heart Foundation, 2025b). Although biological susceptibility contributes to cardiovascular risk, increasing evidence suggests that wider social and structural determinants, including socioeconomic disadvantage, language barriers, limited health literacy and difficulties accessing healthcare, also influence cardiovascular outcomes (Marmot et al., 2020; World Health Organization, 2024). Research involving other migrant populations has further shown that the non-recognition of overseas qualifications may contribute to underemployment and socioeconomic disadvantage, indirectly affecting health outcomes; however, evidence specific to South Asian migrants remains limited (</w:t>
      </w:r>
      <w:proofErr w:type="spellStart"/>
      <w:r>
        <w:t>Phung</w:t>
      </w:r>
      <w:proofErr w:type="spellEnd"/>
      <w:r>
        <w:t xml:space="preserve"> et al., 2020).</w:t>
      </w:r>
    </w:p>
    <w:p w14:paraId="1BCF4D41" w14:textId="77777777" w:rsidR="00174177" w:rsidRDefault="00174177"/>
    <w:p w14:paraId="7AD368E3" w14:textId="77777777" w:rsidR="00174177" w:rsidRDefault="00174177">
      <w:r>
        <w:t xml:space="preserve">Importantly, South Asian migrants should not be regarded as a homogeneous population. Indian, Pakistani, Bangladeshi and Sri Lankan communities differ in migration history, language, religion, culture and socioeconomic circumstances, all of which may influence cardiovascular risk, health literacy and healthcare utilisation (International Organization for Migration, 2024; </w:t>
      </w:r>
      <w:proofErr w:type="spellStart"/>
      <w:r>
        <w:t>Agyemang</w:t>
      </w:r>
      <w:proofErr w:type="spellEnd"/>
      <w:r>
        <w:t xml:space="preserve"> et al., 2024). Recognising this diversity is essential to avoid oversimplification and to support culturally responsive healthcare and public health policy.</w:t>
      </w:r>
    </w:p>
    <w:p w14:paraId="1B6BC819" w14:textId="77777777" w:rsidR="00174177" w:rsidRDefault="00174177"/>
    <w:p w14:paraId="10E835AF" w14:textId="77777777" w:rsidR="00174177" w:rsidRDefault="00174177">
      <w:r>
        <w:t xml:space="preserve">Although previous research has examined cardiovascular disease, educational attainment, health literacy and healthcare access independently, relatively little evidence has systematically explored how these factors interact and are associated with cardiovascular disease-related outcomes among South Asian migrants living in the United Kingdom (Ismail et al., 2022; </w:t>
      </w:r>
      <w:proofErr w:type="spellStart"/>
      <w:r>
        <w:t>Agyemang</w:t>
      </w:r>
      <w:proofErr w:type="spellEnd"/>
      <w:r>
        <w:t xml:space="preserve"> et al., 2024). For the purposes of this review, cardiovascular disease-related outcomes will include clinical outcomes, prevention and treatment behaviours, disease management, healthcare utilisation and access to cardiovascular services. Existing evidence is dispersed across public health, epidemiology, primary care and health services research, and comparisons between South Asian subgroups remain limited. Consequently, a systematic literature review is required to identify, critically appraise and synthesise the available evidence, address current knowledge gaps and provide recommendations for future research, policy and clinical practice (</w:t>
      </w:r>
      <w:proofErr w:type="spellStart"/>
      <w:r>
        <w:t>Aromataris</w:t>
      </w:r>
      <w:proofErr w:type="spellEnd"/>
      <w:r>
        <w:t xml:space="preserve"> and Munn, 2020; Booth, Sutton and </w:t>
      </w:r>
      <w:proofErr w:type="spellStart"/>
      <w:r>
        <w:t>Papaioannou</w:t>
      </w:r>
      <w:proofErr w:type="spellEnd"/>
      <w:r>
        <w:t>, 2021; Page et al., 2021).</w:t>
      </w:r>
    </w:p>
    <w:p w14:paraId="376042CE" w14:textId="77777777" w:rsidR="00174177" w:rsidRDefault="00174177"/>
    <w:p w14:paraId="02EFB693" w14:textId="6697085B" w:rsidR="00174177" w:rsidRDefault="00174177" w:rsidP="00174177">
      <w:pPr>
        <w:pStyle w:val="ListParagraph"/>
        <w:numPr>
          <w:ilvl w:val="0"/>
          <w:numId w:val="1"/>
        </w:numPr>
      </w:pPr>
      <w:r>
        <w:t>Literature Background and Rationale</w:t>
      </w:r>
    </w:p>
    <w:p w14:paraId="413BE1CB" w14:textId="77777777" w:rsidR="00174177" w:rsidRDefault="00174177"/>
    <w:p w14:paraId="31521206" w14:textId="77777777" w:rsidR="00174177" w:rsidRDefault="00174177">
      <w:r>
        <w:t>Educational attainment is a recognised social determinant of health that influences employment opportunities, income, living conditions and health behaviours, all of which contribute to cardiovascular health outcomes (</w:t>
      </w:r>
      <w:proofErr w:type="spellStart"/>
      <w:r>
        <w:t>Braveman</w:t>
      </w:r>
      <w:proofErr w:type="spellEnd"/>
      <w:r>
        <w:t xml:space="preserve"> and Gottlieb, 2014; Marmot et al., 2020). Individuals with lower educational attainment are more likely to experience socioeconomic disadvantage and may engage less with preventive healthcare, increasing their risk of cardiovascular disease (Schultz et al., 2018). Education also influences an individual’s capacity to understand health information, navigate healthcare systems and participate in long-term disease management (</w:t>
      </w:r>
      <w:proofErr w:type="spellStart"/>
      <w:r>
        <w:t>Nutbeam</w:t>
      </w:r>
      <w:proofErr w:type="spellEnd"/>
      <w:r>
        <w:t>, 2000). Although studies involving migrant populations have shown that overseas educational qualifications may not always be recognised within the UK labour market, potentially contributing to underemployment and poorer socioeconomic circumstances, evidence specific to South Asian migrants remains limited (</w:t>
      </w:r>
      <w:proofErr w:type="spellStart"/>
      <w:r>
        <w:t>Phung</w:t>
      </w:r>
      <w:proofErr w:type="spellEnd"/>
      <w:r>
        <w:t xml:space="preserve"> et al., 2020).</w:t>
      </w:r>
    </w:p>
    <w:p w14:paraId="348A4287" w14:textId="77777777" w:rsidR="00174177" w:rsidRDefault="00174177"/>
    <w:p w14:paraId="3727006C" w14:textId="77777777" w:rsidR="00174177" w:rsidRDefault="00174177">
      <w:r>
        <w:t>Health literacy extends beyond formal education and refers to an individual’s ability to access, understand, evaluate and apply health information to make informed healthcare decisions (</w:t>
      </w:r>
      <w:proofErr w:type="spellStart"/>
      <w:r>
        <w:t>Nutbeam</w:t>
      </w:r>
      <w:proofErr w:type="spellEnd"/>
      <w:r>
        <w:t xml:space="preserve">, 2000; </w:t>
      </w:r>
      <w:proofErr w:type="spellStart"/>
      <w:r>
        <w:t>Sørensen</w:t>
      </w:r>
      <w:proofErr w:type="spellEnd"/>
      <w:r>
        <w:t xml:space="preserve"> et al., 2012). Higher levels of health literacy are associated with improved understanding of cardiovascular risk factors, greater uptake of preventive services, better medication adherence and more effective self-management of chronic disease (</w:t>
      </w:r>
      <w:proofErr w:type="spellStart"/>
      <w:r>
        <w:t>Sørensen</w:t>
      </w:r>
      <w:proofErr w:type="spellEnd"/>
      <w:r>
        <w:t xml:space="preserve"> et al., 2012). Conversely, limited health literacy may contribute to delayed help-seeking, poorer disease knowledge and lower participation in cardiovascular prevention programmes. For migrant populations, these challenges may be intensified by language barriers, cultural differences and unfamiliarity with NHS services (</w:t>
      </w:r>
      <w:proofErr w:type="spellStart"/>
      <w:r>
        <w:t>Mainous</w:t>
      </w:r>
      <w:proofErr w:type="spellEnd"/>
      <w:r>
        <w:t xml:space="preserve"> et al., 2006; Mackay, Ashworth and White, 2017).</w:t>
      </w:r>
    </w:p>
    <w:p w14:paraId="6E47FEBB" w14:textId="77777777" w:rsidR="00174177" w:rsidRDefault="00174177"/>
    <w:p w14:paraId="5B04416B" w14:textId="77777777" w:rsidR="00174177" w:rsidRDefault="00174177">
      <w:r>
        <w:t xml:space="preserve">Access to healthcare represents another important determinant of cardiovascular health. Levesque, Harris and Russell (2013) conceptualise access as encompassing the availability, affordability, accessibility, acceptability and appropriateness of healthcare services. Although the NHS provides universal healthcare, equitable access is not always achieved because individuals may experience practical, linguistic, cultural or structural barriers that limit timely use of services. Such barriers may delay diagnosis, reduce engagement with preventive care and contribute to poorer cardiovascular outcomes among migrant populations (The King’s Fund, 2023; </w:t>
      </w:r>
      <w:proofErr w:type="spellStart"/>
      <w:r>
        <w:t>Phung</w:t>
      </w:r>
      <w:proofErr w:type="spellEnd"/>
      <w:r>
        <w:t xml:space="preserve"> et al., 2020).</w:t>
      </w:r>
    </w:p>
    <w:p w14:paraId="4D4E9EE1" w14:textId="77777777" w:rsidR="00174177" w:rsidRDefault="00174177"/>
    <w:p w14:paraId="5C3204FD" w14:textId="77777777" w:rsidR="00174177" w:rsidRDefault="00174177">
      <w:r>
        <w:t>Cardiovascular risk is not uniform across South Asian populations. Evidence suggests that Pakistani and Bangladeshi communities generally experience greater socioeconomic deprivation and a higher burden of cardiovascular disease than Indian populations, while research relating specifically to Sri Lankan migrants remains comparatively limited (</w:t>
      </w:r>
      <w:proofErr w:type="spellStart"/>
      <w:r>
        <w:t>Agyemang</w:t>
      </w:r>
      <w:proofErr w:type="spellEnd"/>
      <w:r>
        <w:t xml:space="preserve"> et al., 2024; Ismail et al., 2022). These differences highlight the importance of recognising South Asian migrants as a diverse population rather than a single homogeneous group. Migration history, language, religion, culture and socioeconomic circumstances vary considerably between communities and may influence health literacy, healthcare utilisation and cardiovascular outcomes (</w:t>
      </w:r>
      <w:proofErr w:type="spellStart"/>
      <w:r>
        <w:t>Agyemang</w:t>
      </w:r>
      <w:proofErr w:type="spellEnd"/>
      <w:r>
        <w:t xml:space="preserve"> et al., 2024).</w:t>
      </w:r>
    </w:p>
    <w:p w14:paraId="05F6434B" w14:textId="77777777" w:rsidR="00174177" w:rsidRDefault="00174177"/>
    <w:p w14:paraId="53803E81" w14:textId="77777777" w:rsidR="00174177" w:rsidRDefault="00174177">
      <w:r>
        <w:t xml:space="preserve">Despite increasing research into cardiovascular disease and migrant health, the existing evidence base remains fragmented. Many studies focus on individual risk factors, ethnicity or healthcare utilisation in isolation rather than examining how educational attainment, health literacy and healthcare access interact and are associated with cardiovascular disease-related outcomes among South Asian migrants living in the United Kingdom (Ismail et al., 2022; </w:t>
      </w:r>
      <w:proofErr w:type="spellStart"/>
      <w:r>
        <w:t>Agyemang</w:t>
      </w:r>
      <w:proofErr w:type="spellEnd"/>
      <w:r>
        <w:t xml:space="preserve"> et al., 2024). Furthermore, studies frequently combine migrant and UK-born South Asian populations, making it difficult to distinguish the experiences of first-generation migrants. Consequently, there is limited evidence to inform culturally responsive public health interventions, healthcare planning and policy for specific South Asian migrant communities.</w:t>
      </w:r>
    </w:p>
    <w:p w14:paraId="79EAC5C8" w14:textId="77777777" w:rsidR="00174177" w:rsidRDefault="00174177"/>
    <w:p w14:paraId="3EB29194" w14:textId="77777777" w:rsidR="00174177" w:rsidRDefault="00174177">
      <w:r>
        <w:t>This evidence gap provides a clear rationale for undertaking a systematic literature review. By identifying, critically appraising and synthesising quantitative, qualitative and mixed-methods primary research, the review will provide a comprehensive understanding of the relationships between educational attainment, health literacy, healthcare access and cardiovascular disease-related outcomes among South Asian migrants living in the United Kingdom (</w:t>
      </w:r>
      <w:proofErr w:type="spellStart"/>
      <w:r>
        <w:t>Aromataris</w:t>
      </w:r>
      <w:proofErr w:type="spellEnd"/>
      <w:r>
        <w:t xml:space="preserve"> and Munn, 2020; Stern et al., 2020; Booth, Sutton and </w:t>
      </w:r>
      <w:proofErr w:type="spellStart"/>
      <w:r>
        <w:t>Papaioannou</w:t>
      </w:r>
      <w:proofErr w:type="spellEnd"/>
      <w:r>
        <w:t>, 2021). The findings may support evidence-informed public health policy, culturally responsive healthcare interventions and future research aimed at reducing cardiovascular health inequalities within these communities.</w:t>
      </w:r>
    </w:p>
    <w:p w14:paraId="6387A145" w14:textId="77777777" w:rsidR="00174177" w:rsidRDefault="00174177"/>
    <w:p w14:paraId="6542D158" w14:textId="2A576054" w:rsidR="00174177" w:rsidRDefault="00174177" w:rsidP="00174177">
      <w:pPr>
        <w:pStyle w:val="ListParagraph"/>
        <w:numPr>
          <w:ilvl w:val="0"/>
          <w:numId w:val="1"/>
        </w:numPr>
      </w:pPr>
      <w:r>
        <w:t>Research Question</w:t>
      </w:r>
    </w:p>
    <w:p w14:paraId="4F6611C8" w14:textId="77777777" w:rsidR="00174177" w:rsidRDefault="00174177"/>
    <w:p w14:paraId="19C50651" w14:textId="77777777" w:rsidR="00174177" w:rsidRDefault="00174177">
      <w:r>
        <w:t>How are educational attainment, health literacy and healthcare access associated with cardiovascular disease-related outcomes among South Asian migrants living in the United Kingdom?</w:t>
      </w:r>
    </w:p>
    <w:p w14:paraId="3690110A" w14:textId="77777777" w:rsidR="00174177" w:rsidRDefault="00174177"/>
    <w:p w14:paraId="4FEA8EA3" w14:textId="2CB2D4F3" w:rsidR="00174177" w:rsidRDefault="00174177" w:rsidP="00174177">
      <w:pPr>
        <w:pStyle w:val="ListParagraph"/>
        <w:numPr>
          <w:ilvl w:val="0"/>
          <w:numId w:val="1"/>
        </w:numPr>
      </w:pPr>
      <w:r>
        <w:t>Aim</w:t>
      </w:r>
    </w:p>
    <w:p w14:paraId="746EF388" w14:textId="77777777" w:rsidR="00174177" w:rsidRDefault="00174177"/>
    <w:p w14:paraId="5F818CF5" w14:textId="77777777" w:rsidR="00174177" w:rsidRDefault="00174177">
      <w:r>
        <w:t>The aim of this systematic literature review is to identify, critically appraise and synthesise primary empirical evidence examining the relationships between educational attainment, health literacy, healthcare access and cardiovascular disease-related outcomes among South Asian migrants living in the United Kingdom.</w:t>
      </w:r>
    </w:p>
    <w:p w14:paraId="08098A12" w14:textId="77777777" w:rsidR="00174177" w:rsidRDefault="00174177"/>
    <w:p w14:paraId="710279B3" w14:textId="23C994F0" w:rsidR="00174177" w:rsidRDefault="00174177" w:rsidP="00174177">
      <w:pPr>
        <w:pStyle w:val="ListParagraph"/>
        <w:numPr>
          <w:ilvl w:val="0"/>
          <w:numId w:val="1"/>
        </w:numPr>
      </w:pPr>
      <w:r>
        <w:t>Objectives</w:t>
      </w:r>
    </w:p>
    <w:p w14:paraId="0703CBD4" w14:textId="77777777" w:rsidR="00174177" w:rsidRDefault="00174177"/>
    <w:p w14:paraId="37AF4AF9" w14:textId="77777777" w:rsidR="00174177" w:rsidRDefault="00174177">
      <w:r>
        <w:t>The objectives of this systematic literature review are:</w:t>
      </w:r>
    </w:p>
    <w:p w14:paraId="5ADC0CD2" w14:textId="77777777" w:rsidR="00174177" w:rsidRDefault="00174177"/>
    <w:p w14:paraId="46E4B060" w14:textId="319CF75B" w:rsidR="00174177" w:rsidRDefault="00174177" w:rsidP="00174177">
      <w:pPr>
        <w:pStyle w:val="ListParagraph"/>
        <w:numPr>
          <w:ilvl w:val="0"/>
          <w:numId w:val="2"/>
        </w:numPr>
      </w:pPr>
      <w:r>
        <w:t>To examine the relationship between educational attainment and cardiovascular disease-related outcomes among South Asian migrants living in the United Kingdom.</w:t>
      </w:r>
    </w:p>
    <w:p w14:paraId="4E4F35C8" w14:textId="77777777" w:rsidR="00174177" w:rsidRDefault="00174177"/>
    <w:p w14:paraId="4FCF0A81" w14:textId="7256EE6A" w:rsidR="00174177" w:rsidRDefault="00174177" w:rsidP="00174177">
      <w:pPr>
        <w:pStyle w:val="ListParagraph"/>
        <w:numPr>
          <w:ilvl w:val="0"/>
          <w:numId w:val="2"/>
        </w:numPr>
      </w:pPr>
      <w:r>
        <w:t>To evaluate how health literacy is associated with cardiovascular disease prevention, diagnosis, treatment and long-term self-management among South Asian migrants.</w:t>
      </w:r>
    </w:p>
    <w:p w14:paraId="38BEBFA6" w14:textId="77777777" w:rsidR="00174177" w:rsidRDefault="00174177" w:rsidP="00174177">
      <w:pPr>
        <w:pStyle w:val="ListParagraph"/>
      </w:pPr>
    </w:p>
    <w:p w14:paraId="54D2D054" w14:textId="77777777" w:rsidR="00174177" w:rsidRDefault="00174177"/>
    <w:p w14:paraId="368EFBB6" w14:textId="08CB22EB" w:rsidR="00174177" w:rsidRDefault="00174177" w:rsidP="00174177">
      <w:pPr>
        <w:pStyle w:val="ListParagraph"/>
        <w:numPr>
          <w:ilvl w:val="0"/>
          <w:numId w:val="2"/>
        </w:numPr>
      </w:pPr>
      <w:r>
        <w:t>To examine how healthcare access is associated with cardiovascular disease prevention, diagnosis, treatment, healthcare utilisation and health outcomes, including barriers and facilitators to accessing care.</w:t>
      </w:r>
    </w:p>
    <w:p w14:paraId="265B3CC0" w14:textId="77777777" w:rsidR="00174177" w:rsidRDefault="00174177"/>
    <w:p w14:paraId="15365E1B" w14:textId="472D6F20" w:rsidR="00174177" w:rsidRDefault="00174177" w:rsidP="00174177">
      <w:pPr>
        <w:pStyle w:val="ListParagraph"/>
        <w:numPr>
          <w:ilvl w:val="0"/>
          <w:numId w:val="2"/>
        </w:numPr>
      </w:pPr>
      <w:r>
        <w:t>To critically appraise the methodological quality of included studies using the Joanna Briggs Institute Critical Appraisal Checklists and the Mixed Methods Appraisal Tool, where appropriate (</w:t>
      </w:r>
      <w:proofErr w:type="spellStart"/>
      <w:r>
        <w:t>Aromataris</w:t>
      </w:r>
      <w:proofErr w:type="spellEnd"/>
      <w:r>
        <w:t xml:space="preserve"> and Munn, 2020; Hong et al., 2018).</w:t>
      </w:r>
    </w:p>
    <w:p w14:paraId="28287BDE" w14:textId="77777777" w:rsidR="00174177" w:rsidRDefault="00174177" w:rsidP="00174177">
      <w:pPr>
        <w:pStyle w:val="ListParagraph"/>
      </w:pPr>
    </w:p>
    <w:p w14:paraId="61C4E8CE" w14:textId="77777777" w:rsidR="00174177" w:rsidRDefault="00174177"/>
    <w:p w14:paraId="5A240D1D" w14:textId="3424BC68" w:rsidR="00174177" w:rsidRDefault="00174177" w:rsidP="00174177">
      <w:pPr>
        <w:pStyle w:val="ListParagraph"/>
        <w:numPr>
          <w:ilvl w:val="0"/>
          <w:numId w:val="2"/>
        </w:numPr>
      </w:pPr>
      <w:r>
        <w:t>To identify gaps within the current evidence base and provide recommendations for future research, public health policy and clinical practice.</w:t>
      </w:r>
    </w:p>
    <w:p w14:paraId="3417E90D" w14:textId="77777777" w:rsidR="00174177" w:rsidRDefault="00174177"/>
    <w:p w14:paraId="1454778F" w14:textId="1FEB54FB" w:rsidR="00174177" w:rsidRDefault="00174177" w:rsidP="00174177">
      <w:pPr>
        <w:pStyle w:val="ListParagraph"/>
        <w:numPr>
          <w:ilvl w:val="0"/>
          <w:numId w:val="2"/>
        </w:numPr>
      </w:pPr>
      <w:r>
        <w:t>Research Methodology</w:t>
      </w:r>
    </w:p>
    <w:p w14:paraId="5E3B80BE" w14:textId="77777777" w:rsidR="00174177" w:rsidRDefault="00174177" w:rsidP="00174177">
      <w:pPr>
        <w:pStyle w:val="ListParagraph"/>
      </w:pPr>
    </w:p>
    <w:p w14:paraId="077B68A4" w14:textId="77777777" w:rsidR="00174177" w:rsidRDefault="00174177"/>
    <w:p w14:paraId="246A1E31" w14:textId="77777777" w:rsidR="00174177" w:rsidRDefault="00174177">
      <w:r>
        <w:t>This study will employ a systematic literature review to identify, critically appraise and synthesise primary empirical evidence using transparent, rigorous and reproducible methods (</w:t>
      </w:r>
      <w:proofErr w:type="spellStart"/>
      <w:r>
        <w:t>Aromataris</w:t>
      </w:r>
      <w:proofErr w:type="spellEnd"/>
      <w:r>
        <w:t xml:space="preserve"> and Munn, 2020). Systematic reviews follow predefined procedures for identifying, selecting, appraising and synthesising evidence, thereby reducing selection bias and improving the reliability of review findings (Higgins et al., 2024). The review will be reported in accordance with the Preferred Reporting Items for Systematic Reviews and Meta-Analyses 2020 statement, which provides internationally recognised guidance for the transparent reporting of systematic reviews (Page et al., 2021).</w:t>
      </w:r>
    </w:p>
    <w:p w14:paraId="161503A3" w14:textId="77777777" w:rsidR="00174177" w:rsidRDefault="00174177"/>
    <w:p w14:paraId="3F3942C8" w14:textId="77777777" w:rsidR="00174177" w:rsidRDefault="00174177">
      <w:r>
        <w:t>Given the complexity of the research question, the review will include quantitative, qualitative and mixed-methods primary studies (Stern et al., 2020). This approach is appropriate because educational attainment, health literacy and healthcare access are complex social determinants that cannot be fully understood through a single methodological perspective (Creswell and Creswell, 2023). Quantitative studies may identify associations between social determinants and cardiovascular outcomes, while qualitative studies may provide insight into migrants’ experiences, perceptions and barriers to accessing healthcare.</w:t>
      </w:r>
    </w:p>
    <w:p w14:paraId="12C3BFD6" w14:textId="77777777" w:rsidR="00174177" w:rsidRDefault="00174177"/>
    <w:p w14:paraId="7AA32BA9" w14:textId="77777777" w:rsidR="00174177" w:rsidRDefault="00174177">
      <w:r>
        <w:t>The review will adopt a convergent segregated mixed-methods synthesis approach, in which quantitative and qualitative evidence will first be synthesised separately using methods appropriate to each design before being integrated during the interpretation of findings (Stern et al., 2020). This approach enables numerical evidence describing associations to be considered alongside qualitative evidence exploring lived experiences and contextual factors, thereby providing a more comprehensive understanding of how educational attainment, health literacy and healthcare access are associated with cardiovascular disease-related outcomes among South Asian migrants living in the United Kingdom (</w:t>
      </w:r>
      <w:proofErr w:type="spellStart"/>
      <w:r>
        <w:t>Granikov</w:t>
      </w:r>
      <w:proofErr w:type="spellEnd"/>
      <w:r>
        <w:t xml:space="preserve">, Hong and </w:t>
      </w:r>
      <w:proofErr w:type="spellStart"/>
      <w:r>
        <w:t>Pluye</w:t>
      </w:r>
      <w:proofErr w:type="spellEnd"/>
      <w:r>
        <w:t>, 2022).</w:t>
      </w:r>
    </w:p>
    <w:p w14:paraId="60CEF811" w14:textId="77777777" w:rsidR="00174177" w:rsidRDefault="00174177"/>
    <w:p w14:paraId="7F0F7FCF" w14:textId="2BC6CF31" w:rsidR="00174177" w:rsidRDefault="00174177" w:rsidP="00174177">
      <w:pPr>
        <w:pStyle w:val="ListParagraph"/>
        <w:numPr>
          <w:ilvl w:val="0"/>
          <w:numId w:val="2"/>
        </w:numPr>
      </w:pPr>
      <w:r>
        <w:t>Sampling Strategy and Study Selection</w:t>
      </w:r>
    </w:p>
    <w:p w14:paraId="10A72E06" w14:textId="77777777" w:rsidR="00174177" w:rsidRDefault="00174177"/>
    <w:p w14:paraId="789D5F63" w14:textId="77777777" w:rsidR="00174177" w:rsidRDefault="00174177">
      <w:r>
        <w:t>As this review will synthesise published evidence, no participants will be recruited. Instead, studies will be identified and selected using predefined inclusion and exclusion criteria to ensure a transparent, systematic and reproducible review process while minimising selection bias (</w:t>
      </w:r>
      <w:proofErr w:type="spellStart"/>
      <w:r>
        <w:t>Aromataris</w:t>
      </w:r>
      <w:proofErr w:type="spellEnd"/>
      <w:r>
        <w:t xml:space="preserve"> and Munn, 2020; Higgins et al., 2024).</w:t>
      </w:r>
    </w:p>
    <w:p w14:paraId="4861568B" w14:textId="77777777" w:rsidR="00174177" w:rsidRDefault="00174177"/>
    <w:p w14:paraId="5941FCD1" w14:textId="77777777" w:rsidR="00174177" w:rsidRDefault="00174177">
      <w:r>
        <w:t>Studies will be eligible for inclusion if they:</w:t>
      </w:r>
    </w:p>
    <w:p w14:paraId="538CD476" w14:textId="77777777" w:rsidR="00174177" w:rsidRDefault="00174177"/>
    <w:p w14:paraId="5CBF9A57" w14:textId="200CDD52" w:rsidR="00174177" w:rsidRDefault="00174177" w:rsidP="00174177">
      <w:pPr>
        <w:pStyle w:val="ListParagraph"/>
        <w:numPr>
          <w:ilvl w:val="0"/>
          <w:numId w:val="3"/>
        </w:numPr>
      </w:pPr>
      <w:r>
        <w:t>Report primary quantitative, qualitative or mixed-methods research.</w:t>
      </w:r>
    </w:p>
    <w:p w14:paraId="3D90F5E4" w14:textId="77777777" w:rsidR="00174177" w:rsidRDefault="00174177"/>
    <w:p w14:paraId="7D35F016" w14:textId="067E1E7B" w:rsidR="00174177" w:rsidRDefault="00174177" w:rsidP="00174177">
      <w:pPr>
        <w:pStyle w:val="ListParagraph"/>
        <w:numPr>
          <w:ilvl w:val="0"/>
          <w:numId w:val="3"/>
        </w:numPr>
      </w:pPr>
      <w:r>
        <w:t>Are published in peer-reviewed journals between January 2015 and December 2025.</w:t>
      </w:r>
    </w:p>
    <w:p w14:paraId="7567CE88" w14:textId="77777777" w:rsidR="00174177" w:rsidRDefault="00174177" w:rsidP="00174177">
      <w:pPr>
        <w:pStyle w:val="ListParagraph"/>
      </w:pPr>
    </w:p>
    <w:p w14:paraId="1948680B" w14:textId="77777777" w:rsidR="00174177" w:rsidRDefault="00174177"/>
    <w:p w14:paraId="09CC1EA1" w14:textId="2A6B2507" w:rsidR="00174177" w:rsidRDefault="00174177" w:rsidP="00174177">
      <w:pPr>
        <w:pStyle w:val="ListParagraph"/>
        <w:numPr>
          <w:ilvl w:val="0"/>
          <w:numId w:val="3"/>
        </w:numPr>
      </w:pPr>
      <w:r>
        <w:t>Are published in English.</w:t>
      </w:r>
    </w:p>
    <w:p w14:paraId="76BFB58A" w14:textId="77777777" w:rsidR="00174177" w:rsidRDefault="00174177"/>
    <w:p w14:paraId="33A47209" w14:textId="754D5B9E" w:rsidR="00174177" w:rsidRDefault="00174177" w:rsidP="00174177">
      <w:pPr>
        <w:pStyle w:val="ListParagraph"/>
        <w:numPr>
          <w:ilvl w:val="0"/>
          <w:numId w:val="3"/>
        </w:numPr>
      </w:pPr>
      <w:r>
        <w:t>Include adults aged 18 years or over who are South Asian migrants living in the United Kingdom.</w:t>
      </w:r>
    </w:p>
    <w:p w14:paraId="1A2105D6" w14:textId="77777777" w:rsidR="00174177" w:rsidRDefault="00174177" w:rsidP="00174177">
      <w:pPr>
        <w:pStyle w:val="ListParagraph"/>
      </w:pPr>
    </w:p>
    <w:p w14:paraId="46B78355" w14:textId="77777777" w:rsidR="00174177" w:rsidRDefault="00174177"/>
    <w:p w14:paraId="09363956" w14:textId="7FE9B349" w:rsidR="00174177" w:rsidRDefault="00174177" w:rsidP="00174177">
      <w:pPr>
        <w:pStyle w:val="ListParagraph"/>
        <w:numPr>
          <w:ilvl w:val="0"/>
          <w:numId w:val="3"/>
        </w:numPr>
      </w:pPr>
      <w:r>
        <w:t>Investigate educational attainment, health literacy or healthcare access.</w:t>
      </w:r>
    </w:p>
    <w:p w14:paraId="00424979" w14:textId="77777777" w:rsidR="00174177" w:rsidRDefault="00174177"/>
    <w:p w14:paraId="0A096766" w14:textId="64F5C733" w:rsidR="00174177" w:rsidRDefault="00174177" w:rsidP="00174177">
      <w:pPr>
        <w:pStyle w:val="ListParagraph"/>
        <w:numPr>
          <w:ilvl w:val="0"/>
          <w:numId w:val="3"/>
        </w:numPr>
      </w:pPr>
      <w:r>
        <w:t>Report cardiovascular disease prevention, diagnosis, treatment, management, healthcare utilisation, access to cardiovascular services or clinical cardiovascular outcomes.</w:t>
      </w:r>
    </w:p>
    <w:p w14:paraId="7FCEE9A8" w14:textId="77777777" w:rsidR="00174177" w:rsidRDefault="00174177" w:rsidP="00174177">
      <w:pPr>
        <w:pStyle w:val="ListParagraph"/>
      </w:pPr>
    </w:p>
    <w:p w14:paraId="25D06FA0" w14:textId="77777777" w:rsidR="00174177" w:rsidRDefault="00174177"/>
    <w:p w14:paraId="48571E7D" w14:textId="77777777" w:rsidR="00174177" w:rsidRDefault="00174177">
      <w:r>
        <w:t xml:space="preserve">For the purposes of this review, South Asian migrants will be defined as adults born in India, Pakistan, Bangladesh or Sri Lanka who currently reside in the United Kingdom. This operational definition reflects the populations most frequently represented in the UK evidence base but may exclude other South Asian migrant communities. Studies including both migrant and UK-born South Asian participants will be included only where findings relating to migrants are reported separately or where migrants represent the principal study population (Booth, Sutton and </w:t>
      </w:r>
      <w:proofErr w:type="spellStart"/>
      <w:r>
        <w:t>Papaioannou</w:t>
      </w:r>
      <w:proofErr w:type="spellEnd"/>
      <w:r>
        <w:t>, 2021).</w:t>
      </w:r>
    </w:p>
    <w:p w14:paraId="5139760A" w14:textId="77777777" w:rsidR="00174177" w:rsidRDefault="00174177"/>
    <w:p w14:paraId="247250F3" w14:textId="77777777" w:rsidR="00174177" w:rsidRDefault="00174177">
      <w:r>
        <w:t xml:space="preserve">The review will focus on literature published between 2015 and 2025 to capture evidence reflecting contemporary migration patterns, NHS policies and current approaches to cardiovascular disease prevention and management (Office for Health Improvement and Disparities, 2024; Marmot et al., 2020). Restricting the review to recent evidence will enhance its relevance to contemporary healthcare policy and practice, although it may exclude earlier influential studies. If preliminary scoping identifies insufficient eligible studies, the search period may be extended, with any amendment documented and justified transparently in the review process (Booth, Sutton and </w:t>
      </w:r>
      <w:proofErr w:type="spellStart"/>
      <w:r>
        <w:t>Papaioannou</w:t>
      </w:r>
      <w:proofErr w:type="spellEnd"/>
      <w:r>
        <w:t>, 2021).</w:t>
      </w:r>
    </w:p>
    <w:p w14:paraId="509842A8" w14:textId="77777777" w:rsidR="00174177" w:rsidRDefault="00174177"/>
    <w:p w14:paraId="7C4212B3" w14:textId="77777777" w:rsidR="00174177" w:rsidRDefault="00174177">
      <w:r>
        <w:t>The restriction to English-language publications may introduce language bias and result in the exclusion of relevant studies published in other languages. This limitation will be acknowledged when interpreting the findings.</w:t>
      </w:r>
    </w:p>
    <w:p w14:paraId="0DD45DE8" w14:textId="77777777" w:rsidR="00174177" w:rsidRDefault="00174177"/>
    <w:p w14:paraId="272350F1" w14:textId="77777777" w:rsidR="00174177" w:rsidRDefault="00174177">
      <w:r>
        <w:t>Studies focusing exclusively on children, UK-born South Asian populations, South Asian populations living outside the United Kingdom or conditions unrelated to cardiovascular disease will be excluded. Systematic reviews, scoping reviews, editorials, conference abstracts, dissertations and opinion papers will also be excluded because the review aims to synthesise primary empirical evidence. However, relevant review articles will be consulted to inform the background literature and identify additional primary studies through reference-list searching (</w:t>
      </w:r>
      <w:proofErr w:type="spellStart"/>
      <w:r>
        <w:t>Aromataris</w:t>
      </w:r>
      <w:proofErr w:type="spellEnd"/>
      <w:r>
        <w:t xml:space="preserve"> and Munn, 2020).</w:t>
      </w:r>
    </w:p>
    <w:p w14:paraId="10E50838" w14:textId="77777777" w:rsidR="00174177" w:rsidRDefault="00174177"/>
    <w:p w14:paraId="3D78F794" w14:textId="77777777" w:rsidR="00174177" w:rsidRDefault="00174177">
      <w:r>
        <w:t>Titles and abstracts will be screened against the eligibility criteria before potentially relevant studies undergo full-text assessment. Reasons for excluding studies at the full-text stage will be recorded systematically and presented in a PRISMA 2020 flow diagram to ensure transparency and enable readers to evaluate the study-selection process (Page et al., 2021).</w:t>
      </w:r>
    </w:p>
    <w:p w14:paraId="64BEBB2F" w14:textId="77777777" w:rsidR="00174177" w:rsidRDefault="00174177"/>
    <w:p w14:paraId="041FF2CA" w14:textId="77777777" w:rsidR="00174177" w:rsidRDefault="00174177">
      <w:r>
        <w:t>As this is a student-led review, study screening, data extraction and critical appraisal are expected to be undertaken by one reviewer. Although the use of a single reviewer may increase the risk of subjective judgement and error, this risk will be reduced through the use of predefined eligibility criteria, standardised extraction and appraisal forms and a clearly documented decision-making process (</w:t>
      </w:r>
      <w:proofErr w:type="spellStart"/>
      <w:r>
        <w:t>Aromataris</w:t>
      </w:r>
      <w:proofErr w:type="spellEnd"/>
      <w:r>
        <w:t xml:space="preserve"> and Munn, 2020; Booth, Sutton and </w:t>
      </w:r>
      <w:proofErr w:type="spellStart"/>
      <w:r>
        <w:t>Papaioannou</w:t>
      </w:r>
      <w:proofErr w:type="spellEnd"/>
      <w:r>
        <w:t>, 2021).</w:t>
      </w:r>
    </w:p>
    <w:p w14:paraId="58B1D465" w14:textId="77777777" w:rsidR="00174177" w:rsidRDefault="00174177"/>
    <w:p w14:paraId="392E1C8E" w14:textId="3D6713D6" w:rsidR="00174177" w:rsidRDefault="00174177" w:rsidP="00742B58">
      <w:pPr>
        <w:pStyle w:val="ListParagraph"/>
        <w:numPr>
          <w:ilvl w:val="0"/>
          <w:numId w:val="2"/>
        </w:numPr>
      </w:pPr>
      <w:r>
        <w:t>Search Strategy and Data Collection</w:t>
      </w:r>
    </w:p>
    <w:p w14:paraId="390A42B6" w14:textId="77777777" w:rsidR="00174177" w:rsidRDefault="00174177"/>
    <w:p w14:paraId="59AE12C3" w14:textId="77777777" w:rsidR="00174177" w:rsidRDefault="00174177">
      <w:r>
        <w:t xml:space="preserve">A comprehensive search of the literature will be undertaken using the electronic databases MEDLINE, </w:t>
      </w:r>
      <w:proofErr w:type="spellStart"/>
      <w:r>
        <w:t>Embase</w:t>
      </w:r>
      <w:proofErr w:type="spellEnd"/>
      <w:r>
        <w:t xml:space="preserve">, CINAHL, </w:t>
      </w:r>
      <w:proofErr w:type="spellStart"/>
      <w:r>
        <w:t>PsycINFO</w:t>
      </w:r>
      <w:proofErr w:type="spellEnd"/>
      <w:r>
        <w:t xml:space="preserve">, Web of Science and Scopus, as these provide extensive coverage of medical, nursing, public health, psychological and social science research relevant to cardiovascular disease and migrant health (Booth, Sutton and </w:t>
      </w:r>
      <w:proofErr w:type="spellStart"/>
      <w:r>
        <w:t>Papaioannou</w:t>
      </w:r>
      <w:proofErr w:type="spellEnd"/>
      <w:r>
        <w:t>, 2021; Higgins et al., 2024). Searching multiple databases will maximise the retrieval of relevant studies and reduce the risk of database-selection and retrieval bias. However, publication bias may remain because the review will be restricted to published, peer-reviewed evidence (</w:t>
      </w:r>
      <w:proofErr w:type="spellStart"/>
      <w:r>
        <w:t>Aromataris</w:t>
      </w:r>
      <w:proofErr w:type="spellEnd"/>
      <w:r>
        <w:t xml:space="preserve"> and Munn, 2020).</w:t>
      </w:r>
    </w:p>
    <w:p w14:paraId="0612AA18" w14:textId="77777777" w:rsidR="00174177" w:rsidRDefault="00174177"/>
    <w:p w14:paraId="151419BD" w14:textId="77777777" w:rsidR="00174177" w:rsidRDefault="00174177">
      <w:r>
        <w:t xml:space="preserve">The search strategy will combine controlled vocabulary, including Medical Subject Headings where appropriate, with free-text keywords to maximise both the sensitivity and specificity of the search (Booth, Sutton and </w:t>
      </w:r>
      <w:proofErr w:type="spellStart"/>
      <w:r>
        <w:t>Papaioannou</w:t>
      </w:r>
      <w:proofErr w:type="spellEnd"/>
      <w:r>
        <w:t>, 2021). Search terms will include combinations of “South Asian”, Indian, Pakistani, Bangladeshi, Sri Lankan, migrant*, immigrant*, educational attainment, education, health literacy, healthcare access, healthcare utilisation, cardiovascular disease, coronary heart disease, stroke and United Kingdom. Boolean operators, phrase searching, truncation and database-specific indexing terms will be adapted for each database. The search strategy will be piloted and refined before the final searches are conducted to ensure that key studies are successfully identified (Higgins et al., 2024).</w:t>
      </w:r>
    </w:p>
    <w:p w14:paraId="3F2C11EC" w14:textId="77777777" w:rsidR="00174177" w:rsidRDefault="00174177"/>
    <w:p w14:paraId="18B84F4C" w14:textId="77777777" w:rsidR="00174177" w:rsidRDefault="00174177">
      <w:r>
        <w:t xml:space="preserve">To improve the completeness of the search, the reference lists of included studies and relevant review articles will be examined manually, and forward citation tracking will be undertaken to identify additional eligible publications that may not be retrieved through database searches (Booth, Sutton and </w:t>
      </w:r>
      <w:proofErr w:type="spellStart"/>
      <w:r>
        <w:t>Papaioannou</w:t>
      </w:r>
      <w:proofErr w:type="spellEnd"/>
      <w:r>
        <w:t>, 2021). All retrieved records will be imported into reference-management software, where duplicate records will be identified and removed before screening begins (Higgins et al., 2024).</w:t>
      </w:r>
    </w:p>
    <w:p w14:paraId="71C6D1CD" w14:textId="77777777" w:rsidR="00174177" w:rsidRDefault="00174177"/>
    <w:p w14:paraId="736B9257" w14:textId="77777777" w:rsidR="00174177" w:rsidRDefault="00174177">
      <w:r>
        <w:t>Data will be extracted using a standardised data-extraction form developed before the review commences to ensure consistency and transparency throughout the review process (</w:t>
      </w:r>
      <w:proofErr w:type="spellStart"/>
      <w:r>
        <w:t>Aromataris</w:t>
      </w:r>
      <w:proofErr w:type="spellEnd"/>
      <w:r>
        <w:t xml:space="preserve"> and Munn, 2020). Extracted information will include author, year of publication, study design, study setting, participant characteristics, South Asian subgroup, measures of educational attainment, health-literacy indicators, healthcare-access variables, cardiovascular disease-related outcomes, principal findings and study limitations. Using a structured data-extraction process will improve the transparency, consistency and reproducibility of the review while facilitating comparison and synthesis across studies with different methodological designs (Page et al., 2021; Higgins et al., 2024).</w:t>
      </w:r>
    </w:p>
    <w:p w14:paraId="00DA10F7" w14:textId="77777777" w:rsidR="00174177" w:rsidRDefault="00174177"/>
    <w:p w14:paraId="2D113A1E" w14:textId="77777777" w:rsidR="004D59B1" w:rsidRDefault="00174177" w:rsidP="004D59B1">
      <w:pPr>
        <w:pStyle w:val="ListParagraph"/>
        <w:numPr>
          <w:ilvl w:val="0"/>
          <w:numId w:val="2"/>
        </w:numPr>
      </w:pPr>
      <w:r>
        <w:t>Data Analysis</w:t>
      </w:r>
    </w:p>
    <w:p w14:paraId="609B8D28" w14:textId="6F557C1E" w:rsidR="00887052" w:rsidRDefault="00887052" w:rsidP="0065548D">
      <w:r>
        <w:t xml:space="preserve">The methodological quality of included studies will be critically appraised using validated appraisal tools appropriate to each study design. Quantitative and qualitative studies will be assessed using the relevant Joanna Briggs Institute Critical Appraisal Checklists, while mixed-methods studies will be appraised using the Mixed Methods Appraisal Tool (Hong et al., 2018; </w:t>
      </w:r>
      <w:proofErr w:type="spellStart"/>
      <w:r>
        <w:t>Aromataris</w:t>
      </w:r>
      <w:proofErr w:type="spellEnd"/>
      <w:r>
        <w:t xml:space="preserve"> and Munn, 2020; Higgins et al., 2024). Employing design-specific appraisal tools enables methodological strengths, limitations and potential sources of bias to be evaluated systematically, thereby enhancing the credibility and transparency of the review findings (</w:t>
      </w:r>
      <w:proofErr w:type="spellStart"/>
      <w:r>
        <w:t>Aromataris</w:t>
      </w:r>
      <w:proofErr w:type="spellEnd"/>
      <w:r>
        <w:t xml:space="preserve"> and Munn, 2020; Booth, Sutton and </w:t>
      </w:r>
      <w:proofErr w:type="spellStart"/>
      <w:r>
        <w:t>Papaioannou</w:t>
      </w:r>
      <w:proofErr w:type="spellEnd"/>
      <w:r>
        <w:t>, 2021).</w:t>
      </w:r>
    </w:p>
    <w:p w14:paraId="25BEE753" w14:textId="77777777" w:rsidR="00887052" w:rsidRDefault="00887052" w:rsidP="001948EB">
      <w:r>
        <w:t xml:space="preserve">As this review will include quantitative, qualitative and mixed-methods research, a convergent segregated mixed-methods synthesis approach will be adopted (Stern et al., 2020; </w:t>
      </w:r>
      <w:proofErr w:type="spellStart"/>
      <w:r>
        <w:t>Granikov</w:t>
      </w:r>
      <w:proofErr w:type="spellEnd"/>
      <w:r>
        <w:t xml:space="preserve">, Hong and </w:t>
      </w:r>
      <w:proofErr w:type="spellStart"/>
      <w:r>
        <w:t>Pluye</w:t>
      </w:r>
      <w:proofErr w:type="spellEnd"/>
      <w:r>
        <w:t xml:space="preserve">, 2022). Within this approach, quantitative and qualitative findings will first be analysed separately using methods appropriate to each study design before being integrated during the interpretation stage. This will allow different forms of evidence to complement one another while maintaining methodological rigour (Stern et al., 2020; </w:t>
      </w:r>
      <w:proofErr w:type="spellStart"/>
      <w:r>
        <w:t>Aromataris</w:t>
      </w:r>
      <w:proofErr w:type="spellEnd"/>
      <w:r>
        <w:t xml:space="preserve"> and Munn, 2020).</w:t>
      </w:r>
    </w:p>
    <w:p w14:paraId="27BD319F" w14:textId="77777777" w:rsidR="00887052" w:rsidRDefault="00887052" w:rsidP="00887052">
      <w:pPr>
        <w:ind w:left="360"/>
      </w:pPr>
    </w:p>
    <w:p w14:paraId="20256BC4" w14:textId="77777777" w:rsidR="00887052" w:rsidRDefault="00887052" w:rsidP="00254D85">
      <w:r>
        <w:t xml:space="preserve">Where sufficient methodological and clinical homogeneity exists, quantitative findings will be summarised descriptively. However, variation is anticipated in study populations, outcome measures and definitions of educational attainment, health literacy and healthcare access. Consequently, a meta-analysis is unlikely to be appropriate, and quantitative findings will instead be synthesised narratively to identify patterns, consistencies and differences across studies (Higgins et al., 2024; </w:t>
      </w:r>
      <w:proofErr w:type="spellStart"/>
      <w:r>
        <w:t>Popay</w:t>
      </w:r>
      <w:proofErr w:type="spellEnd"/>
      <w:r>
        <w:t xml:space="preserve"> et al., 2006; Booth, Sutton and </w:t>
      </w:r>
      <w:proofErr w:type="spellStart"/>
      <w:r>
        <w:t>Papaioannou</w:t>
      </w:r>
      <w:proofErr w:type="spellEnd"/>
      <w:r>
        <w:t>, 2021).</w:t>
      </w:r>
    </w:p>
    <w:p w14:paraId="56A41139" w14:textId="77777777" w:rsidR="00887052" w:rsidRDefault="00887052" w:rsidP="00887052">
      <w:pPr>
        <w:ind w:left="360"/>
      </w:pPr>
    </w:p>
    <w:p w14:paraId="2763F4A2" w14:textId="77777777" w:rsidR="00B60263" w:rsidRDefault="00887052" w:rsidP="00B60263">
      <w:proofErr w:type="spellStart"/>
      <w:r w:rsidRPr="00EF63E3">
        <w:rPr>
          <w:color w:val="000000" w:themeColor="text1"/>
        </w:rPr>
        <w:t>Q</w:t>
      </w:r>
      <w:r w:rsidR="0042524E">
        <w:rPr>
          <w:color w:val="000000" w:themeColor="text1"/>
        </w:rPr>
        <w:t>lualitative</w:t>
      </w:r>
      <w:proofErr w:type="spellEnd"/>
      <w:r w:rsidR="0042524E">
        <w:rPr>
          <w:color w:val="000000" w:themeColor="text1"/>
        </w:rPr>
        <w:t xml:space="preserve"> </w:t>
      </w:r>
      <w:r>
        <w:t xml:space="preserve">findings will be analysed using thematic synthesis following the approach developed by Thomas and Harden (2008). This method involves line-by-line coding of study findings, the development of descriptive themes and the generation of analytical themes to produce a deeper understanding of participants’ experiences and perspectives (Thomas and Harden, 2008; Booth, Sutton and </w:t>
      </w:r>
      <w:proofErr w:type="spellStart"/>
      <w:r>
        <w:t>Papaioannou</w:t>
      </w:r>
      <w:proofErr w:type="spellEnd"/>
      <w:r>
        <w:t>, 2021). Thematic synthesis is particularly appropriate for integrating qualitative evidence within systematic reviews because it facilitates the identification of recurring concepts across studies while preserving contextual meaning (Thomas and Harden, 2008; Stern et al., 2020).</w:t>
      </w:r>
    </w:p>
    <w:p w14:paraId="7B116292" w14:textId="1204233F" w:rsidR="00887052" w:rsidRDefault="00887052" w:rsidP="00D84ECB">
      <w:r>
        <w:t xml:space="preserve">Following the separate syntheses, quantitative and qualitative findings will be integrated to provide a comprehensive understanding of how educational attainment, health literacy and healthcare access are associated with cardiovascular disease-related outcomes among South Asian migrants living in the United Kingdom (Stern et al., 2020; </w:t>
      </w:r>
      <w:proofErr w:type="spellStart"/>
      <w:r>
        <w:t>Granikov</w:t>
      </w:r>
      <w:proofErr w:type="spellEnd"/>
      <w:r>
        <w:t xml:space="preserve">, Hong and </w:t>
      </w:r>
      <w:proofErr w:type="spellStart"/>
      <w:r>
        <w:t>Pluye</w:t>
      </w:r>
      <w:proofErr w:type="spellEnd"/>
      <w:r>
        <w:t>, 2022). Integrating evidence from different methodological traditions enables statistical findings to be interpreted alongside participants’ lived experiences, thereby producing a richer understanding of the research problem (Creswell and Creswell, 2023; Stern et al., 2020).</w:t>
      </w:r>
      <w:r w:rsidR="00D84ECB">
        <w:t xml:space="preserve"> T </w:t>
      </w:r>
      <w:r>
        <w:t>he review process will be reported in accordance with the PRISMA 2020 statement, including a flow diagram documenting study identification, screening, eligibility assessment and inclusion. Adhering to PRISMA enhances the transparency, reproducibility and completeness of systematic-review reporting, enabling readers to evaluate the robustness of the review process (Page et al., 2021; Higgins et al., 2024).</w:t>
      </w:r>
    </w:p>
    <w:p w14:paraId="64FF6D27" w14:textId="77777777" w:rsidR="00887052" w:rsidRDefault="00887052" w:rsidP="00887052">
      <w:pPr>
        <w:ind w:left="360"/>
      </w:pPr>
    </w:p>
    <w:p w14:paraId="360B6396" w14:textId="4123B592" w:rsidR="00887052" w:rsidRDefault="00234113" w:rsidP="00887052">
      <w:pPr>
        <w:ind w:left="360"/>
      </w:pPr>
      <w:r>
        <w:t xml:space="preserve">10 </w:t>
      </w:r>
      <w:r w:rsidR="00887052">
        <w:t>Ethical Considerations</w:t>
      </w:r>
    </w:p>
    <w:p w14:paraId="6DF832FA" w14:textId="77777777" w:rsidR="00887052" w:rsidRDefault="00887052" w:rsidP="00887052">
      <w:pPr>
        <w:ind w:left="360"/>
      </w:pPr>
    </w:p>
    <w:p w14:paraId="65C89794" w14:textId="77777777" w:rsidR="00887052" w:rsidRDefault="00887052" w:rsidP="00887052">
      <w:pPr>
        <w:ind w:left="360"/>
      </w:pPr>
      <w:r>
        <w:t>As this study is a systematic literature review, it will involve the analysis of existing published literature and will not require the recruitment of participants or the collection of primary data. Consequently, risks associated with participant confidentiality, informed consent and physical or psychological harm are not anticipated (</w:t>
      </w:r>
      <w:proofErr w:type="spellStart"/>
      <w:r>
        <w:t>Aromataris</w:t>
      </w:r>
      <w:proofErr w:type="spellEnd"/>
      <w:r>
        <w:t xml:space="preserve"> and Munn, 2020; Higgins et al., 2024).</w:t>
      </w:r>
    </w:p>
    <w:p w14:paraId="5B6C0538" w14:textId="77777777" w:rsidR="00887052" w:rsidRDefault="00887052" w:rsidP="00887052">
      <w:pPr>
        <w:ind w:left="360"/>
      </w:pPr>
    </w:p>
    <w:p w14:paraId="5A112A3B" w14:textId="77777777" w:rsidR="00887052" w:rsidRDefault="00887052" w:rsidP="00887052">
      <w:pPr>
        <w:ind w:left="360"/>
      </w:pPr>
      <w:r>
        <w:t xml:space="preserve">Although formal research ethics approval is generally not required for systematic reviews of publicly available literature, the review will be conducted in accordance with the University’s research-governance requirements and the principles of research integrity, transparency and good academic practice (Booth, Sutton and </w:t>
      </w:r>
      <w:proofErr w:type="spellStart"/>
      <w:r>
        <w:t>Papaioannou</w:t>
      </w:r>
      <w:proofErr w:type="spellEnd"/>
      <w:r>
        <w:t>, 2021; Page et al., 2021). The review protocol, eligibility criteria, search strategy and study-selection process will be clearly documented to promote transparency and reproducibility and to minimise the risk of selection bias (Page et al., 2021; Higgins et al., 2024).</w:t>
      </w:r>
    </w:p>
    <w:p w14:paraId="5F8E010F" w14:textId="77777777" w:rsidR="00887052" w:rsidRDefault="00887052" w:rsidP="00887052">
      <w:pPr>
        <w:ind w:left="360"/>
      </w:pPr>
    </w:p>
    <w:p w14:paraId="65CB7E4E" w14:textId="77777777" w:rsidR="00887052" w:rsidRDefault="00887052" w:rsidP="00887052">
      <w:pPr>
        <w:ind w:left="360"/>
      </w:pPr>
      <w:r>
        <w:t>All included studies will be accurately represented, critically appraised using validated quality-assessment tools and appropriately acknowledged through Harvard referencing to avoid plagiarism and maintain academic integrity (</w:t>
      </w:r>
      <w:proofErr w:type="spellStart"/>
      <w:r>
        <w:t>Aromataris</w:t>
      </w:r>
      <w:proofErr w:type="spellEnd"/>
      <w:r>
        <w:t xml:space="preserve"> and Munn, 2020; Hong et al., 2018). Any methodological limitations, potential sources of bias and conflicts of interest reported within the included studies will be considered during data synthesis and interpretation to support balanced and objective conclusions (Higgins et al., 2024; Booth, Sutton and </w:t>
      </w:r>
      <w:proofErr w:type="spellStart"/>
      <w:r>
        <w:t>Papaioannou</w:t>
      </w:r>
      <w:proofErr w:type="spellEnd"/>
      <w:r>
        <w:t>, 2021).</w:t>
      </w:r>
    </w:p>
    <w:p w14:paraId="4AB958B7" w14:textId="77777777" w:rsidR="00887052" w:rsidRDefault="00887052" w:rsidP="00887052">
      <w:pPr>
        <w:ind w:left="360"/>
      </w:pPr>
    </w:p>
    <w:p w14:paraId="438D5147" w14:textId="77777777" w:rsidR="00887052" w:rsidRDefault="00887052" w:rsidP="00887052">
      <w:pPr>
        <w:ind w:left="360"/>
      </w:pPr>
      <w:r>
        <w:t>Where applicable, the review will also consider whether included primary studies obtained appropriate ethical approval and informed consent, as these factors contribute to the overall quality and trustworthiness of the evidence base (</w:t>
      </w:r>
      <w:proofErr w:type="spellStart"/>
      <w:r>
        <w:t>Aromataris</w:t>
      </w:r>
      <w:proofErr w:type="spellEnd"/>
      <w:r>
        <w:t xml:space="preserve"> and Munn, 2020; Stern et al., 2020). Conducting the review according to established systematic-review guidance will enhance the credibility, reliability and ethical integrity of the research findings (Page et al., 2021; Higgins et al., 2024).</w:t>
      </w:r>
    </w:p>
    <w:p w14:paraId="1F73E0BE" w14:textId="77777777" w:rsidR="00887052" w:rsidRDefault="00887052" w:rsidP="00887052">
      <w:pPr>
        <w:ind w:left="360"/>
      </w:pPr>
    </w:p>
    <w:p w14:paraId="3B81AB98" w14:textId="55870AE2" w:rsidR="00887052" w:rsidRDefault="0068643E" w:rsidP="0068643E">
      <w:pPr>
        <w:pStyle w:val="ListParagraph"/>
        <w:numPr>
          <w:ilvl w:val="0"/>
          <w:numId w:val="5"/>
        </w:numPr>
      </w:pPr>
      <w:r>
        <w:t>I</w:t>
      </w:r>
      <w:r w:rsidR="00887052" w:rsidRPr="0068643E">
        <w:t>mplications</w:t>
      </w:r>
      <w:r w:rsidR="00887052">
        <w:t xml:space="preserve"> for Practice, Policy and Future Research</w:t>
      </w:r>
    </w:p>
    <w:p w14:paraId="78A0C680" w14:textId="77777777" w:rsidR="00887052" w:rsidRDefault="00887052" w:rsidP="00887052">
      <w:pPr>
        <w:ind w:left="360"/>
      </w:pPr>
    </w:p>
    <w:p w14:paraId="4AEC0600" w14:textId="77777777" w:rsidR="00887052" w:rsidRDefault="00887052" w:rsidP="00887052">
      <w:pPr>
        <w:ind w:left="360"/>
      </w:pPr>
      <w:r>
        <w:t xml:space="preserve">This systematic literature review is expected to contribute to a more comprehensive understanding of how educational attainment, health literacy and healthcare access are associated with cardiovascular disease-related outcomes among South Asian migrants living in the United Kingdom. By synthesising evidence from quantitative, qualitative and mixed-methods studies, the review will identify patterns within the existing literature, highlight inconsistencies and reveal gaps requiring further investigation (Stern et al., 2020; </w:t>
      </w:r>
      <w:proofErr w:type="spellStart"/>
      <w:r>
        <w:t>Aromataris</w:t>
      </w:r>
      <w:proofErr w:type="spellEnd"/>
      <w:r>
        <w:t xml:space="preserve"> and Munn, 2020).</w:t>
      </w:r>
    </w:p>
    <w:p w14:paraId="5BAEFE3F" w14:textId="77777777" w:rsidR="00887052" w:rsidRDefault="00887052" w:rsidP="00887052">
      <w:pPr>
        <w:ind w:left="360"/>
      </w:pPr>
    </w:p>
    <w:p w14:paraId="743F7DAD" w14:textId="7BADD770" w:rsidR="00887052" w:rsidRDefault="00697B71" w:rsidP="00887052">
      <w:pPr>
        <w:ind w:left="360"/>
      </w:pPr>
      <w:r w:rsidRPr="00697B71">
        <w:t xml:space="preserve">The findings may inform public health policy by identifying social and structural factors that contribute to cardiovascular health inequalities experienced by South Asian migrant communities. Improved understanding of these determinants could support the development of evidence-informed strategies aimed at reducing health inequalities, improving access to preventive services and promoting equitable cardiovascular care in line with national public health priorities (Marmot et al., 2020; NHS England, </w:t>
      </w:r>
      <w:proofErr w:type="spellStart"/>
      <w:r w:rsidRPr="00697B71">
        <w:t>n.d.</w:t>
      </w:r>
      <w:proofErr w:type="spellEnd"/>
      <w:r w:rsidRPr="00697B71">
        <w:t>; Office for Health Improvement and Disparities, 2024; World Health Organization, 2024)."</w:t>
      </w:r>
    </w:p>
    <w:p w14:paraId="42C540D8" w14:textId="77777777" w:rsidR="00887052" w:rsidRDefault="00887052" w:rsidP="00887052">
      <w:pPr>
        <w:ind w:left="360"/>
      </w:pPr>
      <w:r>
        <w:t>The review may also have implications for clinical practice by supporting healthcare professionals to recognise the influence of health literacy, educational attainment and healthcare accessibility when delivering cardiovascular prevention, diagnosis and long-term disease management. The findings may encourage the development of culturally responsive health-promotion initiatives, improved patient education and interventions designed to reduce barriers to healthcare utilisation among South Asian migrant populations (</w:t>
      </w:r>
      <w:proofErr w:type="spellStart"/>
      <w:r>
        <w:t>Nutbeam</w:t>
      </w:r>
      <w:proofErr w:type="spellEnd"/>
      <w:r>
        <w:t xml:space="preserve">, 2000; </w:t>
      </w:r>
      <w:proofErr w:type="spellStart"/>
      <w:r>
        <w:t>Sørensen</w:t>
      </w:r>
      <w:proofErr w:type="spellEnd"/>
      <w:r>
        <w:t xml:space="preserve"> et al., 2012; Levesque, Harris and Russell, 2013).</w:t>
      </w:r>
    </w:p>
    <w:p w14:paraId="245586FF" w14:textId="77777777" w:rsidR="00887052" w:rsidRDefault="00887052" w:rsidP="00887052">
      <w:pPr>
        <w:ind w:left="360"/>
      </w:pPr>
    </w:p>
    <w:p w14:paraId="0028A707" w14:textId="77777777" w:rsidR="00887052" w:rsidRDefault="00887052" w:rsidP="00887052">
      <w:pPr>
        <w:ind w:left="360"/>
      </w:pPr>
      <w:r>
        <w:t>In addition, the review will identify limitations within the current evidence base, including under-researched South Asian subgroups, methodological weaknesses and areas where evidence remains inconsistent or limited. These findings may help establish priorities for future research and support the design of more robust studies examining the social determinants of cardiovascular disease among migrant populations in the United Kingdom (</w:t>
      </w:r>
      <w:proofErr w:type="spellStart"/>
      <w:r>
        <w:t>Agyemang</w:t>
      </w:r>
      <w:proofErr w:type="spellEnd"/>
      <w:r>
        <w:t xml:space="preserve"> et al., 2024; Booth, Sutton and </w:t>
      </w:r>
      <w:proofErr w:type="spellStart"/>
      <w:r>
        <w:t>Papaioannou</w:t>
      </w:r>
      <w:proofErr w:type="spellEnd"/>
      <w:r>
        <w:t>, 2021).</w:t>
      </w:r>
    </w:p>
    <w:p w14:paraId="329C6879" w14:textId="77777777" w:rsidR="00887052" w:rsidRDefault="00887052" w:rsidP="00887052">
      <w:pPr>
        <w:ind w:left="360"/>
      </w:pPr>
    </w:p>
    <w:p w14:paraId="3560B4E3" w14:textId="77777777" w:rsidR="00887052" w:rsidRDefault="00887052" w:rsidP="00887052">
      <w:pPr>
        <w:ind w:left="360"/>
      </w:pPr>
      <w:r>
        <w:t xml:space="preserve">Although the review will be limited by the quality and availability of published evidence, the restriction to English-language studies and the likely use of a single reviewer, the use of a transparent and systematic methodology together with recognised reporting and appraisal frameworks will strengthen the credibility, reproducibility and trustworthiness of the findings (Page et al., 2021; Higgins et al., 2024; </w:t>
      </w:r>
      <w:proofErr w:type="spellStart"/>
      <w:r>
        <w:t>Aromataris</w:t>
      </w:r>
      <w:proofErr w:type="spellEnd"/>
      <w:r>
        <w:t xml:space="preserve"> and Munn, 2020).</w:t>
      </w:r>
    </w:p>
    <w:p w14:paraId="5A0842E7" w14:textId="77777777" w:rsidR="00887052" w:rsidRDefault="00887052" w:rsidP="00887052">
      <w:pPr>
        <w:ind w:left="360"/>
      </w:pPr>
    </w:p>
    <w:p w14:paraId="09FB7AFA" w14:textId="4E8F040B" w:rsidR="00887052" w:rsidRDefault="00887052" w:rsidP="0068643E">
      <w:pPr>
        <w:pStyle w:val="ListParagraph"/>
        <w:numPr>
          <w:ilvl w:val="0"/>
          <w:numId w:val="5"/>
        </w:numPr>
      </w:pPr>
      <w:r>
        <w:t>Conclusion</w:t>
      </w:r>
    </w:p>
    <w:p w14:paraId="0FA9813F" w14:textId="77777777" w:rsidR="00887052" w:rsidRDefault="00887052" w:rsidP="00887052">
      <w:pPr>
        <w:ind w:left="360"/>
      </w:pPr>
    </w:p>
    <w:p w14:paraId="74CFF8BE" w14:textId="77777777" w:rsidR="00887052" w:rsidRDefault="00887052" w:rsidP="00887052">
      <w:pPr>
        <w:ind w:left="360"/>
      </w:pPr>
      <w:r>
        <w:t xml:space="preserve">Cardiovascular disease remains a significant public health challenge in the United Kingdom, with South Asian migrant populations experiencing a disproportionate burden of cardiovascular risk and poorer health outcomes compared with the general population (British Heart Foundation, 2025a; World Health Organization, 2025; </w:t>
      </w:r>
      <w:proofErr w:type="spellStart"/>
      <w:r>
        <w:t>Agyemang</w:t>
      </w:r>
      <w:proofErr w:type="spellEnd"/>
      <w:r>
        <w:t xml:space="preserve"> et al., 2024). Increasing evidence suggests that educational attainment, health literacy and healthcare access are important social determinants that may be associated with cardiovascular disease prevention, diagnosis, treatment and long-term management within these communities (Marmot et al., 2020; </w:t>
      </w:r>
      <w:proofErr w:type="spellStart"/>
      <w:r>
        <w:t>Nutbeam</w:t>
      </w:r>
      <w:proofErr w:type="spellEnd"/>
      <w:r>
        <w:t>, 2000; Levesque, Harris and Russell, 2013).</w:t>
      </w:r>
    </w:p>
    <w:p w14:paraId="69868D54" w14:textId="77777777" w:rsidR="00887052" w:rsidRDefault="00887052" w:rsidP="00887052">
      <w:pPr>
        <w:ind w:left="360"/>
      </w:pPr>
    </w:p>
    <w:p w14:paraId="69E8B68A" w14:textId="77777777" w:rsidR="00887052" w:rsidRDefault="00887052" w:rsidP="00887052">
      <w:pPr>
        <w:ind w:left="360"/>
      </w:pPr>
      <w:r>
        <w:t xml:space="preserve">This proposal has outlined a systematic literature review that will use a transparent and rigorous methodology to identify, critically appraise and synthesise primary empirical evidence relating to these determinants among South Asian migrants living in the United Kingdom. By following established systematic-review guidance, including the PRISMA 2020 reporting framework and recognised critical-appraisal tools, the review aims to produce a comprehensive and trustworthy synthesis of the available evidence (Page et al., 2021; </w:t>
      </w:r>
      <w:proofErr w:type="spellStart"/>
      <w:r>
        <w:t>Aromataris</w:t>
      </w:r>
      <w:proofErr w:type="spellEnd"/>
      <w:r>
        <w:t xml:space="preserve"> and Munn, 2020; Higgins et al., 2024).</w:t>
      </w:r>
    </w:p>
    <w:p w14:paraId="1FAFC2F9" w14:textId="77777777" w:rsidR="00887052" w:rsidRDefault="00887052" w:rsidP="00887052">
      <w:pPr>
        <w:ind w:left="360"/>
      </w:pPr>
    </w:p>
    <w:p w14:paraId="34D78115" w14:textId="77777777" w:rsidR="00887052" w:rsidRDefault="00887052" w:rsidP="00887052">
      <w:pPr>
        <w:ind w:left="360"/>
      </w:pPr>
      <w:r>
        <w:t>The findings are expected to contribute to a better understanding of the factors associated with cardiovascular disease-related outcomes among South Asian migrants, identify important gaps within the existing evidence base and provide recommendations for future research, public health policy and clinical practice. Ultimately, the review seeks to support evidence-informed approaches that may contribute to reducing cardiovascular health inequalities and improving healthcare outcomes for South Asian migrant communities in the United Kingdom (Office for Health Improvement and Disparities, 2024; World Health Organization, 2024).</w:t>
      </w:r>
    </w:p>
    <w:p w14:paraId="4A7FC610" w14:textId="77777777" w:rsidR="00887052" w:rsidRDefault="00887052" w:rsidP="00887052">
      <w:pPr>
        <w:ind w:left="360"/>
      </w:pPr>
    </w:p>
    <w:p w14:paraId="22DE3FF0" w14:textId="6CF708CA" w:rsidR="00887052" w:rsidRDefault="000D2066" w:rsidP="0068643E">
      <w:pPr>
        <w:pStyle w:val="ListParagraph"/>
        <w:numPr>
          <w:ilvl w:val="0"/>
          <w:numId w:val="5"/>
        </w:numPr>
      </w:pPr>
      <w:r>
        <w:t xml:space="preserve"> </w:t>
      </w:r>
      <w:r w:rsidR="00887052">
        <w:t>Plan of Work and Time Schedule</w:t>
      </w:r>
      <w:r>
        <w:t xml:space="preserve">d </w:t>
      </w:r>
    </w:p>
    <w:p w14:paraId="434791C9" w14:textId="77777777" w:rsidR="00887052" w:rsidRDefault="00887052" w:rsidP="00887052">
      <w:pPr>
        <w:ind w:left="360"/>
      </w:pPr>
    </w:p>
    <w:p w14:paraId="2BB09D51" w14:textId="77777777" w:rsidR="00887052" w:rsidRDefault="00887052" w:rsidP="00887052">
      <w:pPr>
        <w:ind w:left="360"/>
      </w:pPr>
      <w:r>
        <w:t xml:space="preserve">The proposed study will be completed over a period of approximately 12 weeks. A structured project timetable has been developed to ensure that each stage of the systematic literature review is completed systematically and within the allocated timeframe. Effective project planning supports efficient time management, facilitates the organisation of research activities and contributes to the successful completion of research projects (Saunders, Lewis and Thornhill, 2023; Booth, Sutton and </w:t>
      </w:r>
      <w:proofErr w:type="spellStart"/>
      <w:r>
        <w:t>Papaioannou</w:t>
      </w:r>
      <w:proofErr w:type="spellEnd"/>
      <w:r>
        <w:t>, 2021). Furthermore, developing a realistic timetable promotes transparency and helps ensure that each stage of the review is conducted in accordance with established systematic-review guidance (</w:t>
      </w:r>
      <w:proofErr w:type="spellStart"/>
      <w:r>
        <w:t>Aromataris</w:t>
      </w:r>
      <w:proofErr w:type="spellEnd"/>
      <w:r>
        <w:t xml:space="preserve"> and Munn, 2020).</w:t>
      </w:r>
    </w:p>
    <w:p w14:paraId="31900957" w14:textId="77777777" w:rsidR="00887052" w:rsidRDefault="00887052" w:rsidP="00887052">
      <w:pPr>
        <w:ind w:left="360"/>
      </w:pPr>
    </w:p>
    <w:p w14:paraId="47B3E66C" w14:textId="0B2A62A8" w:rsidR="00CD116C" w:rsidRPr="009D5DA8" w:rsidRDefault="00887052" w:rsidP="009D5DA8">
      <w:pPr>
        <w:ind w:left="360"/>
      </w:pPr>
      <w:r>
        <w:t xml:space="preserve">Table 1. Proposed </w:t>
      </w:r>
      <w:r w:rsidR="009D5DA8">
        <w:t xml:space="preserve">Gantt Chart </w:t>
      </w:r>
      <w:r>
        <w:t>timetable for completion of the systematic literature review</w:t>
      </w:r>
      <w:r w:rsidR="00213AA2">
        <w:t>.</w:t>
      </w:r>
    </w:p>
    <w:tbl>
      <w:tblPr>
        <w:tblW w:w="9307" w:type="dxa"/>
        <w:tblCellSpacing w:w="15" w:type="dxa"/>
        <w:tblCellMar>
          <w:top w:w="15" w:type="dxa"/>
          <w:left w:w="15" w:type="dxa"/>
          <w:bottom w:w="15" w:type="dxa"/>
          <w:right w:w="15" w:type="dxa"/>
        </w:tblCellMar>
        <w:tblLook w:val="04A0" w:firstRow="1" w:lastRow="0" w:firstColumn="1" w:lastColumn="0" w:noHBand="0" w:noVBand="1"/>
      </w:tblPr>
      <w:tblGrid>
        <w:gridCol w:w="3399"/>
        <w:gridCol w:w="941"/>
        <w:gridCol w:w="942"/>
        <w:gridCol w:w="942"/>
        <w:gridCol w:w="942"/>
        <w:gridCol w:w="1023"/>
        <w:gridCol w:w="1118"/>
      </w:tblGrid>
      <w:tr w:rsidR="00CD116C" w:rsidRPr="0002193E" w14:paraId="2135F96F" w14:textId="77777777">
        <w:trPr>
          <w:trHeight w:val="570"/>
          <w:tblHeader/>
          <w:tblCellSpacing w:w="15" w:type="dxa"/>
        </w:trPr>
        <w:tc>
          <w:tcPr>
            <w:tcW w:w="0" w:type="auto"/>
            <w:vAlign w:val="center"/>
            <w:hideMark/>
          </w:tcPr>
          <w:p w14:paraId="5B9BA156" w14:textId="77777777" w:rsidR="00CD116C" w:rsidRPr="0002193E" w:rsidRDefault="00CD116C">
            <w:pPr>
              <w:spacing w:after="0" w:line="360" w:lineRule="auto"/>
              <w:jc w:val="center"/>
              <w:rPr>
                <w:rFonts w:eastAsia="Times New Roman" w:cstheme="minorHAnsi"/>
                <w:b/>
                <w:bCs/>
                <w:sz w:val="22"/>
                <w:szCs w:val="22"/>
                <w:lang w:eastAsia="en-GB"/>
              </w:rPr>
            </w:pPr>
            <w:r w:rsidRPr="0002193E">
              <w:rPr>
                <w:rFonts w:eastAsia="Times New Roman" w:cstheme="minorHAnsi"/>
                <w:b/>
                <w:bCs/>
                <w:sz w:val="22"/>
                <w:szCs w:val="22"/>
                <w:lang w:eastAsia="en-GB"/>
              </w:rPr>
              <w:t>Research Activity</w:t>
            </w:r>
          </w:p>
        </w:tc>
        <w:tc>
          <w:tcPr>
            <w:tcW w:w="0" w:type="auto"/>
            <w:vAlign w:val="center"/>
            <w:hideMark/>
          </w:tcPr>
          <w:p w14:paraId="7C8953DA" w14:textId="77777777" w:rsidR="00CD116C" w:rsidRPr="0002193E" w:rsidRDefault="00CD116C">
            <w:pPr>
              <w:spacing w:after="0" w:line="360" w:lineRule="auto"/>
              <w:jc w:val="center"/>
              <w:rPr>
                <w:rFonts w:eastAsia="Times New Roman" w:cstheme="minorHAnsi"/>
                <w:b/>
                <w:bCs/>
                <w:sz w:val="22"/>
                <w:szCs w:val="22"/>
                <w:lang w:eastAsia="en-GB"/>
              </w:rPr>
            </w:pPr>
            <w:r w:rsidRPr="0002193E">
              <w:rPr>
                <w:rFonts w:eastAsia="Times New Roman" w:cstheme="minorHAnsi"/>
                <w:b/>
                <w:bCs/>
                <w:sz w:val="22"/>
                <w:szCs w:val="22"/>
                <w:lang w:eastAsia="en-GB"/>
              </w:rPr>
              <w:t>Weeks 1–2</w:t>
            </w:r>
          </w:p>
        </w:tc>
        <w:tc>
          <w:tcPr>
            <w:tcW w:w="0" w:type="auto"/>
            <w:vAlign w:val="center"/>
            <w:hideMark/>
          </w:tcPr>
          <w:p w14:paraId="3B62DCD0" w14:textId="77777777" w:rsidR="00CD116C" w:rsidRPr="0002193E" w:rsidRDefault="00CD116C">
            <w:pPr>
              <w:spacing w:after="0" w:line="360" w:lineRule="auto"/>
              <w:jc w:val="center"/>
              <w:rPr>
                <w:rFonts w:eastAsia="Times New Roman" w:cstheme="minorHAnsi"/>
                <w:b/>
                <w:bCs/>
                <w:sz w:val="22"/>
                <w:szCs w:val="22"/>
                <w:lang w:eastAsia="en-GB"/>
              </w:rPr>
            </w:pPr>
            <w:r w:rsidRPr="0002193E">
              <w:rPr>
                <w:rFonts w:eastAsia="Times New Roman" w:cstheme="minorHAnsi"/>
                <w:b/>
                <w:bCs/>
                <w:sz w:val="22"/>
                <w:szCs w:val="22"/>
                <w:lang w:eastAsia="en-GB"/>
              </w:rPr>
              <w:t>Weeks 3–4</w:t>
            </w:r>
          </w:p>
        </w:tc>
        <w:tc>
          <w:tcPr>
            <w:tcW w:w="0" w:type="auto"/>
            <w:vAlign w:val="center"/>
            <w:hideMark/>
          </w:tcPr>
          <w:p w14:paraId="5ABDF2C0" w14:textId="77777777" w:rsidR="00CD116C" w:rsidRPr="0002193E" w:rsidRDefault="00CD116C">
            <w:pPr>
              <w:spacing w:after="0" w:line="360" w:lineRule="auto"/>
              <w:jc w:val="center"/>
              <w:rPr>
                <w:rFonts w:eastAsia="Times New Roman" w:cstheme="minorHAnsi"/>
                <w:b/>
                <w:bCs/>
                <w:sz w:val="22"/>
                <w:szCs w:val="22"/>
                <w:lang w:eastAsia="en-GB"/>
              </w:rPr>
            </w:pPr>
            <w:r w:rsidRPr="0002193E">
              <w:rPr>
                <w:rFonts w:eastAsia="Times New Roman" w:cstheme="minorHAnsi"/>
                <w:b/>
                <w:bCs/>
                <w:sz w:val="22"/>
                <w:szCs w:val="22"/>
                <w:lang w:eastAsia="en-GB"/>
              </w:rPr>
              <w:t>Weeks 5–6</w:t>
            </w:r>
          </w:p>
        </w:tc>
        <w:tc>
          <w:tcPr>
            <w:tcW w:w="0" w:type="auto"/>
            <w:vAlign w:val="center"/>
            <w:hideMark/>
          </w:tcPr>
          <w:p w14:paraId="44168BC3" w14:textId="77777777" w:rsidR="00CD116C" w:rsidRPr="0002193E" w:rsidRDefault="00CD116C">
            <w:pPr>
              <w:spacing w:after="0" w:line="360" w:lineRule="auto"/>
              <w:jc w:val="center"/>
              <w:rPr>
                <w:rFonts w:eastAsia="Times New Roman" w:cstheme="minorHAnsi"/>
                <w:b/>
                <w:bCs/>
                <w:sz w:val="22"/>
                <w:szCs w:val="22"/>
                <w:lang w:eastAsia="en-GB"/>
              </w:rPr>
            </w:pPr>
            <w:r w:rsidRPr="0002193E">
              <w:rPr>
                <w:rFonts w:eastAsia="Times New Roman" w:cstheme="minorHAnsi"/>
                <w:b/>
                <w:bCs/>
                <w:sz w:val="22"/>
                <w:szCs w:val="22"/>
                <w:lang w:eastAsia="en-GB"/>
              </w:rPr>
              <w:t>Weeks 7–8</w:t>
            </w:r>
          </w:p>
        </w:tc>
        <w:tc>
          <w:tcPr>
            <w:tcW w:w="0" w:type="auto"/>
            <w:vAlign w:val="center"/>
            <w:hideMark/>
          </w:tcPr>
          <w:p w14:paraId="2FFC93C7" w14:textId="77777777" w:rsidR="00CD116C" w:rsidRPr="0002193E" w:rsidRDefault="00CD116C">
            <w:pPr>
              <w:spacing w:after="0" w:line="360" w:lineRule="auto"/>
              <w:jc w:val="center"/>
              <w:rPr>
                <w:rFonts w:eastAsia="Times New Roman" w:cstheme="minorHAnsi"/>
                <w:b/>
                <w:bCs/>
                <w:sz w:val="22"/>
                <w:szCs w:val="22"/>
                <w:lang w:eastAsia="en-GB"/>
              </w:rPr>
            </w:pPr>
            <w:r w:rsidRPr="0002193E">
              <w:rPr>
                <w:rFonts w:eastAsia="Times New Roman" w:cstheme="minorHAnsi"/>
                <w:b/>
                <w:bCs/>
                <w:sz w:val="22"/>
                <w:szCs w:val="22"/>
                <w:lang w:eastAsia="en-GB"/>
              </w:rPr>
              <w:t>Weeks 9–10</w:t>
            </w:r>
          </w:p>
        </w:tc>
        <w:tc>
          <w:tcPr>
            <w:tcW w:w="0" w:type="auto"/>
            <w:vAlign w:val="center"/>
            <w:hideMark/>
          </w:tcPr>
          <w:p w14:paraId="07BE0E44" w14:textId="77777777" w:rsidR="00CD116C" w:rsidRPr="0002193E" w:rsidRDefault="00CD116C">
            <w:pPr>
              <w:spacing w:after="0" w:line="360" w:lineRule="auto"/>
              <w:jc w:val="center"/>
              <w:rPr>
                <w:rFonts w:eastAsia="Times New Roman" w:cstheme="minorHAnsi"/>
                <w:b/>
                <w:bCs/>
                <w:sz w:val="22"/>
                <w:szCs w:val="22"/>
                <w:lang w:eastAsia="en-GB"/>
              </w:rPr>
            </w:pPr>
            <w:r w:rsidRPr="0002193E">
              <w:rPr>
                <w:rFonts w:eastAsia="Times New Roman" w:cstheme="minorHAnsi"/>
                <w:b/>
                <w:bCs/>
                <w:sz w:val="22"/>
                <w:szCs w:val="22"/>
                <w:lang w:eastAsia="en-GB"/>
              </w:rPr>
              <w:t>Weeks 11–12</w:t>
            </w:r>
          </w:p>
        </w:tc>
      </w:tr>
      <w:tr w:rsidR="00CD116C" w:rsidRPr="0002193E" w14:paraId="68F51F9F" w14:textId="77777777">
        <w:trPr>
          <w:trHeight w:val="327"/>
          <w:tblCellSpacing w:w="15" w:type="dxa"/>
        </w:trPr>
        <w:tc>
          <w:tcPr>
            <w:tcW w:w="0" w:type="auto"/>
            <w:vAlign w:val="center"/>
            <w:hideMark/>
          </w:tcPr>
          <w:p w14:paraId="2EAEC9AD" w14:textId="77777777" w:rsidR="00CD116C" w:rsidRPr="0002193E" w:rsidRDefault="00CD116C">
            <w:pPr>
              <w:spacing w:after="0" w:line="360" w:lineRule="auto"/>
              <w:rPr>
                <w:rFonts w:eastAsia="Times New Roman" w:cstheme="minorHAnsi"/>
                <w:sz w:val="22"/>
                <w:szCs w:val="22"/>
                <w:lang w:eastAsia="en-GB"/>
              </w:rPr>
            </w:pPr>
            <w:r w:rsidRPr="0002193E">
              <w:rPr>
                <w:rFonts w:eastAsia="Times New Roman" w:cstheme="minorHAnsi"/>
                <w:sz w:val="22"/>
                <w:szCs w:val="22"/>
                <w:lang w:eastAsia="en-GB"/>
              </w:rPr>
              <w:t>Develop research proposal</w:t>
            </w:r>
          </w:p>
        </w:tc>
        <w:tc>
          <w:tcPr>
            <w:tcW w:w="0" w:type="auto"/>
            <w:vAlign w:val="center"/>
            <w:hideMark/>
          </w:tcPr>
          <w:p w14:paraId="027BCE17" w14:textId="77777777" w:rsidR="00CD116C" w:rsidRPr="0002193E" w:rsidRDefault="00CD116C">
            <w:pPr>
              <w:spacing w:after="0" w:line="360" w:lineRule="auto"/>
              <w:rPr>
                <w:rFonts w:eastAsia="Times New Roman" w:cstheme="minorHAnsi"/>
                <w:sz w:val="22"/>
                <w:szCs w:val="22"/>
                <w:lang w:eastAsia="en-GB"/>
              </w:rPr>
            </w:pPr>
            <w:r w:rsidRPr="0002193E">
              <w:rPr>
                <w:rFonts w:ascii="Segoe UI Symbol" w:eastAsia="Times New Roman" w:hAnsi="Segoe UI Symbol" w:cs="Segoe UI Symbol"/>
                <w:sz w:val="22"/>
                <w:szCs w:val="22"/>
                <w:lang w:eastAsia="en-GB"/>
              </w:rPr>
              <w:t>✓</w:t>
            </w:r>
          </w:p>
        </w:tc>
        <w:tc>
          <w:tcPr>
            <w:tcW w:w="0" w:type="auto"/>
            <w:vAlign w:val="center"/>
            <w:hideMark/>
          </w:tcPr>
          <w:p w14:paraId="629DEC78" w14:textId="77777777" w:rsidR="00CD116C" w:rsidRPr="0002193E" w:rsidRDefault="00CD116C">
            <w:pPr>
              <w:spacing w:after="0" w:line="360" w:lineRule="auto"/>
              <w:rPr>
                <w:rFonts w:eastAsia="Times New Roman" w:cstheme="minorHAnsi"/>
                <w:sz w:val="22"/>
                <w:szCs w:val="22"/>
                <w:lang w:eastAsia="en-GB"/>
              </w:rPr>
            </w:pPr>
          </w:p>
        </w:tc>
        <w:tc>
          <w:tcPr>
            <w:tcW w:w="0" w:type="auto"/>
            <w:vAlign w:val="center"/>
            <w:hideMark/>
          </w:tcPr>
          <w:p w14:paraId="5F85A690" w14:textId="77777777" w:rsidR="00CD116C" w:rsidRPr="0002193E" w:rsidRDefault="00CD116C">
            <w:pPr>
              <w:spacing w:after="0" w:line="360" w:lineRule="auto"/>
              <w:rPr>
                <w:rFonts w:eastAsia="Times New Roman" w:cstheme="minorHAnsi"/>
                <w:sz w:val="22"/>
                <w:szCs w:val="22"/>
                <w:lang w:eastAsia="en-GB"/>
              </w:rPr>
            </w:pPr>
          </w:p>
        </w:tc>
        <w:tc>
          <w:tcPr>
            <w:tcW w:w="0" w:type="auto"/>
            <w:vAlign w:val="center"/>
            <w:hideMark/>
          </w:tcPr>
          <w:p w14:paraId="2553D388" w14:textId="77777777" w:rsidR="00CD116C" w:rsidRPr="0002193E" w:rsidRDefault="00CD116C">
            <w:pPr>
              <w:spacing w:after="0" w:line="360" w:lineRule="auto"/>
              <w:rPr>
                <w:rFonts w:eastAsia="Times New Roman" w:cstheme="minorHAnsi"/>
                <w:sz w:val="22"/>
                <w:szCs w:val="22"/>
                <w:lang w:eastAsia="en-GB"/>
              </w:rPr>
            </w:pPr>
          </w:p>
        </w:tc>
        <w:tc>
          <w:tcPr>
            <w:tcW w:w="0" w:type="auto"/>
            <w:vAlign w:val="center"/>
            <w:hideMark/>
          </w:tcPr>
          <w:p w14:paraId="1BE6CD7E" w14:textId="77777777" w:rsidR="00CD116C" w:rsidRPr="0002193E" w:rsidRDefault="00CD116C">
            <w:pPr>
              <w:spacing w:after="0" w:line="360" w:lineRule="auto"/>
              <w:rPr>
                <w:rFonts w:eastAsia="Times New Roman" w:cstheme="minorHAnsi"/>
                <w:sz w:val="22"/>
                <w:szCs w:val="22"/>
                <w:lang w:eastAsia="en-GB"/>
              </w:rPr>
            </w:pPr>
          </w:p>
        </w:tc>
        <w:tc>
          <w:tcPr>
            <w:tcW w:w="0" w:type="auto"/>
            <w:vAlign w:val="center"/>
            <w:hideMark/>
          </w:tcPr>
          <w:p w14:paraId="00662063" w14:textId="77777777" w:rsidR="00CD116C" w:rsidRPr="0002193E" w:rsidRDefault="00CD116C">
            <w:pPr>
              <w:spacing w:after="0" w:line="360" w:lineRule="auto"/>
              <w:rPr>
                <w:rFonts w:eastAsia="Times New Roman" w:cstheme="minorHAnsi"/>
                <w:sz w:val="22"/>
                <w:szCs w:val="22"/>
                <w:lang w:eastAsia="en-GB"/>
              </w:rPr>
            </w:pPr>
          </w:p>
        </w:tc>
      </w:tr>
      <w:tr w:rsidR="00CD116C" w:rsidRPr="0002193E" w14:paraId="41218A00" w14:textId="77777777">
        <w:trPr>
          <w:trHeight w:val="336"/>
          <w:tblCellSpacing w:w="15" w:type="dxa"/>
        </w:trPr>
        <w:tc>
          <w:tcPr>
            <w:tcW w:w="0" w:type="auto"/>
            <w:vAlign w:val="center"/>
            <w:hideMark/>
          </w:tcPr>
          <w:p w14:paraId="1ECB16AB" w14:textId="77777777" w:rsidR="00CD116C" w:rsidRPr="0002193E" w:rsidRDefault="00CD116C">
            <w:pPr>
              <w:spacing w:after="0" w:line="360" w:lineRule="auto"/>
              <w:rPr>
                <w:rFonts w:eastAsia="Times New Roman" w:cstheme="minorHAnsi"/>
                <w:sz w:val="22"/>
                <w:szCs w:val="22"/>
                <w:lang w:eastAsia="en-GB"/>
              </w:rPr>
            </w:pPr>
            <w:r w:rsidRPr="0002193E">
              <w:rPr>
                <w:rFonts w:eastAsia="Times New Roman" w:cstheme="minorHAnsi"/>
                <w:sz w:val="22"/>
                <w:szCs w:val="22"/>
                <w:lang w:eastAsia="en-GB"/>
              </w:rPr>
              <w:t>Preliminary literature search</w:t>
            </w:r>
          </w:p>
        </w:tc>
        <w:tc>
          <w:tcPr>
            <w:tcW w:w="0" w:type="auto"/>
            <w:vAlign w:val="center"/>
            <w:hideMark/>
          </w:tcPr>
          <w:p w14:paraId="7031624E" w14:textId="77777777" w:rsidR="00CD116C" w:rsidRPr="0002193E" w:rsidRDefault="00CD116C">
            <w:pPr>
              <w:spacing w:after="0" w:line="360" w:lineRule="auto"/>
              <w:rPr>
                <w:rFonts w:eastAsia="Times New Roman" w:cstheme="minorHAnsi"/>
                <w:sz w:val="22"/>
                <w:szCs w:val="22"/>
                <w:lang w:eastAsia="en-GB"/>
              </w:rPr>
            </w:pPr>
            <w:r w:rsidRPr="0002193E">
              <w:rPr>
                <w:rFonts w:ascii="Segoe UI Symbol" w:eastAsia="Times New Roman" w:hAnsi="Segoe UI Symbol" w:cs="Segoe UI Symbol"/>
                <w:sz w:val="22"/>
                <w:szCs w:val="22"/>
                <w:lang w:eastAsia="en-GB"/>
              </w:rPr>
              <w:t>✓</w:t>
            </w:r>
          </w:p>
        </w:tc>
        <w:tc>
          <w:tcPr>
            <w:tcW w:w="0" w:type="auto"/>
            <w:vAlign w:val="center"/>
            <w:hideMark/>
          </w:tcPr>
          <w:p w14:paraId="31952F6A" w14:textId="77777777" w:rsidR="00CD116C" w:rsidRPr="0002193E" w:rsidRDefault="00CD116C">
            <w:pPr>
              <w:spacing w:after="0" w:line="360" w:lineRule="auto"/>
              <w:rPr>
                <w:rFonts w:eastAsia="Times New Roman" w:cstheme="minorHAnsi"/>
                <w:sz w:val="22"/>
                <w:szCs w:val="22"/>
                <w:lang w:eastAsia="en-GB"/>
              </w:rPr>
            </w:pPr>
            <w:r w:rsidRPr="0002193E">
              <w:rPr>
                <w:rFonts w:ascii="Segoe UI Symbol" w:eastAsia="Times New Roman" w:hAnsi="Segoe UI Symbol" w:cs="Segoe UI Symbol"/>
                <w:sz w:val="22"/>
                <w:szCs w:val="22"/>
                <w:lang w:eastAsia="en-GB"/>
              </w:rPr>
              <w:t>✓</w:t>
            </w:r>
          </w:p>
        </w:tc>
        <w:tc>
          <w:tcPr>
            <w:tcW w:w="0" w:type="auto"/>
            <w:vAlign w:val="center"/>
            <w:hideMark/>
          </w:tcPr>
          <w:p w14:paraId="4348D0B2" w14:textId="77777777" w:rsidR="00CD116C" w:rsidRPr="0002193E" w:rsidRDefault="00CD116C">
            <w:pPr>
              <w:spacing w:after="0" w:line="360" w:lineRule="auto"/>
              <w:rPr>
                <w:rFonts w:eastAsia="Times New Roman" w:cstheme="minorHAnsi"/>
                <w:sz w:val="22"/>
                <w:szCs w:val="22"/>
                <w:lang w:eastAsia="en-GB"/>
              </w:rPr>
            </w:pPr>
          </w:p>
        </w:tc>
        <w:tc>
          <w:tcPr>
            <w:tcW w:w="0" w:type="auto"/>
            <w:vAlign w:val="center"/>
            <w:hideMark/>
          </w:tcPr>
          <w:p w14:paraId="5B7B18AD" w14:textId="77777777" w:rsidR="00CD116C" w:rsidRPr="0002193E" w:rsidRDefault="00CD116C">
            <w:pPr>
              <w:spacing w:after="0" w:line="360" w:lineRule="auto"/>
              <w:rPr>
                <w:rFonts w:eastAsia="Times New Roman" w:cstheme="minorHAnsi"/>
                <w:sz w:val="22"/>
                <w:szCs w:val="22"/>
                <w:lang w:eastAsia="en-GB"/>
              </w:rPr>
            </w:pPr>
          </w:p>
        </w:tc>
        <w:tc>
          <w:tcPr>
            <w:tcW w:w="0" w:type="auto"/>
            <w:vAlign w:val="center"/>
            <w:hideMark/>
          </w:tcPr>
          <w:p w14:paraId="1C6E80CA" w14:textId="77777777" w:rsidR="00CD116C" w:rsidRPr="0002193E" w:rsidRDefault="00CD116C">
            <w:pPr>
              <w:spacing w:after="0" w:line="360" w:lineRule="auto"/>
              <w:rPr>
                <w:rFonts w:eastAsia="Times New Roman" w:cstheme="minorHAnsi"/>
                <w:sz w:val="22"/>
                <w:szCs w:val="22"/>
                <w:lang w:eastAsia="en-GB"/>
              </w:rPr>
            </w:pPr>
          </w:p>
        </w:tc>
        <w:tc>
          <w:tcPr>
            <w:tcW w:w="0" w:type="auto"/>
            <w:vAlign w:val="center"/>
            <w:hideMark/>
          </w:tcPr>
          <w:p w14:paraId="564F73FD" w14:textId="77777777" w:rsidR="00CD116C" w:rsidRPr="0002193E" w:rsidRDefault="00CD116C">
            <w:pPr>
              <w:spacing w:after="0" w:line="360" w:lineRule="auto"/>
              <w:rPr>
                <w:rFonts w:eastAsia="Times New Roman" w:cstheme="minorHAnsi"/>
                <w:sz w:val="22"/>
                <w:szCs w:val="22"/>
                <w:lang w:eastAsia="en-GB"/>
              </w:rPr>
            </w:pPr>
          </w:p>
        </w:tc>
      </w:tr>
      <w:tr w:rsidR="00CD116C" w:rsidRPr="0002193E" w14:paraId="3A540D32" w14:textId="77777777">
        <w:trPr>
          <w:trHeight w:val="570"/>
          <w:tblCellSpacing w:w="15" w:type="dxa"/>
        </w:trPr>
        <w:tc>
          <w:tcPr>
            <w:tcW w:w="0" w:type="auto"/>
            <w:vAlign w:val="center"/>
            <w:hideMark/>
          </w:tcPr>
          <w:p w14:paraId="3EB7FAB7" w14:textId="77777777" w:rsidR="00CD116C" w:rsidRPr="0002193E" w:rsidRDefault="00CD116C">
            <w:pPr>
              <w:spacing w:after="0" w:line="360" w:lineRule="auto"/>
              <w:rPr>
                <w:rFonts w:eastAsia="Times New Roman" w:cstheme="minorHAnsi"/>
                <w:sz w:val="22"/>
                <w:szCs w:val="22"/>
                <w:lang w:eastAsia="en-GB"/>
              </w:rPr>
            </w:pPr>
            <w:r w:rsidRPr="0002193E">
              <w:rPr>
                <w:rFonts w:eastAsia="Times New Roman" w:cstheme="minorHAnsi"/>
                <w:sz w:val="22"/>
                <w:szCs w:val="22"/>
                <w:lang w:eastAsia="en-GB"/>
              </w:rPr>
              <w:t>Develop search strategy and eligibility criteria</w:t>
            </w:r>
          </w:p>
        </w:tc>
        <w:tc>
          <w:tcPr>
            <w:tcW w:w="0" w:type="auto"/>
            <w:vAlign w:val="center"/>
            <w:hideMark/>
          </w:tcPr>
          <w:p w14:paraId="331A1AB8" w14:textId="77777777" w:rsidR="00CD116C" w:rsidRPr="0002193E" w:rsidRDefault="00CD116C">
            <w:pPr>
              <w:spacing w:after="0" w:line="360" w:lineRule="auto"/>
              <w:rPr>
                <w:rFonts w:eastAsia="Times New Roman" w:cstheme="minorHAnsi"/>
                <w:sz w:val="22"/>
                <w:szCs w:val="22"/>
                <w:lang w:eastAsia="en-GB"/>
              </w:rPr>
            </w:pPr>
          </w:p>
        </w:tc>
        <w:tc>
          <w:tcPr>
            <w:tcW w:w="0" w:type="auto"/>
            <w:vAlign w:val="center"/>
            <w:hideMark/>
          </w:tcPr>
          <w:p w14:paraId="0B7FCF53" w14:textId="77777777" w:rsidR="00CD116C" w:rsidRPr="0002193E" w:rsidRDefault="00CD116C">
            <w:pPr>
              <w:spacing w:after="0" w:line="360" w:lineRule="auto"/>
              <w:rPr>
                <w:rFonts w:eastAsia="Times New Roman" w:cstheme="minorHAnsi"/>
                <w:sz w:val="22"/>
                <w:szCs w:val="22"/>
                <w:lang w:eastAsia="en-GB"/>
              </w:rPr>
            </w:pPr>
            <w:r w:rsidRPr="0002193E">
              <w:rPr>
                <w:rFonts w:ascii="Segoe UI Symbol" w:eastAsia="Times New Roman" w:hAnsi="Segoe UI Symbol" w:cs="Segoe UI Symbol"/>
                <w:sz w:val="22"/>
                <w:szCs w:val="22"/>
                <w:lang w:eastAsia="en-GB"/>
              </w:rPr>
              <w:t>✓</w:t>
            </w:r>
          </w:p>
        </w:tc>
        <w:tc>
          <w:tcPr>
            <w:tcW w:w="0" w:type="auto"/>
            <w:vAlign w:val="center"/>
            <w:hideMark/>
          </w:tcPr>
          <w:p w14:paraId="41416BC2" w14:textId="77777777" w:rsidR="00CD116C" w:rsidRPr="0002193E" w:rsidRDefault="00CD116C">
            <w:pPr>
              <w:spacing w:after="0" w:line="360" w:lineRule="auto"/>
              <w:rPr>
                <w:rFonts w:eastAsia="Times New Roman" w:cstheme="minorHAnsi"/>
                <w:sz w:val="22"/>
                <w:szCs w:val="22"/>
                <w:lang w:eastAsia="en-GB"/>
              </w:rPr>
            </w:pPr>
          </w:p>
        </w:tc>
        <w:tc>
          <w:tcPr>
            <w:tcW w:w="0" w:type="auto"/>
            <w:vAlign w:val="center"/>
            <w:hideMark/>
          </w:tcPr>
          <w:p w14:paraId="05CFCBB2" w14:textId="77777777" w:rsidR="00CD116C" w:rsidRPr="0002193E" w:rsidRDefault="00CD116C">
            <w:pPr>
              <w:spacing w:after="0" w:line="360" w:lineRule="auto"/>
              <w:rPr>
                <w:rFonts w:eastAsia="Times New Roman" w:cstheme="minorHAnsi"/>
                <w:sz w:val="22"/>
                <w:szCs w:val="22"/>
                <w:lang w:eastAsia="en-GB"/>
              </w:rPr>
            </w:pPr>
          </w:p>
        </w:tc>
        <w:tc>
          <w:tcPr>
            <w:tcW w:w="0" w:type="auto"/>
            <w:vAlign w:val="center"/>
            <w:hideMark/>
          </w:tcPr>
          <w:p w14:paraId="0FC61374" w14:textId="77777777" w:rsidR="00CD116C" w:rsidRPr="0002193E" w:rsidRDefault="00CD116C">
            <w:pPr>
              <w:spacing w:after="0" w:line="360" w:lineRule="auto"/>
              <w:rPr>
                <w:rFonts w:eastAsia="Times New Roman" w:cstheme="minorHAnsi"/>
                <w:sz w:val="22"/>
                <w:szCs w:val="22"/>
                <w:lang w:eastAsia="en-GB"/>
              </w:rPr>
            </w:pPr>
          </w:p>
        </w:tc>
        <w:tc>
          <w:tcPr>
            <w:tcW w:w="0" w:type="auto"/>
            <w:vAlign w:val="center"/>
            <w:hideMark/>
          </w:tcPr>
          <w:p w14:paraId="3CE50DED" w14:textId="77777777" w:rsidR="00CD116C" w:rsidRPr="0002193E" w:rsidRDefault="00CD116C">
            <w:pPr>
              <w:spacing w:after="0" w:line="360" w:lineRule="auto"/>
              <w:rPr>
                <w:rFonts w:eastAsia="Times New Roman" w:cstheme="minorHAnsi"/>
                <w:sz w:val="22"/>
                <w:szCs w:val="22"/>
                <w:lang w:eastAsia="en-GB"/>
              </w:rPr>
            </w:pPr>
          </w:p>
        </w:tc>
      </w:tr>
      <w:tr w:rsidR="00CD116C" w:rsidRPr="0002193E" w14:paraId="3A8AFFA5" w14:textId="77777777">
        <w:trPr>
          <w:trHeight w:val="336"/>
          <w:tblCellSpacing w:w="15" w:type="dxa"/>
        </w:trPr>
        <w:tc>
          <w:tcPr>
            <w:tcW w:w="0" w:type="auto"/>
            <w:vAlign w:val="center"/>
            <w:hideMark/>
          </w:tcPr>
          <w:p w14:paraId="458B17AC" w14:textId="77777777" w:rsidR="00CD116C" w:rsidRPr="0002193E" w:rsidRDefault="00CD116C">
            <w:pPr>
              <w:spacing w:after="0" w:line="360" w:lineRule="auto"/>
              <w:rPr>
                <w:rFonts w:eastAsia="Times New Roman" w:cstheme="minorHAnsi"/>
                <w:sz w:val="22"/>
                <w:szCs w:val="22"/>
                <w:lang w:eastAsia="en-GB"/>
              </w:rPr>
            </w:pPr>
            <w:r w:rsidRPr="0002193E">
              <w:rPr>
                <w:rFonts w:eastAsia="Times New Roman" w:cstheme="minorHAnsi"/>
                <w:sz w:val="22"/>
                <w:szCs w:val="22"/>
                <w:lang w:eastAsia="en-GB"/>
              </w:rPr>
              <w:t>Conduct database searches</w:t>
            </w:r>
          </w:p>
        </w:tc>
        <w:tc>
          <w:tcPr>
            <w:tcW w:w="0" w:type="auto"/>
            <w:vAlign w:val="center"/>
            <w:hideMark/>
          </w:tcPr>
          <w:p w14:paraId="0417F987" w14:textId="77777777" w:rsidR="00CD116C" w:rsidRPr="0002193E" w:rsidRDefault="00CD116C">
            <w:pPr>
              <w:spacing w:after="0" w:line="360" w:lineRule="auto"/>
              <w:rPr>
                <w:rFonts w:eastAsia="Times New Roman" w:cstheme="minorHAnsi"/>
                <w:sz w:val="22"/>
                <w:szCs w:val="22"/>
                <w:lang w:eastAsia="en-GB"/>
              </w:rPr>
            </w:pPr>
          </w:p>
        </w:tc>
        <w:tc>
          <w:tcPr>
            <w:tcW w:w="0" w:type="auto"/>
            <w:vAlign w:val="center"/>
            <w:hideMark/>
          </w:tcPr>
          <w:p w14:paraId="26CC73EE" w14:textId="77777777" w:rsidR="00CD116C" w:rsidRPr="0002193E" w:rsidRDefault="00CD116C">
            <w:pPr>
              <w:spacing w:after="0" w:line="360" w:lineRule="auto"/>
              <w:rPr>
                <w:rFonts w:eastAsia="Times New Roman" w:cstheme="minorHAnsi"/>
                <w:sz w:val="22"/>
                <w:szCs w:val="22"/>
                <w:lang w:eastAsia="en-GB"/>
              </w:rPr>
            </w:pPr>
            <w:r w:rsidRPr="0002193E">
              <w:rPr>
                <w:rFonts w:ascii="Segoe UI Symbol" w:eastAsia="Times New Roman" w:hAnsi="Segoe UI Symbol" w:cs="Segoe UI Symbol"/>
                <w:sz w:val="22"/>
                <w:szCs w:val="22"/>
                <w:lang w:eastAsia="en-GB"/>
              </w:rPr>
              <w:t>✓</w:t>
            </w:r>
          </w:p>
        </w:tc>
        <w:tc>
          <w:tcPr>
            <w:tcW w:w="0" w:type="auto"/>
            <w:vAlign w:val="center"/>
            <w:hideMark/>
          </w:tcPr>
          <w:p w14:paraId="0C883AAB" w14:textId="77777777" w:rsidR="00CD116C" w:rsidRPr="0002193E" w:rsidRDefault="00CD116C">
            <w:pPr>
              <w:spacing w:after="0" w:line="360" w:lineRule="auto"/>
              <w:rPr>
                <w:rFonts w:eastAsia="Times New Roman" w:cstheme="minorHAnsi"/>
                <w:sz w:val="22"/>
                <w:szCs w:val="22"/>
                <w:lang w:eastAsia="en-GB"/>
              </w:rPr>
            </w:pPr>
            <w:r w:rsidRPr="0002193E">
              <w:rPr>
                <w:rFonts w:ascii="Segoe UI Symbol" w:eastAsia="Times New Roman" w:hAnsi="Segoe UI Symbol" w:cs="Segoe UI Symbol"/>
                <w:sz w:val="22"/>
                <w:szCs w:val="22"/>
                <w:lang w:eastAsia="en-GB"/>
              </w:rPr>
              <w:t>✓</w:t>
            </w:r>
          </w:p>
        </w:tc>
        <w:tc>
          <w:tcPr>
            <w:tcW w:w="0" w:type="auto"/>
            <w:vAlign w:val="center"/>
            <w:hideMark/>
          </w:tcPr>
          <w:p w14:paraId="613F775A" w14:textId="77777777" w:rsidR="00CD116C" w:rsidRPr="0002193E" w:rsidRDefault="00CD116C">
            <w:pPr>
              <w:spacing w:after="0" w:line="360" w:lineRule="auto"/>
              <w:rPr>
                <w:rFonts w:eastAsia="Times New Roman" w:cstheme="minorHAnsi"/>
                <w:sz w:val="22"/>
                <w:szCs w:val="22"/>
                <w:lang w:eastAsia="en-GB"/>
              </w:rPr>
            </w:pPr>
          </w:p>
        </w:tc>
        <w:tc>
          <w:tcPr>
            <w:tcW w:w="0" w:type="auto"/>
            <w:vAlign w:val="center"/>
            <w:hideMark/>
          </w:tcPr>
          <w:p w14:paraId="5AD2B19A" w14:textId="77777777" w:rsidR="00CD116C" w:rsidRPr="0002193E" w:rsidRDefault="00CD116C">
            <w:pPr>
              <w:spacing w:after="0" w:line="360" w:lineRule="auto"/>
              <w:rPr>
                <w:rFonts w:eastAsia="Times New Roman" w:cstheme="minorHAnsi"/>
                <w:sz w:val="22"/>
                <w:szCs w:val="22"/>
                <w:lang w:eastAsia="en-GB"/>
              </w:rPr>
            </w:pPr>
          </w:p>
        </w:tc>
        <w:tc>
          <w:tcPr>
            <w:tcW w:w="0" w:type="auto"/>
            <w:vAlign w:val="center"/>
            <w:hideMark/>
          </w:tcPr>
          <w:p w14:paraId="5FF44F17" w14:textId="77777777" w:rsidR="00CD116C" w:rsidRPr="0002193E" w:rsidRDefault="00CD116C">
            <w:pPr>
              <w:spacing w:after="0" w:line="360" w:lineRule="auto"/>
              <w:rPr>
                <w:rFonts w:eastAsia="Times New Roman" w:cstheme="minorHAnsi"/>
                <w:sz w:val="22"/>
                <w:szCs w:val="22"/>
                <w:lang w:eastAsia="en-GB"/>
              </w:rPr>
            </w:pPr>
          </w:p>
        </w:tc>
      </w:tr>
      <w:tr w:rsidR="00CD116C" w:rsidRPr="0002193E" w14:paraId="55778D1D" w14:textId="77777777">
        <w:trPr>
          <w:trHeight w:val="570"/>
          <w:tblCellSpacing w:w="15" w:type="dxa"/>
        </w:trPr>
        <w:tc>
          <w:tcPr>
            <w:tcW w:w="0" w:type="auto"/>
            <w:vAlign w:val="center"/>
            <w:hideMark/>
          </w:tcPr>
          <w:p w14:paraId="017E3210" w14:textId="77777777" w:rsidR="00CD116C" w:rsidRPr="0002193E" w:rsidRDefault="00CD116C">
            <w:pPr>
              <w:spacing w:after="0" w:line="360" w:lineRule="auto"/>
              <w:rPr>
                <w:rFonts w:eastAsia="Times New Roman" w:cstheme="minorHAnsi"/>
                <w:sz w:val="22"/>
                <w:szCs w:val="22"/>
                <w:lang w:eastAsia="en-GB"/>
              </w:rPr>
            </w:pPr>
            <w:r w:rsidRPr="0002193E">
              <w:rPr>
                <w:rFonts w:eastAsia="Times New Roman" w:cstheme="minorHAnsi"/>
                <w:sz w:val="22"/>
                <w:szCs w:val="22"/>
                <w:lang w:eastAsia="en-GB"/>
              </w:rPr>
              <w:t>Remove duplicates and screen titles/abstracts</w:t>
            </w:r>
          </w:p>
        </w:tc>
        <w:tc>
          <w:tcPr>
            <w:tcW w:w="0" w:type="auto"/>
            <w:vAlign w:val="center"/>
            <w:hideMark/>
          </w:tcPr>
          <w:p w14:paraId="61535079" w14:textId="77777777" w:rsidR="00CD116C" w:rsidRPr="0002193E" w:rsidRDefault="00CD116C">
            <w:pPr>
              <w:spacing w:after="0" w:line="360" w:lineRule="auto"/>
              <w:rPr>
                <w:rFonts w:eastAsia="Times New Roman" w:cstheme="minorHAnsi"/>
                <w:sz w:val="22"/>
                <w:szCs w:val="22"/>
                <w:lang w:eastAsia="en-GB"/>
              </w:rPr>
            </w:pPr>
          </w:p>
        </w:tc>
        <w:tc>
          <w:tcPr>
            <w:tcW w:w="0" w:type="auto"/>
            <w:vAlign w:val="center"/>
            <w:hideMark/>
          </w:tcPr>
          <w:p w14:paraId="544328CB" w14:textId="77777777" w:rsidR="00CD116C" w:rsidRPr="0002193E" w:rsidRDefault="00CD116C">
            <w:pPr>
              <w:spacing w:after="0" w:line="360" w:lineRule="auto"/>
              <w:rPr>
                <w:rFonts w:eastAsia="Times New Roman" w:cstheme="minorHAnsi"/>
                <w:sz w:val="22"/>
                <w:szCs w:val="22"/>
                <w:lang w:eastAsia="en-GB"/>
              </w:rPr>
            </w:pPr>
          </w:p>
        </w:tc>
        <w:tc>
          <w:tcPr>
            <w:tcW w:w="0" w:type="auto"/>
            <w:vAlign w:val="center"/>
            <w:hideMark/>
          </w:tcPr>
          <w:p w14:paraId="2F80DC33" w14:textId="77777777" w:rsidR="00CD116C" w:rsidRPr="0002193E" w:rsidRDefault="00CD116C">
            <w:pPr>
              <w:spacing w:after="0" w:line="360" w:lineRule="auto"/>
              <w:rPr>
                <w:rFonts w:eastAsia="Times New Roman" w:cstheme="minorHAnsi"/>
                <w:sz w:val="22"/>
                <w:szCs w:val="22"/>
                <w:lang w:eastAsia="en-GB"/>
              </w:rPr>
            </w:pPr>
            <w:r w:rsidRPr="0002193E">
              <w:rPr>
                <w:rFonts w:ascii="Segoe UI Symbol" w:eastAsia="Times New Roman" w:hAnsi="Segoe UI Symbol" w:cs="Segoe UI Symbol"/>
                <w:sz w:val="22"/>
                <w:szCs w:val="22"/>
                <w:lang w:eastAsia="en-GB"/>
              </w:rPr>
              <w:t>✓</w:t>
            </w:r>
          </w:p>
        </w:tc>
        <w:tc>
          <w:tcPr>
            <w:tcW w:w="0" w:type="auto"/>
            <w:vAlign w:val="center"/>
            <w:hideMark/>
          </w:tcPr>
          <w:p w14:paraId="7D8C4BF1" w14:textId="77777777" w:rsidR="00CD116C" w:rsidRPr="0002193E" w:rsidRDefault="00CD116C">
            <w:pPr>
              <w:spacing w:after="0" w:line="360" w:lineRule="auto"/>
              <w:rPr>
                <w:rFonts w:eastAsia="Times New Roman" w:cstheme="minorHAnsi"/>
                <w:sz w:val="22"/>
                <w:szCs w:val="22"/>
                <w:lang w:eastAsia="en-GB"/>
              </w:rPr>
            </w:pPr>
          </w:p>
        </w:tc>
        <w:tc>
          <w:tcPr>
            <w:tcW w:w="0" w:type="auto"/>
            <w:vAlign w:val="center"/>
            <w:hideMark/>
          </w:tcPr>
          <w:p w14:paraId="0A4A5E55" w14:textId="77777777" w:rsidR="00CD116C" w:rsidRPr="0002193E" w:rsidRDefault="00CD116C">
            <w:pPr>
              <w:spacing w:after="0" w:line="360" w:lineRule="auto"/>
              <w:rPr>
                <w:rFonts w:eastAsia="Times New Roman" w:cstheme="minorHAnsi"/>
                <w:sz w:val="22"/>
                <w:szCs w:val="22"/>
                <w:lang w:eastAsia="en-GB"/>
              </w:rPr>
            </w:pPr>
          </w:p>
        </w:tc>
        <w:tc>
          <w:tcPr>
            <w:tcW w:w="0" w:type="auto"/>
            <w:vAlign w:val="center"/>
            <w:hideMark/>
          </w:tcPr>
          <w:p w14:paraId="62118711" w14:textId="77777777" w:rsidR="00CD116C" w:rsidRPr="0002193E" w:rsidRDefault="00CD116C">
            <w:pPr>
              <w:spacing w:after="0" w:line="360" w:lineRule="auto"/>
              <w:rPr>
                <w:rFonts w:eastAsia="Times New Roman" w:cstheme="minorHAnsi"/>
                <w:sz w:val="22"/>
                <w:szCs w:val="22"/>
                <w:lang w:eastAsia="en-GB"/>
              </w:rPr>
            </w:pPr>
          </w:p>
        </w:tc>
      </w:tr>
      <w:tr w:rsidR="00CD116C" w:rsidRPr="0002193E" w14:paraId="6BFCD620" w14:textId="77777777">
        <w:trPr>
          <w:trHeight w:val="336"/>
          <w:tblCellSpacing w:w="15" w:type="dxa"/>
        </w:trPr>
        <w:tc>
          <w:tcPr>
            <w:tcW w:w="0" w:type="auto"/>
            <w:vAlign w:val="center"/>
            <w:hideMark/>
          </w:tcPr>
          <w:p w14:paraId="666D67A0" w14:textId="77777777" w:rsidR="00CD116C" w:rsidRPr="0002193E" w:rsidRDefault="00CD116C">
            <w:pPr>
              <w:spacing w:after="0" w:line="360" w:lineRule="auto"/>
              <w:rPr>
                <w:rFonts w:eastAsia="Times New Roman" w:cstheme="minorHAnsi"/>
                <w:sz w:val="22"/>
                <w:szCs w:val="22"/>
                <w:lang w:eastAsia="en-GB"/>
              </w:rPr>
            </w:pPr>
            <w:r w:rsidRPr="0002193E">
              <w:rPr>
                <w:rFonts w:eastAsia="Times New Roman" w:cstheme="minorHAnsi"/>
                <w:sz w:val="22"/>
                <w:szCs w:val="22"/>
                <w:lang w:eastAsia="en-GB"/>
              </w:rPr>
              <w:t>Full-text eligibility screening</w:t>
            </w:r>
          </w:p>
        </w:tc>
        <w:tc>
          <w:tcPr>
            <w:tcW w:w="0" w:type="auto"/>
            <w:vAlign w:val="center"/>
            <w:hideMark/>
          </w:tcPr>
          <w:p w14:paraId="0E2D5A04" w14:textId="77777777" w:rsidR="00CD116C" w:rsidRPr="0002193E" w:rsidRDefault="00CD116C">
            <w:pPr>
              <w:spacing w:after="0" w:line="360" w:lineRule="auto"/>
              <w:rPr>
                <w:rFonts w:eastAsia="Times New Roman" w:cstheme="minorHAnsi"/>
                <w:sz w:val="22"/>
                <w:szCs w:val="22"/>
                <w:lang w:eastAsia="en-GB"/>
              </w:rPr>
            </w:pPr>
          </w:p>
        </w:tc>
        <w:tc>
          <w:tcPr>
            <w:tcW w:w="0" w:type="auto"/>
            <w:vAlign w:val="center"/>
            <w:hideMark/>
          </w:tcPr>
          <w:p w14:paraId="7CE30CB6" w14:textId="77777777" w:rsidR="00CD116C" w:rsidRPr="0002193E" w:rsidRDefault="00CD116C">
            <w:pPr>
              <w:spacing w:after="0" w:line="360" w:lineRule="auto"/>
              <w:rPr>
                <w:rFonts w:eastAsia="Times New Roman" w:cstheme="minorHAnsi"/>
                <w:sz w:val="22"/>
                <w:szCs w:val="22"/>
                <w:lang w:eastAsia="en-GB"/>
              </w:rPr>
            </w:pPr>
          </w:p>
        </w:tc>
        <w:tc>
          <w:tcPr>
            <w:tcW w:w="0" w:type="auto"/>
            <w:vAlign w:val="center"/>
            <w:hideMark/>
          </w:tcPr>
          <w:p w14:paraId="2D6BAA57" w14:textId="77777777" w:rsidR="00CD116C" w:rsidRPr="0002193E" w:rsidRDefault="00CD116C">
            <w:pPr>
              <w:spacing w:after="0" w:line="360" w:lineRule="auto"/>
              <w:rPr>
                <w:rFonts w:eastAsia="Times New Roman" w:cstheme="minorHAnsi"/>
                <w:sz w:val="22"/>
                <w:szCs w:val="22"/>
                <w:lang w:eastAsia="en-GB"/>
              </w:rPr>
            </w:pPr>
            <w:r w:rsidRPr="0002193E">
              <w:rPr>
                <w:rFonts w:ascii="Segoe UI Symbol" w:eastAsia="Times New Roman" w:hAnsi="Segoe UI Symbol" w:cs="Segoe UI Symbol"/>
                <w:sz w:val="22"/>
                <w:szCs w:val="22"/>
                <w:lang w:eastAsia="en-GB"/>
              </w:rPr>
              <w:t>✓</w:t>
            </w:r>
          </w:p>
        </w:tc>
        <w:tc>
          <w:tcPr>
            <w:tcW w:w="0" w:type="auto"/>
            <w:vAlign w:val="center"/>
            <w:hideMark/>
          </w:tcPr>
          <w:p w14:paraId="167287A0" w14:textId="77777777" w:rsidR="00CD116C" w:rsidRPr="0002193E" w:rsidRDefault="00CD116C">
            <w:pPr>
              <w:spacing w:after="0" w:line="360" w:lineRule="auto"/>
              <w:rPr>
                <w:rFonts w:eastAsia="Times New Roman" w:cstheme="minorHAnsi"/>
                <w:sz w:val="22"/>
                <w:szCs w:val="22"/>
                <w:lang w:eastAsia="en-GB"/>
              </w:rPr>
            </w:pPr>
            <w:r w:rsidRPr="0002193E">
              <w:rPr>
                <w:rFonts w:ascii="Segoe UI Symbol" w:eastAsia="Times New Roman" w:hAnsi="Segoe UI Symbol" w:cs="Segoe UI Symbol"/>
                <w:sz w:val="22"/>
                <w:szCs w:val="22"/>
                <w:lang w:eastAsia="en-GB"/>
              </w:rPr>
              <w:t>✓</w:t>
            </w:r>
          </w:p>
        </w:tc>
        <w:tc>
          <w:tcPr>
            <w:tcW w:w="0" w:type="auto"/>
            <w:vAlign w:val="center"/>
            <w:hideMark/>
          </w:tcPr>
          <w:p w14:paraId="42C9CB8F" w14:textId="77777777" w:rsidR="00CD116C" w:rsidRPr="0002193E" w:rsidRDefault="00CD116C">
            <w:pPr>
              <w:spacing w:after="0" w:line="360" w:lineRule="auto"/>
              <w:rPr>
                <w:rFonts w:eastAsia="Times New Roman" w:cstheme="minorHAnsi"/>
                <w:sz w:val="22"/>
                <w:szCs w:val="22"/>
                <w:lang w:eastAsia="en-GB"/>
              </w:rPr>
            </w:pPr>
          </w:p>
        </w:tc>
        <w:tc>
          <w:tcPr>
            <w:tcW w:w="0" w:type="auto"/>
            <w:vAlign w:val="center"/>
            <w:hideMark/>
          </w:tcPr>
          <w:p w14:paraId="5292FCE6" w14:textId="77777777" w:rsidR="00CD116C" w:rsidRPr="0002193E" w:rsidRDefault="00CD116C">
            <w:pPr>
              <w:spacing w:after="0" w:line="360" w:lineRule="auto"/>
              <w:rPr>
                <w:rFonts w:eastAsia="Times New Roman" w:cstheme="minorHAnsi"/>
                <w:sz w:val="22"/>
                <w:szCs w:val="22"/>
                <w:lang w:eastAsia="en-GB"/>
              </w:rPr>
            </w:pPr>
          </w:p>
        </w:tc>
      </w:tr>
      <w:tr w:rsidR="00CD116C" w:rsidRPr="0002193E" w14:paraId="292A36EA" w14:textId="77777777">
        <w:trPr>
          <w:trHeight w:val="327"/>
          <w:tblCellSpacing w:w="15" w:type="dxa"/>
        </w:trPr>
        <w:tc>
          <w:tcPr>
            <w:tcW w:w="0" w:type="auto"/>
            <w:vAlign w:val="center"/>
            <w:hideMark/>
          </w:tcPr>
          <w:p w14:paraId="5DAF69E8" w14:textId="77777777" w:rsidR="00CD116C" w:rsidRPr="0002193E" w:rsidRDefault="00CD116C">
            <w:pPr>
              <w:spacing w:after="0" w:line="360" w:lineRule="auto"/>
              <w:rPr>
                <w:rFonts w:eastAsia="Times New Roman" w:cstheme="minorHAnsi"/>
                <w:sz w:val="22"/>
                <w:szCs w:val="22"/>
                <w:lang w:eastAsia="en-GB"/>
              </w:rPr>
            </w:pPr>
            <w:r w:rsidRPr="0002193E">
              <w:rPr>
                <w:rFonts w:eastAsia="Times New Roman" w:cstheme="minorHAnsi"/>
                <w:sz w:val="22"/>
                <w:szCs w:val="22"/>
                <w:lang w:eastAsia="en-GB"/>
              </w:rPr>
              <w:t>Critical appraisal (CASP/JBI)</w:t>
            </w:r>
          </w:p>
        </w:tc>
        <w:tc>
          <w:tcPr>
            <w:tcW w:w="0" w:type="auto"/>
            <w:vAlign w:val="center"/>
            <w:hideMark/>
          </w:tcPr>
          <w:p w14:paraId="2D7ED2DB" w14:textId="77777777" w:rsidR="00CD116C" w:rsidRPr="0002193E" w:rsidRDefault="00CD116C">
            <w:pPr>
              <w:spacing w:after="0" w:line="360" w:lineRule="auto"/>
              <w:rPr>
                <w:rFonts w:eastAsia="Times New Roman" w:cstheme="minorHAnsi"/>
                <w:sz w:val="22"/>
                <w:szCs w:val="22"/>
                <w:lang w:eastAsia="en-GB"/>
              </w:rPr>
            </w:pPr>
          </w:p>
        </w:tc>
        <w:tc>
          <w:tcPr>
            <w:tcW w:w="0" w:type="auto"/>
            <w:vAlign w:val="center"/>
            <w:hideMark/>
          </w:tcPr>
          <w:p w14:paraId="756BF2C6" w14:textId="77777777" w:rsidR="00CD116C" w:rsidRPr="0002193E" w:rsidRDefault="00CD116C">
            <w:pPr>
              <w:spacing w:after="0" w:line="360" w:lineRule="auto"/>
              <w:rPr>
                <w:rFonts w:eastAsia="Times New Roman" w:cstheme="minorHAnsi"/>
                <w:sz w:val="22"/>
                <w:szCs w:val="22"/>
                <w:lang w:eastAsia="en-GB"/>
              </w:rPr>
            </w:pPr>
          </w:p>
        </w:tc>
        <w:tc>
          <w:tcPr>
            <w:tcW w:w="0" w:type="auto"/>
            <w:vAlign w:val="center"/>
            <w:hideMark/>
          </w:tcPr>
          <w:p w14:paraId="494D8041" w14:textId="77777777" w:rsidR="00CD116C" w:rsidRPr="0002193E" w:rsidRDefault="00CD116C">
            <w:pPr>
              <w:spacing w:after="0" w:line="360" w:lineRule="auto"/>
              <w:rPr>
                <w:rFonts w:eastAsia="Times New Roman" w:cstheme="minorHAnsi"/>
                <w:sz w:val="22"/>
                <w:szCs w:val="22"/>
                <w:lang w:eastAsia="en-GB"/>
              </w:rPr>
            </w:pPr>
          </w:p>
        </w:tc>
        <w:tc>
          <w:tcPr>
            <w:tcW w:w="0" w:type="auto"/>
            <w:vAlign w:val="center"/>
            <w:hideMark/>
          </w:tcPr>
          <w:p w14:paraId="3D3E0DDD" w14:textId="77777777" w:rsidR="00CD116C" w:rsidRPr="0002193E" w:rsidRDefault="00CD116C">
            <w:pPr>
              <w:spacing w:after="0" w:line="360" w:lineRule="auto"/>
              <w:rPr>
                <w:rFonts w:eastAsia="Times New Roman" w:cstheme="minorHAnsi"/>
                <w:sz w:val="22"/>
                <w:szCs w:val="22"/>
                <w:lang w:eastAsia="en-GB"/>
              </w:rPr>
            </w:pPr>
            <w:r w:rsidRPr="0002193E">
              <w:rPr>
                <w:rFonts w:ascii="Segoe UI Symbol" w:eastAsia="Times New Roman" w:hAnsi="Segoe UI Symbol" w:cs="Segoe UI Symbol"/>
                <w:sz w:val="22"/>
                <w:szCs w:val="22"/>
                <w:lang w:eastAsia="en-GB"/>
              </w:rPr>
              <w:t>✓</w:t>
            </w:r>
          </w:p>
        </w:tc>
        <w:tc>
          <w:tcPr>
            <w:tcW w:w="0" w:type="auto"/>
            <w:vAlign w:val="center"/>
            <w:hideMark/>
          </w:tcPr>
          <w:p w14:paraId="10A69F5F" w14:textId="77777777" w:rsidR="00CD116C" w:rsidRPr="0002193E" w:rsidRDefault="00CD116C">
            <w:pPr>
              <w:spacing w:after="0" w:line="360" w:lineRule="auto"/>
              <w:rPr>
                <w:rFonts w:eastAsia="Times New Roman" w:cstheme="minorHAnsi"/>
                <w:sz w:val="22"/>
                <w:szCs w:val="22"/>
                <w:lang w:eastAsia="en-GB"/>
              </w:rPr>
            </w:pPr>
          </w:p>
        </w:tc>
        <w:tc>
          <w:tcPr>
            <w:tcW w:w="0" w:type="auto"/>
            <w:vAlign w:val="center"/>
            <w:hideMark/>
          </w:tcPr>
          <w:p w14:paraId="633CA8F2" w14:textId="77777777" w:rsidR="00CD116C" w:rsidRPr="0002193E" w:rsidRDefault="00CD116C">
            <w:pPr>
              <w:spacing w:after="0" w:line="360" w:lineRule="auto"/>
              <w:rPr>
                <w:rFonts w:eastAsia="Times New Roman" w:cstheme="minorHAnsi"/>
                <w:sz w:val="22"/>
                <w:szCs w:val="22"/>
                <w:lang w:eastAsia="en-GB"/>
              </w:rPr>
            </w:pPr>
          </w:p>
        </w:tc>
      </w:tr>
      <w:tr w:rsidR="00CD116C" w:rsidRPr="0002193E" w14:paraId="2B99EA95" w14:textId="77777777">
        <w:trPr>
          <w:trHeight w:val="336"/>
          <w:tblCellSpacing w:w="15" w:type="dxa"/>
        </w:trPr>
        <w:tc>
          <w:tcPr>
            <w:tcW w:w="0" w:type="auto"/>
            <w:vAlign w:val="center"/>
            <w:hideMark/>
          </w:tcPr>
          <w:p w14:paraId="5389712B" w14:textId="77777777" w:rsidR="00CD116C" w:rsidRPr="0002193E" w:rsidRDefault="00CD116C">
            <w:pPr>
              <w:spacing w:after="0" w:line="360" w:lineRule="auto"/>
              <w:rPr>
                <w:rFonts w:eastAsia="Times New Roman" w:cstheme="minorHAnsi"/>
                <w:sz w:val="22"/>
                <w:szCs w:val="22"/>
                <w:lang w:eastAsia="en-GB"/>
              </w:rPr>
            </w:pPr>
            <w:r w:rsidRPr="0002193E">
              <w:rPr>
                <w:rFonts w:eastAsia="Times New Roman" w:cstheme="minorHAnsi"/>
                <w:sz w:val="22"/>
                <w:szCs w:val="22"/>
                <w:lang w:eastAsia="en-GB"/>
              </w:rPr>
              <w:t>Data extraction</w:t>
            </w:r>
          </w:p>
        </w:tc>
        <w:tc>
          <w:tcPr>
            <w:tcW w:w="0" w:type="auto"/>
            <w:vAlign w:val="center"/>
            <w:hideMark/>
          </w:tcPr>
          <w:p w14:paraId="5AC7675F" w14:textId="77777777" w:rsidR="00CD116C" w:rsidRPr="0002193E" w:rsidRDefault="00CD116C">
            <w:pPr>
              <w:spacing w:after="0" w:line="360" w:lineRule="auto"/>
              <w:rPr>
                <w:rFonts w:eastAsia="Times New Roman" w:cstheme="minorHAnsi"/>
                <w:sz w:val="22"/>
                <w:szCs w:val="22"/>
                <w:lang w:eastAsia="en-GB"/>
              </w:rPr>
            </w:pPr>
          </w:p>
        </w:tc>
        <w:tc>
          <w:tcPr>
            <w:tcW w:w="0" w:type="auto"/>
            <w:vAlign w:val="center"/>
            <w:hideMark/>
          </w:tcPr>
          <w:p w14:paraId="2ED57ECE" w14:textId="77777777" w:rsidR="00CD116C" w:rsidRPr="0002193E" w:rsidRDefault="00CD116C">
            <w:pPr>
              <w:spacing w:after="0" w:line="360" w:lineRule="auto"/>
              <w:rPr>
                <w:rFonts w:eastAsia="Times New Roman" w:cstheme="minorHAnsi"/>
                <w:sz w:val="22"/>
                <w:szCs w:val="22"/>
                <w:lang w:eastAsia="en-GB"/>
              </w:rPr>
            </w:pPr>
          </w:p>
        </w:tc>
        <w:tc>
          <w:tcPr>
            <w:tcW w:w="0" w:type="auto"/>
            <w:vAlign w:val="center"/>
            <w:hideMark/>
          </w:tcPr>
          <w:p w14:paraId="4F6E6FC3" w14:textId="77777777" w:rsidR="00CD116C" w:rsidRPr="0002193E" w:rsidRDefault="00CD116C">
            <w:pPr>
              <w:spacing w:after="0" w:line="360" w:lineRule="auto"/>
              <w:rPr>
                <w:rFonts w:eastAsia="Times New Roman" w:cstheme="minorHAnsi"/>
                <w:sz w:val="22"/>
                <w:szCs w:val="22"/>
                <w:lang w:eastAsia="en-GB"/>
              </w:rPr>
            </w:pPr>
          </w:p>
        </w:tc>
        <w:tc>
          <w:tcPr>
            <w:tcW w:w="0" w:type="auto"/>
            <w:vAlign w:val="center"/>
            <w:hideMark/>
          </w:tcPr>
          <w:p w14:paraId="5AC27E41" w14:textId="77777777" w:rsidR="00CD116C" w:rsidRPr="0002193E" w:rsidRDefault="00CD116C">
            <w:pPr>
              <w:spacing w:after="0" w:line="360" w:lineRule="auto"/>
              <w:rPr>
                <w:rFonts w:eastAsia="Times New Roman" w:cstheme="minorHAnsi"/>
                <w:sz w:val="22"/>
                <w:szCs w:val="22"/>
                <w:lang w:eastAsia="en-GB"/>
              </w:rPr>
            </w:pPr>
            <w:r w:rsidRPr="0002193E">
              <w:rPr>
                <w:rFonts w:ascii="Segoe UI Symbol" w:eastAsia="Times New Roman" w:hAnsi="Segoe UI Symbol" w:cs="Segoe UI Symbol"/>
                <w:sz w:val="22"/>
                <w:szCs w:val="22"/>
                <w:lang w:eastAsia="en-GB"/>
              </w:rPr>
              <w:t>✓</w:t>
            </w:r>
          </w:p>
        </w:tc>
        <w:tc>
          <w:tcPr>
            <w:tcW w:w="0" w:type="auto"/>
            <w:vAlign w:val="center"/>
            <w:hideMark/>
          </w:tcPr>
          <w:p w14:paraId="72726B76" w14:textId="77777777" w:rsidR="00CD116C" w:rsidRPr="0002193E" w:rsidRDefault="00CD116C">
            <w:pPr>
              <w:spacing w:after="0" w:line="360" w:lineRule="auto"/>
              <w:rPr>
                <w:rFonts w:eastAsia="Times New Roman" w:cstheme="minorHAnsi"/>
                <w:sz w:val="22"/>
                <w:szCs w:val="22"/>
                <w:lang w:eastAsia="en-GB"/>
              </w:rPr>
            </w:pPr>
            <w:r w:rsidRPr="0002193E">
              <w:rPr>
                <w:rFonts w:ascii="Segoe UI Symbol" w:eastAsia="Times New Roman" w:hAnsi="Segoe UI Symbol" w:cs="Segoe UI Symbol"/>
                <w:sz w:val="22"/>
                <w:szCs w:val="22"/>
                <w:lang w:eastAsia="en-GB"/>
              </w:rPr>
              <w:t>✓</w:t>
            </w:r>
          </w:p>
        </w:tc>
        <w:tc>
          <w:tcPr>
            <w:tcW w:w="0" w:type="auto"/>
            <w:vAlign w:val="center"/>
            <w:hideMark/>
          </w:tcPr>
          <w:p w14:paraId="2A9184A1" w14:textId="77777777" w:rsidR="00CD116C" w:rsidRPr="0002193E" w:rsidRDefault="00CD116C">
            <w:pPr>
              <w:spacing w:after="0" w:line="360" w:lineRule="auto"/>
              <w:rPr>
                <w:rFonts w:eastAsia="Times New Roman" w:cstheme="minorHAnsi"/>
                <w:sz w:val="22"/>
                <w:szCs w:val="22"/>
                <w:lang w:eastAsia="en-GB"/>
              </w:rPr>
            </w:pPr>
          </w:p>
        </w:tc>
      </w:tr>
      <w:tr w:rsidR="00CD116C" w:rsidRPr="0002193E" w14:paraId="0002853C" w14:textId="77777777">
        <w:trPr>
          <w:trHeight w:val="327"/>
          <w:tblCellSpacing w:w="15" w:type="dxa"/>
        </w:trPr>
        <w:tc>
          <w:tcPr>
            <w:tcW w:w="0" w:type="auto"/>
            <w:vAlign w:val="center"/>
            <w:hideMark/>
          </w:tcPr>
          <w:p w14:paraId="4AC924A7" w14:textId="77777777" w:rsidR="00CD116C" w:rsidRPr="0002193E" w:rsidRDefault="00CD116C">
            <w:pPr>
              <w:spacing w:after="0" w:line="360" w:lineRule="auto"/>
              <w:rPr>
                <w:rFonts w:eastAsia="Times New Roman" w:cstheme="minorHAnsi"/>
                <w:sz w:val="22"/>
                <w:szCs w:val="22"/>
                <w:lang w:eastAsia="en-GB"/>
              </w:rPr>
            </w:pPr>
            <w:r w:rsidRPr="0002193E">
              <w:rPr>
                <w:rFonts w:eastAsia="Times New Roman" w:cstheme="minorHAnsi"/>
                <w:sz w:val="22"/>
                <w:szCs w:val="22"/>
                <w:lang w:eastAsia="en-GB"/>
              </w:rPr>
              <w:t>Thematic analysis</w:t>
            </w:r>
          </w:p>
        </w:tc>
        <w:tc>
          <w:tcPr>
            <w:tcW w:w="0" w:type="auto"/>
            <w:vAlign w:val="center"/>
            <w:hideMark/>
          </w:tcPr>
          <w:p w14:paraId="2190024C" w14:textId="77777777" w:rsidR="00CD116C" w:rsidRPr="0002193E" w:rsidRDefault="00CD116C">
            <w:pPr>
              <w:spacing w:after="0" w:line="360" w:lineRule="auto"/>
              <w:rPr>
                <w:rFonts w:eastAsia="Times New Roman" w:cstheme="minorHAnsi"/>
                <w:sz w:val="22"/>
                <w:szCs w:val="22"/>
                <w:lang w:eastAsia="en-GB"/>
              </w:rPr>
            </w:pPr>
          </w:p>
        </w:tc>
        <w:tc>
          <w:tcPr>
            <w:tcW w:w="0" w:type="auto"/>
            <w:vAlign w:val="center"/>
            <w:hideMark/>
          </w:tcPr>
          <w:p w14:paraId="2CB4D91B" w14:textId="77777777" w:rsidR="00CD116C" w:rsidRPr="0002193E" w:rsidRDefault="00CD116C">
            <w:pPr>
              <w:spacing w:after="0" w:line="360" w:lineRule="auto"/>
              <w:rPr>
                <w:rFonts w:eastAsia="Times New Roman" w:cstheme="minorHAnsi"/>
                <w:sz w:val="22"/>
                <w:szCs w:val="22"/>
                <w:lang w:eastAsia="en-GB"/>
              </w:rPr>
            </w:pPr>
          </w:p>
        </w:tc>
        <w:tc>
          <w:tcPr>
            <w:tcW w:w="0" w:type="auto"/>
            <w:vAlign w:val="center"/>
            <w:hideMark/>
          </w:tcPr>
          <w:p w14:paraId="30F99CD4" w14:textId="77777777" w:rsidR="00CD116C" w:rsidRPr="0002193E" w:rsidRDefault="00CD116C">
            <w:pPr>
              <w:spacing w:after="0" w:line="360" w:lineRule="auto"/>
              <w:rPr>
                <w:rFonts w:eastAsia="Times New Roman" w:cstheme="minorHAnsi"/>
                <w:sz w:val="22"/>
                <w:szCs w:val="22"/>
                <w:lang w:eastAsia="en-GB"/>
              </w:rPr>
            </w:pPr>
          </w:p>
        </w:tc>
        <w:tc>
          <w:tcPr>
            <w:tcW w:w="0" w:type="auto"/>
            <w:vAlign w:val="center"/>
            <w:hideMark/>
          </w:tcPr>
          <w:p w14:paraId="73023772" w14:textId="77777777" w:rsidR="00CD116C" w:rsidRPr="0002193E" w:rsidRDefault="00CD116C">
            <w:pPr>
              <w:spacing w:after="0" w:line="360" w:lineRule="auto"/>
              <w:rPr>
                <w:rFonts w:eastAsia="Times New Roman" w:cstheme="minorHAnsi"/>
                <w:sz w:val="22"/>
                <w:szCs w:val="22"/>
                <w:lang w:eastAsia="en-GB"/>
              </w:rPr>
            </w:pPr>
          </w:p>
        </w:tc>
        <w:tc>
          <w:tcPr>
            <w:tcW w:w="0" w:type="auto"/>
            <w:vAlign w:val="center"/>
            <w:hideMark/>
          </w:tcPr>
          <w:p w14:paraId="371606BA" w14:textId="77777777" w:rsidR="00CD116C" w:rsidRPr="0002193E" w:rsidRDefault="00CD116C">
            <w:pPr>
              <w:spacing w:after="0" w:line="360" w:lineRule="auto"/>
              <w:rPr>
                <w:rFonts w:eastAsia="Times New Roman" w:cstheme="minorHAnsi"/>
                <w:sz w:val="22"/>
                <w:szCs w:val="22"/>
                <w:lang w:eastAsia="en-GB"/>
              </w:rPr>
            </w:pPr>
            <w:r w:rsidRPr="0002193E">
              <w:rPr>
                <w:rFonts w:ascii="Segoe UI Symbol" w:eastAsia="Times New Roman" w:hAnsi="Segoe UI Symbol" w:cs="Segoe UI Symbol"/>
                <w:sz w:val="22"/>
                <w:szCs w:val="22"/>
                <w:lang w:eastAsia="en-GB"/>
              </w:rPr>
              <w:t>✓</w:t>
            </w:r>
          </w:p>
        </w:tc>
        <w:tc>
          <w:tcPr>
            <w:tcW w:w="0" w:type="auto"/>
            <w:vAlign w:val="center"/>
            <w:hideMark/>
          </w:tcPr>
          <w:p w14:paraId="630CE037" w14:textId="77777777" w:rsidR="00CD116C" w:rsidRPr="0002193E" w:rsidRDefault="00CD116C">
            <w:pPr>
              <w:spacing w:after="0" w:line="360" w:lineRule="auto"/>
              <w:rPr>
                <w:rFonts w:eastAsia="Times New Roman" w:cstheme="minorHAnsi"/>
                <w:sz w:val="22"/>
                <w:szCs w:val="22"/>
                <w:lang w:eastAsia="en-GB"/>
              </w:rPr>
            </w:pPr>
          </w:p>
        </w:tc>
      </w:tr>
      <w:tr w:rsidR="00CD116C" w:rsidRPr="0002193E" w14:paraId="2D281418" w14:textId="77777777">
        <w:trPr>
          <w:trHeight w:val="570"/>
          <w:tblCellSpacing w:w="15" w:type="dxa"/>
        </w:trPr>
        <w:tc>
          <w:tcPr>
            <w:tcW w:w="0" w:type="auto"/>
            <w:vAlign w:val="center"/>
            <w:hideMark/>
          </w:tcPr>
          <w:p w14:paraId="7BBE0DCF" w14:textId="77777777" w:rsidR="00CD116C" w:rsidRPr="0002193E" w:rsidRDefault="00CD116C">
            <w:pPr>
              <w:spacing w:after="0" w:line="360" w:lineRule="auto"/>
              <w:rPr>
                <w:rFonts w:eastAsia="Times New Roman" w:cstheme="minorHAnsi"/>
                <w:sz w:val="22"/>
                <w:szCs w:val="22"/>
                <w:lang w:eastAsia="en-GB"/>
              </w:rPr>
            </w:pPr>
            <w:r w:rsidRPr="0002193E">
              <w:rPr>
                <w:rFonts w:eastAsia="Times New Roman" w:cstheme="minorHAnsi"/>
                <w:sz w:val="22"/>
                <w:szCs w:val="22"/>
                <w:lang w:eastAsia="en-GB"/>
              </w:rPr>
              <w:t>Interpretation and synthesis of findings</w:t>
            </w:r>
          </w:p>
        </w:tc>
        <w:tc>
          <w:tcPr>
            <w:tcW w:w="0" w:type="auto"/>
            <w:vAlign w:val="center"/>
            <w:hideMark/>
          </w:tcPr>
          <w:p w14:paraId="4524B530" w14:textId="77777777" w:rsidR="00CD116C" w:rsidRPr="0002193E" w:rsidRDefault="00CD116C">
            <w:pPr>
              <w:spacing w:after="0" w:line="360" w:lineRule="auto"/>
              <w:rPr>
                <w:rFonts w:eastAsia="Times New Roman" w:cstheme="minorHAnsi"/>
                <w:sz w:val="22"/>
                <w:szCs w:val="22"/>
                <w:lang w:eastAsia="en-GB"/>
              </w:rPr>
            </w:pPr>
          </w:p>
        </w:tc>
        <w:tc>
          <w:tcPr>
            <w:tcW w:w="0" w:type="auto"/>
            <w:vAlign w:val="center"/>
            <w:hideMark/>
          </w:tcPr>
          <w:p w14:paraId="2C47C4C9" w14:textId="77777777" w:rsidR="00CD116C" w:rsidRPr="0002193E" w:rsidRDefault="00CD116C">
            <w:pPr>
              <w:spacing w:after="0" w:line="360" w:lineRule="auto"/>
              <w:rPr>
                <w:rFonts w:eastAsia="Times New Roman" w:cstheme="minorHAnsi"/>
                <w:sz w:val="22"/>
                <w:szCs w:val="22"/>
                <w:lang w:eastAsia="en-GB"/>
              </w:rPr>
            </w:pPr>
          </w:p>
        </w:tc>
        <w:tc>
          <w:tcPr>
            <w:tcW w:w="0" w:type="auto"/>
            <w:vAlign w:val="center"/>
            <w:hideMark/>
          </w:tcPr>
          <w:p w14:paraId="58551E65" w14:textId="77777777" w:rsidR="00CD116C" w:rsidRPr="0002193E" w:rsidRDefault="00CD116C">
            <w:pPr>
              <w:spacing w:after="0" w:line="360" w:lineRule="auto"/>
              <w:rPr>
                <w:rFonts w:eastAsia="Times New Roman" w:cstheme="minorHAnsi"/>
                <w:sz w:val="22"/>
                <w:szCs w:val="22"/>
                <w:lang w:eastAsia="en-GB"/>
              </w:rPr>
            </w:pPr>
          </w:p>
        </w:tc>
        <w:tc>
          <w:tcPr>
            <w:tcW w:w="0" w:type="auto"/>
            <w:vAlign w:val="center"/>
            <w:hideMark/>
          </w:tcPr>
          <w:p w14:paraId="547BFE8D" w14:textId="77777777" w:rsidR="00CD116C" w:rsidRPr="0002193E" w:rsidRDefault="00CD116C">
            <w:pPr>
              <w:spacing w:after="0" w:line="360" w:lineRule="auto"/>
              <w:rPr>
                <w:rFonts w:eastAsia="Times New Roman" w:cstheme="minorHAnsi"/>
                <w:sz w:val="22"/>
                <w:szCs w:val="22"/>
                <w:lang w:eastAsia="en-GB"/>
              </w:rPr>
            </w:pPr>
          </w:p>
        </w:tc>
        <w:tc>
          <w:tcPr>
            <w:tcW w:w="0" w:type="auto"/>
            <w:vAlign w:val="center"/>
            <w:hideMark/>
          </w:tcPr>
          <w:p w14:paraId="33E15CB6" w14:textId="77777777" w:rsidR="00CD116C" w:rsidRPr="0002193E" w:rsidRDefault="00CD116C">
            <w:pPr>
              <w:spacing w:after="0" w:line="360" w:lineRule="auto"/>
              <w:rPr>
                <w:rFonts w:eastAsia="Times New Roman" w:cstheme="minorHAnsi"/>
                <w:sz w:val="22"/>
                <w:szCs w:val="22"/>
                <w:lang w:eastAsia="en-GB"/>
              </w:rPr>
            </w:pPr>
            <w:r w:rsidRPr="0002193E">
              <w:rPr>
                <w:rFonts w:ascii="Segoe UI Symbol" w:eastAsia="Times New Roman" w:hAnsi="Segoe UI Symbol" w:cs="Segoe UI Symbol"/>
                <w:sz w:val="22"/>
                <w:szCs w:val="22"/>
                <w:lang w:eastAsia="en-GB"/>
              </w:rPr>
              <w:t>✓</w:t>
            </w:r>
          </w:p>
        </w:tc>
        <w:tc>
          <w:tcPr>
            <w:tcW w:w="0" w:type="auto"/>
            <w:vAlign w:val="center"/>
            <w:hideMark/>
          </w:tcPr>
          <w:p w14:paraId="67AE84C3" w14:textId="77777777" w:rsidR="00CD116C" w:rsidRPr="0002193E" w:rsidRDefault="00CD116C">
            <w:pPr>
              <w:spacing w:after="0" w:line="360" w:lineRule="auto"/>
              <w:rPr>
                <w:rFonts w:eastAsia="Times New Roman" w:cstheme="minorHAnsi"/>
                <w:sz w:val="22"/>
                <w:szCs w:val="22"/>
                <w:lang w:eastAsia="en-GB"/>
              </w:rPr>
            </w:pPr>
            <w:r w:rsidRPr="0002193E">
              <w:rPr>
                <w:rFonts w:ascii="Segoe UI Symbol" w:eastAsia="Times New Roman" w:hAnsi="Segoe UI Symbol" w:cs="Segoe UI Symbol"/>
                <w:sz w:val="22"/>
                <w:szCs w:val="22"/>
                <w:lang w:eastAsia="en-GB"/>
              </w:rPr>
              <w:t>✓</w:t>
            </w:r>
          </w:p>
        </w:tc>
      </w:tr>
      <w:tr w:rsidR="00CD116C" w:rsidRPr="0002193E" w14:paraId="074C75AB" w14:textId="77777777">
        <w:trPr>
          <w:trHeight w:val="570"/>
          <w:tblCellSpacing w:w="15" w:type="dxa"/>
        </w:trPr>
        <w:tc>
          <w:tcPr>
            <w:tcW w:w="0" w:type="auto"/>
            <w:vAlign w:val="center"/>
            <w:hideMark/>
          </w:tcPr>
          <w:p w14:paraId="75979BBB" w14:textId="77777777" w:rsidR="00CD116C" w:rsidRPr="0002193E" w:rsidRDefault="00CD116C">
            <w:pPr>
              <w:spacing w:after="0" w:line="360" w:lineRule="auto"/>
              <w:rPr>
                <w:rFonts w:eastAsia="Times New Roman" w:cstheme="minorHAnsi"/>
                <w:sz w:val="22"/>
                <w:szCs w:val="22"/>
                <w:lang w:eastAsia="en-GB"/>
              </w:rPr>
            </w:pPr>
            <w:r w:rsidRPr="0002193E">
              <w:rPr>
                <w:rFonts w:eastAsia="Times New Roman" w:cstheme="minorHAnsi"/>
                <w:sz w:val="22"/>
                <w:szCs w:val="22"/>
                <w:lang w:eastAsia="en-GB"/>
              </w:rPr>
              <w:t>Final writing, proofreading and submission</w:t>
            </w:r>
          </w:p>
        </w:tc>
        <w:tc>
          <w:tcPr>
            <w:tcW w:w="0" w:type="auto"/>
            <w:vAlign w:val="center"/>
            <w:hideMark/>
          </w:tcPr>
          <w:p w14:paraId="543E4BEB" w14:textId="77777777" w:rsidR="00CD116C" w:rsidRPr="0002193E" w:rsidRDefault="00CD116C">
            <w:pPr>
              <w:spacing w:after="0" w:line="360" w:lineRule="auto"/>
              <w:rPr>
                <w:rFonts w:eastAsia="Times New Roman" w:cstheme="minorHAnsi"/>
                <w:sz w:val="22"/>
                <w:szCs w:val="22"/>
                <w:lang w:eastAsia="en-GB"/>
              </w:rPr>
            </w:pPr>
          </w:p>
        </w:tc>
        <w:tc>
          <w:tcPr>
            <w:tcW w:w="0" w:type="auto"/>
            <w:vAlign w:val="center"/>
            <w:hideMark/>
          </w:tcPr>
          <w:p w14:paraId="74F3614A" w14:textId="77777777" w:rsidR="00CD116C" w:rsidRPr="0002193E" w:rsidRDefault="00CD116C">
            <w:pPr>
              <w:spacing w:after="0" w:line="360" w:lineRule="auto"/>
              <w:rPr>
                <w:rFonts w:eastAsia="Times New Roman" w:cstheme="minorHAnsi"/>
                <w:sz w:val="22"/>
                <w:szCs w:val="22"/>
                <w:lang w:eastAsia="en-GB"/>
              </w:rPr>
            </w:pPr>
          </w:p>
        </w:tc>
        <w:tc>
          <w:tcPr>
            <w:tcW w:w="0" w:type="auto"/>
            <w:vAlign w:val="center"/>
            <w:hideMark/>
          </w:tcPr>
          <w:p w14:paraId="37E85BCE" w14:textId="77777777" w:rsidR="00CD116C" w:rsidRPr="0002193E" w:rsidRDefault="00CD116C">
            <w:pPr>
              <w:spacing w:after="0" w:line="360" w:lineRule="auto"/>
              <w:rPr>
                <w:rFonts w:eastAsia="Times New Roman" w:cstheme="minorHAnsi"/>
                <w:sz w:val="22"/>
                <w:szCs w:val="22"/>
                <w:lang w:eastAsia="en-GB"/>
              </w:rPr>
            </w:pPr>
          </w:p>
        </w:tc>
        <w:tc>
          <w:tcPr>
            <w:tcW w:w="0" w:type="auto"/>
            <w:vAlign w:val="center"/>
            <w:hideMark/>
          </w:tcPr>
          <w:p w14:paraId="6816B457" w14:textId="77777777" w:rsidR="00CD116C" w:rsidRPr="0002193E" w:rsidRDefault="00CD116C">
            <w:pPr>
              <w:spacing w:after="0" w:line="360" w:lineRule="auto"/>
              <w:rPr>
                <w:rFonts w:eastAsia="Times New Roman" w:cstheme="minorHAnsi"/>
                <w:sz w:val="22"/>
                <w:szCs w:val="22"/>
                <w:lang w:eastAsia="en-GB"/>
              </w:rPr>
            </w:pPr>
          </w:p>
        </w:tc>
        <w:tc>
          <w:tcPr>
            <w:tcW w:w="0" w:type="auto"/>
            <w:vAlign w:val="center"/>
            <w:hideMark/>
          </w:tcPr>
          <w:p w14:paraId="4A116AE3" w14:textId="77777777" w:rsidR="00CD116C" w:rsidRPr="0002193E" w:rsidRDefault="00CD116C">
            <w:pPr>
              <w:spacing w:after="0" w:line="360" w:lineRule="auto"/>
              <w:rPr>
                <w:rFonts w:eastAsia="Times New Roman" w:cstheme="minorHAnsi"/>
                <w:sz w:val="22"/>
                <w:szCs w:val="22"/>
                <w:lang w:eastAsia="en-GB"/>
              </w:rPr>
            </w:pPr>
          </w:p>
        </w:tc>
        <w:tc>
          <w:tcPr>
            <w:tcW w:w="0" w:type="auto"/>
            <w:vAlign w:val="center"/>
            <w:hideMark/>
          </w:tcPr>
          <w:p w14:paraId="193E54EB" w14:textId="77777777" w:rsidR="00CD116C" w:rsidRPr="0002193E" w:rsidRDefault="00CD116C">
            <w:pPr>
              <w:spacing w:after="0" w:line="360" w:lineRule="auto"/>
              <w:rPr>
                <w:rFonts w:eastAsia="Times New Roman" w:cstheme="minorHAnsi"/>
                <w:sz w:val="22"/>
                <w:szCs w:val="22"/>
                <w:lang w:eastAsia="en-GB"/>
              </w:rPr>
            </w:pPr>
            <w:r w:rsidRPr="0002193E">
              <w:rPr>
                <w:rFonts w:ascii="Segoe UI Symbol" w:eastAsia="Times New Roman" w:hAnsi="Segoe UI Symbol" w:cs="Segoe UI Symbol"/>
                <w:sz w:val="22"/>
                <w:szCs w:val="22"/>
                <w:lang w:eastAsia="en-GB"/>
              </w:rPr>
              <w:t>✓</w:t>
            </w:r>
          </w:p>
        </w:tc>
      </w:tr>
    </w:tbl>
    <w:p w14:paraId="2F4E4075" w14:textId="77777777" w:rsidR="00D3006D" w:rsidRDefault="00D3006D" w:rsidP="00413EBB"/>
    <w:p w14:paraId="4E8D2CB5" w14:textId="5921A63F" w:rsidR="00AC537F" w:rsidRDefault="00AC537F" w:rsidP="00413EBB"/>
    <w:p w14:paraId="18F8FC1D" w14:textId="45946EE4" w:rsidR="00AC537F" w:rsidRDefault="00AC537F" w:rsidP="00413EBB"/>
    <w:p w14:paraId="22ECAEA4" w14:textId="684149DF" w:rsidR="00AC537F" w:rsidRDefault="00AC537F" w:rsidP="00413EBB"/>
    <w:p w14:paraId="7DFD2EAE" w14:textId="759F48AA" w:rsidR="00887052" w:rsidRDefault="00887052" w:rsidP="00724382">
      <w:pPr>
        <w:ind w:left="360"/>
      </w:pPr>
    </w:p>
    <w:p w14:paraId="74F4CE48" w14:textId="77777777" w:rsidR="00887052" w:rsidRDefault="00887052" w:rsidP="00887052">
      <w:pPr>
        <w:ind w:left="360"/>
      </w:pPr>
      <w:r>
        <w:t xml:space="preserve">The proposed timetable provides a realistic and structured framework for completing the systematic literature review while allowing sufficient time for literature searching, study selection, critical appraisal, data extraction, evidence synthesis and revision. Careful planning supports effective project management, facilitates the systematic completion of each stage of the review and contributes to the transparency, rigour and reproducibility of the research process (Saunders, Lewis and Thornhill, 2023; Booth, Sutton and </w:t>
      </w:r>
      <w:proofErr w:type="spellStart"/>
      <w:r>
        <w:t>Papaioannou</w:t>
      </w:r>
      <w:proofErr w:type="spellEnd"/>
      <w:r>
        <w:t xml:space="preserve">, 2021; </w:t>
      </w:r>
      <w:proofErr w:type="spellStart"/>
      <w:r>
        <w:t>Aromataris</w:t>
      </w:r>
      <w:proofErr w:type="spellEnd"/>
      <w:r>
        <w:t xml:space="preserve"> and Munn, 2020). Although unforeseen challenges, such as retrieving full-text articles or identifying sufficient eligible studies, may require minor adjustments to the timetable, any changes will be documented to maintain transparency throughout the review process (Page et al., 2021; Higgins et al., 2024).</w:t>
      </w:r>
    </w:p>
    <w:p w14:paraId="6E9A90C5" w14:textId="77777777" w:rsidR="00887052" w:rsidRDefault="00887052" w:rsidP="00887052">
      <w:pPr>
        <w:ind w:left="360"/>
      </w:pPr>
    </w:p>
    <w:p w14:paraId="55ABC05B" w14:textId="3775E528" w:rsidR="00887052" w:rsidRDefault="00887052" w:rsidP="00887052">
      <w:pPr>
        <w:ind w:left="360"/>
      </w:pPr>
    </w:p>
    <w:p w14:paraId="476EB7AA" w14:textId="77777777" w:rsidR="00902924" w:rsidRDefault="00902924">
      <w:r>
        <w:t>References</w:t>
      </w:r>
    </w:p>
    <w:p w14:paraId="7D88C7DA" w14:textId="77777777" w:rsidR="00902924" w:rsidRDefault="00902924"/>
    <w:p w14:paraId="0367E0E6" w14:textId="3DAD1963" w:rsidR="00902924" w:rsidRDefault="00902924">
      <w:proofErr w:type="spellStart"/>
      <w:r>
        <w:t>Agyemang</w:t>
      </w:r>
      <w:proofErr w:type="spellEnd"/>
      <w:r>
        <w:t xml:space="preserve">, C., van der Linden, E.L., </w:t>
      </w:r>
      <w:proofErr w:type="spellStart"/>
      <w:r>
        <w:t>Chilunga</w:t>
      </w:r>
      <w:proofErr w:type="spellEnd"/>
      <w:r>
        <w:t xml:space="preserve">, F. And van den Born, B.H. (2024) ‘International migration and cardiovascular health: unravelling the disease burden among migrants to North America and Europe’, </w:t>
      </w:r>
      <w:r w:rsidRPr="00C63D2E">
        <w:rPr>
          <w:i/>
          <w:iCs/>
        </w:rPr>
        <w:t>Journal of the American Heart Association,</w:t>
      </w:r>
      <w:r>
        <w:t xml:space="preserve"> 13(9). Available at: </w:t>
      </w:r>
      <w:hyperlink r:id="rId5" w:history="1">
        <w:r w:rsidRPr="000B3B36">
          <w:rPr>
            <w:rStyle w:val="Hyperlink"/>
          </w:rPr>
          <w:t>https://doi.org/10.1161/JAHA.123.030228</w:t>
        </w:r>
      </w:hyperlink>
      <w:r>
        <w:t xml:space="preserve"> (Accessed: 10 July 2026).</w:t>
      </w:r>
    </w:p>
    <w:p w14:paraId="432B7DD8" w14:textId="77777777" w:rsidR="00902924" w:rsidRDefault="00902924"/>
    <w:p w14:paraId="76879A56" w14:textId="3570E641" w:rsidR="00902924" w:rsidRDefault="00902924">
      <w:proofErr w:type="spellStart"/>
      <w:r>
        <w:t>Anand</w:t>
      </w:r>
      <w:proofErr w:type="spellEnd"/>
      <w:r>
        <w:t xml:space="preserve">, S.S., Yusuf, S., </w:t>
      </w:r>
      <w:proofErr w:type="spellStart"/>
      <w:r>
        <w:t>Vuksan</w:t>
      </w:r>
      <w:proofErr w:type="spellEnd"/>
      <w:r>
        <w:t xml:space="preserve">, V., </w:t>
      </w:r>
      <w:proofErr w:type="spellStart"/>
      <w:r>
        <w:t>Devanesen</w:t>
      </w:r>
      <w:proofErr w:type="spellEnd"/>
      <w:r>
        <w:t xml:space="preserve">, S., </w:t>
      </w:r>
      <w:proofErr w:type="spellStart"/>
      <w:r>
        <w:t>Teo</w:t>
      </w:r>
      <w:proofErr w:type="spellEnd"/>
      <w:r>
        <w:t xml:space="preserve">, K.K., Montague, P.A., </w:t>
      </w:r>
      <w:proofErr w:type="spellStart"/>
      <w:r>
        <w:t>Kelemen</w:t>
      </w:r>
      <w:proofErr w:type="spellEnd"/>
      <w:r>
        <w:t xml:space="preserve">, L., Yi, C., </w:t>
      </w:r>
      <w:proofErr w:type="spellStart"/>
      <w:r>
        <w:t>Lonn</w:t>
      </w:r>
      <w:proofErr w:type="spellEnd"/>
      <w:r>
        <w:t xml:space="preserve">, E., Gerstein, H., </w:t>
      </w:r>
      <w:proofErr w:type="spellStart"/>
      <w:r>
        <w:t>Hegele</w:t>
      </w:r>
      <w:proofErr w:type="spellEnd"/>
      <w:r>
        <w:t xml:space="preserve">, R.A. and McQueen, M. (2000) ‘Differences in risk factors, atherosclerosis, and cardiovascular disease between ethnic groups in Canada: the Study of Health Assessment and Risk in Ethnic Groups’, </w:t>
      </w:r>
      <w:r w:rsidRPr="00B65CBE">
        <w:rPr>
          <w:i/>
          <w:iCs/>
        </w:rPr>
        <w:t>The Lancet,</w:t>
      </w:r>
      <w:r>
        <w:t xml:space="preserve"> 356(9226), pp. 279–284. Available at: </w:t>
      </w:r>
      <w:hyperlink r:id="rId6" w:history="1">
        <w:r w:rsidRPr="000B3B36">
          <w:rPr>
            <w:rStyle w:val="Hyperlink"/>
          </w:rPr>
          <w:t>https://doi.org/10.1016/S0140-6736(00)02502-2</w:t>
        </w:r>
      </w:hyperlink>
      <w:r>
        <w:t>.</w:t>
      </w:r>
    </w:p>
    <w:p w14:paraId="4B38D166" w14:textId="77777777" w:rsidR="00902924" w:rsidRDefault="00902924"/>
    <w:p w14:paraId="5DC60F25" w14:textId="28317F91" w:rsidR="00902924" w:rsidRDefault="00902924">
      <w:proofErr w:type="spellStart"/>
      <w:r>
        <w:t>Aromataris</w:t>
      </w:r>
      <w:proofErr w:type="spellEnd"/>
      <w:r>
        <w:t xml:space="preserve">, E. And Munn, Z. (eds.) (2020) </w:t>
      </w:r>
      <w:r w:rsidRPr="00D53A12">
        <w:rPr>
          <w:i/>
          <w:iCs/>
        </w:rPr>
        <w:t>JBI Manual for Evidence Synthesis. Adelaide: Joanna Briggs Institute.</w:t>
      </w:r>
      <w:r>
        <w:t xml:space="preserve"> Available at: </w:t>
      </w:r>
      <w:hyperlink r:id="rId7" w:history="1">
        <w:r w:rsidRPr="000B3B36">
          <w:rPr>
            <w:rStyle w:val="Hyperlink"/>
          </w:rPr>
          <w:t>https://synthesismanual.jbi.global/</w:t>
        </w:r>
      </w:hyperlink>
      <w:r>
        <w:t xml:space="preserve"> (Accessed: </w:t>
      </w:r>
      <w:r w:rsidR="00D31FF8">
        <w:t>05</w:t>
      </w:r>
      <w:r>
        <w:t xml:space="preserve"> July 2026).</w:t>
      </w:r>
    </w:p>
    <w:p w14:paraId="123FD729" w14:textId="77777777" w:rsidR="00902924" w:rsidRDefault="00902924"/>
    <w:p w14:paraId="362DF5C5" w14:textId="7809D5D9" w:rsidR="00902924" w:rsidRDefault="00902924">
      <w:r>
        <w:t xml:space="preserve">Booth, A., Sutton, A. And </w:t>
      </w:r>
      <w:proofErr w:type="spellStart"/>
      <w:r>
        <w:t>Papaioannou</w:t>
      </w:r>
      <w:proofErr w:type="spellEnd"/>
      <w:r>
        <w:t xml:space="preserve">, D. (2021) </w:t>
      </w:r>
      <w:r w:rsidRPr="00236242">
        <w:rPr>
          <w:i/>
          <w:iCs/>
        </w:rPr>
        <w:t>Systematic Approaches to a Successful Literature Review.</w:t>
      </w:r>
      <w:r>
        <w:t xml:space="preserve"> 3</w:t>
      </w:r>
      <w:r w:rsidRPr="00902924">
        <w:rPr>
          <w:vertAlign w:val="superscript"/>
        </w:rPr>
        <w:t>rd</w:t>
      </w:r>
      <w:r>
        <w:t xml:space="preserve"> </w:t>
      </w:r>
      <w:proofErr w:type="spellStart"/>
      <w:r>
        <w:t>edn</w:t>
      </w:r>
      <w:proofErr w:type="spellEnd"/>
      <w:r>
        <w:t>. London: SAGE.</w:t>
      </w:r>
    </w:p>
    <w:p w14:paraId="1C3A510C" w14:textId="77777777" w:rsidR="00902924" w:rsidRDefault="00902924"/>
    <w:p w14:paraId="044401F8" w14:textId="595956CE" w:rsidR="00902924" w:rsidRDefault="00902924">
      <w:proofErr w:type="spellStart"/>
      <w:r>
        <w:t>Braveman</w:t>
      </w:r>
      <w:proofErr w:type="spellEnd"/>
      <w:r>
        <w:t xml:space="preserve">, P. And Gottlieb, L. (2014) ‘The social determinants of health: it is time to consider the causes of the causes’, </w:t>
      </w:r>
      <w:r w:rsidRPr="00F35F9C">
        <w:rPr>
          <w:i/>
          <w:iCs/>
        </w:rPr>
        <w:t>Public Health Reports,</w:t>
      </w:r>
      <w:r>
        <w:t xml:space="preserve"> 129(Suppl. 2), pp. 19–31. Available at: </w:t>
      </w:r>
      <w:hyperlink r:id="rId8" w:history="1">
        <w:r w:rsidRPr="000B3B36">
          <w:rPr>
            <w:rStyle w:val="Hyperlink"/>
          </w:rPr>
          <w:t>https://doi.org/10.1177/00333549141291S206</w:t>
        </w:r>
      </w:hyperlink>
      <w:r>
        <w:t>.</w:t>
      </w:r>
    </w:p>
    <w:p w14:paraId="400C3AF2" w14:textId="77777777" w:rsidR="00902924" w:rsidRDefault="00902924"/>
    <w:p w14:paraId="303E2411" w14:textId="251D3DA8" w:rsidR="00902924" w:rsidRDefault="00902924">
      <w:r>
        <w:t xml:space="preserve">British Heart Foundation (2025a) </w:t>
      </w:r>
      <w:r w:rsidRPr="00D96CF7">
        <w:rPr>
          <w:i/>
          <w:iCs/>
        </w:rPr>
        <w:t>Heart and Circulatory Disease Statistics 2025</w:t>
      </w:r>
      <w:r>
        <w:t xml:space="preserve">. London: British Heart Foundation. Available at: </w:t>
      </w:r>
      <w:hyperlink r:id="rId9" w:history="1">
        <w:r w:rsidRPr="000B3B36">
          <w:rPr>
            <w:rStyle w:val="Hyperlink"/>
          </w:rPr>
          <w:t>https://www.bhf.org.uk/what-we-do/our-research/heart-statistics/heart-statistics-publications/cardiovascular-disease-statistics-2025</w:t>
        </w:r>
      </w:hyperlink>
      <w:r>
        <w:t xml:space="preserve"> (Accessed: </w:t>
      </w:r>
      <w:r w:rsidR="00D31FF8">
        <w:t>02</w:t>
      </w:r>
      <w:r>
        <w:t xml:space="preserve"> July 2026).</w:t>
      </w:r>
    </w:p>
    <w:p w14:paraId="5AFA64F5" w14:textId="77777777" w:rsidR="00902924" w:rsidRDefault="00902924"/>
    <w:p w14:paraId="53000177" w14:textId="6FAD0271" w:rsidR="00902924" w:rsidRDefault="00902924">
      <w:r>
        <w:t>British Heart Foundation (2025b)</w:t>
      </w:r>
      <w:r w:rsidRPr="0093146A">
        <w:rPr>
          <w:i/>
          <w:iCs/>
        </w:rPr>
        <w:t xml:space="preserve"> Heart Statistics Publications. </w:t>
      </w:r>
      <w:r>
        <w:t xml:space="preserve">London: British Heart Foundation. Available at: </w:t>
      </w:r>
      <w:hyperlink r:id="rId10" w:history="1">
        <w:r w:rsidRPr="000B3B36">
          <w:rPr>
            <w:rStyle w:val="Hyperlink"/>
          </w:rPr>
          <w:t>https://www.bhf.org.uk/what-we-do/our-research/heart-statistics/heart-statistics-publications</w:t>
        </w:r>
      </w:hyperlink>
      <w:r>
        <w:t xml:space="preserve"> (Accessed: 9 July 2026).</w:t>
      </w:r>
    </w:p>
    <w:p w14:paraId="424512BD" w14:textId="77777777" w:rsidR="00902924" w:rsidRDefault="00902924"/>
    <w:p w14:paraId="6EECB4B3" w14:textId="77777777" w:rsidR="00902924" w:rsidRDefault="00902924">
      <w:r>
        <w:t xml:space="preserve">Creswell, J.W. and Creswell, J.D. (2023) </w:t>
      </w:r>
      <w:r w:rsidRPr="00581C15">
        <w:rPr>
          <w:i/>
          <w:iCs/>
        </w:rPr>
        <w:t>Research Design: Qualitative, Quantitative, and Mixed Methods Approaches.</w:t>
      </w:r>
      <w:r>
        <w:t xml:space="preserve"> 6</w:t>
      </w:r>
      <w:r w:rsidRPr="00902924">
        <w:rPr>
          <w:vertAlign w:val="superscript"/>
        </w:rPr>
        <w:t>th</w:t>
      </w:r>
      <w:r>
        <w:t xml:space="preserve"> </w:t>
      </w:r>
      <w:proofErr w:type="spellStart"/>
      <w:r>
        <w:t>edn</w:t>
      </w:r>
      <w:proofErr w:type="spellEnd"/>
      <w:r>
        <w:t>. Thousand Oaks, CA: SAGE.</w:t>
      </w:r>
    </w:p>
    <w:p w14:paraId="09DD2147" w14:textId="77777777" w:rsidR="00902924" w:rsidRDefault="00902924"/>
    <w:p w14:paraId="03526A00" w14:textId="77777777" w:rsidR="00902924" w:rsidRDefault="00902924">
      <w:proofErr w:type="spellStart"/>
      <w:r>
        <w:t>Granikov</w:t>
      </w:r>
      <w:proofErr w:type="spellEnd"/>
      <w:r>
        <w:t xml:space="preserve">, V., Hong, Q.N. and </w:t>
      </w:r>
      <w:proofErr w:type="spellStart"/>
      <w:r>
        <w:t>Pluye</w:t>
      </w:r>
      <w:proofErr w:type="spellEnd"/>
      <w:r>
        <w:t xml:space="preserve">, P. (2022) ‘Mixing qualitative and quantitative evidence in a systematic review: methodological guidance with a worked example of collaborative information monitoring’, in </w:t>
      </w:r>
      <w:proofErr w:type="spellStart"/>
      <w:r>
        <w:t>Ngulube</w:t>
      </w:r>
      <w:proofErr w:type="spellEnd"/>
      <w:r>
        <w:t xml:space="preserve">, P. (ed.) </w:t>
      </w:r>
      <w:r w:rsidRPr="004E520D">
        <w:rPr>
          <w:i/>
          <w:iCs/>
        </w:rPr>
        <w:t>Handbook of Research on Mixed Methods Research in Information Science. Hershey</w:t>
      </w:r>
      <w:r>
        <w:t>, PA: IGI Global, pp. 125–146.</w:t>
      </w:r>
    </w:p>
    <w:p w14:paraId="0BB9473D" w14:textId="77777777" w:rsidR="00902924" w:rsidRDefault="00902924"/>
    <w:p w14:paraId="5DEE9C58" w14:textId="77777777" w:rsidR="00902924" w:rsidRDefault="00902924">
      <w:r>
        <w:t xml:space="preserve">Higgins, J.P.T., Thomas, J., Chandler, J., </w:t>
      </w:r>
      <w:proofErr w:type="spellStart"/>
      <w:r>
        <w:t>Cumpston</w:t>
      </w:r>
      <w:proofErr w:type="spellEnd"/>
      <w:r>
        <w:t xml:space="preserve">, M., Li, T., Page, M.J. and Welch, V.A. (eds.) (2024) </w:t>
      </w:r>
      <w:r w:rsidRPr="00D6316D">
        <w:rPr>
          <w:i/>
          <w:iCs/>
        </w:rPr>
        <w:t>Cochrane Handbook for Systematic Reviews of Interventions</w:t>
      </w:r>
      <w:r>
        <w:t>. Version 6.5. London: Cochrane.</w:t>
      </w:r>
    </w:p>
    <w:p w14:paraId="25F0BABF" w14:textId="77777777" w:rsidR="00902924" w:rsidRDefault="00902924"/>
    <w:p w14:paraId="1F38F353" w14:textId="336BAA81" w:rsidR="00902924" w:rsidRDefault="00902924">
      <w:r>
        <w:t xml:space="preserve">Hong, Q.N., </w:t>
      </w:r>
      <w:proofErr w:type="spellStart"/>
      <w:r>
        <w:t>Pluye</w:t>
      </w:r>
      <w:proofErr w:type="spellEnd"/>
      <w:r>
        <w:t xml:space="preserve">, P., </w:t>
      </w:r>
      <w:proofErr w:type="spellStart"/>
      <w:r>
        <w:t>Fàbregues</w:t>
      </w:r>
      <w:proofErr w:type="spellEnd"/>
      <w:r>
        <w:t xml:space="preserve">, S., Bartlett, G., Boardman, F., Cargo, M., </w:t>
      </w:r>
      <w:proofErr w:type="spellStart"/>
      <w:r>
        <w:t>Dagenais</w:t>
      </w:r>
      <w:proofErr w:type="spellEnd"/>
      <w:r>
        <w:t xml:space="preserve">, P., Gagnon, M.P., Griffiths, F., </w:t>
      </w:r>
      <w:proofErr w:type="spellStart"/>
      <w:r>
        <w:t>Nicolau</w:t>
      </w:r>
      <w:proofErr w:type="spellEnd"/>
      <w:r>
        <w:t xml:space="preserve">, B., </w:t>
      </w:r>
      <w:proofErr w:type="spellStart"/>
      <w:r>
        <w:t>O’Cathain</w:t>
      </w:r>
      <w:proofErr w:type="spellEnd"/>
      <w:r>
        <w:t xml:space="preserve">, A., Rousseau, M.C. and </w:t>
      </w:r>
      <w:proofErr w:type="spellStart"/>
      <w:r>
        <w:t>Vedel</w:t>
      </w:r>
      <w:proofErr w:type="spellEnd"/>
      <w:r>
        <w:t xml:space="preserve">, I. (2018) </w:t>
      </w:r>
      <w:r w:rsidRPr="0031324F">
        <w:rPr>
          <w:i/>
          <w:iCs/>
        </w:rPr>
        <w:t xml:space="preserve">Mixed Methods Appraisal Tool (MMAT), Version 2018: User Guide. </w:t>
      </w:r>
      <w:r>
        <w:t xml:space="preserve">Montreal: McGill University. Available at: </w:t>
      </w:r>
      <w:hyperlink r:id="rId11" w:history="1">
        <w:r w:rsidRPr="000B3B36">
          <w:rPr>
            <w:rStyle w:val="Hyperlink"/>
          </w:rPr>
          <w:t>https://mixedmethodsappraisaltoolpublic.pbworks.com</w:t>
        </w:r>
      </w:hyperlink>
      <w:r>
        <w:t xml:space="preserve"> (Accessed: </w:t>
      </w:r>
      <w:r w:rsidR="00235D14">
        <w:t>14 J</w:t>
      </w:r>
      <w:r>
        <w:t>uly 2026).</w:t>
      </w:r>
    </w:p>
    <w:p w14:paraId="66DB8AFF" w14:textId="77777777" w:rsidR="00902924" w:rsidRDefault="00902924"/>
    <w:p w14:paraId="0F703C4B" w14:textId="061F90AD" w:rsidR="00902924" w:rsidRDefault="00902924">
      <w:r>
        <w:t xml:space="preserve">International Organization for Migration (2024) </w:t>
      </w:r>
      <w:r w:rsidRPr="00950939">
        <w:rPr>
          <w:i/>
          <w:iCs/>
        </w:rPr>
        <w:t xml:space="preserve">World Migration Report 2024. Geneva: International Organization for Migration. </w:t>
      </w:r>
      <w:r>
        <w:t xml:space="preserve">Available at: </w:t>
      </w:r>
      <w:hyperlink r:id="rId12" w:history="1">
        <w:r w:rsidRPr="000B3B36">
          <w:rPr>
            <w:rStyle w:val="Hyperlink"/>
          </w:rPr>
          <w:t>https://publications.iom.int/books/world-migration-report-2024</w:t>
        </w:r>
      </w:hyperlink>
      <w:r>
        <w:t xml:space="preserve"> (Accessed: 1</w:t>
      </w:r>
      <w:r w:rsidR="004438A0">
        <w:t>2 J</w:t>
      </w:r>
      <w:r>
        <w:t>uly 2026).</w:t>
      </w:r>
    </w:p>
    <w:p w14:paraId="5FC5D30D" w14:textId="77777777" w:rsidR="00902924" w:rsidRDefault="00902924"/>
    <w:p w14:paraId="433E7057" w14:textId="48C5D61B" w:rsidR="00902924" w:rsidRDefault="00902924">
      <w:r>
        <w:t xml:space="preserve">Ismail, S.U., </w:t>
      </w:r>
      <w:proofErr w:type="spellStart"/>
      <w:r>
        <w:t>Asamane</w:t>
      </w:r>
      <w:proofErr w:type="spellEnd"/>
      <w:r>
        <w:t xml:space="preserve">, E.A., </w:t>
      </w:r>
      <w:proofErr w:type="spellStart"/>
      <w:r>
        <w:t>Osei-Kwasi</w:t>
      </w:r>
      <w:proofErr w:type="spellEnd"/>
      <w:r>
        <w:t xml:space="preserve">, H.A. and </w:t>
      </w:r>
      <w:proofErr w:type="spellStart"/>
      <w:r>
        <w:t>Boateng</w:t>
      </w:r>
      <w:proofErr w:type="spellEnd"/>
      <w:r>
        <w:t xml:space="preserve">, D. (2022) ‘Socioeconomic determinants of cardiovascular diseases, obesity, and diabetes among migrants in the United Kingdom: a systematic review’, </w:t>
      </w:r>
      <w:r w:rsidRPr="00BB2F94">
        <w:rPr>
          <w:i/>
          <w:iCs/>
        </w:rPr>
        <w:t xml:space="preserve">International Journal of Environmental Research and Public Health, </w:t>
      </w:r>
      <w:r>
        <w:t xml:space="preserve">19(5), article 3070. Available at: </w:t>
      </w:r>
      <w:hyperlink r:id="rId13" w:history="1">
        <w:r w:rsidRPr="000B3B36">
          <w:rPr>
            <w:rStyle w:val="Hyperlink"/>
          </w:rPr>
          <w:t>https://doi.org/10.3390/ijerph19053070</w:t>
        </w:r>
      </w:hyperlink>
      <w:r>
        <w:t>.</w:t>
      </w:r>
    </w:p>
    <w:p w14:paraId="4D68928B" w14:textId="77777777" w:rsidR="00902924" w:rsidRDefault="00902924"/>
    <w:p w14:paraId="3FCACFA3" w14:textId="14B8EBFA" w:rsidR="00902924" w:rsidRDefault="00902924">
      <w:r>
        <w:t xml:space="preserve">Levesque, J.F., Harris, M.F. and Russell, G. (2013) ‘Patient-centred access to health care: conceptualising access at the interface of health systems and populations’, </w:t>
      </w:r>
      <w:r w:rsidRPr="00696E1F">
        <w:rPr>
          <w:i/>
          <w:iCs/>
        </w:rPr>
        <w:t>International Journal for Equity in Health</w:t>
      </w:r>
      <w:r>
        <w:t xml:space="preserve">, 12, article 18. Available at: </w:t>
      </w:r>
      <w:hyperlink r:id="rId14" w:history="1">
        <w:r w:rsidRPr="000B3B36">
          <w:rPr>
            <w:rStyle w:val="Hyperlink"/>
          </w:rPr>
          <w:t>https://doi.org/10.1186/1475-9276-12-18</w:t>
        </w:r>
      </w:hyperlink>
      <w:r>
        <w:t>.</w:t>
      </w:r>
    </w:p>
    <w:p w14:paraId="628C84B1" w14:textId="77777777" w:rsidR="00902924" w:rsidRDefault="00902924"/>
    <w:p w14:paraId="43CB6A65" w14:textId="19752361" w:rsidR="00902924" w:rsidRDefault="00902924">
      <w:r>
        <w:t xml:space="preserve">Mackay, A., Ashworth, M. And White, P. (2017) ‘The role of spoken language in cardiovascular health inequalities: a cross-sectional study of people with non-English language preference’, </w:t>
      </w:r>
      <w:r w:rsidRPr="00997DDC">
        <w:rPr>
          <w:i/>
          <w:iCs/>
        </w:rPr>
        <w:t>BJGP Open,</w:t>
      </w:r>
      <w:r>
        <w:t xml:space="preserve"> 1(4). Available at: </w:t>
      </w:r>
      <w:hyperlink r:id="rId15" w:history="1">
        <w:r w:rsidRPr="000B3B36">
          <w:rPr>
            <w:rStyle w:val="Hyperlink"/>
          </w:rPr>
          <w:t>https://doi.org/10.3399/bjgpopen17X101241</w:t>
        </w:r>
      </w:hyperlink>
      <w:r>
        <w:t>.</w:t>
      </w:r>
    </w:p>
    <w:p w14:paraId="6DBD7456" w14:textId="77777777" w:rsidR="00902924" w:rsidRDefault="00902924"/>
    <w:p w14:paraId="18250AAB" w14:textId="6BAF7818" w:rsidR="00902924" w:rsidRDefault="00902924">
      <w:proofErr w:type="spellStart"/>
      <w:r>
        <w:t>Mainous</w:t>
      </w:r>
      <w:proofErr w:type="spellEnd"/>
      <w:r>
        <w:t xml:space="preserve">, A.G. III, Baker, R., </w:t>
      </w:r>
      <w:proofErr w:type="spellStart"/>
      <w:r>
        <w:t>Majeed</w:t>
      </w:r>
      <w:proofErr w:type="spellEnd"/>
      <w:r>
        <w:t xml:space="preserve">, A., </w:t>
      </w:r>
      <w:proofErr w:type="spellStart"/>
      <w:r>
        <w:t>Koopman</w:t>
      </w:r>
      <w:proofErr w:type="spellEnd"/>
      <w:r>
        <w:t xml:space="preserve">, R.J., Everett, C.J., </w:t>
      </w:r>
      <w:proofErr w:type="spellStart"/>
      <w:r>
        <w:t>Saxena</w:t>
      </w:r>
      <w:proofErr w:type="spellEnd"/>
      <w:r>
        <w:t xml:space="preserve">, S. And Tilley, B.C. (2006) ‘English language skills and diabetes and hypertension among foreign-born South Asian adults in England’, </w:t>
      </w:r>
      <w:r w:rsidRPr="00997DDC">
        <w:rPr>
          <w:i/>
          <w:iCs/>
        </w:rPr>
        <w:t>Public Health Reports</w:t>
      </w:r>
      <w:r>
        <w:t xml:space="preserve">, 121(3), pp. 331–336. Available at: </w:t>
      </w:r>
      <w:hyperlink r:id="rId16" w:history="1">
        <w:r w:rsidRPr="000B3B36">
          <w:rPr>
            <w:rStyle w:val="Hyperlink"/>
          </w:rPr>
          <w:t>https://doi.org/10.1177/003335490612100312</w:t>
        </w:r>
      </w:hyperlink>
      <w:r>
        <w:t>.</w:t>
      </w:r>
    </w:p>
    <w:p w14:paraId="60170C86" w14:textId="77777777" w:rsidR="00902924" w:rsidRDefault="00902924"/>
    <w:p w14:paraId="6F4858AD" w14:textId="4D8469BB" w:rsidR="00902924" w:rsidRDefault="00902924">
      <w:r>
        <w:t xml:space="preserve">Marmot, M., Allen, J., Boyce, T., </w:t>
      </w:r>
      <w:proofErr w:type="spellStart"/>
      <w:r>
        <w:t>Goldblatt</w:t>
      </w:r>
      <w:proofErr w:type="spellEnd"/>
      <w:r>
        <w:t>, P. And Morrison, J. (2020)</w:t>
      </w:r>
      <w:r w:rsidRPr="00A00C36">
        <w:rPr>
          <w:i/>
          <w:iCs/>
        </w:rPr>
        <w:t xml:space="preserve"> Health Equity in England: The Marmot Review 10 Years On. </w:t>
      </w:r>
      <w:r>
        <w:t xml:space="preserve">London: Institute of Health Equity. Available at: </w:t>
      </w:r>
      <w:hyperlink r:id="rId17" w:history="1">
        <w:r w:rsidRPr="000B3B36">
          <w:rPr>
            <w:rStyle w:val="Hyperlink"/>
          </w:rPr>
          <w:t>https://www.instituteofhealthequity.org/resources-reports/marmot-review-10-years-on</w:t>
        </w:r>
      </w:hyperlink>
      <w:r>
        <w:t xml:space="preserve"> (Accessed: </w:t>
      </w:r>
      <w:r w:rsidR="00234203">
        <w:t>08</w:t>
      </w:r>
      <w:r>
        <w:t xml:space="preserve"> July 2026).</w:t>
      </w:r>
    </w:p>
    <w:p w14:paraId="457EE98C" w14:textId="77777777" w:rsidR="00902924" w:rsidRDefault="00902924"/>
    <w:p w14:paraId="30D26DB6" w14:textId="7949DE59" w:rsidR="00902924" w:rsidRDefault="00902924">
      <w:r>
        <w:t>NHS England (</w:t>
      </w:r>
      <w:proofErr w:type="spellStart"/>
      <w:r>
        <w:t>n.d.</w:t>
      </w:r>
      <w:proofErr w:type="spellEnd"/>
      <w:r>
        <w:t xml:space="preserve">) </w:t>
      </w:r>
      <w:r w:rsidRPr="00475275">
        <w:rPr>
          <w:i/>
          <w:iCs/>
        </w:rPr>
        <w:t>Core20PLUS5 (adults): an approach to reducing healthcare inequalities</w:t>
      </w:r>
      <w:r>
        <w:t xml:space="preserve">. Available at: </w:t>
      </w:r>
      <w:hyperlink r:id="rId18" w:history="1">
        <w:r w:rsidRPr="000B3B36">
          <w:rPr>
            <w:rStyle w:val="Hyperlink"/>
          </w:rPr>
          <w:t>https://www.england.nhs.uk/about/equality/equality-hub/national-healthcare-inequalities-improvement-programme/core20plus5/</w:t>
        </w:r>
      </w:hyperlink>
      <w:r>
        <w:t xml:space="preserve"> (Accessed: 20 July 2026).</w:t>
      </w:r>
    </w:p>
    <w:p w14:paraId="13C7AE65" w14:textId="77777777" w:rsidR="00902924" w:rsidRDefault="00902924"/>
    <w:p w14:paraId="6E7A12E8" w14:textId="0B8BDAA8" w:rsidR="00902924" w:rsidRDefault="00902924">
      <w:proofErr w:type="spellStart"/>
      <w:r>
        <w:t>Nutbeam</w:t>
      </w:r>
      <w:proofErr w:type="spellEnd"/>
      <w:r>
        <w:t>, D. (2000) ‘Health literacy as a public health goal: a challenge for contemporary health education and communication strategies into the 21</w:t>
      </w:r>
      <w:r w:rsidRPr="00902924">
        <w:rPr>
          <w:vertAlign w:val="superscript"/>
        </w:rPr>
        <w:t>st</w:t>
      </w:r>
      <w:r>
        <w:t xml:space="preserve"> century’, </w:t>
      </w:r>
      <w:r w:rsidRPr="0003218F">
        <w:rPr>
          <w:i/>
          <w:iCs/>
        </w:rPr>
        <w:t xml:space="preserve">Health Promotion International, </w:t>
      </w:r>
      <w:r>
        <w:t xml:space="preserve">15(3), pp. 259–267. Available at: </w:t>
      </w:r>
      <w:hyperlink r:id="rId19" w:history="1">
        <w:r w:rsidRPr="000B3B36">
          <w:rPr>
            <w:rStyle w:val="Hyperlink"/>
          </w:rPr>
          <w:t>https://doi.org/10.1093/heapro/15.3.259</w:t>
        </w:r>
      </w:hyperlink>
      <w:r>
        <w:t>.</w:t>
      </w:r>
    </w:p>
    <w:p w14:paraId="5C3453A7" w14:textId="77777777" w:rsidR="00902924" w:rsidRDefault="00902924"/>
    <w:p w14:paraId="5E7A13CB" w14:textId="6803BF88" w:rsidR="00902924" w:rsidRDefault="00902924">
      <w:r>
        <w:t xml:space="preserve">Office for Health Improvement and Disparities (2024) </w:t>
      </w:r>
      <w:r w:rsidRPr="00560753">
        <w:rPr>
          <w:i/>
          <w:iCs/>
        </w:rPr>
        <w:t xml:space="preserve">Cardiovascular disease profiles: December 2024 update. London: Department of Health and Social Care. </w:t>
      </w:r>
      <w:r>
        <w:t xml:space="preserve">Available at: </w:t>
      </w:r>
      <w:hyperlink r:id="rId20" w:history="1">
        <w:r w:rsidRPr="000B3B36">
          <w:rPr>
            <w:rStyle w:val="Hyperlink"/>
          </w:rPr>
          <w:t>https://www.gov.uk/government/statistics/cardiovascular-disease-profiles-december-2024-update</w:t>
        </w:r>
      </w:hyperlink>
      <w:r>
        <w:t xml:space="preserve"> (Accessed: </w:t>
      </w:r>
      <w:r w:rsidR="00587EAB">
        <w:t>13</w:t>
      </w:r>
      <w:r>
        <w:t xml:space="preserve"> July 2026).</w:t>
      </w:r>
    </w:p>
    <w:p w14:paraId="0C5642B1" w14:textId="77777777" w:rsidR="00902924" w:rsidRDefault="00902924"/>
    <w:p w14:paraId="64494203" w14:textId="294A5C32" w:rsidR="00902924" w:rsidRDefault="00902924">
      <w:r>
        <w:t xml:space="preserve">Page, M.J., McKenzie, J.E., </w:t>
      </w:r>
      <w:proofErr w:type="spellStart"/>
      <w:r>
        <w:t>Bossuyt</w:t>
      </w:r>
      <w:proofErr w:type="spellEnd"/>
      <w:r>
        <w:t xml:space="preserve">, P.M., </w:t>
      </w:r>
      <w:proofErr w:type="spellStart"/>
      <w:r>
        <w:t>Boutron</w:t>
      </w:r>
      <w:proofErr w:type="spellEnd"/>
      <w:r>
        <w:t xml:space="preserve">, I., Hoffmann, T.C., </w:t>
      </w:r>
      <w:proofErr w:type="spellStart"/>
      <w:r>
        <w:t>Mulrow</w:t>
      </w:r>
      <w:proofErr w:type="spellEnd"/>
      <w:r>
        <w:t xml:space="preserve">, C.D., </w:t>
      </w:r>
      <w:proofErr w:type="spellStart"/>
      <w:r>
        <w:t>Shamseer</w:t>
      </w:r>
      <w:proofErr w:type="spellEnd"/>
      <w:r>
        <w:t xml:space="preserve">, L., </w:t>
      </w:r>
      <w:proofErr w:type="spellStart"/>
      <w:r>
        <w:t>Tetzlaff</w:t>
      </w:r>
      <w:proofErr w:type="spellEnd"/>
      <w:r>
        <w:t xml:space="preserve">, J.M., </w:t>
      </w:r>
      <w:proofErr w:type="spellStart"/>
      <w:r>
        <w:t>Akl</w:t>
      </w:r>
      <w:proofErr w:type="spellEnd"/>
      <w:r>
        <w:t xml:space="preserve">, E.A., Brennan, S.E., Chou, R., Glanville, J., </w:t>
      </w:r>
      <w:proofErr w:type="spellStart"/>
      <w:r>
        <w:t>Grimshaw</w:t>
      </w:r>
      <w:proofErr w:type="spellEnd"/>
      <w:r>
        <w:t xml:space="preserve">, J.M., </w:t>
      </w:r>
      <w:proofErr w:type="spellStart"/>
      <w:r>
        <w:t>Hróbjartsson</w:t>
      </w:r>
      <w:proofErr w:type="spellEnd"/>
      <w:r>
        <w:t xml:space="preserve">, A., </w:t>
      </w:r>
      <w:proofErr w:type="spellStart"/>
      <w:r>
        <w:t>Lalu</w:t>
      </w:r>
      <w:proofErr w:type="spellEnd"/>
      <w:r>
        <w:t xml:space="preserve">, M.M., Li, T., </w:t>
      </w:r>
      <w:proofErr w:type="spellStart"/>
      <w:r>
        <w:t>Loder</w:t>
      </w:r>
      <w:proofErr w:type="spellEnd"/>
      <w:r>
        <w:t xml:space="preserve">, E.W., Mayo-Wilson, E., McDonald, S., McGuinness, L.A., Stewart, L.A., Thomas, J., </w:t>
      </w:r>
      <w:proofErr w:type="spellStart"/>
      <w:r>
        <w:t>Tricco</w:t>
      </w:r>
      <w:proofErr w:type="spellEnd"/>
      <w:r>
        <w:t xml:space="preserve">, A.C., Welch, V.A., Whiting, P. And </w:t>
      </w:r>
      <w:proofErr w:type="spellStart"/>
      <w:r>
        <w:t>Moher</w:t>
      </w:r>
      <w:proofErr w:type="spellEnd"/>
      <w:r>
        <w:t xml:space="preserve">, D. (2021) ‘The PRISMA 2020 statement: an updated guideline for reporting systematic reviews’, </w:t>
      </w:r>
      <w:r w:rsidRPr="00A92AC4">
        <w:rPr>
          <w:i/>
          <w:iCs/>
        </w:rPr>
        <w:t>BMJ</w:t>
      </w:r>
      <w:r>
        <w:t xml:space="preserve">, 372, n71. Available at: </w:t>
      </w:r>
      <w:hyperlink r:id="rId21" w:history="1">
        <w:r w:rsidRPr="000B3B36">
          <w:rPr>
            <w:rStyle w:val="Hyperlink"/>
          </w:rPr>
          <w:t>https://doi.org/10.1136/bmj.n71</w:t>
        </w:r>
      </w:hyperlink>
      <w:r>
        <w:t>.</w:t>
      </w:r>
    </w:p>
    <w:p w14:paraId="69765264" w14:textId="77777777" w:rsidR="00902924" w:rsidRDefault="00902924"/>
    <w:p w14:paraId="7B43B658" w14:textId="1E562ED9" w:rsidR="00902924" w:rsidRDefault="00902924">
      <w:proofErr w:type="spellStart"/>
      <w:r>
        <w:t>Phung</w:t>
      </w:r>
      <w:proofErr w:type="spellEnd"/>
      <w:r>
        <w:t xml:space="preserve">, V.H., </w:t>
      </w:r>
      <w:proofErr w:type="spellStart"/>
      <w:r>
        <w:t>Asghar</w:t>
      </w:r>
      <w:proofErr w:type="spellEnd"/>
      <w:r>
        <w:t xml:space="preserve">, Z., </w:t>
      </w:r>
      <w:proofErr w:type="spellStart"/>
      <w:r>
        <w:t>Matiti</w:t>
      </w:r>
      <w:proofErr w:type="spellEnd"/>
      <w:r>
        <w:t xml:space="preserve">, M. And </w:t>
      </w:r>
      <w:proofErr w:type="spellStart"/>
      <w:r>
        <w:t>Siriwardena</w:t>
      </w:r>
      <w:proofErr w:type="spellEnd"/>
      <w:r>
        <w:t xml:space="preserve">, A.N. (2020) ‘Understanding how Eastern European migrants use and experience UK health services: a systematic scoping review’, </w:t>
      </w:r>
      <w:r w:rsidRPr="00033DBF">
        <w:rPr>
          <w:i/>
          <w:iCs/>
        </w:rPr>
        <w:t>BMC Health Services Researc</w:t>
      </w:r>
      <w:r>
        <w:t xml:space="preserve">h, 20, article 173. Available at: </w:t>
      </w:r>
      <w:hyperlink r:id="rId22" w:history="1">
        <w:r w:rsidRPr="000B3B36">
          <w:rPr>
            <w:rStyle w:val="Hyperlink"/>
          </w:rPr>
          <w:t>https://doi.org/10.1186/s12913-020-4987-z</w:t>
        </w:r>
      </w:hyperlink>
      <w:r>
        <w:t>.</w:t>
      </w:r>
    </w:p>
    <w:p w14:paraId="6FB73D03" w14:textId="77777777" w:rsidR="00902924" w:rsidRDefault="00902924"/>
    <w:p w14:paraId="63AC7D45" w14:textId="37520003" w:rsidR="00902924" w:rsidRDefault="00902924">
      <w:proofErr w:type="spellStart"/>
      <w:r>
        <w:t>Popay</w:t>
      </w:r>
      <w:proofErr w:type="spellEnd"/>
      <w:r>
        <w:t xml:space="preserve">, J., Roberts, H., Sowden, A., </w:t>
      </w:r>
      <w:proofErr w:type="spellStart"/>
      <w:r>
        <w:t>Petticrew</w:t>
      </w:r>
      <w:proofErr w:type="spellEnd"/>
      <w:r>
        <w:t xml:space="preserve">, M., Arai, L., Rodgers, M., Britten, N., </w:t>
      </w:r>
      <w:proofErr w:type="spellStart"/>
      <w:r>
        <w:t>Roen</w:t>
      </w:r>
      <w:proofErr w:type="spellEnd"/>
      <w:r>
        <w:t xml:space="preserve">, K. And Duffy, S. (2006) </w:t>
      </w:r>
      <w:r w:rsidRPr="00456C21">
        <w:rPr>
          <w:i/>
          <w:iCs/>
        </w:rPr>
        <w:t>Guidance on the Conduct of Narrative Synthesis in Systematic Reviews: A Product from the ESRC Methods Programme</w:t>
      </w:r>
      <w:r>
        <w:t xml:space="preserve">. Lancaster: Lancaster University. Available at: </w:t>
      </w:r>
      <w:hyperlink r:id="rId23" w:history="1">
        <w:r w:rsidRPr="000B3B36">
          <w:rPr>
            <w:rStyle w:val="Hyperlink"/>
          </w:rPr>
          <w:t>https://www.lancaster.ac.uk/media/lancaster-university/content-assets/documents/fhm/dhr/chir/NSsynthesisguidanceVersion1-April2006.pdf</w:t>
        </w:r>
      </w:hyperlink>
      <w:r>
        <w:t xml:space="preserve"> (Accessed: 9 July 2026).</w:t>
      </w:r>
    </w:p>
    <w:p w14:paraId="6B4EB088" w14:textId="77777777" w:rsidR="00902924" w:rsidRDefault="00902924"/>
    <w:p w14:paraId="44D743E6" w14:textId="7C3CE045" w:rsidR="00902924" w:rsidRDefault="00902924">
      <w:r>
        <w:t xml:space="preserve">Saunders, M., Lewis, P. And Thornhill, A. (2023) </w:t>
      </w:r>
      <w:r w:rsidRPr="009809AA">
        <w:rPr>
          <w:i/>
          <w:iCs/>
        </w:rPr>
        <w:t xml:space="preserve">Research Methods for Business Students. </w:t>
      </w:r>
      <w:r>
        <w:t>9</w:t>
      </w:r>
      <w:r w:rsidRPr="00902924">
        <w:rPr>
          <w:vertAlign w:val="superscript"/>
        </w:rPr>
        <w:t>th</w:t>
      </w:r>
      <w:r>
        <w:t xml:space="preserve"> </w:t>
      </w:r>
      <w:proofErr w:type="spellStart"/>
      <w:r>
        <w:t>edn</w:t>
      </w:r>
      <w:proofErr w:type="spellEnd"/>
      <w:r>
        <w:t>. Harlow: Pearson.</w:t>
      </w:r>
    </w:p>
    <w:p w14:paraId="11549703" w14:textId="77777777" w:rsidR="00902924" w:rsidRDefault="00902924"/>
    <w:p w14:paraId="75321A5D" w14:textId="6DC7993B" w:rsidR="00902924" w:rsidRDefault="00902924">
      <w:r>
        <w:t xml:space="preserve">Schultz, W.M., Kelli, H.M., </w:t>
      </w:r>
      <w:proofErr w:type="spellStart"/>
      <w:r>
        <w:t>Lisko</w:t>
      </w:r>
      <w:proofErr w:type="spellEnd"/>
      <w:r>
        <w:t xml:space="preserve">, J.C., Varghese, T., Shen, J., </w:t>
      </w:r>
      <w:proofErr w:type="spellStart"/>
      <w:r>
        <w:t>Sandesara</w:t>
      </w:r>
      <w:proofErr w:type="spellEnd"/>
      <w:r>
        <w:t xml:space="preserve">, P., </w:t>
      </w:r>
      <w:proofErr w:type="spellStart"/>
      <w:r>
        <w:t>Quyyumi</w:t>
      </w:r>
      <w:proofErr w:type="spellEnd"/>
      <w:r>
        <w:t xml:space="preserve">, A.A., Taylor, H.A., Gulati, M., Harold, J.G., </w:t>
      </w:r>
      <w:proofErr w:type="spellStart"/>
      <w:r>
        <w:t>Mieres</w:t>
      </w:r>
      <w:proofErr w:type="spellEnd"/>
      <w:r>
        <w:t xml:space="preserve">, J.H., Ferdinand, K.C. and Mensah, G.A. (2018) ‘Socioeconomic status and cardiovascular outcomes: challenges and interventions’, </w:t>
      </w:r>
      <w:r w:rsidRPr="002511D2">
        <w:rPr>
          <w:i/>
          <w:iCs/>
        </w:rPr>
        <w:t>Circulation</w:t>
      </w:r>
      <w:r>
        <w:t xml:space="preserve">, 137(20), pp. 2166–2178. Available at: </w:t>
      </w:r>
      <w:hyperlink r:id="rId24" w:history="1">
        <w:r w:rsidRPr="000B3B36">
          <w:rPr>
            <w:rStyle w:val="Hyperlink"/>
          </w:rPr>
          <w:t>https://doi.org/10.1161/CIRCULATIONAHA.117.029652</w:t>
        </w:r>
      </w:hyperlink>
      <w:r>
        <w:t>.</w:t>
      </w:r>
    </w:p>
    <w:p w14:paraId="1E2A5E8B" w14:textId="77777777" w:rsidR="00902924" w:rsidRDefault="00902924"/>
    <w:p w14:paraId="5A79BE9B" w14:textId="7EDAAD29" w:rsidR="00902924" w:rsidRDefault="00902924">
      <w:proofErr w:type="spellStart"/>
      <w:r>
        <w:t>Sørensen</w:t>
      </w:r>
      <w:proofErr w:type="spellEnd"/>
      <w:r>
        <w:t xml:space="preserve">, K., Van den </w:t>
      </w:r>
      <w:proofErr w:type="spellStart"/>
      <w:r>
        <w:t>Broucke</w:t>
      </w:r>
      <w:proofErr w:type="spellEnd"/>
      <w:r>
        <w:t xml:space="preserve">, S., </w:t>
      </w:r>
      <w:proofErr w:type="spellStart"/>
      <w:r>
        <w:t>Fullam</w:t>
      </w:r>
      <w:proofErr w:type="spellEnd"/>
      <w:r>
        <w:t xml:space="preserve">, J., Doyle, G., </w:t>
      </w:r>
      <w:proofErr w:type="spellStart"/>
      <w:r>
        <w:t>Pelikan</w:t>
      </w:r>
      <w:proofErr w:type="spellEnd"/>
      <w:r>
        <w:t xml:space="preserve">, J., </w:t>
      </w:r>
      <w:proofErr w:type="spellStart"/>
      <w:r>
        <w:t>Slonska</w:t>
      </w:r>
      <w:proofErr w:type="spellEnd"/>
      <w:r>
        <w:t xml:space="preserve">, Z. And Brand, H. (2012) ‘Health literacy and public health: a systematic review and integration of definitions and models’, BMC Public Health, 12, article 80. Available at: </w:t>
      </w:r>
      <w:hyperlink r:id="rId25" w:history="1">
        <w:r w:rsidRPr="000B3B36">
          <w:rPr>
            <w:rStyle w:val="Hyperlink"/>
          </w:rPr>
          <w:t>https://doi.org/10.1186/1471-2458-12-80</w:t>
        </w:r>
      </w:hyperlink>
      <w:r>
        <w:t>.</w:t>
      </w:r>
    </w:p>
    <w:p w14:paraId="0B921E6C" w14:textId="77777777" w:rsidR="00902924" w:rsidRDefault="00902924"/>
    <w:p w14:paraId="7FA5CE1A" w14:textId="09F585F6" w:rsidR="00902924" w:rsidRDefault="00902924">
      <w:r>
        <w:t xml:space="preserve">Stern, C., </w:t>
      </w:r>
      <w:proofErr w:type="spellStart"/>
      <w:r>
        <w:t>Lizarondo</w:t>
      </w:r>
      <w:proofErr w:type="spellEnd"/>
      <w:r>
        <w:t xml:space="preserve">, L., Carrier, J., Godfrey, C., </w:t>
      </w:r>
      <w:proofErr w:type="spellStart"/>
      <w:r>
        <w:t>Rieger</w:t>
      </w:r>
      <w:proofErr w:type="spellEnd"/>
      <w:r>
        <w:t xml:space="preserve">, K., Salmond, S., </w:t>
      </w:r>
      <w:proofErr w:type="spellStart"/>
      <w:r>
        <w:t>Apostolo</w:t>
      </w:r>
      <w:proofErr w:type="spellEnd"/>
      <w:r>
        <w:t xml:space="preserve">, J., Kirkpatrick, P. And </w:t>
      </w:r>
      <w:proofErr w:type="spellStart"/>
      <w:r>
        <w:t>Loveday</w:t>
      </w:r>
      <w:proofErr w:type="spellEnd"/>
      <w:r>
        <w:t xml:space="preserve">, H. (2020) ‘Methodological guidance for the conduct of mixed methods systematic reviews’, JBI Evidence Synthesis, 18(10), pp. 2108–2118. Available at: </w:t>
      </w:r>
      <w:hyperlink r:id="rId26" w:history="1">
        <w:r w:rsidRPr="000B3B36">
          <w:rPr>
            <w:rStyle w:val="Hyperlink"/>
          </w:rPr>
          <w:t>https://doi.org/10.11124/JBISRIR-D-19-00169</w:t>
        </w:r>
      </w:hyperlink>
      <w:r>
        <w:t>.</w:t>
      </w:r>
    </w:p>
    <w:p w14:paraId="16E0B67B" w14:textId="77777777" w:rsidR="00902924" w:rsidRDefault="00902924"/>
    <w:p w14:paraId="45C549E6" w14:textId="33539357" w:rsidR="00902924" w:rsidRDefault="00902924">
      <w:r>
        <w:t>The King’s Fund (2023</w:t>
      </w:r>
      <w:r w:rsidRPr="006F4614">
        <w:rPr>
          <w:i/>
          <w:iCs/>
        </w:rPr>
        <w:t>) The health of people from ethnic minority groups in England. London: The King’s Fund</w:t>
      </w:r>
      <w:r>
        <w:t xml:space="preserve">. Available at: </w:t>
      </w:r>
      <w:hyperlink r:id="rId27" w:history="1">
        <w:r w:rsidRPr="000B3B36">
          <w:rPr>
            <w:rStyle w:val="Hyperlink"/>
          </w:rPr>
          <w:t>https://www.kingsfund.org.uk/insight-and-analysis/long-reads/health-people-ethnic-minority-groups-england</w:t>
        </w:r>
      </w:hyperlink>
      <w:r>
        <w:t xml:space="preserve"> (Accessed: 1</w:t>
      </w:r>
      <w:r w:rsidR="00440FA1">
        <w:t>0 J</w:t>
      </w:r>
      <w:r>
        <w:t>uly 2026).</w:t>
      </w:r>
    </w:p>
    <w:p w14:paraId="3CB0E5C1" w14:textId="77777777" w:rsidR="00902924" w:rsidRDefault="00902924"/>
    <w:p w14:paraId="696AF7D9" w14:textId="2F14D02C" w:rsidR="00902924" w:rsidRDefault="00902924">
      <w:r>
        <w:t xml:space="preserve">Thomas, J. And Harden, A. (2008) ‘Methods for the thematic synthesis of qualitative research in systematic reviews’, </w:t>
      </w:r>
      <w:r w:rsidRPr="004C3ED9">
        <w:rPr>
          <w:i/>
          <w:iCs/>
        </w:rPr>
        <w:t xml:space="preserve">BMC Medical Research Methodology, </w:t>
      </w:r>
      <w:r>
        <w:t xml:space="preserve">8, article 45. Available at: </w:t>
      </w:r>
      <w:hyperlink r:id="rId28" w:history="1">
        <w:r w:rsidRPr="000B3B36">
          <w:rPr>
            <w:rStyle w:val="Hyperlink"/>
          </w:rPr>
          <w:t>https://doi.org/10.1186/1471-2288-8-45</w:t>
        </w:r>
      </w:hyperlink>
      <w:r>
        <w:t>.</w:t>
      </w:r>
    </w:p>
    <w:p w14:paraId="47B33EC3" w14:textId="77777777" w:rsidR="00902924" w:rsidRDefault="00902924"/>
    <w:p w14:paraId="427B8D24" w14:textId="10AA1F4C" w:rsidR="00902924" w:rsidRDefault="00902924">
      <w:r>
        <w:t xml:space="preserve">World Health Organization (2024) </w:t>
      </w:r>
      <w:r w:rsidRPr="00262BF4">
        <w:rPr>
          <w:i/>
          <w:iCs/>
        </w:rPr>
        <w:t>Social determinants of health</w:t>
      </w:r>
      <w:r>
        <w:t xml:space="preserve">. Geneva: World Health Organization. Available at: </w:t>
      </w:r>
      <w:hyperlink r:id="rId29" w:history="1">
        <w:r w:rsidRPr="000B3B36">
          <w:rPr>
            <w:rStyle w:val="Hyperlink"/>
          </w:rPr>
          <w:t>https://www.who.int/health-topics/social-determinants-of-health</w:t>
        </w:r>
      </w:hyperlink>
      <w:r>
        <w:t xml:space="preserve"> (Accessed: 1</w:t>
      </w:r>
      <w:r w:rsidR="00587EAB">
        <w:t xml:space="preserve">3 </w:t>
      </w:r>
      <w:r>
        <w:t>July 2026).</w:t>
      </w:r>
    </w:p>
    <w:p w14:paraId="18E270CD" w14:textId="77777777" w:rsidR="00902924" w:rsidRDefault="00902924"/>
    <w:p w14:paraId="420E3054" w14:textId="59840390" w:rsidR="00902924" w:rsidRDefault="00902924">
      <w:r>
        <w:t xml:space="preserve">World Health Organization (2025) </w:t>
      </w:r>
      <w:r w:rsidRPr="00262BF4">
        <w:rPr>
          <w:i/>
          <w:iCs/>
        </w:rPr>
        <w:t>Cardiovascular diseases (CVDs)</w:t>
      </w:r>
      <w:r>
        <w:t xml:space="preserve">. Geneva: World Health Organization. Available at: </w:t>
      </w:r>
      <w:hyperlink r:id="rId30" w:history="1">
        <w:r w:rsidRPr="000B3B36">
          <w:rPr>
            <w:rStyle w:val="Hyperlink"/>
          </w:rPr>
          <w:t>https://www.who.int/news-room/fact-sheets/detail/cardiovascular-diseases-(cvds)</w:t>
        </w:r>
      </w:hyperlink>
      <w:r>
        <w:t xml:space="preserve"> (Accessed: 1</w:t>
      </w:r>
      <w:r w:rsidR="00587EAB">
        <w:t>5</w:t>
      </w:r>
      <w:r>
        <w:t xml:space="preserve"> July 2026).</w:t>
      </w:r>
    </w:p>
    <w:p w14:paraId="3560E7C6" w14:textId="77777777" w:rsidR="00902924" w:rsidRDefault="00902924"/>
    <w:p w14:paraId="61A867ED" w14:textId="320B326A" w:rsidR="00902924" w:rsidRDefault="00902924">
      <w:r>
        <w:t xml:space="preserve">Yusuf, S., Reddy, S., </w:t>
      </w:r>
      <w:proofErr w:type="spellStart"/>
      <w:r>
        <w:t>Ôunpuu</w:t>
      </w:r>
      <w:proofErr w:type="spellEnd"/>
      <w:r>
        <w:t xml:space="preserve">, S. And </w:t>
      </w:r>
      <w:proofErr w:type="spellStart"/>
      <w:r>
        <w:t>Anand</w:t>
      </w:r>
      <w:proofErr w:type="spellEnd"/>
      <w:r>
        <w:t xml:space="preserve">, S. (2001) ‘Global burden of cardiovascular diseases: Part I: general considerations, the epidemiologic transition, risk factors, and impact of urbanization’, </w:t>
      </w:r>
      <w:r w:rsidRPr="00BF0B90">
        <w:rPr>
          <w:i/>
          <w:iCs/>
        </w:rPr>
        <w:t>Circulation</w:t>
      </w:r>
      <w:r>
        <w:t xml:space="preserve">, 104(22), pp. 2746–2753. Available at: </w:t>
      </w:r>
    </w:p>
    <w:p w14:paraId="3A4118F2" w14:textId="6348127D" w:rsidR="00174177" w:rsidRDefault="002B760D">
      <w:r>
        <w:t xml:space="preserve"> </w:t>
      </w:r>
      <w:hyperlink r:id="rId31" w:history="1">
        <w:r w:rsidRPr="000B3B36">
          <w:rPr>
            <w:rStyle w:val="Hyperlink"/>
          </w:rPr>
          <w:t>https://doi.org/10.1161/hc4601.099487</w:t>
        </w:r>
      </w:hyperlink>
      <w:r>
        <w:t xml:space="preserve"> </w:t>
      </w:r>
    </w:p>
    <w:sectPr w:rsidR="0017417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525E41"/>
    <w:multiLevelType w:val="hybridMultilevel"/>
    <w:tmpl w:val="9F02B22C"/>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1E4809"/>
    <w:multiLevelType w:val="hybridMultilevel"/>
    <w:tmpl w:val="AAC839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E904FDA"/>
    <w:multiLevelType w:val="hybridMultilevel"/>
    <w:tmpl w:val="8714994E"/>
    <w:lvl w:ilvl="0" w:tplc="FFFFFFFF">
      <w:start w:val="1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E42235C"/>
    <w:multiLevelType w:val="hybridMultilevel"/>
    <w:tmpl w:val="EA6231EE"/>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22E10F1"/>
    <w:multiLevelType w:val="hybridMultilevel"/>
    <w:tmpl w:val="519428E0"/>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57833174">
    <w:abstractNumId w:val="0"/>
  </w:num>
  <w:num w:numId="2" w16cid:durableId="1006371365">
    <w:abstractNumId w:val="3"/>
  </w:num>
  <w:num w:numId="3" w16cid:durableId="296883495">
    <w:abstractNumId w:val="4"/>
  </w:num>
  <w:num w:numId="4" w16cid:durableId="668601852">
    <w:abstractNumId w:val="1"/>
  </w:num>
  <w:num w:numId="5" w16cid:durableId="5175047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177"/>
    <w:rsid w:val="000305BA"/>
    <w:rsid w:val="0003218F"/>
    <w:rsid w:val="00033DBF"/>
    <w:rsid w:val="00080EEB"/>
    <w:rsid w:val="000D2066"/>
    <w:rsid w:val="00144269"/>
    <w:rsid w:val="00174177"/>
    <w:rsid w:val="00193D9E"/>
    <w:rsid w:val="001948EB"/>
    <w:rsid w:val="0020588F"/>
    <w:rsid w:val="00213AA2"/>
    <w:rsid w:val="0022632A"/>
    <w:rsid w:val="0022718D"/>
    <w:rsid w:val="00234113"/>
    <w:rsid w:val="00234203"/>
    <w:rsid w:val="00235D14"/>
    <w:rsid w:val="00236242"/>
    <w:rsid w:val="002511D2"/>
    <w:rsid w:val="00252C43"/>
    <w:rsid w:val="00254D85"/>
    <w:rsid w:val="00262BF4"/>
    <w:rsid w:val="0026729C"/>
    <w:rsid w:val="002B760D"/>
    <w:rsid w:val="0031324F"/>
    <w:rsid w:val="00333B2E"/>
    <w:rsid w:val="003355EB"/>
    <w:rsid w:val="00370F95"/>
    <w:rsid w:val="0037568C"/>
    <w:rsid w:val="00376535"/>
    <w:rsid w:val="003F6719"/>
    <w:rsid w:val="00413EBB"/>
    <w:rsid w:val="0042524E"/>
    <w:rsid w:val="00440FA1"/>
    <w:rsid w:val="004438A0"/>
    <w:rsid w:val="00456C21"/>
    <w:rsid w:val="00475275"/>
    <w:rsid w:val="004C3ED9"/>
    <w:rsid w:val="004D59B1"/>
    <w:rsid w:val="004E520D"/>
    <w:rsid w:val="005074BE"/>
    <w:rsid w:val="00523B0E"/>
    <w:rsid w:val="00560753"/>
    <w:rsid w:val="005621D1"/>
    <w:rsid w:val="00581C15"/>
    <w:rsid w:val="00587EAB"/>
    <w:rsid w:val="005D4E29"/>
    <w:rsid w:val="00604D40"/>
    <w:rsid w:val="00643A42"/>
    <w:rsid w:val="006534CB"/>
    <w:rsid w:val="0065548D"/>
    <w:rsid w:val="00660195"/>
    <w:rsid w:val="00674C31"/>
    <w:rsid w:val="0068643E"/>
    <w:rsid w:val="00696E1F"/>
    <w:rsid w:val="00697B71"/>
    <w:rsid w:val="006F4614"/>
    <w:rsid w:val="00724382"/>
    <w:rsid w:val="007268E0"/>
    <w:rsid w:val="00742B58"/>
    <w:rsid w:val="007830B2"/>
    <w:rsid w:val="008068DF"/>
    <w:rsid w:val="00820AE8"/>
    <w:rsid w:val="00887052"/>
    <w:rsid w:val="008A4003"/>
    <w:rsid w:val="008C1108"/>
    <w:rsid w:val="00902924"/>
    <w:rsid w:val="0091069F"/>
    <w:rsid w:val="00931039"/>
    <w:rsid w:val="0093146A"/>
    <w:rsid w:val="009461DB"/>
    <w:rsid w:val="00950939"/>
    <w:rsid w:val="009809AA"/>
    <w:rsid w:val="0098768E"/>
    <w:rsid w:val="00997DDC"/>
    <w:rsid w:val="009D5DA8"/>
    <w:rsid w:val="00A00C36"/>
    <w:rsid w:val="00A070A2"/>
    <w:rsid w:val="00A62526"/>
    <w:rsid w:val="00A74B0E"/>
    <w:rsid w:val="00A924FA"/>
    <w:rsid w:val="00A92AC4"/>
    <w:rsid w:val="00A958AE"/>
    <w:rsid w:val="00AA2EA0"/>
    <w:rsid w:val="00AC537F"/>
    <w:rsid w:val="00B60263"/>
    <w:rsid w:val="00B65CBE"/>
    <w:rsid w:val="00BB2F94"/>
    <w:rsid w:val="00BE3E2F"/>
    <w:rsid w:val="00BF0B90"/>
    <w:rsid w:val="00C3331C"/>
    <w:rsid w:val="00C624E3"/>
    <w:rsid w:val="00C63D2E"/>
    <w:rsid w:val="00C85901"/>
    <w:rsid w:val="00C9168C"/>
    <w:rsid w:val="00CD116C"/>
    <w:rsid w:val="00CF288E"/>
    <w:rsid w:val="00D24EA2"/>
    <w:rsid w:val="00D3006D"/>
    <w:rsid w:val="00D31FF8"/>
    <w:rsid w:val="00D346CB"/>
    <w:rsid w:val="00D53A12"/>
    <w:rsid w:val="00D6316D"/>
    <w:rsid w:val="00D84ECB"/>
    <w:rsid w:val="00D96CF7"/>
    <w:rsid w:val="00DD7E08"/>
    <w:rsid w:val="00E14424"/>
    <w:rsid w:val="00E26EA8"/>
    <w:rsid w:val="00E346D2"/>
    <w:rsid w:val="00EA41FD"/>
    <w:rsid w:val="00EC5E56"/>
    <w:rsid w:val="00EF63E3"/>
    <w:rsid w:val="00F35F9C"/>
    <w:rsid w:val="00F839E8"/>
    <w:rsid w:val="00FF3F7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D860F7B"/>
  <w15:chartTrackingRefBased/>
  <w15:docId w15:val="{1575DCA5-A2FC-4B05-8CD5-34607D68AC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41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41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41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41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41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41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41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41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41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41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41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41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41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41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41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41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41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4177"/>
    <w:rPr>
      <w:rFonts w:eastAsiaTheme="majorEastAsia" w:cstheme="majorBidi"/>
      <w:color w:val="272727" w:themeColor="text1" w:themeTint="D8"/>
    </w:rPr>
  </w:style>
  <w:style w:type="paragraph" w:styleId="Title">
    <w:name w:val="Title"/>
    <w:basedOn w:val="Normal"/>
    <w:next w:val="Normal"/>
    <w:link w:val="TitleChar"/>
    <w:uiPriority w:val="10"/>
    <w:qFormat/>
    <w:rsid w:val="001741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41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41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41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4177"/>
    <w:pPr>
      <w:spacing w:before="160"/>
      <w:jc w:val="center"/>
    </w:pPr>
    <w:rPr>
      <w:i/>
      <w:iCs/>
      <w:color w:val="404040" w:themeColor="text1" w:themeTint="BF"/>
    </w:rPr>
  </w:style>
  <w:style w:type="character" w:customStyle="1" w:styleId="QuoteChar">
    <w:name w:val="Quote Char"/>
    <w:basedOn w:val="DefaultParagraphFont"/>
    <w:link w:val="Quote"/>
    <w:uiPriority w:val="29"/>
    <w:rsid w:val="00174177"/>
    <w:rPr>
      <w:i/>
      <w:iCs/>
      <w:color w:val="404040" w:themeColor="text1" w:themeTint="BF"/>
    </w:rPr>
  </w:style>
  <w:style w:type="paragraph" w:styleId="ListParagraph">
    <w:name w:val="List Paragraph"/>
    <w:basedOn w:val="Normal"/>
    <w:uiPriority w:val="34"/>
    <w:qFormat/>
    <w:rsid w:val="00174177"/>
    <w:pPr>
      <w:ind w:left="720"/>
      <w:contextualSpacing/>
    </w:pPr>
  </w:style>
  <w:style w:type="character" w:styleId="IntenseEmphasis">
    <w:name w:val="Intense Emphasis"/>
    <w:basedOn w:val="DefaultParagraphFont"/>
    <w:uiPriority w:val="21"/>
    <w:qFormat/>
    <w:rsid w:val="00174177"/>
    <w:rPr>
      <w:i/>
      <w:iCs/>
      <w:color w:val="0F4761" w:themeColor="accent1" w:themeShade="BF"/>
    </w:rPr>
  </w:style>
  <w:style w:type="paragraph" w:styleId="IntenseQuote">
    <w:name w:val="Intense Quote"/>
    <w:basedOn w:val="Normal"/>
    <w:next w:val="Normal"/>
    <w:link w:val="IntenseQuoteChar"/>
    <w:uiPriority w:val="30"/>
    <w:qFormat/>
    <w:rsid w:val="001741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4177"/>
    <w:rPr>
      <w:i/>
      <w:iCs/>
      <w:color w:val="0F4761" w:themeColor="accent1" w:themeShade="BF"/>
    </w:rPr>
  </w:style>
  <w:style w:type="character" w:styleId="IntenseReference">
    <w:name w:val="Intense Reference"/>
    <w:basedOn w:val="DefaultParagraphFont"/>
    <w:uiPriority w:val="32"/>
    <w:qFormat/>
    <w:rsid w:val="00174177"/>
    <w:rPr>
      <w:b/>
      <w:bCs/>
      <w:smallCaps/>
      <w:color w:val="0F4761" w:themeColor="accent1" w:themeShade="BF"/>
      <w:spacing w:val="5"/>
    </w:rPr>
  </w:style>
  <w:style w:type="character" w:styleId="Hyperlink">
    <w:name w:val="Hyperlink"/>
    <w:basedOn w:val="DefaultParagraphFont"/>
    <w:uiPriority w:val="99"/>
    <w:unhideWhenUsed/>
    <w:rsid w:val="00887052"/>
    <w:rPr>
      <w:color w:val="467886" w:themeColor="hyperlink"/>
      <w:u w:val="single"/>
    </w:rPr>
  </w:style>
  <w:style w:type="character" w:styleId="UnresolvedMention">
    <w:name w:val="Unresolved Mention"/>
    <w:basedOn w:val="DefaultParagraphFont"/>
    <w:uiPriority w:val="99"/>
    <w:semiHidden/>
    <w:unhideWhenUsed/>
    <w:rsid w:val="00887052"/>
    <w:rPr>
      <w:color w:val="605E5C"/>
      <w:shd w:val="clear" w:color="auto" w:fill="E1DFDD"/>
    </w:rPr>
  </w:style>
  <w:style w:type="character" w:styleId="FollowedHyperlink">
    <w:name w:val="FollowedHyperlink"/>
    <w:basedOn w:val="DefaultParagraphFont"/>
    <w:uiPriority w:val="99"/>
    <w:semiHidden/>
    <w:unhideWhenUsed/>
    <w:rsid w:val="0047527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90/ijerph19053070" TargetMode="External"/><Relationship Id="rId18" Type="http://schemas.openxmlformats.org/officeDocument/2006/relationships/hyperlink" Target="https://www.england.nhs.uk/about/equality/equality-hub/national-healthcare-inequalities-improvement-programme/core20plus5/" TargetMode="External"/><Relationship Id="rId26" Type="http://schemas.openxmlformats.org/officeDocument/2006/relationships/hyperlink" Target="https://doi.org/10.11124/JBISRIR-D-19-00169" TargetMode="External"/><Relationship Id="rId3" Type="http://schemas.openxmlformats.org/officeDocument/2006/relationships/settings" Target="settings.xml"/><Relationship Id="rId21" Type="http://schemas.openxmlformats.org/officeDocument/2006/relationships/hyperlink" Target="https://doi.org/10.1136/bmj.n71" TargetMode="External"/><Relationship Id="rId7" Type="http://schemas.openxmlformats.org/officeDocument/2006/relationships/hyperlink" Target="https://synthesismanual.jbi.global/" TargetMode="External"/><Relationship Id="rId12" Type="http://schemas.openxmlformats.org/officeDocument/2006/relationships/hyperlink" Target="https://publications.iom.int/books/world-migration-report-2024" TargetMode="External"/><Relationship Id="rId17" Type="http://schemas.openxmlformats.org/officeDocument/2006/relationships/hyperlink" Target="https://www.instituteofhealthequity.org/resources-reports/marmot-review-10-years-on" TargetMode="External"/><Relationship Id="rId25" Type="http://schemas.openxmlformats.org/officeDocument/2006/relationships/hyperlink" Target="https://doi.org/10.1186/1471-2458-12-80"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177/003335490612100312" TargetMode="External"/><Relationship Id="rId20" Type="http://schemas.openxmlformats.org/officeDocument/2006/relationships/hyperlink" Target="https://www.gov.uk/government/statistics/cardiovascular-disease-profiles-december-2024-update" TargetMode="External"/><Relationship Id="rId29" Type="http://schemas.openxmlformats.org/officeDocument/2006/relationships/hyperlink" Target="https://www.who.int/health-topics/social-determinants-of-health" TargetMode="External"/><Relationship Id="rId1" Type="http://schemas.openxmlformats.org/officeDocument/2006/relationships/numbering" Target="numbering.xml"/><Relationship Id="rId6" Type="http://schemas.openxmlformats.org/officeDocument/2006/relationships/hyperlink" Target="https://doi.org/10.1016/S0140-6736(00)02502-2" TargetMode="External"/><Relationship Id="rId11" Type="http://schemas.openxmlformats.org/officeDocument/2006/relationships/hyperlink" Target="https://mixedmethodsappraisaltoolpublic.pbworks.com" TargetMode="External"/><Relationship Id="rId24" Type="http://schemas.openxmlformats.org/officeDocument/2006/relationships/hyperlink" Target="https://doi.org/10.1161/CIRCULATIONAHA.117.029652" TargetMode="External"/><Relationship Id="rId32" Type="http://schemas.openxmlformats.org/officeDocument/2006/relationships/fontTable" Target="fontTable.xml"/><Relationship Id="rId5" Type="http://schemas.openxmlformats.org/officeDocument/2006/relationships/hyperlink" Target="https://doi.org/10.1161/JAHA.123.030228" TargetMode="External"/><Relationship Id="rId15" Type="http://schemas.openxmlformats.org/officeDocument/2006/relationships/hyperlink" Target="https://doi.org/10.3399/bjgpopen17X101241" TargetMode="External"/><Relationship Id="rId23" Type="http://schemas.openxmlformats.org/officeDocument/2006/relationships/hyperlink" Target="https://www.lancaster.ac.uk/media/lancaster-university/content-assets/documents/fhm/dhr/chir/NSsynthesisguidanceVersion1-April2006.pdf" TargetMode="External"/><Relationship Id="rId28" Type="http://schemas.openxmlformats.org/officeDocument/2006/relationships/hyperlink" Target="https://doi.org/10.1186/1471-2288-8-45" TargetMode="External"/><Relationship Id="rId10" Type="http://schemas.openxmlformats.org/officeDocument/2006/relationships/hyperlink" Target="https://www.bhf.org.uk/what-we-do/our-research/heart-statistics/heart-statistics-publications" TargetMode="External"/><Relationship Id="rId19" Type="http://schemas.openxmlformats.org/officeDocument/2006/relationships/hyperlink" Target="https://doi.org/10.1093/heapro/15.3.259" TargetMode="External"/><Relationship Id="rId31" Type="http://schemas.openxmlformats.org/officeDocument/2006/relationships/hyperlink" Target="https://doi.org/10.1161/hc4601.099487" TargetMode="External"/><Relationship Id="rId4" Type="http://schemas.openxmlformats.org/officeDocument/2006/relationships/webSettings" Target="webSettings.xml"/><Relationship Id="rId9" Type="http://schemas.openxmlformats.org/officeDocument/2006/relationships/hyperlink" Target="https://www.bhf.org.uk/what-we-do/our-research/heart-statistics/heart-statistics-publications/cardiovascular-disease-statistics-2025" TargetMode="External"/><Relationship Id="rId14" Type="http://schemas.openxmlformats.org/officeDocument/2006/relationships/hyperlink" Target="https://doi.org/10.1186/1475-9276-12-18" TargetMode="External"/><Relationship Id="rId22" Type="http://schemas.openxmlformats.org/officeDocument/2006/relationships/hyperlink" Target="https://doi.org/10.1186/s12913-020-4987-z" TargetMode="External"/><Relationship Id="rId27" Type="http://schemas.openxmlformats.org/officeDocument/2006/relationships/hyperlink" Target="https://www.kingsfund.org.uk/insight-and-analysis/long-reads/health-people-ethnic-minority-groups-england" TargetMode="External"/><Relationship Id="rId30" Type="http://schemas.openxmlformats.org/officeDocument/2006/relationships/hyperlink" Target="https://www.who.int/news-room/fact-sheets/detail/cardiovascular-diseases-(cvds)" TargetMode="External"/><Relationship Id="rId8" Type="http://schemas.openxmlformats.org/officeDocument/2006/relationships/hyperlink" Target="https://doi.org/10.1177/00333549141291S2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121</TotalTime>
  <Pages>1</Pages>
  <Words>6497</Words>
  <Characters>37033</Characters>
  <Application>Microsoft Office Word</Application>
  <DocSecurity>4</DocSecurity>
  <Lines>308</Lines>
  <Paragraphs>86</Paragraphs>
  <ScaleCrop>false</ScaleCrop>
  <Company/>
  <LinksUpToDate>false</LinksUpToDate>
  <CharactersWithSpaces>43444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Bluebird Care</dc:creator>
  <cp:keywords/>
  <dc:description/>
  <cp:lastModifiedBy>Desislava Markova (2512936)</cp:lastModifiedBy>
  <cp:revision>112</cp:revision>
  <dcterms:created xsi:type="dcterms:W3CDTF">2026-07-20T09:32:00Z</dcterms:created>
  <dcterms:modified xsi:type="dcterms:W3CDTF">2026-07-20T12:32:00Z</dcterms:modified>
</cp:coreProperties>
</file>