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6F73A" w14:textId="77777777" w:rsidR="00533D17" w:rsidRDefault="00533D17" w:rsidP="00533D17">
      <w:pPr>
        <w:jc w:val="both"/>
        <w:rPr>
          <w:rFonts w:ascii="Times New Roman" w:hAnsi="Times New Roman" w:cs="Times New Roman"/>
          <w:sz w:val="24"/>
          <w:szCs w:val="24"/>
        </w:rPr>
      </w:pPr>
      <w:r>
        <w:rPr>
          <w:noProof/>
          <w:sz w:val="20"/>
          <w:lang w:eastAsia="en-GB"/>
        </w:rPr>
        <w:drawing>
          <wp:inline distT="0" distB="0" distL="0" distR="0" wp14:anchorId="4CEBCC5E" wp14:editId="0D0C10DC">
            <wp:extent cx="3228370" cy="1114044"/>
            <wp:effectExtent l="0" t="0" r="0" b="0"/>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3228370" cy="1114044"/>
                    </a:xfrm>
                    <a:prstGeom prst="rect">
                      <a:avLst/>
                    </a:prstGeom>
                  </pic:spPr>
                </pic:pic>
              </a:graphicData>
            </a:graphic>
          </wp:inline>
        </w:drawing>
      </w:r>
    </w:p>
    <w:p w14:paraId="2B7768E7" w14:textId="77777777" w:rsidR="00533D17" w:rsidRDefault="00533D17" w:rsidP="00533D17">
      <w:pPr>
        <w:jc w:val="both"/>
        <w:rPr>
          <w:rFonts w:ascii="Times New Roman" w:hAnsi="Times New Roman" w:cs="Times New Roman"/>
          <w:sz w:val="24"/>
          <w:szCs w:val="24"/>
        </w:rPr>
      </w:pPr>
    </w:p>
    <w:p w14:paraId="1F0030EC" w14:textId="77777777" w:rsidR="00533D17" w:rsidRDefault="00533D17" w:rsidP="00533D17">
      <w:pPr>
        <w:jc w:val="both"/>
        <w:rPr>
          <w:rFonts w:ascii="Times New Roman" w:hAnsi="Times New Roman" w:cs="Times New Roman"/>
          <w:sz w:val="24"/>
          <w:szCs w:val="24"/>
        </w:rPr>
      </w:pPr>
    </w:p>
    <w:p w14:paraId="6561A0C1" w14:textId="77777777" w:rsidR="00533D17" w:rsidRDefault="00533D17" w:rsidP="00533D17">
      <w:pPr>
        <w:jc w:val="both"/>
        <w:rPr>
          <w:rFonts w:ascii="Times New Roman" w:hAnsi="Times New Roman" w:cs="Times New Roman"/>
          <w:sz w:val="24"/>
          <w:szCs w:val="24"/>
        </w:rPr>
      </w:pPr>
    </w:p>
    <w:p w14:paraId="6D60EFD7" w14:textId="77777777" w:rsidR="00533D17" w:rsidRDefault="00533D17" w:rsidP="00533D17">
      <w:pPr>
        <w:jc w:val="both"/>
        <w:rPr>
          <w:rFonts w:ascii="Times New Roman" w:hAnsi="Times New Roman" w:cs="Times New Roman"/>
          <w:sz w:val="24"/>
          <w:szCs w:val="24"/>
        </w:rPr>
      </w:pPr>
    </w:p>
    <w:p w14:paraId="3ADE023E" w14:textId="77777777" w:rsidR="00533D17" w:rsidRDefault="00533D17" w:rsidP="00533D17">
      <w:pPr>
        <w:spacing w:before="1"/>
        <w:rPr>
          <w:b/>
          <w:sz w:val="28"/>
        </w:rPr>
      </w:pPr>
      <w:r>
        <w:rPr>
          <w:b/>
          <w:sz w:val="28"/>
        </w:rPr>
        <w:t xml:space="preserve">CRISTIAN SOCACIU </w:t>
      </w:r>
    </w:p>
    <w:p w14:paraId="7208D72B" w14:textId="77777777" w:rsidR="00533D17" w:rsidRDefault="00533D17" w:rsidP="00533D17">
      <w:pPr>
        <w:spacing w:before="1"/>
        <w:rPr>
          <w:b/>
          <w:sz w:val="28"/>
        </w:rPr>
      </w:pPr>
      <w:r>
        <w:rPr>
          <w:b/>
          <w:sz w:val="28"/>
        </w:rPr>
        <w:t>STUDENT NUMBER: 1815972</w:t>
      </w:r>
    </w:p>
    <w:p w14:paraId="583373DF" w14:textId="77777777" w:rsidR="00533D17" w:rsidRDefault="00533D17" w:rsidP="00533D17">
      <w:pPr>
        <w:spacing w:before="1"/>
        <w:rPr>
          <w:b/>
          <w:sz w:val="28"/>
        </w:rPr>
      </w:pPr>
    </w:p>
    <w:p w14:paraId="48F1178A" w14:textId="77777777" w:rsidR="00533D17" w:rsidRDefault="00533D17" w:rsidP="00533D17">
      <w:pPr>
        <w:spacing w:line="480" w:lineRule="auto"/>
        <w:ind w:left="2997" w:right="2457" w:hanging="589"/>
        <w:jc w:val="center"/>
        <w:rPr>
          <w:b/>
          <w:sz w:val="28"/>
        </w:rPr>
      </w:pPr>
    </w:p>
    <w:p w14:paraId="6420E7B1" w14:textId="77777777" w:rsidR="00533D17" w:rsidRDefault="00533D17" w:rsidP="00533D17">
      <w:pPr>
        <w:spacing w:line="480" w:lineRule="auto"/>
        <w:ind w:left="2997" w:right="2457" w:hanging="589"/>
        <w:jc w:val="center"/>
        <w:rPr>
          <w:b/>
          <w:sz w:val="28"/>
        </w:rPr>
      </w:pPr>
    </w:p>
    <w:p w14:paraId="5D6553FB" w14:textId="2932E86B" w:rsidR="00533D17" w:rsidRDefault="00533D17" w:rsidP="00533D17">
      <w:pPr>
        <w:spacing w:line="480" w:lineRule="auto"/>
        <w:ind w:left="2997" w:right="2457" w:hanging="589"/>
        <w:jc w:val="center"/>
        <w:rPr>
          <w:b/>
          <w:sz w:val="28"/>
        </w:rPr>
      </w:pPr>
      <w:r>
        <w:rPr>
          <w:b/>
          <w:sz w:val="28"/>
        </w:rPr>
        <w:t>FINANCIAL MANAGEMENT</w:t>
      </w:r>
    </w:p>
    <w:p w14:paraId="1353A67E" w14:textId="77777777" w:rsidR="00533D17" w:rsidRDefault="00533D17" w:rsidP="00533D17">
      <w:pPr>
        <w:spacing w:line="480" w:lineRule="auto"/>
        <w:ind w:left="2997" w:right="2457" w:hanging="589"/>
        <w:jc w:val="center"/>
        <w:rPr>
          <w:b/>
          <w:sz w:val="28"/>
        </w:rPr>
      </w:pPr>
    </w:p>
    <w:p w14:paraId="0B26EF3E" w14:textId="77777777" w:rsidR="00533D17" w:rsidRDefault="00533D17" w:rsidP="00533D17">
      <w:pPr>
        <w:spacing w:line="480" w:lineRule="auto"/>
        <w:ind w:left="2997" w:right="2457" w:hanging="589"/>
        <w:jc w:val="center"/>
        <w:rPr>
          <w:b/>
          <w:sz w:val="28"/>
        </w:rPr>
      </w:pPr>
      <w:r>
        <w:rPr>
          <w:b/>
          <w:sz w:val="28"/>
        </w:rPr>
        <w:t>ASSIGMENT 1</w:t>
      </w:r>
    </w:p>
    <w:p w14:paraId="6FB4CB3A" w14:textId="5141FB58" w:rsidR="00533D17" w:rsidRDefault="00533D17" w:rsidP="00533D17">
      <w:pPr>
        <w:spacing w:line="480" w:lineRule="auto"/>
        <w:ind w:left="2997" w:right="2457" w:hanging="589"/>
        <w:jc w:val="center"/>
        <w:rPr>
          <w:b/>
          <w:sz w:val="28"/>
        </w:rPr>
      </w:pPr>
    </w:p>
    <w:p w14:paraId="6B54380E" w14:textId="5B4A0C80" w:rsidR="00533D17" w:rsidRDefault="00533D17" w:rsidP="00533D17">
      <w:pPr>
        <w:spacing w:line="480" w:lineRule="auto"/>
        <w:ind w:left="2997" w:right="2457" w:hanging="589"/>
        <w:jc w:val="center"/>
        <w:rPr>
          <w:b/>
          <w:sz w:val="28"/>
        </w:rPr>
      </w:pPr>
      <w:r>
        <w:rPr>
          <w:b/>
          <w:sz w:val="28"/>
        </w:rPr>
        <w:t>JIA MIAO</w:t>
      </w:r>
    </w:p>
    <w:p w14:paraId="4DCDB072" w14:textId="3E886B8A" w:rsidR="00533D17" w:rsidRDefault="00533D17" w:rsidP="00533D17">
      <w:pPr>
        <w:rPr>
          <w:b/>
          <w:sz w:val="28"/>
        </w:rPr>
      </w:pPr>
    </w:p>
    <w:p w14:paraId="12926B8C" w14:textId="1634883E" w:rsidR="00533D17" w:rsidRDefault="00533D17" w:rsidP="00533D17">
      <w:pPr>
        <w:rPr>
          <w:b/>
          <w:sz w:val="28"/>
        </w:rPr>
      </w:pPr>
    </w:p>
    <w:p w14:paraId="785B76B4" w14:textId="67E5E2D4" w:rsidR="00533D17" w:rsidRDefault="00533D17" w:rsidP="00533D17">
      <w:pPr>
        <w:rPr>
          <w:b/>
          <w:sz w:val="28"/>
        </w:rPr>
      </w:pPr>
    </w:p>
    <w:p w14:paraId="793BE090" w14:textId="0922F6B1" w:rsidR="00533D17" w:rsidRDefault="00533D17" w:rsidP="00533D17">
      <w:pPr>
        <w:rPr>
          <w:b/>
          <w:sz w:val="28"/>
        </w:rPr>
      </w:pPr>
    </w:p>
    <w:p w14:paraId="1D5E99E1" w14:textId="77777777" w:rsidR="00533D17" w:rsidRDefault="00533D17" w:rsidP="00533D17">
      <w:pPr>
        <w:rPr>
          <w:b/>
          <w:sz w:val="24"/>
          <w:szCs w:val="24"/>
        </w:rPr>
      </w:pPr>
    </w:p>
    <w:p w14:paraId="0F0A7822" w14:textId="03F8F47F" w:rsidR="004F0030" w:rsidRPr="006805A3" w:rsidRDefault="006805A3" w:rsidP="006805A3">
      <w:pPr>
        <w:rPr>
          <w:sz w:val="24"/>
          <w:szCs w:val="24"/>
        </w:rPr>
      </w:pPr>
      <w:r w:rsidRPr="006805A3">
        <w:rPr>
          <w:b/>
          <w:sz w:val="24"/>
          <w:szCs w:val="24"/>
        </w:rPr>
        <w:t>Abstract:</w:t>
      </w:r>
      <w:r>
        <w:rPr>
          <w:b/>
          <w:sz w:val="24"/>
          <w:szCs w:val="24"/>
        </w:rPr>
        <w:t xml:space="preserve"> </w:t>
      </w:r>
      <w:r>
        <w:rPr>
          <w:sz w:val="24"/>
          <w:szCs w:val="24"/>
        </w:rPr>
        <w:t xml:space="preserve">this paper deals with the financial analysis of one of the biggest sport fashion and outdoor equipment in the world JD SPORT FASHION PLC. And it compares to its biggest competitor SPORTS DIRECT PLC. In order to establish </w:t>
      </w:r>
      <w:r w:rsidR="008605F5">
        <w:rPr>
          <w:sz w:val="24"/>
          <w:szCs w:val="24"/>
        </w:rPr>
        <w:t>the company’s financial position and its attractiveness for investment.</w:t>
      </w:r>
      <w:r w:rsidR="00F74AC9">
        <w:rPr>
          <w:sz w:val="24"/>
          <w:szCs w:val="24"/>
        </w:rPr>
        <w:t xml:space="preserve"> In the </w:t>
      </w:r>
      <w:r w:rsidR="00BE1C45">
        <w:rPr>
          <w:sz w:val="24"/>
          <w:szCs w:val="24"/>
        </w:rPr>
        <w:t xml:space="preserve">part C of the paper will be analysed the prospects on choosing to invest in one of the two projects proposed and will be explained why that conclusion was made. </w:t>
      </w:r>
      <w:r w:rsidR="008605F5">
        <w:rPr>
          <w:sz w:val="24"/>
          <w:szCs w:val="24"/>
        </w:rPr>
        <w:t xml:space="preserve"> The figures that will be shown are based mainly on the annual reports, balance sheet and income statements of the two companies, it will calculate the key financial ratios and it will compare and analyse them, it will identify their </w:t>
      </w:r>
      <w:r w:rsidR="00A63DBC">
        <w:rPr>
          <w:sz w:val="24"/>
          <w:szCs w:val="24"/>
        </w:rPr>
        <w:t>weaknesses</w:t>
      </w:r>
      <w:r w:rsidR="008605F5">
        <w:rPr>
          <w:sz w:val="24"/>
          <w:szCs w:val="24"/>
        </w:rPr>
        <w:t xml:space="preserve"> and </w:t>
      </w:r>
      <w:r w:rsidR="00A63DBC">
        <w:rPr>
          <w:sz w:val="24"/>
          <w:szCs w:val="24"/>
        </w:rPr>
        <w:t>strengths</w:t>
      </w:r>
      <w:r w:rsidR="008605F5">
        <w:rPr>
          <w:sz w:val="24"/>
          <w:szCs w:val="24"/>
        </w:rPr>
        <w:t xml:space="preserve"> and propose solutions and </w:t>
      </w:r>
      <w:r w:rsidR="00A63DBC">
        <w:rPr>
          <w:sz w:val="24"/>
          <w:szCs w:val="24"/>
        </w:rPr>
        <w:t>recommendations</w:t>
      </w:r>
      <w:r w:rsidR="008605F5">
        <w:rPr>
          <w:sz w:val="24"/>
          <w:szCs w:val="24"/>
        </w:rPr>
        <w:t xml:space="preserve"> in order to improve its financial status</w:t>
      </w:r>
      <w:r w:rsidR="00A63DBC">
        <w:rPr>
          <w:sz w:val="24"/>
          <w:szCs w:val="24"/>
        </w:rPr>
        <w:t>. The formulas for the ratios calculated can be found at the end of the paper</w:t>
      </w:r>
      <w:r w:rsidR="00EF69FE">
        <w:rPr>
          <w:sz w:val="24"/>
          <w:szCs w:val="24"/>
        </w:rPr>
        <w:t>.</w:t>
      </w:r>
      <w:r w:rsidR="008605F5">
        <w:rPr>
          <w:sz w:val="24"/>
          <w:szCs w:val="24"/>
        </w:rPr>
        <w:t xml:space="preserve">    </w:t>
      </w:r>
      <w:r>
        <w:rPr>
          <w:sz w:val="24"/>
          <w:szCs w:val="24"/>
        </w:rPr>
        <w:t xml:space="preserve">  </w:t>
      </w:r>
    </w:p>
    <w:p w14:paraId="284A7A08" w14:textId="77777777" w:rsidR="004F0030" w:rsidRDefault="004F0030" w:rsidP="00A44217">
      <w:pPr>
        <w:jc w:val="center"/>
        <w:rPr>
          <w:sz w:val="28"/>
          <w:szCs w:val="28"/>
        </w:rPr>
      </w:pPr>
    </w:p>
    <w:p w14:paraId="22244612" w14:textId="1FAF6F38" w:rsidR="00A44217" w:rsidRDefault="00A44217" w:rsidP="00A44217">
      <w:pPr>
        <w:jc w:val="center"/>
        <w:rPr>
          <w:sz w:val="28"/>
          <w:szCs w:val="28"/>
        </w:rPr>
      </w:pPr>
      <w:r>
        <w:rPr>
          <w:sz w:val="28"/>
          <w:szCs w:val="28"/>
        </w:rPr>
        <w:t>JD SPORTS</w:t>
      </w:r>
    </w:p>
    <w:p w14:paraId="44E29F83" w14:textId="7A4E9528" w:rsidR="00A44217" w:rsidRDefault="00A44217" w:rsidP="00A44217">
      <w:pPr>
        <w:rPr>
          <w:rFonts w:ascii="Times New Roman" w:hAnsi="Times New Roman" w:cs="Times New Roman"/>
          <w:sz w:val="24"/>
          <w:szCs w:val="24"/>
        </w:rPr>
      </w:pPr>
    </w:p>
    <w:p w14:paraId="7CD16E0B" w14:textId="348591F5" w:rsidR="008416F9" w:rsidRDefault="004F0030" w:rsidP="00A44217">
      <w:pPr>
        <w:rPr>
          <w:rFonts w:ascii="Times New Roman" w:hAnsi="Times New Roman" w:cs="Times New Roman"/>
          <w:sz w:val="24"/>
          <w:szCs w:val="24"/>
        </w:rPr>
      </w:pPr>
      <w:r>
        <w:rPr>
          <w:rFonts w:ascii="Times New Roman" w:hAnsi="Times New Roman" w:cs="Times New Roman"/>
          <w:sz w:val="24"/>
          <w:szCs w:val="24"/>
        </w:rPr>
        <w:t xml:space="preserve"> JD Sports is one of the most successful retailers of </w:t>
      </w:r>
      <w:r w:rsidRPr="004F0030">
        <w:rPr>
          <w:rFonts w:ascii="Times New Roman" w:hAnsi="Times New Roman" w:cs="Times New Roman"/>
          <w:sz w:val="24"/>
          <w:szCs w:val="24"/>
        </w:rPr>
        <w:t> sports-</w:t>
      </w:r>
      <w:hyperlink r:id="rId5" w:tooltip="Fashion" w:history="1">
        <w:r w:rsidRPr="004F0030">
          <w:rPr>
            <w:rStyle w:val="Hyperlink"/>
            <w:rFonts w:ascii="Times New Roman" w:hAnsi="Times New Roman" w:cs="Times New Roman"/>
            <w:color w:val="000000" w:themeColor="text1"/>
            <w:sz w:val="24"/>
            <w:szCs w:val="24"/>
            <w:u w:val="none"/>
          </w:rPr>
          <w:t>fashion</w:t>
        </w:r>
      </w:hyperlink>
      <w:r w:rsidRPr="004F0030">
        <w:rPr>
          <w:rFonts w:ascii="Times New Roman" w:hAnsi="Times New Roman" w:cs="Times New Roman"/>
          <w:sz w:val="24"/>
          <w:szCs w:val="24"/>
        </w:rPr>
        <w:t> retail company based in </w:t>
      </w:r>
      <w:hyperlink r:id="rId6" w:tooltip="Bury, Greater Manchester" w:history="1">
        <w:r w:rsidRPr="004F0030">
          <w:rPr>
            <w:rStyle w:val="Hyperlink"/>
            <w:rFonts w:ascii="Times New Roman" w:hAnsi="Times New Roman" w:cs="Times New Roman"/>
            <w:color w:val="auto"/>
            <w:sz w:val="24"/>
            <w:szCs w:val="24"/>
            <w:u w:val="none"/>
          </w:rPr>
          <w:t>Bury, Greater Manchester</w:t>
        </w:r>
      </w:hyperlink>
      <w:r>
        <w:rPr>
          <w:rFonts w:ascii="Times New Roman" w:hAnsi="Times New Roman" w:cs="Times New Roman"/>
          <w:sz w:val="24"/>
          <w:szCs w:val="24"/>
        </w:rPr>
        <w:t xml:space="preserve"> it was founded in 1981by </w:t>
      </w:r>
      <w:r w:rsidRPr="004F0030">
        <w:rPr>
          <w:rFonts w:ascii="Times New Roman" w:hAnsi="Times New Roman" w:cs="Times New Roman"/>
          <w:sz w:val="24"/>
          <w:szCs w:val="24"/>
        </w:rPr>
        <w:t>John Wardle and David Makin</w:t>
      </w:r>
      <w:r>
        <w:rPr>
          <w:rFonts w:ascii="Times New Roman" w:hAnsi="Times New Roman" w:cs="Times New Roman"/>
          <w:sz w:val="24"/>
          <w:szCs w:val="24"/>
        </w:rPr>
        <w:t xml:space="preserve"> from who</w:t>
      </w:r>
      <w:r w:rsidR="00A63DBC">
        <w:rPr>
          <w:rFonts w:ascii="Times New Roman" w:hAnsi="Times New Roman" w:cs="Times New Roman"/>
          <w:sz w:val="24"/>
          <w:szCs w:val="24"/>
        </w:rPr>
        <w:t>m</w:t>
      </w:r>
      <w:r>
        <w:rPr>
          <w:rFonts w:ascii="Times New Roman" w:hAnsi="Times New Roman" w:cs="Times New Roman"/>
          <w:sz w:val="24"/>
          <w:szCs w:val="24"/>
        </w:rPr>
        <w:t xml:space="preserve"> it gets its name</w:t>
      </w:r>
      <w:r w:rsidR="00A63DBC">
        <w:rPr>
          <w:rFonts w:ascii="Times New Roman" w:hAnsi="Times New Roman" w:cs="Times New Roman"/>
          <w:sz w:val="24"/>
          <w:szCs w:val="24"/>
        </w:rPr>
        <w:t xml:space="preserve">. JD Sports has been growing ever since and today it has over 2400 stores and is present in 18 countries with the </w:t>
      </w:r>
      <w:r w:rsidR="008416F9">
        <w:rPr>
          <w:rFonts w:ascii="Times New Roman" w:hAnsi="Times New Roman" w:cs="Times New Roman"/>
          <w:sz w:val="24"/>
          <w:szCs w:val="24"/>
        </w:rPr>
        <w:t>most recent</w:t>
      </w:r>
      <w:r w:rsidR="00A63DBC">
        <w:rPr>
          <w:rFonts w:ascii="Times New Roman" w:hAnsi="Times New Roman" w:cs="Times New Roman"/>
          <w:sz w:val="24"/>
          <w:szCs w:val="24"/>
        </w:rPr>
        <w:t xml:space="preserve"> acquisition the company will have access to the biggest market of sports fashion the U.S. by adding to its ownership </w:t>
      </w:r>
      <w:r w:rsidR="008416F9">
        <w:rPr>
          <w:rFonts w:ascii="Times New Roman" w:hAnsi="Times New Roman" w:cs="Times New Roman"/>
          <w:sz w:val="24"/>
          <w:szCs w:val="24"/>
        </w:rPr>
        <w:t>Finnish Line which has stores in 44 states across the U.S.</w:t>
      </w:r>
    </w:p>
    <w:p w14:paraId="33BD1000" w14:textId="12DEF907" w:rsidR="00A44217" w:rsidRDefault="008416F9" w:rsidP="00A44217">
      <w:pPr>
        <w:rPr>
          <w:rFonts w:ascii="Times New Roman" w:hAnsi="Times New Roman" w:cs="Times New Roman"/>
          <w:sz w:val="24"/>
          <w:szCs w:val="24"/>
        </w:rPr>
      </w:pPr>
      <w:r>
        <w:rPr>
          <w:rFonts w:ascii="Times New Roman" w:hAnsi="Times New Roman" w:cs="Times New Roman"/>
          <w:sz w:val="24"/>
          <w:szCs w:val="24"/>
        </w:rPr>
        <w:t xml:space="preserve"> JD Sports was listed at the London Stock Exchange in 1986 and in 2005 57.5 of the company was acquired by the Pentland group from which it continued its expansion, in 2009 JD Sports makes its first presence in the international markets by acquiring the French sport retailer Chausport</w:t>
      </w:r>
      <w:r w:rsidR="00EF69FE">
        <w:rPr>
          <w:rFonts w:ascii="Times New Roman" w:hAnsi="Times New Roman" w:cs="Times New Roman"/>
          <w:sz w:val="24"/>
          <w:szCs w:val="24"/>
        </w:rPr>
        <w:t>, the next year opening the first JD store outside of UK in Lille France and in 2011 it acquires Spinter a leading sport fashion retailer from Spain, in 2012 the group expands into outdoor equipment market with the acquisition of Black and Millers, in 2016 the group enters into Asian markets and in the same year it opens the first gyms where in the moment it owns a total of 24 gyms across the UK</w:t>
      </w:r>
      <w:r w:rsidR="00F40B1A">
        <w:rPr>
          <w:rFonts w:ascii="Times New Roman" w:hAnsi="Times New Roman" w:cs="Times New Roman"/>
          <w:sz w:val="24"/>
          <w:szCs w:val="24"/>
        </w:rPr>
        <w:t>, in 2017 it acquires Hot-T a South Korean retailer of branded footwear and it launches the first JD store in Australia</w:t>
      </w:r>
      <w:r w:rsidR="00EF69FE">
        <w:rPr>
          <w:rFonts w:ascii="Times New Roman" w:hAnsi="Times New Roman" w:cs="Times New Roman"/>
          <w:sz w:val="24"/>
          <w:szCs w:val="24"/>
        </w:rPr>
        <w:t xml:space="preserve"> </w:t>
      </w:r>
      <w:r w:rsidR="00F40B1A">
        <w:rPr>
          <w:rFonts w:ascii="Times New Roman" w:hAnsi="Times New Roman" w:cs="Times New Roman"/>
          <w:sz w:val="24"/>
          <w:szCs w:val="24"/>
        </w:rPr>
        <w:t>and in 2018 the group acquired Finnish Line from the US.</w:t>
      </w:r>
      <w:r w:rsidR="00A63DBC">
        <w:rPr>
          <w:rFonts w:ascii="Times New Roman" w:hAnsi="Times New Roman" w:cs="Times New Roman"/>
          <w:sz w:val="24"/>
          <w:szCs w:val="24"/>
        </w:rPr>
        <w:t xml:space="preserve"> </w:t>
      </w:r>
    </w:p>
    <w:p w14:paraId="0F043C24" w14:textId="13774024" w:rsidR="00F40B1A" w:rsidRDefault="00F40B1A" w:rsidP="00A44217">
      <w:pPr>
        <w:rPr>
          <w:rFonts w:ascii="Times New Roman" w:hAnsi="Times New Roman" w:cs="Times New Roman"/>
          <w:sz w:val="24"/>
          <w:szCs w:val="24"/>
        </w:rPr>
      </w:pPr>
      <w:r>
        <w:rPr>
          <w:rFonts w:ascii="Times New Roman" w:hAnsi="Times New Roman" w:cs="Times New Roman"/>
          <w:sz w:val="24"/>
          <w:szCs w:val="24"/>
        </w:rPr>
        <w:t>JD Sports business model relies mainly on physical stores in which the buyer can enter and test the quality of it</w:t>
      </w:r>
      <w:r w:rsidR="00377075">
        <w:rPr>
          <w:rFonts w:ascii="Times New Roman" w:hAnsi="Times New Roman" w:cs="Times New Roman"/>
          <w:sz w:val="24"/>
          <w:szCs w:val="24"/>
        </w:rPr>
        <w:t>s</w:t>
      </w:r>
      <w:r>
        <w:rPr>
          <w:rFonts w:ascii="Times New Roman" w:hAnsi="Times New Roman" w:cs="Times New Roman"/>
          <w:sz w:val="24"/>
          <w:szCs w:val="24"/>
        </w:rPr>
        <w:t xml:space="preserve"> products in </w:t>
      </w:r>
      <w:r w:rsidR="00377075">
        <w:rPr>
          <w:rFonts w:ascii="Times New Roman" w:hAnsi="Times New Roman" w:cs="Times New Roman"/>
          <w:sz w:val="24"/>
          <w:szCs w:val="24"/>
        </w:rPr>
        <w:t>person,</w:t>
      </w:r>
      <w:r>
        <w:rPr>
          <w:rFonts w:ascii="Times New Roman" w:hAnsi="Times New Roman" w:cs="Times New Roman"/>
          <w:sz w:val="24"/>
          <w:szCs w:val="24"/>
        </w:rPr>
        <w:t xml:space="preserve"> but it generates a grate amount of revenue through its online website.</w:t>
      </w:r>
    </w:p>
    <w:p w14:paraId="5FCF756E" w14:textId="210B1E6D" w:rsidR="00A44217" w:rsidRDefault="00F40B1A" w:rsidP="00A44217">
      <w:pPr>
        <w:rPr>
          <w:rFonts w:ascii="Times New Roman" w:hAnsi="Times New Roman" w:cs="Times New Roman"/>
          <w:sz w:val="24"/>
          <w:szCs w:val="24"/>
        </w:rPr>
      </w:pPr>
      <w:r>
        <w:rPr>
          <w:rFonts w:ascii="Times New Roman" w:hAnsi="Times New Roman" w:cs="Times New Roman"/>
          <w:sz w:val="24"/>
          <w:szCs w:val="24"/>
        </w:rPr>
        <w:t xml:space="preserve">Sport Direct International plc is a British </w:t>
      </w:r>
      <w:r w:rsidR="00377075">
        <w:rPr>
          <w:rFonts w:ascii="Times New Roman" w:hAnsi="Times New Roman" w:cs="Times New Roman"/>
          <w:sz w:val="24"/>
          <w:szCs w:val="24"/>
        </w:rPr>
        <w:t>sport fashion retailer and according to its website is the UK largest sports-goods retailer having over 670 stores worldwide and trades predominantly under the sp</w:t>
      </w:r>
      <w:bookmarkStart w:id="0" w:name="_GoBack"/>
      <w:bookmarkEnd w:id="0"/>
      <w:r w:rsidR="00377075">
        <w:rPr>
          <w:rFonts w:ascii="Times New Roman" w:hAnsi="Times New Roman" w:cs="Times New Roman"/>
          <w:sz w:val="24"/>
          <w:szCs w:val="24"/>
        </w:rPr>
        <w:t>ortsdirect.com brand</w:t>
      </w:r>
      <w:r w:rsidR="00356B17">
        <w:rPr>
          <w:rFonts w:ascii="Times New Roman" w:hAnsi="Times New Roman" w:cs="Times New Roman"/>
          <w:sz w:val="24"/>
          <w:szCs w:val="24"/>
        </w:rPr>
        <w:t xml:space="preserve">.                         </w:t>
      </w:r>
    </w:p>
    <w:p w14:paraId="00C8E4B7" w14:textId="193FCB98" w:rsidR="00A44217" w:rsidRDefault="00A44217" w:rsidP="00A44217">
      <w:pPr>
        <w:rPr>
          <w:rFonts w:ascii="Times New Roman" w:hAnsi="Times New Roman" w:cs="Times New Roman"/>
          <w:sz w:val="24"/>
          <w:szCs w:val="24"/>
        </w:rPr>
      </w:pPr>
    </w:p>
    <w:p w14:paraId="3F724B01" w14:textId="1DEB900D" w:rsidR="00322EE7" w:rsidRDefault="00E6391D" w:rsidP="00A44217">
      <w:pPr>
        <w:rPr>
          <w:rFonts w:ascii="Times New Roman" w:hAnsi="Times New Roman" w:cs="Times New Roman"/>
          <w:b/>
          <w:sz w:val="24"/>
          <w:szCs w:val="24"/>
        </w:rPr>
      </w:pPr>
      <w:r w:rsidRPr="00E6391D">
        <w:rPr>
          <w:rFonts w:ascii="Times New Roman" w:hAnsi="Times New Roman" w:cs="Times New Roman"/>
          <w:b/>
          <w:sz w:val="24"/>
          <w:szCs w:val="24"/>
        </w:rPr>
        <w:t xml:space="preserve">PART </w:t>
      </w:r>
      <w:r>
        <w:rPr>
          <w:rFonts w:ascii="Times New Roman" w:hAnsi="Times New Roman" w:cs="Times New Roman"/>
          <w:b/>
          <w:sz w:val="24"/>
          <w:szCs w:val="24"/>
        </w:rPr>
        <w:t>B</w:t>
      </w:r>
    </w:p>
    <w:p w14:paraId="2A43E273" w14:textId="1E3AC9D2" w:rsidR="00E6391D" w:rsidRDefault="00E6391D" w:rsidP="00A44217">
      <w:pPr>
        <w:rPr>
          <w:rFonts w:ascii="Times New Roman" w:hAnsi="Times New Roman" w:cs="Times New Roman"/>
          <w:sz w:val="24"/>
          <w:szCs w:val="24"/>
        </w:rPr>
      </w:pPr>
      <w:r>
        <w:rPr>
          <w:rFonts w:ascii="Times New Roman" w:hAnsi="Times New Roman" w:cs="Times New Roman"/>
          <w:sz w:val="24"/>
          <w:szCs w:val="24"/>
        </w:rPr>
        <w:t xml:space="preserve"> This part of the paper will focus on analysing JD sports key financial ratios and compare it to its direct competitor “sports direct international plc” it will calculate the profitability, liquidity gearing and efficiency ratios in order to establish the financial position of the company and it will propose recommendations for its improvement.</w:t>
      </w:r>
      <w:r w:rsidR="00DF3D4D" w:rsidRPr="00DF3D4D">
        <w:t xml:space="preserve"> </w:t>
      </w:r>
      <w:r w:rsidR="00DF3D4D">
        <w:rPr>
          <w:rFonts w:ascii="Times New Roman" w:hAnsi="Times New Roman" w:cs="Times New Roman"/>
          <w:sz w:val="24"/>
          <w:szCs w:val="24"/>
        </w:rPr>
        <w:t xml:space="preserve">The results for this part of the paper will be calculated from the figures published in the </w:t>
      </w:r>
      <w:r w:rsidR="00CF0C2E">
        <w:rPr>
          <w:rFonts w:ascii="Times New Roman" w:hAnsi="Times New Roman" w:cs="Times New Roman"/>
          <w:sz w:val="24"/>
          <w:szCs w:val="24"/>
        </w:rPr>
        <w:t>company’s</w:t>
      </w:r>
      <w:r w:rsidR="00DF3D4D">
        <w:rPr>
          <w:rFonts w:ascii="Times New Roman" w:hAnsi="Times New Roman" w:cs="Times New Roman"/>
          <w:sz w:val="24"/>
          <w:szCs w:val="24"/>
        </w:rPr>
        <w:t xml:space="preserve"> annual reports which includes income</w:t>
      </w:r>
      <w:r w:rsidR="00DF3D4D" w:rsidRPr="00DF3D4D">
        <w:rPr>
          <w:rFonts w:ascii="Times New Roman" w:hAnsi="Times New Roman" w:cs="Times New Roman"/>
          <w:sz w:val="24"/>
          <w:szCs w:val="24"/>
        </w:rPr>
        <w:t xml:space="preserve"> statements, balance sheets and cash flow statements</w:t>
      </w:r>
      <w:r w:rsidR="00DF3D4D">
        <w:rPr>
          <w:rFonts w:ascii="Times New Roman" w:hAnsi="Times New Roman" w:cs="Times New Roman"/>
          <w:sz w:val="24"/>
          <w:szCs w:val="24"/>
        </w:rPr>
        <w:t>.</w:t>
      </w:r>
    </w:p>
    <w:p w14:paraId="3695D517" w14:textId="59F2FEF1" w:rsidR="00492A80" w:rsidRDefault="00492A80" w:rsidP="00A44217">
      <w:pPr>
        <w:rPr>
          <w:rFonts w:ascii="Times New Roman" w:hAnsi="Times New Roman" w:cs="Times New Roman"/>
          <w:sz w:val="24"/>
          <w:szCs w:val="24"/>
        </w:rPr>
      </w:pPr>
      <w:r>
        <w:rPr>
          <w:rFonts w:ascii="Times New Roman" w:hAnsi="Times New Roman" w:cs="Times New Roman"/>
          <w:sz w:val="24"/>
          <w:szCs w:val="24"/>
        </w:rPr>
        <w:t xml:space="preserve"> First will establish the </w:t>
      </w:r>
      <w:r w:rsidR="009E7C29">
        <w:rPr>
          <w:rFonts w:ascii="Times New Roman" w:hAnsi="Times New Roman" w:cs="Times New Roman"/>
          <w:sz w:val="24"/>
          <w:szCs w:val="24"/>
        </w:rPr>
        <w:t>position of the company by analysing the sales growth and market share of the company:</w:t>
      </w:r>
    </w:p>
    <w:tbl>
      <w:tblPr>
        <w:tblW w:w="8520" w:type="dxa"/>
        <w:tblInd w:w="113" w:type="dxa"/>
        <w:tblLook w:val="04A0" w:firstRow="1" w:lastRow="0" w:firstColumn="1" w:lastColumn="0" w:noHBand="0" w:noVBand="1"/>
      </w:tblPr>
      <w:tblGrid>
        <w:gridCol w:w="2240"/>
        <w:gridCol w:w="1056"/>
        <w:gridCol w:w="1056"/>
        <w:gridCol w:w="1056"/>
        <w:gridCol w:w="1056"/>
        <w:gridCol w:w="1056"/>
        <w:gridCol w:w="1480"/>
      </w:tblGrid>
      <w:tr w:rsidR="009E7C29" w:rsidRPr="009E7C29" w14:paraId="79AFA8EF" w14:textId="77777777" w:rsidTr="009E7C29">
        <w:trPr>
          <w:trHeight w:val="563"/>
        </w:trPr>
        <w:tc>
          <w:tcPr>
            <w:tcW w:w="22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9E8E0B"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JD Sports Plc</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28BC05BA"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2015</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50348038"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2016</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0927C169"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2017</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55337D2F"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2018</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33565C13"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2019</w:t>
            </w:r>
          </w:p>
        </w:tc>
        <w:tc>
          <w:tcPr>
            <w:tcW w:w="1480" w:type="dxa"/>
            <w:tcBorders>
              <w:top w:val="single" w:sz="4" w:space="0" w:color="auto"/>
              <w:left w:val="nil"/>
              <w:bottom w:val="single" w:sz="4" w:space="0" w:color="auto"/>
              <w:right w:val="single" w:sz="4" w:space="0" w:color="auto"/>
            </w:tcBorders>
            <w:shd w:val="clear" w:color="auto" w:fill="auto"/>
            <w:vAlign w:val="center"/>
            <w:hideMark/>
          </w:tcPr>
          <w:p w14:paraId="1317233D"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Sports Direct Plc 2019</w:t>
            </w:r>
          </w:p>
        </w:tc>
      </w:tr>
      <w:tr w:rsidR="009E7C29" w:rsidRPr="009E7C29" w14:paraId="4BEBD421" w14:textId="77777777" w:rsidTr="009E7C29">
        <w:trPr>
          <w:trHeight w:val="300"/>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62F0C77E"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Sales (£m)</w:t>
            </w:r>
          </w:p>
        </w:tc>
        <w:tc>
          <w:tcPr>
            <w:tcW w:w="960" w:type="dxa"/>
            <w:tcBorders>
              <w:top w:val="nil"/>
              <w:left w:val="nil"/>
              <w:bottom w:val="single" w:sz="4" w:space="0" w:color="auto"/>
              <w:right w:val="single" w:sz="4" w:space="0" w:color="auto"/>
            </w:tcBorders>
            <w:shd w:val="clear" w:color="auto" w:fill="auto"/>
            <w:noWrap/>
            <w:vAlign w:val="center"/>
            <w:hideMark/>
          </w:tcPr>
          <w:p w14:paraId="4A22118D"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1,552.30</w:t>
            </w:r>
          </w:p>
        </w:tc>
        <w:tc>
          <w:tcPr>
            <w:tcW w:w="960" w:type="dxa"/>
            <w:tcBorders>
              <w:top w:val="nil"/>
              <w:left w:val="nil"/>
              <w:bottom w:val="single" w:sz="4" w:space="0" w:color="auto"/>
              <w:right w:val="single" w:sz="4" w:space="0" w:color="auto"/>
            </w:tcBorders>
            <w:shd w:val="clear" w:color="auto" w:fill="auto"/>
            <w:noWrap/>
            <w:vAlign w:val="center"/>
            <w:hideMark/>
          </w:tcPr>
          <w:p w14:paraId="180833D4"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1,821.70</w:t>
            </w:r>
          </w:p>
        </w:tc>
        <w:tc>
          <w:tcPr>
            <w:tcW w:w="960" w:type="dxa"/>
            <w:tcBorders>
              <w:top w:val="nil"/>
              <w:left w:val="nil"/>
              <w:bottom w:val="single" w:sz="4" w:space="0" w:color="auto"/>
              <w:right w:val="single" w:sz="4" w:space="0" w:color="auto"/>
            </w:tcBorders>
            <w:shd w:val="clear" w:color="auto" w:fill="auto"/>
            <w:noWrap/>
            <w:vAlign w:val="center"/>
            <w:hideMark/>
          </w:tcPr>
          <w:p w14:paraId="0DB90B2F"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2,378.70</w:t>
            </w:r>
          </w:p>
        </w:tc>
        <w:tc>
          <w:tcPr>
            <w:tcW w:w="960" w:type="dxa"/>
            <w:tcBorders>
              <w:top w:val="nil"/>
              <w:left w:val="nil"/>
              <w:bottom w:val="single" w:sz="4" w:space="0" w:color="auto"/>
              <w:right w:val="single" w:sz="4" w:space="0" w:color="auto"/>
            </w:tcBorders>
            <w:shd w:val="clear" w:color="auto" w:fill="auto"/>
            <w:noWrap/>
            <w:vAlign w:val="center"/>
            <w:hideMark/>
          </w:tcPr>
          <w:p w14:paraId="0EEEC246"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3,161.40</w:t>
            </w:r>
          </w:p>
        </w:tc>
        <w:tc>
          <w:tcPr>
            <w:tcW w:w="960" w:type="dxa"/>
            <w:tcBorders>
              <w:top w:val="nil"/>
              <w:left w:val="nil"/>
              <w:bottom w:val="single" w:sz="4" w:space="0" w:color="auto"/>
              <w:right w:val="single" w:sz="4" w:space="0" w:color="auto"/>
            </w:tcBorders>
            <w:shd w:val="clear" w:color="auto" w:fill="auto"/>
            <w:noWrap/>
            <w:vAlign w:val="center"/>
            <w:hideMark/>
          </w:tcPr>
          <w:p w14:paraId="789FB3BE"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4,717.80</w:t>
            </w:r>
          </w:p>
        </w:tc>
        <w:tc>
          <w:tcPr>
            <w:tcW w:w="1480" w:type="dxa"/>
            <w:tcBorders>
              <w:top w:val="nil"/>
              <w:left w:val="nil"/>
              <w:bottom w:val="single" w:sz="4" w:space="0" w:color="auto"/>
              <w:right w:val="single" w:sz="4" w:space="0" w:color="auto"/>
            </w:tcBorders>
            <w:shd w:val="clear" w:color="auto" w:fill="auto"/>
            <w:noWrap/>
            <w:vAlign w:val="center"/>
            <w:hideMark/>
          </w:tcPr>
          <w:p w14:paraId="21BF88B2"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3,701.90</w:t>
            </w:r>
          </w:p>
        </w:tc>
      </w:tr>
      <w:tr w:rsidR="009E7C29" w:rsidRPr="009E7C29" w14:paraId="48C5A2B8" w14:textId="77777777" w:rsidTr="009E7C29">
        <w:trPr>
          <w:trHeight w:val="300"/>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3135CA0F"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Sales Growth (%)</w:t>
            </w:r>
          </w:p>
        </w:tc>
        <w:tc>
          <w:tcPr>
            <w:tcW w:w="960" w:type="dxa"/>
            <w:tcBorders>
              <w:top w:val="nil"/>
              <w:left w:val="nil"/>
              <w:bottom w:val="single" w:sz="4" w:space="0" w:color="auto"/>
              <w:right w:val="single" w:sz="4" w:space="0" w:color="auto"/>
            </w:tcBorders>
            <w:shd w:val="clear" w:color="auto" w:fill="auto"/>
            <w:noWrap/>
            <w:vAlign w:val="center"/>
            <w:hideMark/>
          </w:tcPr>
          <w:p w14:paraId="779573A4"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27.62</w:t>
            </w:r>
          </w:p>
        </w:tc>
        <w:tc>
          <w:tcPr>
            <w:tcW w:w="960" w:type="dxa"/>
            <w:tcBorders>
              <w:top w:val="nil"/>
              <w:left w:val="nil"/>
              <w:bottom w:val="single" w:sz="4" w:space="0" w:color="auto"/>
              <w:right w:val="single" w:sz="4" w:space="0" w:color="auto"/>
            </w:tcBorders>
            <w:shd w:val="clear" w:color="auto" w:fill="auto"/>
            <w:noWrap/>
            <w:vAlign w:val="center"/>
            <w:hideMark/>
          </w:tcPr>
          <w:p w14:paraId="3B8264BF"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17.35</w:t>
            </w:r>
          </w:p>
        </w:tc>
        <w:tc>
          <w:tcPr>
            <w:tcW w:w="960" w:type="dxa"/>
            <w:tcBorders>
              <w:top w:val="nil"/>
              <w:left w:val="nil"/>
              <w:bottom w:val="single" w:sz="4" w:space="0" w:color="auto"/>
              <w:right w:val="single" w:sz="4" w:space="0" w:color="auto"/>
            </w:tcBorders>
            <w:shd w:val="clear" w:color="auto" w:fill="auto"/>
            <w:noWrap/>
            <w:vAlign w:val="center"/>
            <w:hideMark/>
          </w:tcPr>
          <w:p w14:paraId="145FCB21"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30.58</w:t>
            </w:r>
          </w:p>
        </w:tc>
        <w:tc>
          <w:tcPr>
            <w:tcW w:w="960" w:type="dxa"/>
            <w:tcBorders>
              <w:top w:val="nil"/>
              <w:left w:val="nil"/>
              <w:bottom w:val="single" w:sz="4" w:space="0" w:color="auto"/>
              <w:right w:val="single" w:sz="4" w:space="0" w:color="auto"/>
            </w:tcBorders>
            <w:shd w:val="clear" w:color="auto" w:fill="auto"/>
            <w:noWrap/>
            <w:vAlign w:val="center"/>
            <w:hideMark/>
          </w:tcPr>
          <w:p w14:paraId="3A007F5D"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32.90</w:t>
            </w:r>
          </w:p>
        </w:tc>
        <w:tc>
          <w:tcPr>
            <w:tcW w:w="960" w:type="dxa"/>
            <w:tcBorders>
              <w:top w:val="nil"/>
              <w:left w:val="nil"/>
              <w:bottom w:val="single" w:sz="4" w:space="0" w:color="auto"/>
              <w:right w:val="single" w:sz="4" w:space="0" w:color="auto"/>
            </w:tcBorders>
            <w:shd w:val="clear" w:color="auto" w:fill="auto"/>
            <w:noWrap/>
            <w:vAlign w:val="center"/>
            <w:hideMark/>
          </w:tcPr>
          <w:p w14:paraId="4022EC7A"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49.23</w:t>
            </w:r>
          </w:p>
        </w:tc>
        <w:tc>
          <w:tcPr>
            <w:tcW w:w="1480" w:type="dxa"/>
            <w:tcBorders>
              <w:top w:val="nil"/>
              <w:left w:val="nil"/>
              <w:bottom w:val="single" w:sz="4" w:space="0" w:color="auto"/>
              <w:right w:val="single" w:sz="4" w:space="0" w:color="auto"/>
            </w:tcBorders>
            <w:shd w:val="clear" w:color="auto" w:fill="auto"/>
            <w:noWrap/>
            <w:vAlign w:val="center"/>
            <w:hideMark/>
          </w:tcPr>
          <w:p w14:paraId="16D6C80F"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10.19</w:t>
            </w:r>
          </w:p>
        </w:tc>
      </w:tr>
      <w:tr w:rsidR="009E7C29" w:rsidRPr="009E7C29" w14:paraId="622B8673" w14:textId="77777777" w:rsidTr="009E7C29">
        <w:trPr>
          <w:trHeight w:val="300"/>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61003A51"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Gross Profit</w:t>
            </w:r>
          </w:p>
        </w:tc>
        <w:tc>
          <w:tcPr>
            <w:tcW w:w="960" w:type="dxa"/>
            <w:tcBorders>
              <w:top w:val="nil"/>
              <w:left w:val="nil"/>
              <w:bottom w:val="single" w:sz="4" w:space="0" w:color="auto"/>
              <w:right w:val="single" w:sz="4" w:space="0" w:color="auto"/>
            </w:tcBorders>
            <w:shd w:val="clear" w:color="auto" w:fill="auto"/>
            <w:noWrap/>
            <w:vAlign w:val="center"/>
            <w:hideMark/>
          </w:tcPr>
          <w:p w14:paraId="60CA2E95"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739.60</w:t>
            </w:r>
          </w:p>
        </w:tc>
        <w:tc>
          <w:tcPr>
            <w:tcW w:w="960" w:type="dxa"/>
            <w:tcBorders>
              <w:top w:val="nil"/>
              <w:left w:val="nil"/>
              <w:bottom w:val="single" w:sz="4" w:space="0" w:color="auto"/>
              <w:right w:val="single" w:sz="4" w:space="0" w:color="auto"/>
            </w:tcBorders>
            <w:shd w:val="clear" w:color="auto" w:fill="auto"/>
            <w:noWrap/>
            <w:vAlign w:val="center"/>
            <w:hideMark/>
          </w:tcPr>
          <w:p w14:paraId="4769FF51"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884.2</w:t>
            </w:r>
          </w:p>
        </w:tc>
        <w:tc>
          <w:tcPr>
            <w:tcW w:w="960" w:type="dxa"/>
            <w:tcBorders>
              <w:top w:val="nil"/>
              <w:left w:val="nil"/>
              <w:bottom w:val="single" w:sz="4" w:space="0" w:color="auto"/>
              <w:right w:val="single" w:sz="4" w:space="0" w:color="auto"/>
            </w:tcBorders>
            <w:shd w:val="clear" w:color="auto" w:fill="auto"/>
            <w:noWrap/>
            <w:vAlign w:val="center"/>
            <w:hideMark/>
          </w:tcPr>
          <w:p w14:paraId="4874A390"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1163.6</w:t>
            </w:r>
          </w:p>
        </w:tc>
        <w:tc>
          <w:tcPr>
            <w:tcW w:w="960" w:type="dxa"/>
            <w:tcBorders>
              <w:top w:val="nil"/>
              <w:left w:val="nil"/>
              <w:bottom w:val="single" w:sz="4" w:space="0" w:color="auto"/>
              <w:right w:val="single" w:sz="4" w:space="0" w:color="auto"/>
            </w:tcBorders>
            <w:shd w:val="clear" w:color="auto" w:fill="auto"/>
            <w:noWrap/>
            <w:vAlign w:val="center"/>
            <w:hideMark/>
          </w:tcPr>
          <w:p w14:paraId="3DB39CAF"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1531.6</w:t>
            </w:r>
          </w:p>
        </w:tc>
        <w:tc>
          <w:tcPr>
            <w:tcW w:w="960" w:type="dxa"/>
            <w:tcBorders>
              <w:top w:val="nil"/>
              <w:left w:val="nil"/>
              <w:bottom w:val="single" w:sz="4" w:space="0" w:color="auto"/>
              <w:right w:val="single" w:sz="4" w:space="0" w:color="auto"/>
            </w:tcBorders>
            <w:shd w:val="clear" w:color="auto" w:fill="auto"/>
            <w:noWrap/>
            <w:vAlign w:val="center"/>
            <w:hideMark/>
          </w:tcPr>
          <w:p w14:paraId="2E8EC974"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2243.3</w:t>
            </w:r>
          </w:p>
        </w:tc>
        <w:tc>
          <w:tcPr>
            <w:tcW w:w="1480" w:type="dxa"/>
            <w:tcBorders>
              <w:top w:val="nil"/>
              <w:left w:val="nil"/>
              <w:bottom w:val="single" w:sz="4" w:space="0" w:color="auto"/>
              <w:right w:val="single" w:sz="4" w:space="0" w:color="auto"/>
            </w:tcBorders>
            <w:shd w:val="clear" w:color="auto" w:fill="auto"/>
            <w:noWrap/>
            <w:vAlign w:val="center"/>
            <w:hideMark/>
          </w:tcPr>
          <w:p w14:paraId="36D345DA"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1583.5</w:t>
            </w:r>
          </w:p>
        </w:tc>
      </w:tr>
      <w:tr w:rsidR="009E7C29" w:rsidRPr="009E7C29" w14:paraId="66B20222" w14:textId="77777777" w:rsidTr="009E7C29">
        <w:trPr>
          <w:trHeight w:val="300"/>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3AD1C3D7"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Operating Profit</w:t>
            </w:r>
          </w:p>
        </w:tc>
        <w:tc>
          <w:tcPr>
            <w:tcW w:w="960" w:type="dxa"/>
            <w:tcBorders>
              <w:top w:val="nil"/>
              <w:left w:val="nil"/>
              <w:bottom w:val="single" w:sz="4" w:space="0" w:color="auto"/>
              <w:right w:val="single" w:sz="4" w:space="0" w:color="auto"/>
            </w:tcBorders>
            <w:shd w:val="clear" w:color="auto" w:fill="auto"/>
            <w:noWrap/>
            <w:vAlign w:val="center"/>
            <w:hideMark/>
          </w:tcPr>
          <w:p w14:paraId="1C52F5AF"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92.7</w:t>
            </w:r>
          </w:p>
        </w:tc>
        <w:tc>
          <w:tcPr>
            <w:tcW w:w="960" w:type="dxa"/>
            <w:tcBorders>
              <w:top w:val="nil"/>
              <w:left w:val="nil"/>
              <w:bottom w:val="single" w:sz="4" w:space="0" w:color="auto"/>
              <w:right w:val="single" w:sz="4" w:space="0" w:color="auto"/>
            </w:tcBorders>
            <w:shd w:val="clear" w:color="auto" w:fill="auto"/>
            <w:noWrap/>
            <w:vAlign w:val="center"/>
            <w:hideMark/>
          </w:tcPr>
          <w:p w14:paraId="35A8079A"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133.4</w:t>
            </w:r>
          </w:p>
        </w:tc>
        <w:tc>
          <w:tcPr>
            <w:tcW w:w="960" w:type="dxa"/>
            <w:tcBorders>
              <w:top w:val="nil"/>
              <w:left w:val="nil"/>
              <w:bottom w:val="single" w:sz="4" w:space="0" w:color="auto"/>
              <w:right w:val="single" w:sz="4" w:space="0" w:color="auto"/>
            </w:tcBorders>
            <w:shd w:val="clear" w:color="auto" w:fill="auto"/>
            <w:noWrap/>
            <w:vAlign w:val="center"/>
            <w:hideMark/>
          </w:tcPr>
          <w:p w14:paraId="0A386E4C"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239.8</w:t>
            </w:r>
          </w:p>
        </w:tc>
        <w:tc>
          <w:tcPr>
            <w:tcW w:w="960" w:type="dxa"/>
            <w:tcBorders>
              <w:top w:val="nil"/>
              <w:left w:val="nil"/>
              <w:bottom w:val="single" w:sz="4" w:space="0" w:color="auto"/>
              <w:right w:val="single" w:sz="4" w:space="0" w:color="auto"/>
            </w:tcBorders>
            <w:shd w:val="clear" w:color="auto" w:fill="auto"/>
            <w:noWrap/>
            <w:vAlign w:val="center"/>
            <w:hideMark/>
          </w:tcPr>
          <w:p w14:paraId="31EC1ACC"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295.9</w:t>
            </w:r>
          </w:p>
        </w:tc>
        <w:tc>
          <w:tcPr>
            <w:tcW w:w="960" w:type="dxa"/>
            <w:tcBorders>
              <w:top w:val="nil"/>
              <w:left w:val="nil"/>
              <w:bottom w:val="single" w:sz="4" w:space="0" w:color="auto"/>
              <w:right w:val="single" w:sz="4" w:space="0" w:color="auto"/>
            </w:tcBorders>
            <w:shd w:val="clear" w:color="auto" w:fill="auto"/>
            <w:noWrap/>
            <w:vAlign w:val="center"/>
            <w:hideMark/>
          </w:tcPr>
          <w:p w14:paraId="49CCDEFF"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346.2</w:t>
            </w:r>
          </w:p>
        </w:tc>
        <w:tc>
          <w:tcPr>
            <w:tcW w:w="1480" w:type="dxa"/>
            <w:tcBorders>
              <w:top w:val="nil"/>
              <w:left w:val="nil"/>
              <w:bottom w:val="single" w:sz="4" w:space="0" w:color="auto"/>
              <w:right w:val="single" w:sz="4" w:space="0" w:color="auto"/>
            </w:tcBorders>
            <w:shd w:val="clear" w:color="auto" w:fill="auto"/>
            <w:noWrap/>
            <w:vAlign w:val="center"/>
            <w:hideMark/>
          </w:tcPr>
          <w:p w14:paraId="5393C323"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160.5</w:t>
            </w:r>
          </w:p>
        </w:tc>
      </w:tr>
      <w:tr w:rsidR="009E7C29" w:rsidRPr="009E7C29" w14:paraId="3A6EDA97" w14:textId="77777777" w:rsidTr="009E7C29">
        <w:trPr>
          <w:trHeight w:val="300"/>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5608CC2F" w14:textId="77777777" w:rsidR="009E7C29" w:rsidRPr="009E7C29" w:rsidRDefault="009E7C29" w:rsidP="009E7C29">
            <w:pPr>
              <w:rPr>
                <w:rFonts w:ascii="Times New Roman" w:hAnsi="Times New Roman" w:cs="Times New Roman"/>
                <w:b/>
                <w:bCs/>
                <w:sz w:val="24"/>
                <w:szCs w:val="24"/>
              </w:rPr>
            </w:pPr>
            <w:r w:rsidRPr="009E7C29">
              <w:rPr>
                <w:rFonts w:ascii="Times New Roman" w:hAnsi="Times New Roman" w:cs="Times New Roman"/>
                <w:b/>
                <w:bCs/>
                <w:sz w:val="24"/>
                <w:szCs w:val="24"/>
              </w:rPr>
              <w:t>Profit/Net income</w:t>
            </w:r>
          </w:p>
        </w:tc>
        <w:tc>
          <w:tcPr>
            <w:tcW w:w="960" w:type="dxa"/>
            <w:tcBorders>
              <w:top w:val="nil"/>
              <w:left w:val="nil"/>
              <w:bottom w:val="single" w:sz="4" w:space="0" w:color="auto"/>
              <w:right w:val="single" w:sz="4" w:space="0" w:color="auto"/>
            </w:tcBorders>
            <w:shd w:val="clear" w:color="auto" w:fill="auto"/>
            <w:noWrap/>
            <w:vAlign w:val="bottom"/>
            <w:hideMark/>
          </w:tcPr>
          <w:p w14:paraId="2A8E0E41"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69.8</w:t>
            </w:r>
          </w:p>
        </w:tc>
        <w:tc>
          <w:tcPr>
            <w:tcW w:w="960" w:type="dxa"/>
            <w:tcBorders>
              <w:top w:val="nil"/>
              <w:left w:val="nil"/>
              <w:bottom w:val="single" w:sz="4" w:space="0" w:color="auto"/>
              <w:right w:val="single" w:sz="4" w:space="0" w:color="auto"/>
            </w:tcBorders>
            <w:shd w:val="clear" w:color="auto" w:fill="auto"/>
            <w:noWrap/>
            <w:vAlign w:val="bottom"/>
            <w:hideMark/>
          </w:tcPr>
          <w:p w14:paraId="26C58BA9"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100.6</w:t>
            </w:r>
          </w:p>
        </w:tc>
        <w:tc>
          <w:tcPr>
            <w:tcW w:w="960" w:type="dxa"/>
            <w:tcBorders>
              <w:top w:val="nil"/>
              <w:left w:val="nil"/>
              <w:bottom w:val="single" w:sz="4" w:space="0" w:color="auto"/>
              <w:right w:val="single" w:sz="4" w:space="0" w:color="auto"/>
            </w:tcBorders>
            <w:shd w:val="clear" w:color="auto" w:fill="auto"/>
            <w:noWrap/>
            <w:vAlign w:val="bottom"/>
            <w:hideMark/>
          </w:tcPr>
          <w:p w14:paraId="038BA724"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184.6</w:t>
            </w:r>
          </w:p>
        </w:tc>
        <w:tc>
          <w:tcPr>
            <w:tcW w:w="960" w:type="dxa"/>
            <w:tcBorders>
              <w:top w:val="nil"/>
              <w:left w:val="nil"/>
              <w:bottom w:val="single" w:sz="4" w:space="0" w:color="auto"/>
              <w:right w:val="single" w:sz="4" w:space="0" w:color="auto"/>
            </w:tcBorders>
            <w:shd w:val="clear" w:color="auto" w:fill="auto"/>
            <w:noWrap/>
            <w:vAlign w:val="bottom"/>
            <w:hideMark/>
          </w:tcPr>
          <w:p w14:paraId="1F97D444"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236.4</w:t>
            </w:r>
          </w:p>
        </w:tc>
        <w:tc>
          <w:tcPr>
            <w:tcW w:w="960" w:type="dxa"/>
            <w:tcBorders>
              <w:top w:val="nil"/>
              <w:left w:val="nil"/>
              <w:bottom w:val="single" w:sz="4" w:space="0" w:color="auto"/>
              <w:right w:val="single" w:sz="4" w:space="0" w:color="auto"/>
            </w:tcBorders>
            <w:shd w:val="clear" w:color="auto" w:fill="auto"/>
            <w:noWrap/>
            <w:vAlign w:val="bottom"/>
            <w:hideMark/>
          </w:tcPr>
          <w:p w14:paraId="1EB6F36C"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264.2</w:t>
            </w:r>
          </w:p>
        </w:tc>
        <w:tc>
          <w:tcPr>
            <w:tcW w:w="1480" w:type="dxa"/>
            <w:tcBorders>
              <w:top w:val="nil"/>
              <w:left w:val="nil"/>
              <w:bottom w:val="single" w:sz="4" w:space="0" w:color="auto"/>
              <w:right w:val="single" w:sz="4" w:space="0" w:color="auto"/>
            </w:tcBorders>
            <w:shd w:val="clear" w:color="auto" w:fill="auto"/>
            <w:noWrap/>
            <w:vAlign w:val="bottom"/>
            <w:hideMark/>
          </w:tcPr>
          <w:p w14:paraId="6BA52AFB" w14:textId="77777777" w:rsidR="009E7C29" w:rsidRPr="009E7C29" w:rsidRDefault="009E7C29" w:rsidP="009E7C29">
            <w:pPr>
              <w:rPr>
                <w:rFonts w:ascii="Times New Roman" w:hAnsi="Times New Roman" w:cs="Times New Roman"/>
                <w:sz w:val="24"/>
                <w:szCs w:val="24"/>
              </w:rPr>
            </w:pPr>
            <w:r w:rsidRPr="009E7C29">
              <w:rPr>
                <w:rFonts w:ascii="Times New Roman" w:hAnsi="Times New Roman" w:cs="Times New Roman"/>
                <w:sz w:val="24"/>
                <w:szCs w:val="24"/>
              </w:rPr>
              <w:t>116</w:t>
            </w:r>
          </w:p>
        </w:tc>
      </w:tr>
    </w:tbl>
    <w:p w14:paraId="5A2B5B49" w14:textId="01997407" w:rsidR="009E7C29" w:rsidRDefault="009E7C29" w:rsidP="00A44217">
      <w:pPr>
        <w:rPr>
          <w:rFonts w:ascii="Times New Roman" w:hAnsi="Times New Roman" w:cs="Times New Roman"/>
          <w:sz w:val="24"/>
          <w:szCs w:val="24"/>
        </w:rPr>
      </w:pPr>
    </w:p>
    <w:p w14:paraId="7704DCD3" w14:textId="6E75CDCC" w:rsidR="00916BEF" w:rsidRDefault="00916BEF" w:rsidP="00A44217">
      <w:pPr>
        <w:rPr>
          <w:rFonts w:ascii="Times New Roman" w:hAnsi="Times New Roman" w:cs="Times New Roman"/>
          <w:sz w:val="24"/>
          <w:szCs w:val="24"/>
        </w:rPr>
      </w:pPr>
      <w:r>
        <w:rPr>
          <w:rFonts w:ascii="Times New Roman" w:hAnsi="Times New Roman" w:cs="Times New Roman"/>
          <w:sz w:val="24"/>
          <w:szCs w:val="24"/>
        </w:rPr>
        <w:t xml:space="preserve"> As can be seen JD Sports have experienced an increase of sales for the past five years this can be due to the </w:t>
      </w:r>
      <w:r w:rsidR="001272C9">
        <w:rPr>
          <w:rFonts w:ascii="Times New Roman" w:hAnsi="Times New Roman" w:cs="Times New Roman"/>
          <w:sz w:val="24"/>
          <w:szCs w:val="24"/>
        </w:rPr>
        <w:t>its aggressive expansion policy where in 2009 had its first international presence by buying the French retailer Chausport and since than the company continues its expansion</w:t>
      </w:r>
      <w:r w:rsidR="007930B9">
        <w:rPr>
          <w:rFonts w:ascii="Times New Roman" w:hAnsi="Times New Roman" w:cs="Times New Roman"/>
          <w:sz w:val="24"/>
          <w:szCs w:val="24"/>
        </w:rPr>
        <w:t xml:space="preserve"> at a quick pace </w:t>
      </w:r>
      <w:r w:rsidR="00974D14">
        <w:rPr>
          <w:rFonts w:ascii="Times New Roman" w:hAnsi="Times New Roman" w:cs="Times New Roman"/>
          <w:sz w:val="24"/>
          <w:szCs w:val="24"/>
        </w:rPr>
        <w:t>reaching in 2018 over 2400 stores in 18 countries</w:t>
      </w:r>
      <w:r w:rsidR="00177924">
        <w:rPr>
          <w:rFonts w:ascii="Times New Roman" w:hAnsi="Times New Roman" w:cs="Times New Roman"/>
          <w:sz w:val="24"/>
          <w:szCs w:val="24"/>
        </w:rPr>
        <w:t xml:space="preserve">, where in 2015 JD sports reported </w:t>
      </w:r>
      <w:r w:rsidR="004B118E">
        <w:rPr>
          <w:rFonts w:ascii="Times New Roman" w:hAnsi="Times New Roman" w:cs="Times New Roman"/>
          <w:sz w:val="24"/>
          <w:szCs w:val="24"/>
        </w:rPr>
        <w:t xml:space="preserve">owning </w:t>
      </w:r>
      <w:r w:rsidR="004B118E" w:rsidRPr="004B118E">
        <w:rPr>
          <w:rFonts w:ascii="Times New Roman" w:hAnsi="Times New Roman" w:cs="Times New Roman"/>
          <w:sz w:val="24"/>
          <w:szCs w:val="24"/>
        </w:rPr>
        <w:t>147,934</w:t>
      </w:r>
      <w:r w:rsidR="004B118E">
        <w:rPr>
          <w:rFonts w:ascii="Times New Roman" w:hAnsi="Times New Roman" w:cs="Times New Roman"/>
          <w:sz w:val="24"/>
          <w:szCs w:val="24"/>
        </w:rPr>
        <w:t xml:space="preserve"> million £ in property plant and equipment and in 2019 539.8 million </w:t>
      </w:r>
      <w:r w:rsidR="00974D14">
        <w:rPr>
          <w:rFonts w:ascii="Times New Roman" w:hAnsi="Times New Roman" w:cs="Times New Roman"/>
          <w:sz w:val="24"/>
          <w:szCs w:val="24"/>
        </w:rPr>
        <w:t xml:space="preserve">. </w:t>
      </w:r>
      <w:r w:rsidR="00CA35CC">
        <w:rPr>
          <w:rFonts w:ascii="Times New Roman" w:hAnsi="Times New Roman" w:cs="Times New Roman"/>
          <w:sz w:val="24"/>
          <w:szCs w:val="24"/>
        </w:rPr>
        <w:t>The closest competitor Sports Direct, has restricted its expansion for the last 3 years, this is concluded from the company’s balance sheet where the figures for property plant and equipment for the last 3 years have relatively small changes. This might be one of the reasons for the why in 2018</w:t>
      </w:r>
      <w:r w:rsidR="00177924">
        <w:rPr>
          <w:rFonts w:ascii="Times New Roman" w:hAnsi="Times New Roman" w:cs="Times New Roman"/>
          <w:sz w:val="24"/>
          <w:szCs w:val="24"/>
        </w:rPr>
        <w:t xml:space="preserve"> (</w:t>
      </w:r>
      <w:r w:rsidR="00177924" w:rsidRPr="00177924">
        <w:rPr>
          <w:rFonts w:ascii="Times New Roman" w:hAnsi="Times New Roman" w:cs="Times New Roman"/>
          <w:sz w:val="24"/>
          <w:szCs w:val="24"/>
        </w:rPr>
        <w:t>3,359.5</w:t>
      </w:r>
      <w:r w:rsidR="00177924">
        <w:rPr>
          <w:rFonts w:ascii="Times New Roman" w:hAnsi="Times New Roman" w:cs="Times New Roman"/>
          <w:sz w:val="24"/>
          <w:szCs w:val="24"/>
        </w:rPr>
        <w:t xml:space="preserve"> million £ in revenue for Sports Direct)</w:t>
      </w:r>
      <w:r w:rsidR="00CA35CC">
        <w:rPr>
          <w:rFonts w:ascii="Times New Roman" w:hAnsi="Times New Roman" w:cs="Times New Roman"/>
          <w:sz w:val="24"/>
          <w:szCs w:val="24"/>
        </w:rPr>
        <w:t xml:space="preserve"> the two </w:t>
      </w:r>
      <w:r w:rsidR="001D7F09">
        <w:rPr>
          <w:rFonts w:ascii="Times New Roman" w:hAnsi="Times New Roman" w:cs="Times New Roman"/>
          <w:sz w:val="24"/>
          <w:szCs w:val="24"/>
        </w:rPr>
        <w:t>companies’</w:t>
      </w:r>
      <w:r w:rsidR="00CA35CC">
        <w:rPr>
          <w:rFonts w:ascii="Times New Roman" w:hAnsi="Times New Roman" w:cs="Times New Roman"/>
          <w:sz w:val="24"/>
          <w:szCs w:val="24"/>
        </w:rPr>
        <w:t xml:space="preserve"> sales figures are close but for 2019 there is a difference</w:t>
      </w:r>
      <w:r w:rsidR="00177924">
        <w:rPr>
          <w:rFonts w:ascii="Times New Roman" w:hAnsi="Times New Roman" w:cs="Times New Roman"/>
          <w:sz w:val="24"/>
          <w:szCs w:val="24"/>
        </w:rPr>
        <w:t xml:space="preserve"> of over 1000 million pounds</w:t>
      </w:r>
      <w:r w:rsidR="00CA35CC">
        <w:rPr>
          <w:rFonts w:ascii="Times New Roman" w:hAnsi="Times New Roman" w:cs="Times New Roman"/>
          <w:sz w:val="24"/>
          <w:szCs w:val="24"/>
        </w:rPr>
        <w:t xml:space="preserve">  </w:t>
      </w:r>
      <w:r w:rsidR="001272C9">
        <w:rPr>
          <w:rFonts w:ascii="Times New Roman" w:hAnsi="Times New Roman" w:cs="Times New Roman"/>
          <w:sz w:val="24"/>
          <w:szCs w:val="24"/>
        </w:rPr>
        <w:t xml:space="preserve"> </w:t>
      </w:r>
    </w:p>
    <w:p w14:paraId="62DE1C1E" w14:textId="1C6A4BF5" w:rsidR="00DF3D4D" w:rsidRDefault="00DF3D4D" w:rsidP="00A44217">
      <w:pPr>
        <w:rPr>
          <w:rFonts w:ascii="Times New Roman" w:hAnsi="Times New Roman" w:cs="Times New Roman"/>
          <w:sz w:val="24"/>
          <w:szCs w:val="24"/>
        </w:rPr>
      </w:pPr>
      <w:r>
        <w:rPr>
          <w:rFonts w:ascii="Times New Roman" w:hAnsi="Times New Roman" w:cs="Times New Roman"/>
          <w:sz w:val="24"/>
          <w:szCs w:val="24"/>
        </w:rPr>
        <w:t xml:space="preserve"> </w:t>
      </w:r>
      <w:r w:rsidR="005F04C4">
        <w:rPr>
          <w:rFonts w:ascii="Times New Roman" w:hAnsi="Times New Roman" w:cs="Times New Roman"/>
          <w:sz w:val="24"/>
          <w:szCs w:val="24"/>
        </w:rPr>
        <w:t>Secondly</w:t>
      </w:r>
      <w:r>
        <w:rPr>
          <w:rFonts w:ascii="Times New Roman" w:hAnsi="Times New Roman" w:cs="Times New Roman"/>
          <w:sz w:val="24"/>
          <w:szCs w:val="24"/>
        </w:rPr>
        <w:t xml:space="preserve"> will be analysed the profitability ratios </w:t>
      </w:r>
      <w:r w:rsidR="005D526B">
        <w:rPr>
          <w:rFonts w:ascii="Times New Roman" w:hAnsi="Times New Roman" w:cs="Times New Roman"/>
          <w:sz w:val="24"/>
          <w:szCs w:val="24"/>
        </w:rPr>
        <w:t xml:space="preserve">for five </w:t>
      </w:r>
      <w:r w:rsidR="001D7F09">
        <w:rPr>
          <w:rFonts w:ascii="Times New Roman" w:hAnsi="Times New Roman" w:cs="Times New Roman"/>
          <w:sz w:val="24"/>
          <w:szCs w:val="24"/>
        </w:rPr>
        <w:t xml:space="preserve">years’ time   </w:t>
      </w:r>
      <w:r w:rsidR="005D526B">
        <w:rPr>
          <w:rFonts w:ascii="Times New Roman" w:hAnsi="Times New Roman" w:cs="Times New Roman"/>
          <w:sz w:val="24"/>
          <w:szCs w:val="24"/>
        </w:rPr>
        <w:t xml:space="preserve"> which will assess the company’s ability to generate profit on </w:t>
      </w:r>
      <w:r w:rsidR="005D526B" w:rsidRPr="005D526B">
        <w:rPr>
          <w:rFonts w:ascii="Times New Roman" w:hAnsi="Times New Roman" w:cs="Times New Roman"/>
          <w:sz w:val="24"/>
          <w:szCs w:val="24"/>
        </w:rPr>
        <w:t>sales, assets and equity, it</w:t>
      </w:r>
      <w:r w:rsidR="005D526B">
        <w:rPr>
          <w:rFonts w:ascii="Times New Roman" w:hAnsi="Times New Roman" w:cs="Times New Roman"/>
          <w:sz w:val="24"/>
          <w:szCs w:val="24"/>
        </w:rPr>
        <w:t xml:space="preserve"> will</w:t>
      </w:r>
      <w:r w:rsidR="005D526B" w:rsidRPr="005D526B">
        <w:rPr>
          <w:rFonts w:ascii="Times New Roman" w:hAnsi="Times New Roman" w:cs="Times New Roman"/>
          <w:sz w:val="24"/>
          <w:szCs w:val="24"/>
        </w:rPr>
        <w:t xml:space="preserve"> measure the return earned on a company’s capital</w:t>
      </w:r>
      <w:r w:rsidR="00235F1B">
        <w:rPr>
          <w:rFonts w:ascii="Times New Roman" w:hAnsi="Times New Roman" w:cs="Times New Roman"/>
          <w:sz w:val="24"/>
          <w:szCs w:val="24"/>
        </w:rPr>
        <w:t xml:space="preserve">, the disadvantages of those margins is that the classification of the expenses </w:t>
      </w:r>
      <w:r w:rsidR="00C21AAB">
        <w:rPr>
          <w:rFonts w:ascii="Times New Roman" w:hAnsi="Times New Roman" w:cs="Times New Roman"/>
          <w:sz w:val="24"/>
          <w:szCs w:val="24"/>
        </w:rPr>
        <w:t>can be manipulated easily,</w:t>
      </w:r>
      <w:r w:rsidR="005D526B">
        <w:rPr>
          <w:rFonts w:ascii="Times New Roman" w:hAnsi="Times New Roman" w:cs="Times New Roman"/>
          <w:sz w:val="24"/>
          <w:szCs w:val="24"/>
        </w:rPr>
        <w:t xml:space="preserve"> (Arkan T. 2016) which are the following:</w:t>
      </w:r>
    </w:p>
    <w:p w14:paraId="5563AF34" w14:textId="77777777" w:rsidR="005F04C4" w:rsidRDefault="005F04C4" w:rsidP="00A44217">
      <w:pPr>
        <w:rPr>
          <w:rFonts w:ascii="Times New Roman" w:hAnsi="Times New Roman" w:cs="Times New Roman"/>
          <w:sz w:val="24"/>
          <w:szCs w:val="24"/>
        </w:rPr>
      </w:pPr>
    </w:p>
    <w:p w14:paraId="1C80CD5D" w14:textId="77777777" w:rsidR="005D526B" w:rsidRDefault="005D526B" w:rsidP="00A44217">
      <w:pPr>
        <w:rPr>
          <w:rFonts w:ascii="Times New Roman" w:hAnsi="Times New Roman" w:cs="Times New Roman"/>
          <w:sz w:val="24"/>
          <w:szCs w:val="24"/>
        </w:rPr>
      </w:pPr>
    </w:p>
    <w:p w14:paraId="0B399459" w14:textId="05C38029" w:rsidR="00DF3D4D" w:rsidRPr="00E6391D" w:rsidRDefault="005F04C4" w:rsidP="00A44217">
      <w:pPr>
        <w:rPr>
          <w:rFonts w:ascii="Times New Roman" w:hAnsi="Times New Roman" w:cs="Times New Roman"/>
          <w:sz w:val="24"/>
          <w:szCs w:val="24"/>
        </w:rPr>
      </w:pPr>
      <w:r>
        <w:rPr>
          <w:rFonts w:ascii="Times New Roman" w:hAnsi="Times New Roman" w:cs="Times New Roman"/>
          <w:sz w:val="24"/>
          <w:szCs w:val="24"/>
        </w:rPr>
        <w:t xml:space="preserve"> </w:t>
      </w:r>
    </w:p>
    <w:tbl>
      <w:tblPr>
        <w:tblW w:w="8756" w:type="dxa"/>
        <w:tblInd w:w="113" w:type="dxa"/>
        <w:tblLook w:val="04A0" w:firstRow="1" w:lastRow="0" w:firstColumn="1" w:lastColumn="0" w:noHBand="0" w:noVBand="1"/>
      </w:tblPr>
      <w:tblGrid>
        <w:gridCol w:w="2454"/>
        <w:gridCol w:w="1047"/>
        <w:gridCol w:w="1046"/>
        <w:gridCol w:w="1046"/>
        <w:gridCol w:w="1046"/>
        <w:gridCol w:w="1046"/>
        <w:gridCol w:w="1071"/>
      </w:tblGrid>
      <w:tr w:rsidR="00F70613" w:rsidRPr="00F70613" w14:paraId="5EA64BA1" w14:textId="77777777" w:rsidTr="00F70613">
        <w:trPr>
          <w:trHeight w:val="1300"/>
        </w:trPr>
        <w:tc>
          <w:tcPr>
            <w:tcW w:w="245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2FE53D"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JD Sports Plc</w:t>
            </w:r>
          </w:p>
        </w:tc>
        <w:tc>
          <w:tcPr>
            <w:tcW w:w="1047" w:type="dxa"/>
            <w:tcBorders>
              <w:top w:val="single" w:sz="4" w:space="0" w:color="auto"/>
              <w:left w:val="nil"/>
              <w:bottom w:val="single" w:sz="4" w:space="0" w:color="auto"/>
              <w:right w:val="single" w:sz="4" w:space="0" w:color="auto"/>
            </w:tcBorders>
            <w:shd w:val="clear" w:color="auto" w:fill="auto"/>
            <w:vAlign w:val="center"/>
            <w:hideMark/>
          </w:tcPr>
          <w:p w14:paraId="4D7A257C"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2015</w:t>
            </w:r>
          </w:p>
        </w:tc>
        <w:tc>
          <w:tcPr>
            <w:tcW w:w="1046" w:type="dxa"/>
            <w:tcBorders>
              <w:top w:val="single" w:sz="4" w:space="0" w:color="auto"/>
              <w:left w:val="nil"/>
              <w:bottom w:val="single" w:sz="4" w:space="0" w:color="auto"/>
              <w:right w:val="single" w:sz="4" w:space="0" w:color="auto"/>
            </w:tcBorders>
            <w:shd w:val="clear" w:color="auto" w:fill="auto"/>
            <w:vAlign w:val="center"/>
            <w:hideMark/>
          </w:tcPr>
          <w:p w14:paraId="61FCD518"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2016</w:t>
            </w:r>
          </w:p>
        </w:tc>
        <w:tc>
          <w:tcPr>
            <w:tcW w:w="1046" w:type="dxa"/>
            <w:tcBorders>
              <w:top w:val="single" w:sz="4" w:space="0" w:color="auto"/>
              <w:left w:val="nil"/>
              <w:bottom w:val="single" w:sz="4" w:space="0" w:color="auto"/>
              <w:right w:val="single" w:sz="4" w:space="0" w:color="auto"/>
            </w:tcBorders>
            <w:shd w:val="clear" w:color="auto" w:fill="auto"/>
            <w:vAlign w:val="center"/>
            <w:hideMark/>
          </w:tcPr>
          <w:p w14:paraId="3B87EBC3"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2017</w:t>
            </w:r>
          </w:p>
        </w:tc>
        <w:tc>
          <w:tcPr>
            <w:tcW w:w="1046" w:type="dxa"/>
            <w:tcBorders>
              <w:top w:val="single" w:sz="4" w:space="0" w:color="auto"/>
              <w:left w:val="nil"/>
              <w:bottom w:val="single" w:sz="4" w:space="0" w:color="auto"/>
              <w:right w:val="single" w:sz="4" w:space="0" w:color="auto"/>
            </w:tcBorders>
            <w:shd w:val="clear" w:color="auto" w:fill="auto"/>
            <w:vAlign w:val="center"/>
            <w:hideMark/>
          </w:tcPr>
          <w:p w14:paraId="686C5CD9"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2018</w:t>
            </w:r>
          </w:p>
        </w:tc>
        <w:tc>
          <w:tcPr>
            <w:tcW w:w="1046" w:type="dxa"/>
            <w:tcBorders>
              <w:top w:val="single" w:sz="4" w:space="0" w:color="auto"/>
              <w:left w:val="nil"/>
              <w:bottom w:val="single" w:sz="4" w:space="0" w:color="auto"/>
              <w:right w:val="single" w:sz="4" w:space="0" w:color="auto"/>
            </w:tcBorders>
            <w:shd w:val="clear" w:color="auto" w:fill="auto"/>
            <w:vAlign w:val="center"/>
            <w:hideMark/>
          </w:tcPr>
          <w:p w14:paraId="2032D5D6"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2019</w:t>
            </w:r>
          </w:p>
        </w:tc>
        <w:tc>
          <w:tcPr>
            <w:tcW w:w="1071" w:type="dxa"/>
            <w:tcBorders>
              <w:top w:val="single" w:sz="4" w:space="0" w:color="auto"/>
              <w:left w:val="nil"/>
              <w:bottom w:val="single" w:sz="4" w:space="0" w:color="auto"/>
              <w:right w:val="single" w:sz="4" w:space="0" w:color="auto"/>
            </w:tcBorders>
            <w:shd w:val="clear" w:color="auto" w:fill="auto"/>
            <w:vAlign w:val="center"/>
            <w:hideMark/>
          </w:tcPr>
          <w:p w14:paraId="594246E3" w14:textId="77777777" w:rsidR="00F70613" w:rsidRPr="00F70613" w:rsidRDefault="00F70613" w:rsidP="00F70613">
            <w:pPr>
              <w:spacing w:after="0" w:line="240" w:lineRule="auto"/>
              <w:jc w:val="center"/>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Sports Direct Plc 2019</w:t>
            </w:r>
          </w:p>
        </w:tc>
      </w:tr>
      <w:tr w:rsidR="00F70613" w:rsidRPr="00F70613" w14:paraId="1D1D247E" w14:textId="77777777" w:rsidTr="00F70613">
        <w:trPr>
          <w:trHeight w:val="433"/>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14:paraId="2CB03F2C" w14:textId="77777777" w:rsidR="00F70613" w:rsidRPr="00F70613" w:rsidRDefault="00F70613" w:rsidP="00F70613">
            <w:pPr>
              <w:spacing w:after="0" w:line="240" w:lineRule="auto"/>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Gross Margin (%)</w:t>
            </w:r>
          </w:p>
        </w:tc>
        <w:tc>
          <w:tcPr>
            <w:tcW w:w="1047" w:type="dxa"/>
            <w:tcBorders>
              <w:top w:val="nil"/>
              <w:left w:val="nil"/>
              <w:bottom w:val="single" w:sz="4" w:space="0" w:color="auto"/>
              <w:right w:val="single" w:sz="4" w:space="0" w:color="auto"/>
            </w:tcBorders>
            <w:shd w:val="clear" w:color="auto" w:fill="auto"/>
            <w:noWrap/>
            <w:vAlign w:val="center"/>
            <w:hideMark/>
          </w:tcPr>
          <w:p w14:paraId="0074531B"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47.65</w:t>
            </w:r>
          </w:p>
        </w:tc>
        <w:tc>
          <w:tcPr>
            <w:tcW w:w="1046" w:type="dxa"/>
            <w:tcBorders>
              <w:top w:val="nil"/>
              <w:left w:val="nil"/>
              <w:bottom w:val="single" w:sz="4" w:space="0" w:color="auto"/>
              <w:right w:val="single" w:sz="4" w:space="0" w:color="auto"/>
            </w:tcBorders>
            <w:shd w:val="clear" w:color="auto" w:fill="auto"/>
            <w:noWrap/>
            <w:vAlign w:val="center"/>
            <w:hideMark/>
          </w:tcPr>
          <w:p w14:paraId="09A4D74D"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48.54</w:t>
            </w:r>
          </w:p>
        </w:tc>
        <w:tc>
          <w:tcPr>
            <w:tcW w:w="1046" w:type="dxa"/>
            <w:tcBorders>
              <w:top w:val="nil"/>
              <w:left w:val="nil"/>
              <w:bottom w:val="single" w:sz="4" w:space="0" w:color="auto"/>
              <w:right w:val="single" w:sz="4" w:space="0" w:color="auto"/>
            </w:tcBorders>
            <w:shd w:val="clear" w:color="auto" w:fill="auto"/>
            <w:noWrap/>
            <w:vAlign w:val="center"/>
            <w:hideMark/>
          </w:tcPr>
          <w:p w14:paraId="13E46A10"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48.92</w:t>
            </w:r>
          </w:p>
        </w:tc>
        <w:tc>
          <w:tcPr>
            <w:tcW w:w="1046" w:type="dxa"/>
            <w:tcBorders>
              <w:top w:val="nil"/>
              <w:left w:val="nil"/>
              <w:bottom w:val="single" w:sz="4" w:space="0" w:color="auto"/>
              <w:right w:val="single" w:sz="4" w:space="0" w:color="auto"/>
            </w:tcBorders>
            <w:shd w:val="clear" w:color="auto" w:fill="auto"/>
            <w:noWrap/>
            <w:vAlign w:val="center"/>
            <w:hideMark/>
          </w:tcPr>
          <w:p w14:paraId="3CC5928F"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48.45</w:t>
            </w:r>
          </w:p>
        </w:tc>
        <w:tc>
          <w:tcPr>
            <w:tcW w:w="1046" w:type="dxa"/>
            <w:tcBorders>
              <w:top w:val="nil"/>
              <w:left w:val="nil"/>
              <w:bottom w:val="single" w:sz="4" w:space="0" w:color="auto"/>
              <w:right w:val="single" w:sz="4" w:space="0" w:color="auto"/>
            </w:tcBorders>
            <w:shd w:val="clear" w:color="auto" w:fill="auto"/>
            <w:noWrap/>
            <w:vAlign w:val="center"/>
            <w:hideMark/>
          </w:tcPr>
          <w:p w14:paraId="029456A0"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47.55</w:t>
            </w:r>
          </w:p>
        </w:tc>
        <w:tc>
          <w:tcPr>
            <w:tcW w:w="1071" w:type="dxa"/>
            <w:tcBorders>
              <w:top w:val="nil"/>
              <w:left w:val="nil"/>
              <w:bottom w:val="single" w:sz="4" w:space="0" w:color="auto"/>
              <w:right w:val="single" w:sz="4" w:space="0" w:color="auto"/>
            </w:tcBorders>
            <w:shd w:val="clear" w:color="auto" w:fill="auto"/>
            <w:noWrap/>
            <w:vAlign w:val="center"/>
            <w:hideMark/>
          </w:tcPr>
          <w:p w14:paraId="0FCBEBAE"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42.78</w:t>
            </w:r>
          </w:p>
        </w:tc>
      </w:tr>
      <w:tr w:rsidR="00F70613" w:rsidRPr="00F70613" w14:paraId="303F20E5" w14:textId="77777777" w:rsidTr="00F70613">
        <w:trPr>
          <w:trHeight w:val="433"/>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14:paraId="020DBBB0" w14:textId="77777777" w:rsidR="00F70613" w:rsidRPr="00F70613" w:rsidRDefault="00F70613" w:rsidP="00F70613">
            <w:pPr>
              <w:spacing w:after="0" w:line="240" w:lineRule="auto"/>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Net Profit Margin (%)</w:t>
            </w:r>
          </w:p>
        </w:tc>
        <w:tc>
          <w:tcPr>
            <w:tcW w:w="1047" w:type="dxa"/>
            <w:tcBorders>
              <w:top w:val="nil"/>
              <w:left w:val="nil"/>
              <w:bottom w:val="single" w:sz="4" w:space="0" w:color="auto"/>
              <w:right w:val="single" w:sz="4" w:space="0" w:color="auto"/>
            </w:tcBorders>
            <w:shd w:val="clear" w:color="auto" w:fill="auto"/>
            <w:noWrap/>
            <w:vAlign w:val="center"/>
            <w:hideMark/>
          </w:tcPr>
          <w:p w14:paraId="63E5EE1B"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4.50</w:t>
            </w:r>
          </w:p>
        </w:tc>
        <w:tc>
          <w:tcPr>
            <w:tcW w:w="1046" w:type="dxa"/>
            <w:tcBorders>
              <w:top w:val="nil"/>
              <w:left w:val="nil"/>
              <w:bottom w:val="single" w:sz="4" w:space="0" w:color="auto"/>
              <w:right w:val="single" w:sz="4" w:space="0" w:color="auto"/>
            </w:tcBorders>
            <w:shd w:val="clear" w:color="auto" w:fill="auto"/>
            <w:noWrap/>
            <w:vAlign w:val="center"/>
            <w:hideMark/>
          </w:tcPr>
          <w:p w14:paraId="06EC713C"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5.52</w:t>
            </w:r>
          </w:p>
        </w:tc>
        <w:tc>
          <w:tcPr>
            <w:tcW w:w="1046" w:type="dxa"/>
            <w:tcBorders>
              <w:top w:val="nil"/>
              <w:left w:val="nil"/>
              <w:bottom w:val="single" w:sz="4" w:space="0" w:color="auto"/>
              <w:right w:val="single" w:sz="4" w:space="0" w:color="auto"/>
            </w:tcBorders>
            <w:shd w:val="clear" w:color="auto" w:fill="auto"/>
            <w:noWrap/>
            <w:vAlign w:val="center"/>
            <w:hideMark/>
          </w:tcPr>
          <w:p w14:paraId="37C0B2BC"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7.76</w:t>
            </w:r>
          </w:p>
        </w:tc>
        <w:tc>
          <w:tcPr>
            <w:tcW w:w="1046" w:type="dxa"/>
            <w:tcBorders>
              <w:top w:val="nil"/>
              <w:left w:val="nil"/>
              <w:bottom w:val="single" w:sz="4" w:space="0" w:color="auto"/>
              <w:right w:val="single" w:sz="4" w:space="0" w:color="auto"/>
            </w:tcBorders>
            <w:shd w:val="clear" w:color="auto" w:fill="auto"/>
            <w:noWrap/>
            <w:vAlign w:val="center"/>
            <w:hideMark/>
          </w:tcPr>
          <w:p w14:paraId="7695A904"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7.48</w:t>
            </w:r>
          </w:p>
        </w:tc>
        <w:tc>
          <w:tcPr>
            <w:tcW w:w="1046" w:type="dxa"/>
            <w:tcBorders>
              <w:top w:val="nil"/>
              <w:left w:val="nil"/>
              <w:bottom w:val="single" w:sz="4" w:space="0" w:color="auto"/>
              <w:right w:val="single" w:sz="4" w:space="0" w:color="auto"/>
            </w:tcBorders>
            <w:shd w:val="clear" w:color="auto" w:fill="auto"/>
            <w:noWrap/>
            <w:vAlign w:val="center"/>
            <w:hideMark/>
          </w:tcPr>
          <w:p w14:paraId="6681ECAC"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5.60</w:t>
            </w:r>
          </w:p>
        </w:tc>
        <w:tc>
          <w:tcPr>
            <w:tcW w:w="1071" w:type="dxa"/>
            <w:tcBorders>
              <w:top w:val="nil"/>
              <w:left w:val="nil"/>
              <w:bottom w:val="single" w:sz="4" w:space="0" w:color="auto"/>
              <w:right w:val="single" w:sz="4" w:space="0" w:color="auto"/>
            </w:tcBorders>
            <w:shd w:val="clear" w:color="auto" w:fill="auto"/>
            <w:noWrap/>
            <w:vAlign w:val="center"/>
            <w:hideMark/>
          </w:tcPr>
          <w:p w14:paraId="216163D2"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3.13</w:t>
            </w:r>
          </w:p>
        </w:tc>
      </w:tr>
      <w:tr w:rsidR="00F70613" w:rsidRPr="00F70613" w14:paraId="72474833" w14:textId="77777777" w:rsidTr="00F70613">
        <w:trPr>
          <w:trHeight w:val="433"/>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14:paraId="00DDAE1D" w14:textId="77777777" w:rsidR="00F70613" w:rsidRPr="00F70613" w:rsidRDefault="00F70613" w:rsidP="00F70613">
            <w:pPr>
              <w:spacing w:after="0" w:line="240" w:lineRule="auto"/>
              <w:rPr>
                <w:rFonts w:ascii="Calibri" w:eastAsia="Times New Roman" w:hAnsi="Calibri" w:cs="Times New Roman"/>
                <w:b/>
                <w:bCs/>
                <w:color w:val="000000"/>
                <w:lang w:eastAsia="en-GB"/>
              </w:rPr>
            </w:pPr>
            <w:r w:rsidRPr="00F70613">
              <w:rPr>
                <w:rFonts w:ascii="Calibri" w:eastAsia="Times New Roman" w:hAnsi="Calibri" w:cs="Times New Roman"/>
                <w:b/>
                <w:bCs/>
                <w:color w:val="000000"/>
                <w:lang w:eastAsia="en-GB"/>
              </w:rPr>
              <w:t>Operating Margin (%)</w:t>
            </w:r>
          </w:p>
        </w:tc>
        <w:tc>
          <w:tcPr>
            <w:tcW w:w="1047" w:type="dxa"/>
            <w:tcBorders>
              <w:top w:val="nil"/>
              <w:left w:val="nil"/>
              <w:bottom w:val="single" w:sz="4" w:space="0" w:color="auto"/>
              <w:right w:val="single" w:sz="4" w:space="0" w:color="auto"/>
            </w:tcBorders>
            <w:shd w:val="clear" w:color="auto" w:fill="auto"/>
            <w:noWrap/>
            <w:vAlign w:val="center"/>
            <w:hideMark/>
          </w:tcPr>
          <w:p w14:paraId="536D357F"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5.97</w:t>
            </w:r>
          </w:p>
        </w:tc>
        <w:tc>
          <w:tcPr>
            <w:tcW w:w="1046" w:type="dxa"/>
            <w:tcBorders>
              <w:top w:val="nil"/>
              <w:left w:val="nil"/>
              <w:bottom w:val="single" w:sz="4" w:space="0" w:color="auto"/>
              <w:right w:val="single" w:sz="4" w:space="0" w:color="auto"/>
            </w:tcBorders>
            <w:shd w:val="clear" w:color="auto" w:fill="auto"/>
            <w:noWrap/>
            <w:vAlign w:val="center"/>
            <w:hideMark/>
          </w:tcPr>
          <w:p w14:paraId="1FAA345D"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7.32</w:t>
            </w:r>
          </w:p>
        </w:tc>
        <w:tc>
          <w:tcPr>
            <w:tcW w:w="1046" w:type="dxa"/>
            <w:tcBorders>
              <w:top w:val="nil"/>
              <w:left w:val="nil"/>
              <w:bottom w:val="single" w:sz="4" w:space="0" w:color="auto"/>
              <w:right w:val="single" w:sz="4" w:space="0" w:color="auto"/>
            </w:tcBorders>
            <w:shd w:val="clear" w:color="auto" w:fill="auto"/>
            <w:noWrap/>
            <w:vAlign w:val="center"/>
            <w:hideMark/>
          </w:tcPr>
          <w:p w14:paraId="5FA78FF3"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10.08</w:t>
            </w:r>
          </w:p>
        </w:tc>
        <w:tc>
          <w:tcPr>
            <w:tcW w:w="1046" w:type="dxa"/>
            <w:tcBorders>
              <w:top w:val="nil"/>
              <w:left w:val="nil"/>
              <w:bottom w:val="single" w:sz="4" w:space="0" w:color="auto"/>
              <w:right w:val="single" w:sz="4" w:space="0" w:color="auto"/>
            </w:tcBorders>
            <w:shd w:val="clear" w:color="auto" w:fill="auto"/>
            <w:noWrap/>
            <w:vAlign w:val="center"/>
            <w:hideMark/>
          </w:tcPr>
          <w:p w14:paraId="3A4A5803"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9.36</w:t>
            </w:r>
          </w:p>
        </w:tc>
        <w:tc>
          <w:tcPr>
            <w:tcW w:w="1046" w:type="dxa"/>
            <w:tcBorders>
              <w:top w:val="nil"/>
              <w:left w:val="nil"/>
              <w:bottom w:val="single" w:sz="4" w:space="0" w:color="auto"/>
              <w:right w:val="single" w:sz="4" w:space="0" w:color="auto"/>
            </w:tcBorders>
            <w:shd w:val="clear" w:color="auto" w:fill="auto"/>
            <w:noWrap/>
            <w:vAlign w:val="center"/>
            <w:hideMark/>
          </w:tcPr>
          <w:p w14:paraId="511F32CC"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7.34</w:t>
            </w:r>
          </w:p>
        </w:tc>
        <w:tc>
          <w:tcPr>
            <w:tcW w:w="1071" w:type="dxa"/>
            <w:tcBorders>
              <w:top w:val="nil"/>
              <w:left w:val="nil"/>
              <w:bottom w:val="single" w:sz="4" w:space="0" w:color="auto"/>
              <w:right w:val="single" w:sz="4" w:space="0" w:color="auto"/>
            </w:tcBorders>
            <w:shd w:val="clear" w:color="auto" w:fill="auto"/>
            <w:noWrap/>
            <w:vAlign w:val="center"/>
            <w:hideMark/>
          </w:tcPr>
          <w:p w14:paraId="34EC8F6E" w14:textId="77777777" w:rsidR="00F70613" w:rsidRPr="00F70613" w:rsidRDefault="00F70613" w:rsidP="00F70613">
            <w:pPr>
              <w:spacing w:after="0" w:line="240" w:lineRule="auto"/>
              <w:jc w:val="center"/>
              <w:rPr>
                <w:rFonts w:ascii="Calibri" w:eastAsia="Times New Roman" w:hAnsi="Calibri" w:cs="Times New Roman"/>
                <w:color w:val="000000"/>
                <w:lang w:eastAsia="en-GB"/>
              </w:rPr>
            </w:pPr>
            <w:r w:rsidRPr="00F70613">
              <w:rPr>
                <w:rFonts w:ascii="Calibri" w:eastAsia="Times New Roman" w:hAnsi="Calibri" w:cs="Times New Roman"/>
                <w:color w:val="000000"/>
                <w:lang w:eastAsia="en-GB"/>
              </w:rPr>
              <w:t>4.34</w:t>
            </w:r>
          </w:p>
        </w:tc>
      </w:tr>
    </w:tbl>
    <w:p w14:paraId="39F97C73" w14:textId="77777777" w:rsidR="004B3B0A" w:rsidRDefault="004B3B0A" w:rsidP="00A44217">
      <w:pPr>
        <w:rPr>
          <w:rFonts w:ascii="Times New Roman" w:hAnsi="Times New Roman" w:cs="Times New Roman"/>
          <w:sz w:val="24"/>
          <w:szCs w:val="24"/>
        </w:rPr>
      </w:pPr>
    </w:p>
    <w:p w14:paraId="1C2E5D43" w14:textId="46F519E9" w:rsidR="00322EE7" w:rsidRDefault="004B3B0A" w:rsidP="00A44217">
      <w:pPr>
        <w:rPr>
          <w:rFonts w:ascii="Times New Roman" w:hAnsi="Times New Roman" w:cs="Times New Roman"/>
          <w:sz w:val="24"/>
          <w:szCs w:val="24"/>
        </w:rPr>
      </w:pPr>
      <w:r>
        <w:rPr>
          <w:rFonts w:ascii="Times New Roman" w:hAnsi="Times New Roman" w:cs="Times New Roman"/>
          <w:sz w:val="24"/>
          <w:szCs w:val="24"/>
        </w:rPr>
        <w:t xml:space="preserve"> </w:t>
      </w:r>
      <w:r w:rsidR="00F70613">
        <w:rPr>
          <w:rFonts w:ascii="Times New Roman" w:hAnsi="Times New Roman" w:cs="Times New Roman"/>
          <w:sz w:val="24"/>
          <w:szCs w:val="24"/>
        </w:rPr>
        <w:t xml:space="preserve">The gross profit margin reveals the amount of money left after deducting the cost </w:t>
      </w:r>
      <w:r>
        <w:rPr>
          <w:rFonts w:ascii="Times New Roman" w:hAnsi="Times New Roman" w:cs="Times New Roman"/>
          <w:sz w:val="24"/>
          <w:szCs w:val="24"/>
        </w:rPr>
        <w:t>of the item sold</w:t>
      </w:r>
      <w:r w:rsidR="00F70613">
        <w:rPr>
          <w:rFonts w:ascii="Times New Roman" w:hAnsi="Times New Roman" w:cs="Times New Roman"/>
          <w:sz w:val="24"/>
          <w:szCs w:val="24"/>
        </w:rPr>
        <w:t xml:space="preserve"> this shows the efficiency of the company in </w:t>
      </w:r>
      <w:r w:rsidR="00C21AAB">
        <w:rPr>
          <w:rFonts w:ascii="Times New Roman" w:hAnsi="Times New Roman" w:cs="Times New Roman"/>
          <w:sz w:val="24"/>
          <w:szCs w:val="24"/>
        </w:rPr>
        <w:t>selling</w:t>
      </w:r>
      <w:r w:rsidR="00F70613">
        <w:rPr>
          <w:rFonts w:ascii="Times New Roman" w:hAnsi="Times New Roman" w:cs="Times New Roman"/>
          <w:sz w:val="24"/>
          <w:szCs w:val="24"/>
        </w:rPr>
        <w:t xml:space="preserve"> the goods</w:t>
      </w:r>
      <w:r w:rsidR="00A20144">
        <w:rPr>
          <w:rFonts w:ascii="Times New Roman" w:hAnsi="Times New Roman" w:cs="Times New Roman"/>
          <w:sz w:val="24"/>
          <w:szCs w:val="24"/>
        </w:rPr>
        <w:t xml:space="preserve"> this does not include taxation</w:t>
      </w:r>
      <w:r w:rsidR="00820A68">
        <w:rPr>
          <w:rFonts w:ascii="Times New Roman" w:hAnsi="Times New Roman" w:cs="Times New Roman"/>
          <w:sz w:val="24"/>
          <w:szCs w:val="24"/>
        </w:rPr>
        <w:t>.</w:t>
      </w:r>
    </w:p>
    <w:p w14:paraId="47C460C9" w14:textId="3A5802C3" w:rsidR="004B3B0A" w:rsidRDefault="004B3B0A" w:rsidP="00A44217">
      <w:pPr>
        <w:rPr>
          <w:rFonts w:ascii="Times New Roman" w:hAnsi="Times New Roman" w:cs="Times New Roman"/>
          <w:sz w:val="24"/>
          <w:szCs w:val="24"/>
        </w:rPr>
      </w:pPr>
      <w:r>
        <w:rPr>
          <w:rFonts w:ascii="Times New Roman" w:hAnsi="Times New Roman" w:cs="Times New Roman"/>
          <w:sz w:val="24"/>
          <w:szCs w:val="24"/>
        </w:rPr>
        <w:t xml:space="preserve"> Net profit margin is revealing the amount of money left over after deducting the cost of sales and the taxation.</w:t>
      </w:r>
    </w:p>
    <w:p w14:paraId="00996A6C" w14:textId="43EFE6AC" w:rsidR="004B3B0A" w:rsidRDefault="004B3B0A" w:rsidP="00A44217">
      <w:pPr>
        <w:rPr>
          <w:rFonts w:ascii="Times New Roman" w:hAnsi="Times New Roman" w:cs="Times New Roman"/>
          <w:sz w:val="24"/>
          <w:szCs w:val="24"/>
        </w:rPr>
      </w:pPr>
      <w:r>
        <w:rPr>
          <w:rFonts w:ascii="Times New Roman" w:hAnsi="Times New Roman" w:cs="Times New Roman"/>
          <w:sz w:val="24"/>
          <w:szCs w:val="24"/>
        </w:rPr>
        <w:t xml:space="preserve"> The operating margin shows how much the company earns before interest and taxes.</w:t>
      </w:r>
    </w:p>
    <w:p w14:paraId="657124F5" w14:textId="15F44190" w:rsidR="00C21AAB" w:rsidRDefault="00C21AAB" w:rsidP="00A44217">
      <w:pPr>
        <w:rPr>
          <w:rFonts w:ascii="Times New Roman" w:hAnsi="Times New Roman" w:cs="Times New Roman"/>
          <w:sz w:val="24"/>
          <w:szCs w:val="24"/>
        </w:rPr>
      </w:pPr>
      <w:r>
        <w:rPr>
          <w:rFonts w:ascii="Times New Roman" w:hAnsi="Times New Roman" w:cs="Times New Roman"/>
          <w:sz w:val="24"/>
          <w:szCs w:val="24"/>
        </w:rPr>
        <w:t xml:space="preserve">In JD Sports </w:t>
      </w:r>
      <w:r w:rsidR="000173B7">
        <w:rPr>
          <w:rFonts w:ascii="Times New Roman" w:hAnsi="Times New Roman" w:cs="Times New Roman"/>
          <w:sz w:val="24"/>
          <w:szCs w:val="24"/>
        </w:rPr>
        <w:t>profitability</w:t>
      </w:r>
      <w:r>
        <w:rPr>
          <w:rFonts w:ascii="Times New Roman" w:hAnsi="Times New Roman" w:cs="Times New Roman"/>
          <w:sz w:val="24"/>
          <w:szCs w:val="24"/>
        </w:rPr>
        <w:t xml:space="preserve"> margin can be seen a slight decreased for the past two years </w:t>
      </w:r>
      <w:r w:rsidR="000173B7">
        <w:rPr>
          <w:rFonts w:ascii="Times New Roman" w:hAnsi="Times New Roman" w:cs="Times New Roman"/>
          <w:sz w:val="24"/>
          <w:szCs w:val="24"/>
        </w:rPr>
        <w:t>which means that the company is not as efficient as it used to be, especially the net profit margin and operating margin which means that the company pays more in taxes and in the cost of sales. While JD shows less efficiency compared to previous years it’s position is still superior to Sports Direct which is less efficient and pays more for taxes and cost of sales</w:t>
      </w:r>
    </w:p>
    <w:p w14:paraId="2CC28B29" w14:textId="3E616B27" w:rsidR="004B3B0A" w:rsidRDefault="004B3B0A" w:rsidP="00A44217">
      <w:pPr>
        <w:rPr>
          <w:rFonts w:ascii="Times New Roman" w:hAnsi="Times New Roman" w:cs="Times New Roman"/>
          <w:sz w:val="24"/>
          <w:szCs w:val="24"/>
        </w:rPr>
      </w:pPr>
    </w:p>
    <w:p w14:paraId="704F9150" w14:textId="77777777" w:rsidR="007915BE" w:rsidRDefault="004B3B0A" w:rsidP="00A44217">
      <w:pPr>
        <w:rPr>
          <w:rFonts w:ascii="Times New Roman" w:hAnsi="Times New Roman" w:cs="Times New Roman"/>
          <w:sz w:val="24"/>
          <w:szCs w:val="24"/>
        </w:rPr>
      </w:pPr>
      <w:r>
        <w:rPr>
          <w:rFonts w:ascii="Times New Roman" w:hAnsi="Times New Roman" w:cs="Times New Roman"/>
          <w:sz w:val="24"/>
          <w:szCs w:val="24"/>
        </w:rPr>
        <w:t xml:space="preserve"> Liquidity ratios</w:t>
      </w:r>
      <w:r w:rsidR="00977C80">
        <w:rPr>
          <w:rFonts w:ascii="Times New Roman" w:hAnsi="Times New Roman" w:cs="Times New Roman"/>
          <w:sz w:val="24"/>
          <w:szCs w:val="24"/>
        </w:rPr>
        <w:t xml:space="preserve"> are important to anal</w:t>
      </w:r>
      <w:r w:rsidR="007915BE">
        <w:rPr>
          <w:rFonts w:ascii="Times New Roman" w:hAnsi="Times New Roman" w:cs="Times New Roman"/>
          <w:sz w:val="24"/>
          <w:szCs w:val="24"/>
        </w:rPr>
        <w:t>y</w:t>
      </w:r>
      <w:r w:rsidR="00977C80">
        <w:rPr>
          <w:rFonts w:ascii="Times New Roman" w:hAnsi="Times New Roman" w:cs="Times New Roman"/>
          <w:sz w:val="24"/>
          <w:szCs w:val="24"/>
        </w:rPr>
        <w:t>se</w:t>
      </w:r>
      <w:r w:rsidR="007915BE">
        <w:rPr>
          <w:rFonts w:ascii="Times New Roman" w:hAnsi="Times New Roman" w:cs="Times New Roman"/>
          <w:sz w:val="24"/>
          <w:szCs w:val="24"/>
        </w:rPr>
        <w:t xml:space="preserve"> because liquid assets can be converted in cash “quickly and cheaply”</w:t>
      </w:r>
      <w:r w:rsidR="007915BE" w:rsidRPr="007915BE">
        <w:rPr>
          <w:rFonts w:ascii="Times New Roman" w:hAnsi="Times New Roman" w:cs="Times New Roman"/>
          <w:sz w:val="24"/>
          <w:szCs w:val="24"/>
        </w:rPr>
        <w:t xml:space="preserve"> </w:t>
      </w:r>
      <w:r w:rsidR="007915BE">
        <w:rPr>
          <w:rFonts w:ascii="Times New Roman" w:hAnsi="Times New Roman" w:cs="Times New Roman"/>
          <w:sz w:val="24"/>
          <w:szCs w:val="24"/>
        </w:rPr>
        <w:t>(A. Braley, C. Myers and F. Allen, P. 718) so if the company encounters unexpected expenses, this can represent a source of finance.</w:t>
      </w:r>
    </w:p>
    <w:tbl>
      <w:tblPr>
        <w:tblW w:w="9121" w:type="dxa"/>
        <w:tblInd w:w="113" w:type="dxa"/>
        <w:tblLook w:val="04A0" w:firstRow="1" w:lastRow="0" w:firstColumn="1" w:lastColumn="0" w:noHBand="0" w:noVBand="1"/>
      </w:tblPr>
      <w:tblGrid>
        <w:gridCol w:w="2372"/>
        <w:gridCol w:w="1016"/>
        <w:gridCol w:w="1016"/>
        <w:gridCol w:w="1016"/>
        <w:gridCol w:w="1016"/>
        <w:gridCol w:w="1118"/>
        <w:gridCol w:w="1567"/>
      </w:tblGrid>
      <w:tr w:rsidR="007915BE" w:rsidRPr="007915BE" w14:paraId="038049E6" w14:textId="77777777" w:rsidTr="007915BE">
        <w:trPr>
          <w:trHeight w:val="625"/>
        </w:trPr>
        <w:tc>
          <w:tcPr>
            <w:tcW w:w="237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AFF7FE"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JD Sports Plc</w:t>
            </w:r>
          </w:p>
        </w:tc>
        <w:tc>
          <w:tcPr>
            <w:tcW w:w="1016" w:type="dxa"/>
            <w:tcBorders>
              <w:top w:val="single" w:sz="4" w:space="0" w:color="auto"/>
              <w:left w:val="nil"/>
              <w:bottom w:val="single" w:sz="4" w:space="0" w:color="auto"/>
              <w:right w:val="single" w:sz="4" w:space="0" w:color="auto"/>
            </w:tcBorders>
            <w:shd w:val="clear" w:color="auto" w:fill="auto"/>
            <w:vAlign w:val="center"/>
            <w:hideMark/>
          </w:tcPr>
          <w:p w14:paraId="03C98EB7"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2015</w:t>
            </w:r>
          </w:p>
        </w:tc>
        <w:tc>
          <w:tcPr>
            <w:tcW w:w="1016" w:type="dxa"/>
            <w:tcBorders>
              <w:top w:val="single" w:sz="4" w:space="0" w:color="auto"/>
              <w:left w:val="nil"/>
              <w:bottom w:val="single" w:sz="4" w:space="0" w:color="auto"/>
              <w:right w:val="single" w:sz="4" w:space="0" w:color="auto"/>
            </w:tcBorders>
            <w:shd w:val="clear" w:color="auto" w:fill="auto"/>
            <w:vAlign w:val="center"/>
            <w:hideMark/>
          </w:tcPr>
          <w:p w14:paraId="6674A1E0"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2016</w:t>
            </w:r>
          </w:p>
        </w:tc>
        <w:tc>
          <w:tcPr>
            <w:tcW w:w="1016" w:type="dxa"/>
            <w:tcBorders>
              <w:top w:val="single" w:sz="4" w:space="0" w:color="auto"/>
              <w:left w:val="nil"/>
              <w:bottom w:val="single" w:sz="4" w:space="0" w:color="auto"/>
              <w:right w:val="single" w:sz="4" w:space="0" w:color="auto"/>
            </w:tcBorders>
            <w:shd w:val="clear" w:color="auto" w:fill="auto"/>
            <w:vAlign w:val="center"/>
            <w:hideMark/>
          </w:tcPr>
          <w:p w14:paraId="2372EC56"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2017</w:t>
            </w:r>
          </w:p>
        </w:tc>
        <w:tc>
          <w:tcPr>
            <w:tcW w:w="1016" w:type="dxa"/>
            <w:tcBorders>
              <w:top w:val="single" w:sz="4" w:space="0" w:color="auto"/>
              <w:left w:val="nil"/>
              <w:bottom w:val="single" w:sz="4" w:space="0" w:color="auto"/>
              <w:right w:val="single" w:sz="4" w:space="0" w:color="auto"/>
            </w:tcBorders>
            <w:shd w:val="clear" w:color="auto" w:fill="auto"/>
            <w:vAlign w:val="center"/>
            <w:hideMark/>
          </w:tcPr>
          <w:p w14:paraId="0AE1708B"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2018</w:t>
            </w:r>
          </w:p>
        </w:tc>
        <w:tc>
          <w:tcPr>
            <w:tcW w:w="1118" w:type="dxa"/>
            <w:tcBorders>
              <w:top w:val="single" w:sz="4" w:space="0" w:color="auto"/>
              <w:left w:val="nil"/>
              <w:bottom w:val="single" w:sz="4" w:space="0" w:color="auto"/>
              <w:right w:val="single" w:sz="4" w:space="0" w:color="auto"/>
            </w:tcBorders>
            <w:shd w:val="clear" w:color="auto" w:fill="auto"/>
            <w:vAlign w:val="center"/>
            <w:hideMark/>
          </w:tcPr>
          <w:p w14:paraId="05A73B0C"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2019</w:t>
            </w:r>
          </w:p>
        </w:tc>
        <w:tc>
          <w:tcPr>
            <w:tcW w:w="1567" w:type="dxa"/>
            <w:tcBorders>
              <w:top w:val="single" w:sz="4" w:space="0" w:color="auto"/>
              <w:left w:val="nil"/>
              <w:bottom w:val="single" w:sz="4" w:space="0" w:color="auto"/>
              <w:right w:val="single" w:sz="4" w:space="0" w:color="auto"/>
            </w:tcBorders>
            <w:shd w:val="clear" w:color="auto" w:fill="auto"/>
            <w:vAlign w:val="center"/>
            <w:hideMark/>
          </w:tcPr>
          <w:p w14:paraId="7B90F7D3"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Sports Direct Plc 2019</w:t>
            </w:r>
          </w:p>
        </w:tc>
      </w:tr>
      <w:tr w:rsidR="007915BE" w:rsidRPr="007915BE" w14:paraId="1157BBE1" w14:textId="77777777" w:rsidTr="007915BE">
        <w:trPr>
          <w:trHeight w:val="312"/>
        </w:trPr>
        <w:tc>
          <w:tcPr>
            <w:tcW w:w="2372" w:type="dxa"/>
            <w:tcBorders>
              <w:top w:val="nil"/>
              <w:left w:val="single" w:sz="4" w:space="0" w:color="auto"/>
              <w:bottom w:val="single" w:sz="4" w:space="0" w:color="auto"/>
              <w:right w:val="single" w:sz="4" w:space="0" w:color="auto"/>
            </w:tcBorders>
            <w:shd w:val="clear" w:color="auto" w:fill="auto"/>
            <w:noWrap/>
            <w:vAlign w:val="center"/>
            <w:hideMark/>
          </w:tcPr>
          <w:p w14:paraId="6B9FB3ED"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Current Asset (£m)</w:t>
            </w:r>
          </w:p>
        </w:tc>
        <w:tc>
          <w:tcPr>
            <w:tcW w:w="1016" w:type="dxa"/>
            <w:tcBorders>
              <w:top w:val="nil"/>
              <w:left w:val="nil"/>
              <w:bottom w:val="single" w:sz="4" w:space="0" w:color="auto"/>
              <w:right w:val="single" w:sz="4" w:space="0" w:color="auto"/>
            </w:tcBorders>
            <w:shd w:val="clear" w:color="auto" w:fill="auto"/>
            <w:noWrap/>
            <w:vAlign w:val="center"/>
            <w:hideMark/>
          </w:tcPr>
          <w:p w14:paraId="68C66DDA"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400.26</w:t>
            </w:r>
          </w:p>
        </w:tc>
        <w:tc>
          <w:tcPr>
            <w:tcW w:w="1016" w:type="dxa"/>
            <w:tcBorders>
              <w:top w:val="nil"/>
              <w:left w:val="nil"/>
              <w:bottom w:val="single" w:sz="4" w:space="0" w:color="auto"/>
              <w:right w:val="single" w:sz="4" w:space="0" w:color="auto"/>
            </w:tcBorders>
            <w:shd w:val="clear" w:color="auto" w:fill="auto"/>
            <w:noWrap/>
            <w:vAlign w:val="center"/>
            <w:hideMark/>
          </w:tcPr>
          <w:p w14:paraId="1F712D9F"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510.69</w:t>
            </w:r>
          </w:p>
        </w:tc>
        <w:tc>
          <w:tcPr>
            <w:tcW w:w="1016" w:type="dxa"/>
            <w:tcBorders>
              <w:top w:val="nil"/>
              <w:left w:val="nil"/>
              <w:bottom w:val="single" w:sz="4" w:space="0" w:color="auto"/>
              <w:right w:val="single" w:sz="4" w:space="0" w:color="auto"/>
            </w:tcBorders>
            <w:shd w:val="clear" w:color="auto" w:fill="auto"/>
            <w:noWrap/>
            <w:vAlign w:val="center"/>
            <w:hideMark/>
          </w:tcPr>
          <w:p w14:paraId="53EFF60A"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714.17</w:t>
            </w:r>
          </w:p>
        </w:tc>
        <w:tc>
          <w:tcPr>
            <w:tcW w:w="1016" w:type="dxa"/>
            <w:tcBorders>
              <w:top w:val="nil"/>
              <w:left w:val="nil"/>
              <w:bottom w:val="single" w:sz="4" w:space="0" w:color="auto"/>
              <w:right w:val="single" w:sz="4" w:space="0" w:color="auto"/>
            </w:tcBorders>
            <w:shd w:val="clear" w:color="auto" w:fill="auto"/>
            <w:noWrap/>
            <w:vAlign w:val="center"/>
            <w:hideMark/>
          </w:tcPr>
          <w:p w14:paraId="37BED033"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971.80</w:t>
            </w:r>
          </w:p>
        </w:tc>
        <w:tc>
          <w:tcPr>
            <w:tcW w:w="1118" w:type="dxa"/>
            <w:tcBorders>
              <w:top w:val="nil"/>
              <w:left w:val="nil"/>
              <w:bottom w:val="single" w:sz="4" w:space="0" w:color="auto"/>
              <w:right w:val="single" w:sz="4" w:space="0" w:color="auto"/>
            </w:tcBorders>
            <w:shd w:val="clear" w:color="auto" w:fill="auto"/>
            <w:noWrap/>
            <w:vAlign w:val="center"/>
            <w:hideMark/>
          </w:tcPr>
          <w:p w14:paraId="2E4603F4"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1,192.20</w:t>
            </w:r>
          </w:p>
        </w:tc>
        <w:tc>
          <w:tcPr>
            <w:tcW w:w="1567" w:type="dxa"/>
            <w:tcBorders>
              <w:top w:val="nil"/>
              <w:left w:val="nil"/>
              <w:bottom w:val="single" w:sz="4" w:space="0" w:color="auto"/>
              <w:right w:val="single" w:sz="4" w:space="0" w:color="auto"/>
            </w:tcBorders>
            <w:shd w:val="clear" w:color="auto" w:fill="auto"/>
            <w:noWrap/>
            <w:vAlign w:val="center"/>
            <w:hideMark/>
          </w:tcPr>
          <w:p w14:paraId="4F126FCC"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2,031.10</w:t>
            </w:r>
          </w:p>
        </w:tc>
      </w:tr>
      <w:tr w:rsidR="007915BE" w:rsidRPr="007915BE" w14:paraId="4E89B5F1" w14:textId="77777777" w:rsidTr="007915BE">
        <w:trPr>
          <w:trHeight w:val="312"/>
        </w:trPr>
        <w:tc>
          <w:tcPr>
            <w:tcW w:w="2372" w:type="dxa"/>
            <w:tcBorders>
              <w:top w:val="nil"/>
              <w:left w:val="single" w:sz="4" w:space="0" w:color="auto"/>
              <w:bottom w:val="single" w:sz="4" w:space="0" w:color="auto"/>
              <w:right w:val="single" w:sz="4" w:space="0" w:color="auto"/>
            </w:tcBorders>
            <w:shd w:val="clear" w:color="auto" w:fill="auto"/>
            <w:noWrap/>
            <w:vAlign w:val="center"/>
            <w:hideMark/>
          </w:tcPr>
          <w:p w14:paraId="6DCF6740"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Current Liability (£m)</w:t>
            </w:r>
          </w:p>
        </w:tc>
        <w:tc>
          <w:tcPr>
            <w:tcW w:w="1016" w:type="dxa"/>
            <w:tcBorders>
              <w:top w:val="nil"/>
              <w:left w:val="nil"/>
              <w:bottom w:val="single" w:sz="4" w:space="0" w:color="auto"/>
              <w:right w:val="single" w:sz="4" w:space="0" w:color="auto"/>
            </w:tcBorders>
            <w:shd w:val="clear" w:color="auto" w:fill="auto"/>
            <w:noWrap/>
            <w:vAlign w:val="center"/>
            <w:hideMark/>
          </w:tcPr>
          <w:p w14:paraId="48B8EB26"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326.75</w:t>
            </w:r>
          </w:p>
        </w:tc>
        <w:tc>
          <w:tcPr>
            <w:tcW w:w="1016" w:type="dxa"/>
            <w:tcBorders>
              <w:top w:val="nil"/>
              <w:left w:val="nil"/>
              <w:bottom w:val="single" w:sz="4" w:space="0" w:color="auto"/>
              <w:right w:val="single" w:sz="4" w:space="0" w:color="auto"/>
            </w:tcBorders>
            <w:shd w:val="clear" w:color="auto" w:fill="auto"/>
            <w:noWrap/>
            <w:vAlign w:val="center"/>
            <w:hideMark/>
          </w:tcPr>
          <w:p w14:paraId="7921F608"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348.15</w:t>
            </w:r>
          </w:p>
        </w:tc>
        <w:tc>
          <w:tcPr>
            <w:tcW w:w="1016" w:type="dxa"/>
            <w:tcBorders>
              <w:top w:val="nil"/>
              <w:left w:val="nil"/>
              <w:bottom w:val="single" w:sz="4" w:space="0" w:color="auto"/>
              <w:right w:val="single" w:sz="4" w:space="0" w:color="auto"/>
            </w:tcBorders>
            <w:shd w:val="clear" w:color="auto" w:fill="auto"/>
            <w:noWrap/>
            <w:vAlign w:val="center"/>
            <w:hideMark/>
          </w:tcPr>
          <w:p w14:paraId="26E879F5"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535.16</w:t>
            </w:r>
          </w:p>
        </w:tc>
        <w:tc>
          <w:tcPr>
            <w:tcW w:w="1016" w:type="dxa"/>
            <w:tcBorders>
              <w:top w:val="nil"/>
              <w:left w:val="nil"/>
              <w:bottom w:val="single" w:sz="4" w:space="0" w:color="auto"/>
              <w:right w:val="single" w:sz="4" w:space="0" w:color="auto"/>
            </w:tcBorders>
            <w:shd w:val="clear" w:color="auto" w:fill="auto"/>
            <w:noWrap/>
            <w:vAlign w:val="center"/>
            <w:hideMark/>
          </w:tcPr>
          <w:p w14:paraId="3F9B78F5"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682.30</w:t>
            </w:r>
          </w:p>
        </w:tc>
        <w:tc>
          <w:tcPr>
            <w:tcW w:w="1118" w:type="dxa"/>
            <w:tcBorders>
              <w:top w:val="nil"/>
              <w:left w:val="nil"/>
              <w:bottom w:val="single" w:sz="4" w:space="0" w:color="auto"/>
              <w:right w:val="single" w:sz="4" w:space="0" w:color="auto"/>
            </w:tcBorders>
            <w:shd w:val="clear" w:color="auto" w:fill="auto"/>
            <w:noWrap/>
            <w:vAlign w:val="center"/>
            <w:hideMark/>
          </w:tcPr>
          <w:p w14:paraId="4A7C1762"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900.50</w:t>
            </w:r>
          </w:p>
        </w:tc>
        <w:tc>
          <w:tcPr>
            <w:tcW w:w="1567" w:type="dxa"/>
            <w:tcBorders>
              <w:top w:val="nil"/>
              <w:left w:val="nil"/>
              <w:bottom w:val="single" w:sz="4" w:space="0" w:color="auto"/>
              <w:right w:val="single" w:sz="4" w:space="0" w:color="auto"/>
            </w:tcBorders>
            <w:shd w:val="clear" w:color="auto" w:fill="auto"/>
            <w:noWrap/>
            <w:vAlign w:val="center"/>
            <w:hideMark/>
          </w:tcPr>
          <w:p w14:paraId="1599F647"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598.50</w:t>
            </w:r>
          </w:p>
        </w:tc>
      </w:tr>
      <w:tr w:rsidR="007915BE" w:rsidRPr="007915BE" w14:paraId="3EDED0BE" w14:textId="77777777" w:rsidTr="007915BE">
        <w:trPr>
          <w:trHeight w:val="312"/>
        </w:trPr>
        <w:tc>
          <w:tcPr>
            <w:tcW w:w="2372" w:type="dxa"/>
            <w:tcBorders>
              <w:top w:val="nil"/>
              <w:left w:val="single" w:sz="4" w:space="0" w:color="auto"/>
              <w:bottom w:val="single" w:sz="4" w:space="0" w:color="auto"/>
              <w:right w:val="single" w:sz="4" w:space="0" w:color="auto"/>
            </w:tcBorders>
            <w:shd w:val="clear" w:color="auto" w:fill="auto"/>
            <w:noWrap/>
            <w:vAlign w:val="center"/>
            <w:hideMark/>
          </w:tcPr>
          <w:p w14:paraId="1415C894"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Inventory (£m)</w:t>
            </w:r>
          </w:p>
        </w:tc>
        <w:tc>
          <w:tcPr>
            <w:tcW w:w="1016" w:type="dxa"/>
            <w:tcBorders>
              <w:top w:val="nil"/>
              <w:left w:val="nil"/>
              <w:bottom w:val="single" w:sz="4" w:space="0" w:color="auto"/>
              <w:right w:val="single" w:sz="4" w:space="0" w:color="auto"/>
            </w:tcBorders>
            <w:shd w:val="clear" w:color="auto" w:fill="auto"/>
            <w:noWrap/>
            <w:vAlign w:val="bottom"/>
            <w:hideMark/>
          </w:tcPr>
          <w:p w14:paraId="22BC8A11"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225</w:t>
            </w:r>
          </w:p>
        </w:tc>
        <w:tc>
          <w:tcPr>
            <w:tcW w:w="1016" w:type="dxa"/>
            <w:tcBorders>
              <w:top w:val="nil"/>
              <w:left w:val="nil"/>
              <w:bottom w:val="single" w:sz="4" w:space="0" w:color="auto"/>
              <w:right w:val="single" w:sz="4" w:space="0" w:color="auto"/>
            </w:tcBorders>
            <w:shd w:val="clear" w:color="auto" w:fill="auto"/>
            <w:noWrap/>
            <w:vAlign w:val="center"/>
            <w:hideMark/>
          </w:tcPr>
          <w:p w14:paraId="36097FC6"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238.32</w:t>
            </w:r>
          </w:p>
        </w:tc>
        <w:tc>
          <w:tcPr>
            <w:tcW w:w="1016" w:type="dxa"/>
            <w:tcBorders>
              <w:top w:val="nil"/>
              <w:left w:val="nil"/>
              <w:bottom w:val="single" w:sz="4" w:space="0" w:color="auto"/>
              <w:right w:val="single" w:sz="4" w:space="0" w:color="auto"/>
            </w:tcBorders>
            <w:shd w:val="clear" w:color="auto" w:fill="auto"/>
            <w:noWrap/>
            <w:vAlign w:val="center"/>
            <w:hideMark/>
          </w:tcPr>
          <w:p w14:paraId="2577A15A"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348.01</w:t>
            </w:r>
          </w:p>
        </w:tc>
        <w:tc>
          <w:tcPr>
            <w:tcW w:w="1016" w:type="dxa"/>
            <w:tcBorders>
              <w:top w:val="nil"/>
              <w:left w:val="nil"/>
              <w:bottom w:val="single" w:sz="4" w:space="0" w:color="auto"/>
              <w:right w:val="single" w:sz="4" w:space="0" w:color="auto"/>
            </w:tcBorders>
            <w:shd w:val="clear" w:color="auto" w:fill="auto"/>
            <w:noWrap/>
            <w:vAlign w:val="center"/>
            <w:hideMark/>
          </w:tcPr>
          <w:p w14:paraId="7975CC0A"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478.00</w:t>
            </w:r>
          </w:p>
        </w:tc>
        <w:tc>
          <w:tcPr>
            <w:tcW w:w="1118" w:type="dxa"/>
            <w:tcBorders>
              <w:top w:val="nil"/>
              <w:left w:val="nil"/>
              <w:bottom w:val="single" w:sz="4" w:space="0" w:color="auto"/>
              <w:right w:val="single" w:sz="4" w:space="0" w:color="auto"/>
            </w:tcBorders>
            <w:shd w:val="clear" w:color="auto" w:fill="auto"/>
            <w:noWrap/>
            <w:vAlign w:val="center"/>
            <w:hideMark/>
          </w:tcPr>
          <w:p w14:paraId="37218D60"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763.80</w:t>
            </w:r>
          </w:p>
        </w:tc>
        <w:tc>
          <w:tcPr>
            <w:tcW w:w="1567" w:type="dxa"/>
            <w:tcBorders>
              <w:top w:val="nil"/>
              <w:left w:val="nil"/>
              <w:bottom w:val="single" w:sz="4" w:space="0" w:color="auto"/>
              <w:right w:val="single" w:sz="4" w:space="0" w:color="auto"/>
            </w:tcBorders>
            <w:shd w:val="clear" w:color="auto" w:fill="auto"/>
            <w:noWrap/>
            <w:vAlign w:val="center"/>
            <w:hideMark/>
          </w:tcPr>
          <w:p w14:paraId="1D396B87"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978.40</w:t>
            </w:r>
          </w:p>
        </w:tc>
      </w:tr>
      <w:tr w:rsidR="007915BE" w:rsidRPr="007915BE" w14:paraId="1B69D661" w14:textId="77777777" w:rsidTr="007915BE">
        <w:trPr>
          <w:trHeight w:val="312"/>
        </w:trPr>
        <w:tc>
          <w:tcPr>
            <w:tcW w:w="2372" w:type="dxa"/>
            <w:tcBorders>
              <w:top w:val="nil"/>
              <w:left w:val="single" w:sz="4" w:space="0" w:color="auto"/>
              <w:bottom w:val="single" w:sz="4" w:space="0" w:color="auto"/>
              <w:right w:val="single" w:sz="4" w:space="0" w:color="auto"/>
            </w:tcBorders>
            <w:shd w:val="clear" w:color="auto" w:fill="auto"/>
            <w:noWrap/>
            <w:vAlign w:val="center"/>
            <w:hideMark/>
          </w:tcPr>
          <w:p w14:paraId="04FAD36E" w14:textId="77777777" w:rsidR="007915BE" w:rsidRPr="007915BE" w:rsidRDefault="007915BE" w:rsidP="007915BE">
            <w:pPr>
              <w:rPr>
                <w:rFonts w:ascii="Times New Roman" w:hAnsi="Times New Roman" w:cs="Times New Roman"/>
                <w:b/>
                <w:bCs/>
                <w:sz w:val="24"/>
                <w:szCs w:val="24"/>
              </w:rPr>
            </w:pPr>
            <w:r w:rsidRPr="007915BE">
              <w:rPr>
                <w:rFonts w:ascii="Times New Roman" w:hAnsi="Times New Roman" w:cs="Times New Roman"/>
                <w:b/>
                <w:bCs/>
                <w:sz w:val="24"/>
                <w:szCs w:val="24"/>
              </w:rPr>
              <w:t>Cash (£m)</w:t>
            </w:r>
          </w:p>
        </w:tc>
        <w:tc>
          <w:tcPr>
            <w:tcW w:w="1016" w:type="dxa"/>
            <w:tcBorders>
              <w:top w:val="nil"/>
              <w:left w:val="nil"/>
              <w:bottom w:val="single" w:sz="4" w:space="0" w:color="auto"/>
              <w:right w:val="single" w:sz="4" w:space="0" w:color="auto"/>
            </w:tcBorders>
            <w:shd w:val="clear" w:color="auto" w:fill="auto"/>
            <w:noWrap/>
            <w:vAlign w:val="bottom"/>
            <w:hideMark/>
          </w:tcPr>
          <w:p w14:paraId="258DE49A"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121</w:t>
            </w:r>
          </w:p>
        </w:tc>
        <w:tc>
          <w:tcPr>
            <w:tcW w:w="1016" w:type="dxa"/>
            <w:tcBorders>
              <w:top w:val="nil"/>
              <w:left w:val="nil"/>
              <w:bottom w:val="single" w:sz="4" w:space="0" w:color="auto"/>
              <w:right w:val="single" w:sz="4" w:space="0" w:color="auto"/>
            </w:tcBorders>
            <w:shd w:val="clear" w:color="auto" w:fill="auto"/>
            <w:noWrap/>
            <w:vAlign w:val="bottom"/>
            <w:hideMark/>
          </w:tcPr>
          <w:p w14:paraId="4F879FEB"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216</w:t>
            </w:r>
          </w:p>
        </w:tc>
        <w:tc>
          <w:tcPr>
            <w:tcW w:w="1016" w:type="dxa"/>
            <w:tcBorders>
              <w:top w:val="nil"/>
              <w:left w:val="nil"/>
              <w:bottom w:val="single" w:sz="4" w:space="0" w:color="auto"/>
              <w:right w:val="single" w:sz="4" w:space="0" w:color="auto"/>
            </w:tcBorders>
            <w:shd w:val="clear" w:color="auto" w:fill="auto"/>
            <w:noWrap/>
            <w:vAlign w:val="bottom"/>
            <w:hideMark/>
          </w:tcPr>
          <w:p w14:paraId="210EC826"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247.56</w:t>
            </w:r>
          </w:p>
        </w:tc>
        <w:tc>
          <w:tcPr>
            <w:tcW w:w="1016" w:type="dxa"/>
            <w:tcBorders>
              <w:top w:val="nil"/>
              <w:left w:val="nil"/>
              <w:bottom w:val="single" w:sz="4" w:space="0" w:color="auto"/>
              <w:right w:val="single" w:sz="4" w:space="0" w:color="auto"/>
            </w:tcBorders>
            <w:shd w:val="clear" w:color="auto" w:fill="auto"/>
            <w:noWrap/>
            <w:vAlign w:val="bottom"/>
            <w:hideMark/>
          </w:tcPr>
          <w:p w14:paraId="4F21221C"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347.5</w:t>
            </w:r>
          </w:p>
        </w:tc>
        <w:tc>
          <w:tcPr>
            <w:tcW w:w="1118" w:type="dxa"/>
            <w:tcBorders>
              <w:top w:val="nil"/>
              <w:left w:val="nil"/>
              <w:bottom w:val="single" w:sz="4" w:space="0" w:color="auto"/>
              <w:right w:val="single" w:sz="4" w:space="0" w:color="auto"/>
            </w:tcBorders>
            <w:shd w:val="clear" w:color="auto" w:fill="auto"/>
            <w:noWrap/>
            <w:vAlign w:val="bottom"/>
            <w:hideMark/>
          </w:tcPr>
          <w:p w14:paraId="452670E0"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251.2</w:t>
            </w:r>
          </w:p>
        </w:tc>
        <w:tc>
          <w:tcPr>
            <w:tcW w:w="1567" w:type="dxa"/>
            <w:tcBorders>
              <w:top w:val="nil"/>
              <w:left w:val="nil"/>
              <w:bottom w:val="single" w:sz="4" w:space="0" w:color="auto"/>
              <w:right w:val="single" w:sz="4" w:space="0" w:color="auto"/>
            </w:tcBorders>
            <w:shd w:val="clear" w:color="auto" w:fill="auto"/>
            <w:noWrap/>
            <w:vAlign w:val="bottom"/>
            <w:hideMark/>
          </w:tcPr>
          <w:p w14:paraId="6EC52002" w14:textId="77777777" w:rsidR="007915BE" w:rsidRPr="007915BE" w:rsidRDefault="007915BE" w:rsidP="007915BE">
            <w:pPr>
              <w:rPr>
                <w:rFonts w:ascii="Times New Roman" w:hAnsi="Times New Roman" w:cs="Times New Roman"/>
                <w:sz w:val="24"/>
                <w:szCs w:val="24"/>
              </w:rPr>
            </w:pPr>
            <w:r w:rsidRPr="007915BE">
              <w:rPr>
                <w:rFonts w:ascii="Times New Roman" w:hAnsi="Times New Roman" w:cs="Times New Roman"/>
                <w:sz w:val="24"/>
                <w:szCs w:val="24"/>
              </w:rPr>
              <w:t>448</w:t>
            </w:r>
          </w:p>
        </w:tc>
      </w:tr>
    </w:tbl>
    <w:p w14:paraId="3A58870B" w14:textId="0FE528A5" w:rsidR="004B3B0A" w:rsidRDefault="007915BE" w:rsidP="00A44217">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6FC0AEAC" w14:textId="5097C347" w:rsidR="00BD3696" w:rsidRDefault="00BD3696" w:rsidP="00A44217">
      <w:pPr>
        <w:rPr>
          <w:rFonts w:ascii="Times New Roman" w:hAnsi="Times New Roman" w:cs="Times New Roman"/>
          <w:sz w:val="24"/>
          <w:szCs w:val="24"/>
        </w:rPr>
      </w:pPr>
      <w:r>
        <w:rPr>
          <w:rFonts w:ascii="Times New Roman" w:hAnsi="Times New Roman" w:cs="Times New Roman"/>
          <w:sz w:val="24"/>
          <w:szCs w:val="24"/>
        </w:rPr>
        <w:t xml:space="preserve"> As can be seen JD sports have reduced current assets and cash compared to Sports Direct, this can be explained through the fact that the company used a part of cash assets to finance the operations in areas where it expanded that can also explain the drastic increase in inventory </w:t>
      </w:r>
      <w:r w:rsidR="00454E6B">
        <w:rPr>
          <w:rFonts w:ascii="Times New Roman" w:hAnsi="Times New Roman" w:cs="Times New Roman"/>
          <w:sz w:val="24"/>
          <w:szCs w:val="24"/>
        </w:rPr>
        <w:t>and in current liability where the company had to acquire more inventory in order to make the new stores operable this resulted in increased in payable trades and in borrowings which made the current liability to raise whit over 200 million pounds from last year.</w:t>
      </w:r>
    </w:p>
    <w:p w14:paraId="28CF81F8" w14:textId="61BDFC30" w:rsidR="00B445D2" w:rsidRDefault="007915BE" w:rsidP="00A44217">
      <w:pPr>
        <w:rPr>
          <w:rFonts w:ascii="Times New Roman" w:hAnsi="Times New Roman" w:cs="Times New Roman"/>
          <w:sz w:val="24"/>
          <w:szCs w:val="24"/>
        </w:rPr>
      </w:pPr>
      <w:r>
        <w:rPr>
          <w:rFonts w:ascii="Times New Roman" w:hAnsi="Times New Roman" w:cs="Times New Roman"/>
          <w:sz w:val="24"/>
          <w:szCs w:val="24"/>
        </w:rPr>
        <w:t xml:space="preserve">The more current assets a company owns and the less liability it has the better the company is prepared to deal with a crisis </w:t>
      </w:r>
      <w:r w:rsidR="00B445D2">
        <w:rPr>
          <w:rFonts w:ascii="Times New Roman" w:hAnsi="Times New Roman" w:cs="Times New Roman"/>
          <w:sz w:val="24"/>
          <w:szCs w:val="24"/>
        </w:rPr>
        <w:t xml:space="preserve">often crisis occur because the company experiences difficulties selling </w:t>
      </w:r>
      <w:r w:rsidR="008B3932">
        <w:rPr>
          <w:rFonts w:ascii="Times New Roman" w:hAnsi="Times New Roman" w:cs="Times New Roman"/>
          <w:sz w:val="24"/>
          <w:szCs w:val="24"/>
        </w:rPr>
        <w:t>its</w:t>
      </w:r>
      <w:r w:rsidR="00B445D2">
        <w:rPr>
          <w:rFonts w:ascii="Times New Roman" w:hAnsi="Times New Roman" w:cs="Times New Roman"/>
          <w:sz w:val="24"/>
          <w:szCs w:val="24"/>
        </w:rPr>
        <w:t xml:space="preserve"> inventory</w:t>
      </w:r>
      <w:r w:rsidR="00534922">
        <w:rPr>
          <w:rFonts w:ascii="Times New Roman" w:hAnsi="Times New Roman" w:cs="Times New Roman"/>
          <w:sz w:val="24"/>
          <w:szCs w:val="24"/>
        </w:rPr>
        <w:t xml:space="preserve"> that why it is important</w:t>
      </w:r>
      <w:r w:rsidR="00B445D2">
        <w:rPr>
          <w:rFonts w:ascii="Times New Roman" w:hAnsi="Times New Roman" w:cs="Times New Roman"/>
          <w:sz w:val="24"/>
          <w:szCs w:val="24"/>
        </w:rPr>
        <w:t xml:space="preserve"> to analyse</w:t>
      </w:r>
      <w:r w:rsidR="00534922">
        <w:rPr>
          <w:rFonts w:ascii="Times New Roman" w:hAnsi="Times New Roman" w:cs="Times New Roman"/>
          <w:sz w:val="24"/>
          <w:szCs w:val="24"/>
        </w:rPr>
        <w:t xml:space="preserve"> the quick ratio</w:t>
      </w:r>
      <w:r w:rsidR="00B445D2">
        <w:rPr>
          <w:rFonts w:ascii="Times New Roman" w:hAnsi="Times New Roman" w:cs="Times New Roman"/>
          <w:sz w:val="24"/>
          <w:szCs w:val="24"/>
        </w:rPr>
        <w:t xml:space="preserve"> </w:t>
      </w:r>
      <w:r w:rsidR="00534922">
        <w:rPr>
          <w:rFonts w:ascii="Times New Roman" w:hAnsi="Times New Roman" w:cs="Times New Roman"/>
          <w:sz w:val="24"/>
          <w:szCs w:val="24"/>
        </w:rPr>
        <w:t>in order to make an idea of</w:t>
      </w:r>
      <w:r w:rsidR="00B445D2">
        <w:rPr>
          <w:rFonts w:ascii="Times New Roman" w:hAnsi="Times New Roman" w:cs="Times New Roman"/>
          <w:sz w:val="24"/>
          <w:szCs w:val="24"/>
        </w:rPr>
        <w:t xml:space="preserve"> how prepared an organisation is to face difficult times</w:t>
      </w:r>
      <w:r w:rsidR="00534922">
        <w:rPr>
          <w:rFonts w:ascii="Times New Roman" w:hAnsi="Times New Roman" w:cs="Times New Roman"/>
          <w:sz w:val="24"/>
          <w:szCs w:val="24"/>
        </w:rPr>
        <w:t xml:space="preserve"> and to invest in opportunities</w:t>
      </w:r>
      <w:r w:rsidR="00B445D2">
        <w:rPr>
          <w:rFonts w:ascii="Times New Roman" w:hAnsi="Times New Roman" w:cs="Times New Roman"/>
          <w:sz w:val="24"/>
          <w:szCs w:val="24"/>
        </w:rPr>
        <w:t xml:space="preserve"> there are the following ratios:</w:t>
      </w:r>
    </w:p>
    <w:p w14:paraId="5AA6AA6C" w14:textId="77777777" w:rsidR="00B445D2" w:rsidRDefault="00B445D2" w:rsidP="00A44217">
      <w:pPr>
        <w:rPr>
          <w:rFonts w:ascii="Times New Roman" w:hAnsi="Times New Roman" w:cs="Times New Roman"/>
          <w:sz w:val="24"/>
          <w:szCs w:val="24"/>
        </w:rPr>
      </w:pPr>
    </w:p>
    <w:tbl>
      <w:tblPr>
        <w:tblW w:w="9194" w:type="dxa"/>
        <w:tblLook w:val="04A0" w:firstRow="1" w:lastRow="0" w:firstColumn="1" w:lastColumn="0" w:noHBand="0" w:noVBand="1"/>
      </w:tblPr>
      <w:tblGrid>
        <w:gridCol w:w="2417"/>
        <w:gridCol w:w="1036"/>
        <w:gridCol w:w="1036"/>
        <w:gridCol w:w="1036"/>
        <w:gridCol w:w="1036"/>
        <w:gridCol w:w="1036"/>
        <w:gridCol w:w="1597"/>
      </w:tblGrid>
      <w:tr w:rsidR="00B445D2" w:rsidRPr="00B445D2" w14:paraId="6C002E52" w14:textId="77777777" w:rsidTr="00B445D2">
        <w:trPr>
          <w:trHeight w:val="864"/>
        </w:trPr>
        <w:tc>
          <w:tcPr>
            <w:tcW w:w="241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1866762"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JD Sports Plc</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2C38F019"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2015</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1F5FAC3A"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2016</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345EE8F0"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2017</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381B1E0C"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2018</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035C8A8E"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2019</w:t>
            </w:r>
          </w:p>
        </w:tc>
        <w:tc>
          <w:tcPr>
            <w:tcW w:w="1597" w:type="dxa"/>
            <w:tcBorders>
              <w:top w:val="single" w:sz="4" w:space="0" w:color="auto"/>
              <w:left w:val="nil"/>
              <w:bottom w:val="single" w:sz="4" w:space="0" w:color="auto"/>
              <w:right w:val="single" w:sz="4" w:space="0" w:color="auto"/>
            </w:tcBorders>
            <w:shd w:val="clear" w:color="auto" w:fill="auto"/>
            <w:vAlign w:val="center"/>
            <w:hideMark/>
          </w:tcPr>
          <w:p w14:paraId="103C150C" w14:textId="77777777" w:rsidR="00B445D2" w:rsidRPr="00B445D2" w:rsidRDefault="00B445D2" w:rsidP="00B445D2">
            <w:pPr>
              <w:spacing w:after="0" w:line="240" w:lineRule="auto"/>
              <w:jc w:val="center"/>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Sports Direct Plc 2019</w:t>
            </w:r>
          </w:p>
        </w:tc>
      </w:tr>
      <w:tr w:rsidR="00B445D2" w:rsidRPr="00B445D2" w14:paraId="608977C2" w14:textId="77777777" w:rsidTr="00B445D2">
        <w:trPr>
          <w:trHeight w:val="432"/>
        </w:trPr>
        <w:tc>
          <w:tcPr>
            <w:tcW w:w="2417" w:type="dxa"/>
            <w:tcBorders>
              <w:top w:val="nil"/>
              <w:left w:val="single" w:sz="4" w:space="0" w:color="auto"/>
              <w:bottom w:val="single" w:sz="4" w:space="0" w:color="auto"/>
              <w:right w:val="single" w:sz="4" w:space="0" w:color="auto"/>
            </w:tcBorders>
            <w:shd w:val="clear" w:color="auto" w:fill="auto"/>
            <w:noWrap/>
            <w:vAlign w:val="center"/>
            <w:hideMark/>
          </w:tcPr>
          <w:p w14:paraId="5DFDEC22" w14:textId="77777777" w:rsidR="00B445D2" w:rsidRPr="00B445D2" w:rsidRDefault="00B445D2" w:rsidP="00B445D2">
            <w:pPr>
              <w:spacing w:after="0" w:line="240" w:lineRule="auto"/>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Current Ratio (£m)</w:t>
            </w:r>
          </w:p>
        </w:tc>
        <w:tc>
          <w:tcPr>
            <w:tcW w:w="1036" w:type="dxa"/>
            <w:tcBorders>
              <w:top w:val="nil"/>
              <w:left w:val="nil"/>
              <w:bottom w:val="single" w:sz="4" w:space="0" w:color="auto"/>
              <w:right w:val="single" w:sz="4" w:space="0" w:color="auto"/>
            </w:tcBorders>
            <w:shd w:val="clear" w:color="auto" w:fill="auto"/>
            <w:noWrap/>
            <w:vAlign w:val="center"/>
            <w:hideMark/>
          </w:tcPr>
          <w:p w14:paraId="7158C75D"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1.22</w:t>
            </w:r>
          </w:p>
        </w:tc>
        <w:tc>
          <w:tcPr>
            <w:tcW w:w="1036" w:type="dxa"/>
            <w:tcBorders>
              <w:top w:val="nil"/>
              <w:left w:val="nil"/>
              <w:bottom w:val="single" w:sz="4" w:space="0" w:color="auto"/>
              <w:right w:val="single" w:sz="4" w:space="0" w:color="auto"/>
            </w:tcBorders>
            <w:shd w:val="clear" w:color="auto" w:fill="auto"/>
            <w:noWrap/>
            <w:vAlign w:val="center"/>
            <w:hideMark/>
          </w:tcPr>
          <w:p w14:paraId="75E53404"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1.47</w:t>
            </w:r>
          </w:p>
        </w:tc>
        <w:tc>
          <w:tcPr>
            <w:tcW w:w="1036" w:type="dxa"/>
            <w:tcBorders>
              <w:top w:val="nil"/>
              <w:left w:val="nil"/>
              <w:bottom w:val="single" w:sz="4" w:space="0" w:color="auto"/>
              <w:right w:val="single" w:sz="4" w:space="0" w:color="auto"/>
            </w:tcBorders>
            <w:shd w:val="clear" w:color="auto" w:fill="auto"/>
            <w:noWrap/>
            <w:vAlign w:val="center"/>
            <w:hideMark/>
          </w:tcPr>
          <w:p w14:paraId="750979C2"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1.33</w:t>
            </w:r>
          </w:p>
        </w:tc>
        <w:tc>
          <w:tcPr>
            <w:tcW w:w="1036" w:type="dxa"/>
            <w:tcBorders>
              <w:top w:val="nil"/>
              <w:left w:val="nil"/>
              <w:bottom w:val="single" w:sz="4" w:space="0" w:color="auto"/>
              <w:right w:val="single" w:sz="4" w:space="0" w:color="auto"/>
            </w:tcBorders>
            <w:shd w:val="clear" w:color="auto" w:fill="auto"/>
            <w:noWrap/>
            <w:vAlign w:val="center"/>
            <w:hideMark/>
          </w:tcPr>
          <w:p w14:paraId="0790EE82"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1.42</w:t>
            </w:r>
          </w:p>
        </w:tc>
        <w:tc>
          <w:tcPr>
            <w:tcW w:w="1036" w:type="dxa"/>
            <w:tcBorders>
              <w:top w:val="nil"/>
              <w:left w:val="nil"/>
              <w:bottom w:val="single" w:sz="4" w:space="0" w:color="auto"/>
              <w:right w:val="single" w:sz="4" w:space="0" w:color="auto"/>
            </w:tcBorders>
            <w:shd w:val="clear" w:color="auto" w:fill="auto"/>
            <w:noWrap/>
            <w:vAlign w:val="center"/>
            <w:hideMark/>
          </w:tcPr>
          <w:p w14:paraId="5E1A9B69"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1.32</w:t>
            </w:r>
          </w:p>
        </w:tc>
        <w:tc>
          <w:tcPr>
            <w:tcW w:w="1597" w:type="dxa"/>
            <w:tcBorders>
              <w:top w:val="nil"/>
              <w:left w:val="nil"/>
              <w:bottom w:val="single" w:sz="4" w:space="0" w:color="auto"/>
              <w:right w:val="single" w:sz="4" w:space="0" w:color="auto"/>
            </w:tcBorders>
            <w:shd w:val="clear" w:color="auto" w:fill="auto"/>
            <w:noWrap/>
            <w:vAlign w:val="center"/>
            <w:hideMark/>
          </w:tcPr>
          <w:p w14:paraId="3DC8EF19"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3.39</w:t>
            </w:r>
          </w:p>
        </w:tc>
      </w:tr>
      <w:tr w:rsidR="00B445D2" w:rsidRPr="00B445D2" w14:paraId="39E897E7" w14:textId="77777777" w:rsidTr="00B445D2">
        <w:trPr>
          <w:trHeight w:val="432"/>
        </w:trPr>
        <w:tc>
          <w:tcPr>
            <w:tcW w:w="2417" w:type="dxa"/>
            <w:tcBorders>
              <w:top w:val="nil"/>
              <w:left w:val="single" w:sz="4" w:space="0" w:color="auto"/>
              <w:bottom w:val="single" w:sz="4" w:space="0" w:color="auto"/>
              <w:right w:val="single" w:sz="4" w:space="0" w:color="auto"/>
            </w:tcBorders>
            <w:shd w:val="clear" w:color="auto" w:fill="auto"/>
            <w:noWrap/>
            <w:vAlign w:val="center"/>
            <w:hideMark/>
          </w:tcPr>
          <w:p w14:paraId="14C439FA" w14:textId="77777777" w:rsidR="00B445D2" w:rsidRPr="00B445D2" w:rsidRDefault="00B445D2" w:rsidP="00B445D2">
            <w:pPr>
              <w:spacing w:after="0" w:line="240" w:lineRule="auto"/>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Quick Ratio (£m)</w:t>
            </w:r>
          </w:p>
        </w:tc>
        <w:tc>
          <w:tcPr>
            <w:tcW w:w="1036" w:type="dxa"/>
            <w:tcBorders>
              <w:top w:val="nil"/>
              <w:left w:val="nil"/>
              <w:bottom w:val="single" w:sz="4" w:space="0" w:color="auto"/>
              <w:right w:val="single" w:sz="4" w:space="0" w:color="auto"/>
            </w:tcBorders>
            <w:shd w:val="clear" w:color="auto" w:fill="auto"/>
            <w:noWrap/>
            <w:vAlign w:val="center"/>
            <w:hideMark/>
          </w:tcPr>
          <w:p w14:paraId="46F0DFE5"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0.54</w:t>
            </w:r>
          </w:p>
        </w:tc>
        <w:tc>
          <w:tcPr>
            <w:tcW w:w="1036" w:type="dxa"/>
            <w:tcBorders>
              <w:top w:val="nil"/>
              <w:left w:val="nil"/>
              <w:bottom w:val="single" w:sz="4" w:space="0" w:color="auto"/>
              <w:right w:val="single" w:sz="4" w:space="0" w:color="auto"/>
            </w:tcBorders>
            <w:shd w:val="clear" w:color="auto" w:fill="auto"/>
            <w:noWrap/>
            <w:vAlign w:val="center"/>
            <w:hideMark/>
          </w:tcPr>
          <w:p w14:paraId="21CA3740"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0.78</w:t>
            </w:r>
          </w:p>
        </w:tc>
        <w:tc>
          <w:tcPr>
            <w:tcW w:w="1036" w:type="dxa"/>
            <w:tcBorders>
              <w:top w:val="nil"/>
              <w:left w:val="nil"/>
              <w:bottom w:val="single" w:sz="4" w:space="0" w:color="auto"/>
              <w:right w:val="single" w:sz="4" w:space="0" w:color="auto"/>
            </w:tcBorders>
            <w:shd w:val="clear" w:color="auto" w:fill="auto"/>
            <w:noWrap/>
            <w:vAlign w:val="center"/>
            <w:hideMark/>
          </w:tcPr>
          <w:p w14:paraId="65B64AAB"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0.68</w:t>
            </w:r>
          </w:p>
        </w:tc>
        <w:tc>
          <w:tcPr>
            <w:tcW w:w="1036" w:type="dxa"/>
            <w:tcBorders>
              <w:top w:val="nil"/>
              <w:left w:val="nil"/>
              <w:bottom w:val="single" w:sz="4" w:space="0" w:color="auto"/>
              <w:right w:val="single" w:sz="4" w:space="0" w:color="auto"/>
            </w:tcBorders>
            <w:shd w:val="clear" w:color="auto" w:fill="auto"/>
            <w:noWrap/>
            <w:vAlign w:val="center"/>
            <w:hideMark/>
          </w:tcPr>
          <w:p w14:paraId="1D5B79B6"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0.72</w:t>
            </w:r>
          </w:p>
        </w:tc>
        <w:tc>
          <w:tcPr>
            <w:tcW w:w="1036" w:type="dxa"/>
            <w:tcBorders>
              <w:top w:val="nil"/>
              <w:left w:val="nil"/>
              <w:bottom w:val="single" w:sz="4" w:space="0" w:color="auto"/>
              <w:right w:val="single" w:sz="4" w:space="0" w:color="auto"/>
            </w:tcBorders>
            <w:shd w:val="clear" w:color="auto" w:fill="auto"/>
            <w:noWrap/>
            <w:vAlign w:val="center"/>
            <w:hideMark/>
          </w:tcPr>
          <w:p w14:paraId="5958EAB2"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0.48</w:t>
            </w:r>
          </w:p>
        </w:tc>
        <w:tc>
          <w:tcPr>
            <w:tcW w:w="1597" w:type="dxa"/>
            <w:tcBorders>
              <w:top w:val="nil"/>
              <w:left w:val="nil"/>
              <w:bottom w:val="single" w:sz="4" w:space="0" w:color="auto"/>
              <w:right w:val="single" w:sz="4" w:space="0" w:color="auto"/>
            </w:tcBorders>
            <w:shd w:val="clear" w:color="auto" w:fill="auto"/>
            <w:noWrap/>
            <w:vAlign w:val="center"/>
            <w:hideMark/>
          </w:tcPr>
          <w:p w14:paraId="4330959E"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1.76</w:t>
            </w:r>
          </w:p>
        </w:tc>
      </w:tr>
      <w:tr w:rsidR="00B445D2" w:rsidRPr="00B445D2" w14:paraId="4BB5AB10" w14:textId="77777777" w:rsidTr="00B445D2">
        <w:trPr>
          <w:trHeight w:val="432"/>
        </w:trPr>
        <w:tc>
          <w:tcPr>
            <w:tcW w:w="2417" w:type="dxa"/>
            <w:tcBorders>
              <w:top w:val="nil"/>
              <w:left w:val="single" w:sz="4" w:space="0" w:color="auto"/>
              <w:bottom w:val="single" w:sz="4" w:space="0" w:color="auto"/>
              <w:right w:val="single" w:sz="4" w:space="0" w:color="auto"/>
            </w:tcBorders>
            <w:shd w:val="clear" w:color="auto" w:fill="auto"/>
            <w:noWrap/>
            <w:vAlign w:val="center"/>
            <w:hideMark/>
          </w:tcPr>
          <w:p w14:paraId="2B185A07" w14:textId="77777777" w:rsidR="00B445D2" w:rsidRPr="00B445D2" w:rsidRDefault="00B445D2" w:rsidP="00B445D2">
            <w:pPr>
              <w:spacing w:after="0" w:line="240" w:lineRule="auto"/>
              <w:rPr>
                <w:rFonts w:ascii="Calibri" w:eastAsia="Times New Roman" w:hAnsi="Calibri" w:cs="Times New Roman"/>
                <w:b/>
                <w:bCs/>
                <w:color w:val="000000"/>
                <w:lang w:eastAsia="en-GB"/>
              </w:rPr>
            </w:pPr>
            <w:r w:rsidRPr="00B445D2">
              <w:rPr>
                <w:rFonts w:ascii="Calibri" w:eastAsia="Times New Roman" w:hAnsi="Calibri" w:cs="Times New Roman"/>
                <w:b/>
                <w:bCs/>
                <w:color w:val="000000"/>
                <w:lang w:eastAsia="en-GB"/>
              </w:rPr>
              <w:t>Cash Ratio (£m)</w:t>
            </w:r>
          </w:p>
        </w:tc>
        <w:tc>
          <w:tcPr>
            <w:tcW w:w="1036" w:type="dxa"/>
            <w:tcBorders>
              <w:top w:val="nil"/>
              <w:left w:val="nil"/>
              <w:bottom w:val="single" w:sz="4" w:space="0" w:color="auto"/>
              <w:right w:val="single" w:sz="4" w:space="0" w:color="auto"/>
            </w:tcBorders>
            <w:shd w:val="clear" w:color="auto" w:fill="auto"/>
            <w:noWrap/>
            <w:vAlign w:val="center"/>
            <w:hideMark/>
          </w:tcPr>
          <w:p w14:paraId="6042819A"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0.37</w:t>
            </w:r>
          </w:p>
        </w:tc>
        <w:tc>
          <w:tcPr>
            <w:tcW w:w="1036" w:type="dxa"/>
            <w:tcBorders>
              <w:top w:val="nil"/>
              <w:left w:val="nil"/>
              <w:bottom w:val="single" w:sz="4" w:space="0" w:color="auto"/>
              <w:right w:val="single" w:sz="4" w:space="0" w:color="auto"/>
            </w:tcBorders>
            <w:shd w:val="clear" w:color="auto" w:fill="auto"/>
            <w:noWrap/>
            <w:vAlign w:val="center"/>
            <w:hideMark/>
          </w:tcPr>
          <w:p w14:paraId="7272E096"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0.62</w:t>
            </w:r>
          </w:p>
        </w:tc>
        <w:tc>
          <w:tcPr>
            <w:tcW w:w="1036" w:type="dxa"/>
            <w:tcBorders>
              <w:top w:val="nil"/>
              <w:left w:val="nil"/>
              <w:bottom w:val="single" w:sz="4" w:space="0" w:color="auto"/>
              <w:right w:val="single" w:sz="4" w:space="0" w:color="auto"/>
            </w:tcBorders>
            <w:shd w:val="clear" w:color="auto" w:fill="auto"/>
            <w:noWrap/>
            <w:vAlign w:val="center"/>
            <w:hideMark/>
          </w:tcPr>
          <w:p w14:paraId="3C1ECD0F"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0.46</w:t>
            </w:r>
          </w:p>
        </w:tc>
        <w:tc>
          <w:tcPr>
            <w:tcW w:w="1036" w:type="dxa"/>
            <w:tcBorders>
              <w:top w:val="nil"/>
              <w:left w:val="nil"/>
              <w:bottom w:val="single" w:sz="4" w:space="0" w:color="auto"/>
              <w:right w:val="single" w:sz="4" w:space="0" w:color="auto"/>
            </w:tcBorders>
            <w:shd w:val="clear" w:color="auto" w:fill="auto"/>
            <w:noWrap/>
            <w:vAlign w:val="center"/>
            <w:hideMark/>
          </w:tcPr>
          <w:p w14:paraId="04AD87F4"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0.51</w:t>
            </w:r>
          </w:p>
        </w:tc>
        <w:tc>
          <w:tcPr>
            <w:tcW w:w="1036" w:type="dxa"/>
            <w:tcBorders>
              <w:top w:val="nil"/>
              <w:left w:val="nil"/>
              <w:bottom w:val="single" w:sz="4" w:space="0" w:color="auto"/>
              <w:right w:val="single" w:sz="4" w:space="0" w:color="auto"/>
            </w:tcBorders>
            <w:shd w:val="clear" w:color="auto" w:fill="auto"/>
            <w:noWrap/>
            <w:vAlign w:val="center"/>
            <w:hideMark/>
          </w:tcPr>
          <w:p w14:paraId="10454468"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0.28</w:t>
            </w:r>
          </w:p>
        </w:tc>
        <w:tc>
          <w:tcPr>
            <w:tcW w:w="1597" w:type="dxa"/>
            <w:tcBorders>
              <w:top w:val="nil"/>
              <w:left w:val="nil"/>
              <w:bottom w:val="single" w:sz="4" w:space="0" w:color="auto"/>
              <w:right w:val="single" w:sz="4" w:space="0" w:color="auto"/>
            </w:tcBorders>
            <w:shd w:val="clear" w:color="auto" w:fill="auto"/>
            <w:noWrap/>
            <w:vAlign w:val="center"/>
            <w:hideMark/>
          </w:tcPr>
          <w:p w14:paraId="4C5DF610" w14:textId="77777777" w:rsidR="00B445D2" w:rsidRPr="00B445D2" w:rsidRDefault="00B445D2" w:rsidP="00B445D2">
            <w:pPr>
              <w:spacing w:after="0" w:line="240" w:lineRule="auto"/>
              <w:jc w:val="center"/>
              <w:rPr>
                <w:rFonts w:ascii="Calibri" w:eastAsia="Times New Roman" w:hAnsi="Calibri" w:cs="Times New Roman"/>
                <w:color w:val="000000"/>
                <w:lang w:eastAsia="en-GB"/>
              </w:rPr>
            </w:pPr>
            <w:r w:rsidRPr="00B445D2">
              <w:rPr>
                <w:rFonts w:ascii="Calibri" w:eastAsia="Times New Roman" w:hAnsi="Calibri" w:cs="Times New Roman"/>
                <w:color w:val="000000"/>
                <w:lang w:eastAsia="en-GB"/>
              </w:rPr>
              <w:t>0.75</w:t>
            </w:r>
          </w:p>
        </w:tc>
      </w:tr>
    </w:tbl>
    <w:p w14:paraId="2CD0FBCA" w14:textId="05EAFC7A" w:rsidR="004B3B0A" w:rsidRDefault="00B445D2" w:rsidP="00A44217">
      <w:pPr>
        <w:rPr>
          <w:rFonts w:ascii="Times New Roman" w:hAnsi="Times New Roman" w:cs="Times New Roman"/>
          <w:sz w:val="24"/>
          <w:szCs w:val="24"/>
        </w:rPr>
      </w:pPr>
      <w:r>
        <w:rPr>
          <w:rFonts w:ascii="Times New Roman" w:hAnsi="Times New Roman" w:cs="Times New Roman"/>
          <w:sz w:val="24"/>
          <w:szCs w:val="24"/>
        </w:rPr>
        <w:t xml:space="preserve">  </w:t>
      </w:r>
    </w:p>
    <w:p w14:paraId="16368F93" w14:textId="69494E05" w:rsidR="009F069B" w:rsidRDefault="00F63BE5" w:rsidP="00A44217">
      <w:pPr>
        <w:rPr>
          <w:rFonts w:ascii="Times New Roman" w:hAnsi="Times New Roman" w:cs="Times New Roman"/>
          <w:sz w:val="24"/>
          <w:szCs w:val="24"/>
        </w:rPr>
      </w:pPr>
      <w:r>
        <w:rPr>
          <w:rFonts w:ascii="Times New Roman" w:hAnsi="Times New Roman" w:cs="Times New Roman"/>
          <w:sz w:val="24"/>
          <w:szCs w:val="24"/>
        </w:rPr>
        <w:t>JD sports is highly exposed to risks because it has such low quick ratio t</w:t>
      </w:r>
      <w:r w:rsidRPr="00F63BE5">
        <w:rPr>
          <w:rFonts w:ascii="Times New Roman" w:hAnsi="Times New Roman" w:cs="Times New Roman"/>
          <w:sz w:val="24"/>
          <w:szCs w:val="24"/>
        </w:rPr>
        <w:t>he ideal position is: 2:1 for current ratio and 1:1 for quick ratio</w:t>
      </w:r>
      <w:r>
        <w:rPr>
          <w:rFonts w:ascii="Times New Roman" w:hAnsi="Times New Roman" w:cs="Times New Roman"/>
          <w:sz w:val="24"/>
          <w:szCs w:val="24"/>
        </w:rPr>
        <w:t xml:space="preserve"> where from the data above can be seen the fact that JD Sport’s current and quick ratios are inferior, being highly </w:t>
      </w:r>
      <w:r w:rsidR="008352A1">
        <w:rPr>
          <w:rFonts w:ascii="Times New Roman" w:hAnsi="Times New Roman" w:cs="Times New Roman"/>
          <w:sz w:val="24"/>
          <w:szCs w:val="24"/>
        </w:rPr>
        <w:t>vulnerable</w:t>
      </w:r>
      <w:r>
        <w:rPr>
          <w:rFonts w:ascii="Times New Roman" w:hAnsi="Times New Roman" w:cs="Times New Roman"/>
          <w:sz w:val="24"/>
          <w:szCs w:val="24"/>
        </w:rPr>
        <w:t xml:space="preserve"> to risks while</w:t>
      </w:r>
      <w:r w:rsidR="00B26784">
        <w:rPr>
          <w:rFonts w:ascii="Times New Roman" w:hAnsi="Times New Roman" w:cs="Times New Roman"/>
          <w:sz w:val="24"/>
          <w:szCs w:val="24"/>
        </w:rPr>
        <w:t xml:space="preserve"> Sports Direct stands on a strong position both for the current ratio and the quick ratio</w:t>
      </w:r>
      <w:r w:rsidR="008D55D0">
        <w:rPr>
          <w:rFonts w:ascii="Times New Roman" w:hAnsi="Times New Roman" w:cs="Times New Roman"/>
          <w:sz w:val="24"/>
          <w:szCs w:val="24"/>
        </w:rPr>
        <w:t>, but this may also mean that Sports Direct is not using it’s current assets efficiently which can make it less attractive for the investors.</w:t>
      </w:r>
    </w:p>
    <w:p w14:paraId="498BA405" w14:textId="71E16BEA" w:rsidR="00520E84" w:rsidRDefault="00AB65A5" w:rsidP="00A44217">
      <w:pPr>
        <w:rPr>
          <w:rFonts w:ascii="Times New Roman" w:hAnsi="Times New Roman" w:cs="Times New Roman"/>
          <w:sz w:val="24"/>
          <w:szCs w:val="24"/>
        </w:rPr>
      </w:pPr>
      <w:r>
        <w:rPr>
          <w:rFonts w:ascii="Times New Roman" w:hAnsi="Times New Roman" w:cs="Times New Roman"/>
          <w:sz w:val="24"/>
          <w:szCs w:val="24"/>
        </w:rPr>
        <w:t>A company’s most liquid assets are its cash assets which are compared with current liabilities to estimate how much cash the company owns in order to be able to make immediate transactions that’s why the cash ratio is important</w:t>
      </w:r>
      <w:r w:rsidR="008D55D0">
        <w:rPr>
          <w:rFonts w:ascii="Times New Roman" w:hAnsi="Times New Roman" w:cs="Times New Roman"/>
          <w:sz w:val="24"/>
          <w:szCs w:val="24"/>
        </w:rPr>
        <w:t>.</w:t>
      </w:r>
    </w:p>
    <w:p w14:paraId="3C454702" w14:textId="270BF5C6" w:rsidR="00CF0C2E" w:rsidRDefault="008D55D0" w:rsidP="00A44217">
      <w:pPr>
        <w:rPr>
          <w:rFonts w:ascii="Times New Roman" w:hAnsi="Times New Roman" w:cs="Times New Roman"/>
          <w:sz w:val="24"/>
          <w:szCs w:val="24"/>
        </w:rPr>
      </w:pPr>
      <w:r>
        <w:rPr>
          <w:rFonts w:ascii="Times New Roman" w:hAnsi="Times New Roman" w:cs="Times New Roman"/>
          <w:sz w:val="24"/>
          <w:szCs w:val="24"/>
        </w:rPr>
        <w:t xml:space="preserve"> JD Sports low liquidity ratios can be </w:t>
      </w:r>
      <w:r w:rsidR="00CF0C2E">
        <w:rPr>
          <w:rFonts w:ascii="Times New Roman" w:hAnsi="Times New Roman" w:cs="Times New Roman"/>
          <w:sz w:val="24"/>
          <w:szCs w:val="24"/>
        </w:rPr>
        <w:t>explained</w:t>
      </w:r>
      <w:r>
        <w:rPr>
          <w:rFonts w:ascii="Times New Roman" w:hAnsi="Times New Roman" w:cs="Times New Roman"/>
          <w:sz w:val="24"/>
          <w:szCs w:val="24"/>
        </w:rPr>
        <w:t xml:space="preserve"> takin</w:t>
      </w:r>
      <w:r w:rsidR="00CF0C2E">
        <w:rPr>
          <w:rFonts w:ascii="Times New Roman" w:hAnsi="Times New Roman" w:cs="Times New Roman"/>
          <w:sz w:val="24"/>
          <w:szCs w:val="24"/>
        </w:rPr>
        <w:t>g</w:t>
      </w:r>
      <w:r>
        <w:rPr>
          <w:rFonts w:ascii="Times New Roman" w:hAnsi="Times New Roman" w:cs="Times New Roman"/>
          <w:sz w:val="24"/>
          <w:szCs w:val="24"/>
        </w:rPr>
        <w:t xml:space="preserve"> in consideration it’s aggressive expansion policy and the expansionist moves it made in the recent years that required substantial </w:t>
      </w:r>
      <w:r w:rsidR="00CF0C2E">
        <w:rPr>
          <w:rFonts w:ascii="Times New Roman" w:hAnsi="Times New Roman" w:cs="Times New Roman"/>
          <w:sz w:val="24"/>
          <w:szCs w:val="24"/>
        </w:rPr>
        <w:t>investment and the company used part of its liquidity in that direction.</w:t>
      </w:r>
    </w:p>
    <w:p w14:paraId="34C52C45" w14:textId="77777777" w:rsidR="00520E84" w:rsidRDefault="00520E84" w:rsidP="00A44217">
      <w:pPr>
        <w:rPr>
          <w:rFonts w:ascii="Times New Roman" w:hAnsi="Times New Roman" w:cs="Times New Roman"/>
          <w:sz w:val="24"/>
          <w:szCs w:val="24"/>
        </w:rPr>
      </w:pPr>
      <w:r>
        <w:rPr>
          <w:rFonts w:ascii="Times New Roman" w:hAnsi="Times New Roman" w:cs="Times New Roman"/>
          <w:sz w:val="24"/>
          <w:szCs w:val="24"/>
        </w:rPr>
        <w:t xml:space="preserve"> In order to explain a company performance, it must be taken in consideration the efficiency ratios and in this paper will be analysed asset turnover and fixed asset turnover.</w:t>
      </w:r>
    </w:p>
    <w:p w14:paraId="5670B417" w14:textId="77777777" w:rsidR="00520E84" w:rsidRDefault="00520E84" w:rsidP="00A44217">
      <w:pPr>
        <w:rPr>
          <w:rFonts w:ascii="Times New Roman" w:hAnsi="Times New Roman" w:cs="Times New Roman"/>
          <w:sz w:val="24"/>
          <w:szCs w:val="24"/>
        </w:rPr>
      </w:pPr>
      <w:r>
        <w:rPr>
          <w:rFonts w:ascii="Times New Roman" w:hAnsi="Times New Roman" w:cs="Times New Roman"/>
          <w:sz w:val="24"/>
          <w:szCs w:val="24"/>
        </w:rPr>
        <w:t xml:space="preserve"> </w:t>
      </w:r>
    </w:p>
    <w:tbl>
      <w:tblPr>
        <w:tblW w:w="8998" w:type="dxa"/>
        <w:tblInd w:w="113" w:type="dxa"/>
        <w:tblLook w:val="04A0" w:firstRow="1" w:lastRow="0" w:firstColumn="1" w:lastColumn="0" w:noHBand="0" w:noVBand="1"/>
      </w:tblPr>
      <w:tblGrid>
        <w:gridCol w:w="2317"/>
        <w:gridCol w:w="1030"/>
        <w:gridCol w:w="1030"/>
        <w:gridCol w:w="1030"/>
        <w:gridCol w:w="1030"/>
        <w:gridCol w:w="1030"/>
        <w:gridCol w:w="1531"/>
      </w:tblGrid>
      <w:tr w:rsidR="00520E84" w:rsidRPr="00520E84" w14:paraId="4B2368B8" w14:textId="77777777" w:rsidTr="00520E84">
        <w:trPr>
          <w:trHeight w:val="735"/>
        </w:trPr>
        <w:tc>
          <w:tcPr>
            <w:tcW w:w="231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B9AC60"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lastRenderedPageBreak/>
              <w:t>JD Sports Plc</w:t>
            </w:r>
          </w:p>
        </w:tc>
        <w:tc>
          <w:tcPr>
            <w:tcW w:w="1030" w:type="dxa"/>
            <w:tcBorders>
              <w:top w:val="single" w:sz="4" w:space="0" w:color="auto"/>
              <w:left w:val="nil"/>
              <w:bottom w:val="single" w:sz="4" w:space="0" w:color="auto"/>
              <w:right w:val="single" w:sz="4" w:space="0" w:color="auto"/>
            </w:tcBorders>
            <w:shd w:val="clear" w:color="auto" w:fill="auto"/>
            <w:vAlign w:val="center"/>
            <w:hideMark/>
          </w:tcPr>
          <w:p w14:paraId="3A16A66F"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2015</w:t>
            </w:r>
          </w:p>
        </w:tc>
        <w:tc>
          <w:tcPr>
            <w:tcW w:w="1030" w:type="dxa"/>
            <w:tcBorders>
              <w:top w:val="single" w:sz="4" w:space="0" w:color="auto"/>
              <w:left w:val="nil"/>
              <w:bottom w:val="single" w:sz="4" w:space="0" w:color="auto"/>
              <w:right w:val="single" w:sz="4" w:space="0" w:color="auto"/>
            </w:tcBorders>
            <w:shd w:val="clear" w:color="auto" w:fill="auto"/>
            <w:vAlign w:val="center"/>
            <w:hideMark/>
          </w:tcPr>
          <w:p w14:paraId="11FBB5B6"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2016</w:t>
            </w:r>
          </w:p>
        </w:tc>
        <w:tc>
          <w:tcPr>
            <w:tcW w:w="1030" w:type="dxa"/>
            <w:tcBorders>
              <w:top w:val="single" w:sz="4" w:space="0" w:color="auto"/>
              <w:left w:val="nil"/>
              <w:bottom w:val="single" w:sz="4" w:space="0" w:color="auto"/>
              <w:right w:val="single" w:sz="4" w:space="0" w:color="auto"/>
            </w:tcBorders>
            <w:shd w:val="clear" w:color="auto" w:fill="auto"/>
            <w:vAlign w:val="center"/>
            <w:hideMark/>
          </w:tcPr>
          <w:p w14:paraId="0076C23D"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2017</w:t>
            </w:r>
          </w:p>
        </w:tc>
        <w:tc>
          <w:tcPr>
            <w:tcW w:w="1030" w:type="dxa"/>
            <w:tcBorders>
              <w:top w:val="single" w:sz="4" w:space="0" w:color="auto"/>
              <w:left w:val="nil"/>
              <w:bottom w:val="single" w:sz="4" w:space="0" w:color="auto"/>
              <w:right w:val="single" w:sz="4" w:space="0" w:color="auto"/>
            </w:tcBorders>
            <w:shd w:val="clear" w:color="auto" w:fill="auto"/>
            <w:vAlign w:val="center"/>
            <w:hideMark/>
          </w:tcPr>
          <w:p w14:paraId="67065DB3"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2018</w:t>
            </w:r>
          </w:p>
        </w:tc>
        <w:tc>
          <w:tcPr>
            <w:tcW w:w="1030" w:type="dxa"/>
            <w:tcBorders>
              <w:top w:val="single" w:sz="4" w:space="0" w:color="auto"/>
              <w:left w:val="nil"/>
              <w:bottom w:val="single" w:sz="4" w:space="0" w:color="auto"/>
              <w:right w:val="single" w:sz="4" w:space="0" w:color="auto"/>
            </w:tcBorders>
            <w:shd w:val="clear" w:color="auto" w:fill="auto"/>
            <w:vAlign w:val="center"/>
            <w:hideMark/>
          </w:tcPr>
          <w:p w14:paraId="7A457710"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2019</w:t>
            </w:r>
          </w:p>
        </w:tc>
        <w:tc>
          <w:tcPr>
            <w:tcW w:w="1531" w:type="dxa"/>
            <w:tcBorders>
              <w:top w:val="single" w:sz="4" w:space="0" w:color="auto"/>
              <w:left w:val="nil"/>
              <w:bottom w:val="single" w:sz="4" w:space="0" w:color="auto"/>
              <w:right w:val="single" w:sz="4" w:space="0" w:color="auto"/>
            </w:tcBorders>
            <w:shd w:val="clear" w:color="auto" w:fill="auto"/>
            <w:vAlign w:val="center"/>
            <w:hideMark/>
          </w:tcPr>
          <w:p w14:paraId="55F5A0B7" w14:textId="77777777" w:rsidR="00520E84" w:rsidRPr="00520E84" w:rsidRDefault="00520E84" w:rsidP="00520E84">
            <w:pPr>
              <w:spacing w:after="0" w:line="240" w:lineRule="auto"/>
              <w:jc w:val="center"/>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Sports Direct Plc 2019</w:t>
            </w:r>
          </w:p>
        </w:tc>
      </w:tr>
      <w:tr w:rsidR="00520E84" w:rsidRPr="00520E84" w14:paraId="19C20787" w14:textId="77777777" w:rsidTr="00520E84">
        <w:trPr>
          <w:trHeight w:val="367"/>
        </w:trPr>
        <w:tc>
          <w:tcPr>
            <w:tcW w:w="2317" w:type="dxa"/>
            <w:tcBorders>
              <w:top w:val="nil"/>
              <w:left w:val="single" w:sz="4" w:space="0" w:color="auto"/>
              <w:bottom w:val="single" w:sz="4" w:space="0" w:color="auto"/>
              <w:right w:val="single" w:sz="4" w:space="0" w:color="auto"/>
            </w:tcBorders>
            <w:shd w:val="clear" w:color="auto" w:fill="auto"/>
            <w:noWrap/>
            <w:vAlign w:val="center"/>
            <w:hideMark/>
          </w:tcPr>
          <w:p w14:paraId="28752553" w14:textId="77777777" w:rsidR="00520E84" w:rsidRPr="00520E84" w:rsidRDefault="00520E84" w:rsidP="00520E84">
            <w:pPr>
              <w:spacing w:after="0" w:line="240" w:lineRule="auto"/>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Sales (£m)</w:t>
            </w:r>
          </w:p>
        </w:tc>
        <w:tc>
          <w:tcPr>
            <w:tcW w:w="1030" w:type="dxa"/>
            <w:tcBorders>
              <w:top w:val="nil"/>
              <w:left w:val="nil"/>
              <w:bottom w:val="single" w:sz="4" w:space="0" w:color="auto"/>
              <w:right w:val="single" w:sz="4" w:space="0" w:color="auto"/>
            </w:tcBorders>
            <w:shd w:val="clear" w:color="auto" w:fill="auto"/>
            <w:noWrap/>
            <w:vAlign w:val="center"/>
            <w:hideMark/>
          </w:tcPr>
          <w:p w14:paraId="3125A9C2"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1,552.30</w:t>
            </w:r>
          </w:p>
        </w:tc>
        <w:tc>
          <w:tcPr>
            <w:tcW w:w="1030" w:type="dxa"/>
            <w:tcBorders>
              <w:top w:val="nil"/>
              <w:left w:val="nil"/>
              <w:bottom w:val="single" w:sz="4" w:space="0" w:color="auto"/>
              <w:right w:val="single" w:sz="4" w:space="0" w:color="auto"/>
            </w:tcBorders>
            <w:shd w:val="clear" w:color="auto" w:fill="auto"/>
            <w:noWrap/>
            <w:vAlign w:val="center"/>
            <w:hideMark/>
          </w:tcPr>
          <w:p w14:paraId="0CEE51B2"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1,821.70</w:t>
            </w:r>
          </w:p>
        </w:tc>
        <w:tc>
          <w:tcPr>
            <w:tcW w:w="1030" w:type="dxa"/>
            <w:tcBorders>
              <w:top w:val="nil"/>
              <w:left w:val="nil"/>
              <w:bottom w:val="single" w:sz="4" w:space="0" w:color="auto"/>
              <w:right w:val="single" w:sz="4" w:space="0" w:color="auto"/>
            </w:tcBorders>
            <w:shd w:val="clear" w:color="auto" w:fill="auto"/>
            <w:noWrap/>
            <w:vAlign w:val="center"/>
            <w:hideMark/>
          </w:tcPr>
          <w:p w14:paraId="2DC0C174"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2,378.70</w:t>
            </w:r>
          </w:p>
        </w:tc>
        <w:tc>
          <w:tcPr>
            <w:tcW w:w="1030" w:type="dxa"/>
            <w:tcBorders>
              <w:top w:val="nil"/>
              <w:left w:val="nil"/>
              <w:bottom w:val="single" w:sz="4" w:space="0" w:color="auto"/>
              <w:right w:val="single" w:sz="4" w:space="0" w:color="auto"/>
            </w:tcBorders>
            <w:shd w:val="clear" w:color="auto" w:fill="auto"/>
            <w:noWrap/>
            <w:vAlign w:val="center"/>
            <w:hideMark/>
          </w:tcPr>
          <w:p w14:paraId="56CA43EC"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3,161.40</w:t>
            </w:r>
          </w:p>
        </w:tc>
        <w:tc>
          <w:tcPr>
            <w:tcW w:w="1030" w:type="dxa"/>
            <w:tcBorders>
              <w:top w:val="nil"/>
              <w:left w:val="nil"/>
              <w:bottom w:val="single" w:sz="4" w:space="0" w:color="auto"/>
              <w:right w:val="single" w:sz="4" w:space="0" w:color="auto"/>
            </w:tcBorders>
            <w:shd w:val="clear" w:color="auto" w:fill="auto"/>
            <w:noWrap/>
            <w:vAlign w:val="center"/>
            <w:hideMark/>
          </w:tcPr>
          <w:p w14:paraId="289CAB33"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4,717.80</w:t>
            </w:r>
          </w:p>
        </w:tc>
        <w:tc>
          <w:tcPr>
            <w:tcW w:w="1531" w:type="dxa"/>
            <w:tcBorders>
              <w:top w:val="nil"/>
              <w:left w:val="nil"/>
              <w:bottom w:val="single" w:sz="4" w:space="0" w:color="auto"/>
              <w:right w:val="single" w:sz="4" w:space="0" w:color="auto"/>
            </w:tcBorders>
            <w:shd w:val="clear" w:color="auto" w:fill="auto"/>
            <w:noWrap/>
            <w:vAlign w:val="center"/>
            <w:hideMark/>
          </w:tcPr>
          <w:p w14:paraId="1D607DAD"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3,701.90</w:t>
            </w:r>
          </w:p>
        </w:tc>
      </w:tr>
      <w:tr w:rsidR="00520E84" w:rsidRPr="00520E84" w14:paraId="5B161E79" w14:textId="77777777" w:rsidTr="00520E84">
        <w:trPr>
          <w:trHeight w:val="367"/>
        </w:trPr>
        <w:tc>
          <w:tcPr>
            <w:tcW w:w="2317" w:type="dxa"/>
            <w:tcBorders>
              <w:top w:val="nil"/>
              <w:left w:val="single" w:sz="4" w:space="0" w:color="auto"/>
              <w:bottom w:val="single" w:sz="4" w:space="0" w:color="auto"/>
              <w:right w:val="single" w:sz="4" w:space="0" w:color="auto"/>
            </w:tcBorders>
            <w:shd w:val="clear" w:color="auto" w:fill="auto"/>
            <w:noWrap/>
            <w:vAlign w:val="center"/>
            <w:hideMark/>
          </w:tcPr>
          <w:p w14:paraId="43A789EE" w14:textId="77777777" w:rsidR="00520E84" w:rsidRPr="00520E84" w:rsidRDefault="00520E84" w:rsidP="00520E84">
            <w:pPr>
              <w:spacing w:after="0" w:line="240" w:lineRule="auto"/>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Total Asset (£m)</w:t>
            </w:r>
          </w:p>
        </w:tc>
        <w:tc>
          <w:tcPr>
            <w:tcW w:w="1030" w:type="dxa"/>
            <w:tcBorders>
              <w:top w:val="nil"/>
              <w:left w:val="nil"/>
              <w:bottom w:val="single" w:sz="4" w:space="0" w:color="auto"/>
              <w:right w:val="single" w:sz="4" w:space="0" w:color="auto"/>
            </w:tcBorders>
            <w:shd w:val="clear" w:color="auto" w:fill="auto"/>
            <w:noWrap/>
            <w:vAlign w:val="center"/>
            <w:hideMark/>
          </w:tcPr>
          <w:p w14:paraId="0D6338AB"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683.00</w:t>
            </w:r>
          </w:p>
        </w:tc>
        <w:tc>
          <w:tcPr>
            <w:tcW w:w="1030" w:type="dxa"/>
            <w:tcBorders>
              <w:top w:val="nil"/>
              <w:left w:val="nil"/>
              <w:bottom w:val="single" w:sz="4" w:space="0" w:color="auto"/>
              <w:right w:val="single" w:sz="4" w:space="0" w:color="auto"/>
            </w:tcBorders>
            <w:shd w:val="clear" w:color="auto" w:fill="auto"/>
            <w:noWrap/>
            <w:vAlign w:val="center"/>
            <w:hideMark/>
          </w:tcPr>
          <w:p w14:paraId="3281BD5B"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791.30</w:t>
            </w:r>
          </w:p>
        </w:tc>
        <w:tc>
          <w:tcPr>
            <w:tcW w:w="1030" w:type="dxa"/>
            <w:tcBorders>
              <w:top w:val="nil"/>
              <w:left w:val="nil"/>
              <w:bottom w:val="single" w:sz="4" w:space="0" w:color="auto"/>
              <w:right w:val="single" w:sz="4" w:space="0" w:color="auto"/>
            </w:tcBorders>
            <w:shd w:val="clear" w:color="auto" w:fill="auto"/>
            <w:noWrap/>
            <w:vAlign w:val="center"/>
            <w:hideMark/>
          </w:tcPr>
          <w:p w14:paraId="364A1F9B"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1,178.94</w:t>
            </w:r>
          </w:p>
        </w:tc>
        <w:tc>
          <w:tcPr>
            <w:tcW w:w="1030" w:type="dxa"/>
            <w:tcBorders>
              <w:top w:val="nil"/>
              <w:left w:val="nil"/>
              <w:bottom w:val="single" w:sz="4" w:space="0" w:color="auto"/>
              <w:right w:val="single" w:sz="4" w:space="0" w:color="auto"/>
            </w:tcBorders>
            <w:shd w:val="clear" w:color="auto" w:fill="auto"/>
            <w:noWrap/>
            <w:vAlign w:val="center"/>
            <w:hideMark/>
          </w:tcPr>
          <w:p w14:paraId="54AB4517"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1,626.20</w:t>
            </w:r>
          </w:p>
        </w:tc>
        <w:tc>
          <w:tcPr>
            <w:tcW w:w="1030" w:type="dxa"/>
            <w:tcBorders>
              <w:top w:val="nil"/>
              <w:left w:val="nil"/>
              <w:bottom w:val="single" w:sz="4" w:space="0" w:color="auto"/>
              <w:right w:val="single" w:sz="4" w:space="0" w:color="auto"/>
            </w:tcBorders>
            <w:shd w:val="clear" w:color="auto" w:fill="auto"/>
            <w:noWrap/>
            <w:vAlign w:val="center"/>
            <w:hideMark/>
          </w:tcPr>
          <w:p w14:paraId="49865DA5"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2,205.50</w:t>
            </w:r>
          </w:p>
        </w:tc>
        <w:tc>
          <w:tcPr>
            <w:tcW w:w="1531" w:type="dxa"/>
            <w:tcBorders>
              <w:top w:val="nil"/>
              <w:left w:val="nil"/>
              <w:bottom w:val="single" w:sz="4" w:space="0" w:color="auto"/>
              <w:right w:val="single" w:sz="4" w:space="0" w:color="auto"/>
            </w:tcBorders>
            <w:shd w:val="clear" w:color="auto" w:fill="auto"/>
            <w:noWrap/>
            <w:vAlign w:val="center"/>
            <w:hideMark/>
          </w:tcPr>
          <w:p w14:paraId="42C3580F"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3,148.80</w:t>
            </w:r>
          </w:p>
        </w:tc>
      </w:tr>
      <w:tr w:rsidR="00520E84" w:rsidRPr="00520E84" w14:paraId="56805349" w14:textId="77777777" w:rsidTr="00520E84">
        <w:trPr>
          <w:trHeight w:val="367"/>
        </w:trPr>
        <w:tc>
          <w:tcPr>
            <w:tcW w:w="2317" w:type="dxa"/>
            <w:tcBorders>
              <w:top w:val="nil"/>
              <w:left w:val="single" w:sz="4" w:space="0" w:color="auto"/>
              <w:bottom w:val="single" w:sz="4" w:space="0" w:color="auto"/>
              <w:right w:val="single" w:sz="4" w:space="0" w:color="auto"/>
            </w:tcBorders>
            <w:shd w:val="clear" w:color="auto" w:fill="auto"/>
            <w:noWrap/>
            <w:vAlign w:val="center"/>
            <w:hideMark/>
          </w:tcPr>
          <w:p w14:paraId="7A9BFECA" w14:textId="77777777" w:rsidR="00520E84" w:rsidRPr="00520E84" w:rsidRDefault="00520E84" w:rsidP="00520E84">
            <w:pPr>
              <w:spacing w:after="0" w:line="240" w:lineRule="auto"/>
              <w:rPr>
                <w:rFonts w:ascii="Calibri" w:eastAsia="Times New Roman" w:hAnsi="Calibri" w:cs="Times New Roman"/>
                <w:b/>
                <w:bCs/>
                <w:color w:val="000000"/>
                <w:lang w:eastAsia="en-GB"/>
              </w:rPr>
            </w:pPr>
            <w:r w:rsidRPr="00520E84">
              <w:rPr>
                <w:rFonts w:ascii="Calibri" w:eastAsia="Times New Roman" w:hAnsi="Calibri" w:cs="Times New Roman"/>
                <w:b/>
                <w:bCs/>
                <w:color w:val="000000"/>
                <w:lang w:eastAsia="en-GB"/>
              </w:rPr>
              <w:t>Fixed Asset (£m)</w:t>
            </w:r>
          </w:p>
        </w:tc>
        <w:tc>
          <w:tcPr>
            <w:tcW w:w="1030" w:type="dxa"/>
            <w:tcBorders>
              <w:top w:val="nil"/>
              <w:left w:val="nil"/>
              <w:bottom w:val="single" w:sz="4" w:space="0" w:color="auto"/>
              <w:right w:val="single" w:sz="4" w:space="0" w:color="auto"/>
            </w:tcBorders>
            <w:shd w:val="clear" w:color="auto" w:fill="auto"/>
            <w:noWrap/>
            <w:vAlign w:val="center"/>
            <w:hideMark/>
          </w:tcPr>
          <w:p w14:paraId="4D8A8EBB"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147.93</w:t>
            </w:r>
          </w:p>
        </w:tc>
        <w:tc>
          <w:tcPr>
            <w:tcW w:w="1030" w:type="dxa"/>
            <w:tcBorders>
              <w:top w:val="nil"/>
              <w:left w:val="nil"/>
              <w:bottom w:val="single" w:sz="4" w:space="0" w:color="auto"/>
              <w:right w:val="single" w:sz="4" w:space="0" w:color="auto"/>
            </w:tcBorders>
            <w:shd w:val="clear" w:color="auto" w:fill="auto"/>
            <w:noWrap/>
            <w:vAlign w:val="center"/>
            <w:hideMark/>
          </w:tcPr>
          <w:p w14:paraId="579285CE"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173.32</w:t>
            </w:r>
          </w:p>
        </w:tc>
        <w:tc>
          <w:tcPr>
            <w:tcW w:w="1030" w:type="dxa"/>
            <w:tcBorders>
              <w:top w:val="nil"/>
              <w:left w:val="nil"/>
              <w:bottom w:val="single" w:sz="4" w:space="0" w:color="auto"/>
              <w:right w:val="single" w:sz="4" w:space="0" w:color="auto"/>
            </w:tcBorders>
            <w:shd w:val="clear" w:color="auto" w:fill="auto"/>
            <w:noWrap/>
            <w:vAlign w:val="center"/>
            <w:hideMark/>
          </w:tcPr>
          <w:p w14:paraId="2B2422ED"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235.76</w:t>
            </w:r>
          </w:p>
        </w:tc>
        <w:tc>
          <w:tcPr>
            <w:tcW w:w="1030" w:type="dxa"/>
            <w:tcBorders>
              <w:top w:val="nil"/>
              <w:left w:val="nil"/>
              <w:bottom w:val="single" w:sz="4" w:space="0" w:color="auto"/>
              <w:right w:val="single" w:sz="4" w:space="0" w:color="auto"/>
            </w:tcBorders>
            <w:shd w:val="clear" w:color="auto" w:fill="auto"/>
            <w:noWrap/>
            <w:vAlign w:val="center"/>
            <w:hideMark/>
          </w:tcPr>
          <w:p w14:paraId="245CB7F0"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376.90</w:t>
            </w:r>
          </w:p>
        </w:tc>
        <w:tc>
          <w:tcPr>
            <w:tcW w:w="1030" w:type="dxa"/>
            <w:tcBorders>
              <w:top w:val="nil"/>
              <w:left w:val="nil"/>
              <w:bottom w:val="single" w:sz="4" w:space="0" w:color="auto"/>
              <w:right w:val="single" w:sz="4" w:space="0" w:color="auto"/>
            </w:tcBorders>
            <w:shd w:val="clear" w:color="auto" w:fill="auto"/>
            <w:noWrap/>
            <w:vAlign w:val="center"/>
            <w:hideMark/>
          </w:tcPr>
          <w:p w14:paraId="140943DD"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539.80</w:t>
            </w:r>
          </w:p>
        </w:tc>
        <w:tc>
          <w:tcPr>
            <w:tcW w:w="1531" w:type="dxa"/>
            <w:tcBorders>
              <w:top w:val="nil"/>
              <w:left w:val="nil"/>
              <w:bottom w:val="single" w:sz="4" w:space="0" w:color="auto"/>
              <w:right w:val="single" w:sz="4" w:space="0" w:color="auto"/>
            </w:tcBorders>
            <w:shd w:val="clear" w:color="auto" w:fill="auto"/>
            <w:noWrap/>
            <w:vAlign w:val="center"/>
            <w:hideMark/>
          </w:tcPr>
          <w:p w14:paraId="427D2850" w14:textId="77777777" w:rsidR="00520E84" w:rsidRPr="00520E84" w:rsidRDefault="00520E84" w:rsidP="00520E84">
            <w:pPr>
              <w:spacing w:after="0" w:line="240" w:lineRule="auto"/>
              <w:jc w:val="center"/>
              <w:rPr>
                <w:rFonts w:ascii="Calibri" w:eastAsia="Times New Roman" w:hAnsi="Calibri" w:cs="Times New Roman"/>
                <w:color w:val="000000"/>
                <w:lang w:eastAsia="en-GB"/>
              </w:rPr>
            </w:pPr>
            <w:r w:rsidRPr="00520E84">
              <w:rPr>
                <w:rFonts w:ascii="Calibri" w:eastAsia="Times New Roman" w:hAnsi="Calibri" w:cs="Times New Roman"/>
                <w:color w:val="000000"/>
                <w:lang w:eastAsia="en-GB"/>
              </w:rPr>
              <w:t>823.20</w:t>
            </w:r>
          </w:p>
        </w:tc>
      </w:tr>
    </w:tbl>
    <w:p w14:paraId="31EFEF13" w14:textId="13B9B566" w:rsidR="00AB65A5" w:rsidRDefault="00563366" w:rsidP="00A44217">
      <w:pPr>
        <w:rPr>
          <w:rFonts w:ascii="Times New Roman" w:hAnsi="Times New Roman" w:cs="Times New Roman"/>
          <w:sz w:val="24"/>
          <w:szCs w:val="24"/>
        </w:rPr>
      </w:pPr>
      <w:r>
        <w:rPr>
          <w:rFonts w:ascii="Times New Roman" w:hAnsi="Times New Roman" w:cs="Times New Roman"/>
          <w:sz w:val="24"/>
          <w:szCs w:val="24"/>
        </w:rPr>
        <w:t xml:space="preserve">     </w:t>
      </w:r>
      <w:r w:rsidR="00AB65A5">
        <w:rPr>
          <w:rFonts w:ascii="Times New Roman" w:hAnsi="Times New Roman" w:cs="Times New Roman"/>
          <w:sz w:val="24"/>
          <w:szCs w:val="24"/>
        </w:rPr>
        <w:t xml:space="preserve">   </w:t>
      </w:r>
    </w:p>
    <w:p w14:paraId="1181269C" w14:textId="0EAF6333" w:rsidR="00322EE7" w:rsidRDefault="00520E84" w:rsidP="00A44217">
      <w:pPr>
        <w:rPr>
          <w:rFonts w:ascii="Times New Roman" w:hAnsi="Times New Roman" w:cs="Times New Roman"/>
          <w:sz w:val="24"/>
          <w:szCs w:val="24"/>
        </w:rPr>
      </w:pPr>
      <w:r>
        <w:rPr>
          <w:rFonts w:ascii="Times New Roman" w:hAnsi="Times New Roman" w:cs="Times New Roman"/>
          <w:sz w:val="24"/>
          <w:szCs w:val="24"/>
        </w:rPr>
        <w:t xml:space="preserve"> The total asset turnover is calculated in order to explain the company’s performance by taking in </w:t>
      </w:r>
      <w:r w:rsidR="000167EC">
        <w:rPr>
          <w:rFonts w:ascii="Times New Roman" w:hAnsi="Times New Roman" w:cs="Times New Roman"/>
          <w:sz w:val="24"/>
          <w:szCs w:val="24"/>
        </w:rPr>
        <w:t>consideration the total assets and the sales amount, in order to find out the profitability of the company and the fixed asset turnover is necessary because not all assets are directly related to generating sales.</w:t>
      </w:r>
    </w:p>
    <w:p w14:paraId="1B7EB831" w14:textId="77777777" w:rsidR="000167EC" w:rsidRDefault="000167EC" w:rsidP="00A44217">
      <w:pPr>
        <w:rPr>
          <w:rFonts w:ascii="Times New Roman" w:hAnsi="Times New Roman" w:cs="Times New Roman"/>
          <w:sz w:val="24"/>
          <w:szCs w:val="24"/>
        </w:rPr>
      </w:pPr>
    </w:p>
    <w:tbl>
      <w:tblPr>
        <w:tblW w:w="8520" w:type="dxa"/>
        <w:tblInd w:w="113" w:type="dxa"/>
        <w:tblLook w:val="04A0" w:firstRow="1" w:lastRow="0" w:firstColumn="1" w:lastColumn="0" w:noHBand="0" w:noVBand="1"/>
      </w:tblPr>
      <w:tblGrid>
        <w:gridCol w:w="2240"/>
        <w:gridCol w:w="960"/>
        <w:gridCol w:w="960"/>
        <w:gridCol w:w="960"/>
        <w:gridCol w:w="960"/>
        <w:gridCol w:w="960"/>
        <w:gridCol w:w="1480"/>
      </w:tblGrid>
      <w:tr w:rsidR="000167EC" w:rsidRPr="000167EC" w14:paraId="48F2F818" w14:textId="77777777" w:rsidTr="000167EC">
        <w:trPr>
          <w:trHeight w:val="600"/>
        </w:trPr>
        <w:tc>
          <w:tcPr>
            <w:tcW w:w="22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6D212E"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JD Sports Plc</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789EC357"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2015</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7DB8D471"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2016</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36BAEC5C"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2017</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3C0A6242"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2018</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756859D6"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2019</w:t>
            </w:r>
          </w:p>
        </w:tc>
        <w:tc>
          <w:tcPr>
            <w:tcW w:w="1480" w:type="dxa"/>
            <w:tcBorders>
              <w:top w:val="single" w:sz="4" w:space="0" w:color="auto"/>
              <w:left w:val="nil"/>
              <w:bottom w:val="single" w:sz="4" w:space="0" w:color="auto"/>
              <w:right w:val="single" w:sz="4" w:space="0" w:color="auto"/>
            </w:tcBorders>
            <w:shd w:val="clear" w:color="auto" w:fill="auto"/>
            <w:vAlign w:val="center"/>
            <w:hideMark/>
          </w:tcPr>
          <w:p w14:paraId="3F4B5B1B" w14:textId="77777777" w:rsidR="000167EC" w:rsidRPr="000167EC" w:rsidRDefault="000167EC" w:rsidP="000167EC">
            <w:pPr>
              <w:spacing w:after="0" w:line="240" w:lineRule="auto"/>
              <w:jc w:val="center"/>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Sports Direct Plc 2019</w:t>
            </w:r>
          </w:p>
        </w:tc>
      </w:tr>
      <w:tr w:rsidR="000167EC" w:rsidRPr="000167EC" w14:paraId="55A9FB86" w14:textId="77777777" w:rsidTr="000167EC">
        <w:trPr>
          <w:trHeight w:val="300"/>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2C249007" w14:textId="77777777" w:rsidR="000167EC" w:rsidRPr="000167EC" w:rsidRDefault="000167EC" w:rsidP="000167EC">
            <w:pPr>
              <w:spacing w:after="0" w:line="240" w:lineRule="auto"/>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Asset Turnover</w:t>
            </w:r>
          </w:p>
        </w:tc>
        <w:tc>
          <w:tcPr>
            <w:tcW w:w="960" w:type="dxa"/>
            <w:tcBorders>
              <w:top w:val="nil"/>
              <w:left w:val="nil"/>
              <w:bottom w:val="single" w:sz="4" w:space="0" w:color="auto"/>
              <w:right w:val="single" w:sz="4" w:space="0" w:color="auto"/>
            </w:tcBorders>
            <w:shd w:val="clear" w:color="auto" w:fill="auto"/>
            <w:noWrap/>
            <w:vAlign w:val="bottom"/>
            <w:hideMark/>
          </w:tcPr>
          <w:p w14:paraId="11B6382F"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2.27</w:t>
            </w:r>
          </w:p>
        </w:tc>
        <w:tc>
          <w:tcPr>
            <w:tcW w:w="960" w:type="dxa"/>
            <w:tcBorders>
              <w:top w:val="nil"/>
              <w:left w:val="nil"/>
              <w:bottom w:val="single" w:sz="4" w:space="0" w:color="auto"/>
              <w:right w:val="single" w:sz="4" w:space="0" w:color="auto"/>
            </w:tcBorders>
            <w:shd w:val="clear" w:color="auto" w:fill="auto"/>
            <w:noWrap/>
            <w:vAlign w:val="bottom"/>
            <w:hideMark/>
          </w:tcPr>
          <w:p w14:paraId="16961C2C"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2.30</w:t>
            </w:r>
          </w:p>
        </w:tc>
        <w:tc>
          <w:tcPr>
            <w:tcW w:w="960" w:type="dxa"/>
            <w:tcBorders>
              <w:top w:val="nil"/>
              <w:left w:val="nil"/>
              <w:bottom w:val="single" w:sz="4" w:space="0" w:color="auto"/>
              <w:right w:val="single" w:sz="4" w:space="0" w:color="auto"/>
            </w:tcBorders>
            <w:shd w:val="clear" w:color="auto" w:fill="auto"/>
            <w:noWrap/>
            <w:vAlign w:val="bottom"/>
            <w:hideMark/>
          </w:tcPr>
          <w:p w14:paraId="17C38733"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2.02</w:t>
            </w:r>
          </w:p>
        </w:tc>
        <w:tc>
          <w:tcPr>
            <w:tcW w:w="960" w:type="dxa"/>
            <w:tcBorders>
              <w:top w:val="nil"/>
              <w:left w:val="nil"/>
              <w:bottom w:val="single" w:sz="4" w:space="0" w:color="auto"/>
              <w:right w:val="single" w:sz="4" w:space="0" w:color="auto"/>
            </w:tcBorders>
            <w:shd w:val="clear" w:color="auto" w:fill="auto"/>
            <w:noWrap/>
            <w:vAlign w:val="bottom"/>
            <w:hideMark/>
          </w:tcPr>
          <w:p w14:paraId="43266061"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1.94</w:t>
            </w:r>
          </w:p>
        </w:tc>
        <w:tc>
          <w:tcPr>
            <w:tcW w:w="960" w:type="dxa"/>
            <w:tcBorders>
              <w:top w:val="nil"/>
              <w:left w:val="nil"/>
              <w:bottom w:val="single" w:sz="4" w:space="0" w:color="auto"/>
              <w:right w:val="single" w:sz="4" w:space="0" w:color="auto"/>
            </w:tcBorders>
            <w:shd w:val="clear" w:color="auto" w:fill="auto"/>
            <w:noWrap/>
            <w:vAlign w:val="bottom"/>
            <w:hideMark/>
          </w:tcPr>
          <w:p w14:paraId="324C5390"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2.14</w:t>
            </w:r>
          </w:p>
        </w:tc>
        <w:tc>
          <w:tcPr>
            <w:tcW w:w="1480" w:type="dxa"/>
            <w:tcBorders>
              <w:top w:val="nil"/>
              <w:left w:val="nil"/>
              <w:bottom w:val="single" w:sz="4" w:space="0" w:color="auto"/>
              <w:right w:val="single" w:sz="4" w:space="0" w:color="auto"/>
            </w:tcBorders>
            <w:shd w:val="clear" w:color="auto" w:fill="auto"/>
            <w:noWrap/>
            <w:vAlign w:val="bottom"/>
            <w:hideMark/>
          </w:tcPr>
          <w:p w14:paraId="352E8B7D"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1.18</w:t>
            </w:r>
          </w:p>
        </w:tc>
      </w:tr>
      <w:tr w:rsidR="000167EC" w:rsidRPr="000167EC" w14:paraId="79FD8A4B" w14:textId="77777777" w:rsidTr="000167EC">
        <w:trPr>
          <w:trHeight w:val="300"/>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75231799" w14:textId="77777777" w:rsidR="000167EC" w:rsidRPr="000167EC" w:rsidRDefault="000167EC" w:rsidP="000167EC">
            <w:pPr>
              <w:spacing w:after="0" w:line="240" w:lineRule="auto"/>
              <w:rPr>
                <w:rFonts w:ascii="Calibri" w:eastAsia="Times New Roman" w:hAnsi="Calibri" w:cs="Times New Roman"/>
                <w:b/>
                <w:bCs/>
                <w:color w:val="000000"/>
                <w:lang w:eastAsia="en-GB"/>
              </w:rPr>
            </w:pPr>
            <w:r w:rsidRPr="000167EC">
              <w:rPr>
                <w:rFonts w:ascii="Calibri" w:eastAsia="Times New Roman" w:hAnsi="Calibri" w:cs="Times New Roman"/>
                <w:b/>
                <w:bCs/>
                <w:color w:val="000000"/>
                <w:lang w:eastAsia="en-GB"/>
              </w:rPr>
              <w:t>Fixed Asset Turnover</w:t>
            </w:r>
          </w:p>
        </w:tc>
        <w:tc>
          <w:tcPr>
            <w:tcW w:w="960" w:type="dxa"/>
            <w:tcBorders>
              <w:top w:val="nil"/>
              <w:left w:val="nil"/>
              <w:bottom w:val="single" w:sz="4" w:space="0" w:color="auto"/>
              <w:right w:val="single" w:sz="4" w:space="0" w:color="auto"/>
            </w:tcBorders>
            <w:shd w:val="clear" w:color="auto" w:fill="auto"/>
            <w:noWrap/>
            <w:vAlign w:val="bottom"/>
            <w:hideMark/>
          </w:tcPr>
          <w:p w14:paraId="5E4D3334"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10.49</w:t>
            </w:r>
          </w:p>
        </w:tc>
        <w:tc>
          <w:tcPr>
            <w:tcW w:w="960" w:type="dxa"/>
            <w:tcBorders>
              <w:top w:val="nil"/>
              <w:left w:val="nil"/>
              <w:bottom w:val="single" w:sz="4" w:space="0" w:color="auto"/>
              <w:right w:val="single" w:sz="4" w:space="0" w:color="auto"/>
            </w:tcBorders>
            <w:shd w:val="clear" w:color="auto" w:fill="auto"/>
            <w:noWrap/>
            <w:vAlign w:val="bottom"/>
            <w:hideMark/>
          </w:tcPr>
          <w:p w14:paraId="52B23E03"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10.51</w:t>
            </w:r>
          </w:p>
        </w:tc>
        <w:tc>
          <w:tcPr>
            <w:tcW w:w="960" w:type="dxa"/>
            <w:tcBorders>
              <w:top w:val="nil"/>
              <w:left w:val="nil"/>
              <w:bottom w:val="single" w:sz="4" w:space="0" w:color="auto"/>
              <w:right w:val="single" w:sz="4" w:space="0" w:color="auto"/>
            </w:tcBorders>
            <w:shd w:val="clear" w:color="auto" w:fill="auto"/>
            <w:noWrap/>
            <w:vAlign w:val="bottom"/>
            <w:hideMark/>
          </w:tcPr>
          <w:p w14:paraId="1B01D70D"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10.09</w:t>
            </w:r>
          </w:p>
        </w:tc>
        <w:tc>
          <w:tcPr>
            <w:tcW w:w="960" w:type="dxa"/>
            <w:tcBorders>
              <w:top w:val="nil"/>
              <w:left w:val="nil"/>
              <w:bottom w:val="single" w:sz="4" w:space="0" w:color="auto"/>
              <w:right w:val="single" w:sz="4" w:space="0" w:color="auto"/>
            </w:tcBorders>
            <w:shd w:val="clear" w:color="auto" w:fill="auto"/>
            <w:noWrap/>
            <w:vAlign w:val="bottom"/>
            <w:hideMark/>
          </w:tcPr>
          <w:p w14:paraId="30A3DF05"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8.39</w:t>
            </w:r>
          </w:p>
        </w:tc>
        <w:tc>
          <w:tcPr>
            <w:tcW w:w="960" w:type="dxa"/>
            <w:tcBorders>
              <w:top w:val="nil"/>
              <w:left w:val="nil"/>
              <w:bottom w:val="single" w:sz="4" w:space="0" w:color="auto"/>
              <w:right w:val="single" w:sz="4" w:space="0" w:color="auto"/>
            </w:tcBorders>
            <w:shd w:val="clear" w:color="auto" w:fill="auto"/>
            <w:noWrap/>
            <w:vAlign w:val="bottom"/>
            <w:hideMark/>
          </w:tcPr>
          <w:p w14:paraId="19AF9FBB"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8.74</w:t>
            </w:r>
          </w:p>
        </w:tc>
        <w:tc>
          <w:tcPr>
            <w:tcW w:w="1480" w:type="dxa"/>
            <w:tcBorders>
              <w:top w:val="nil"/>
              <w:left w:val="nil"/>
              <w:bottom w:val="single" w:sz="4" w:space="0" w:color="auto"/>
              <w:right w:val="single" w:sz="4" w:space="0" w:color="auto"/>
            </w:tcBorders>
            <w:shd w:val="clear" w:color="auto" w:fill="auto"/>
            <w:noWrap/>
            <w:vAlign w:val="bottom"/>
            <w:hideMark/>
          </w:tcPr>
          <w:p w14:paraId="018F8568" w14:textId="77777777" w:rsidR="000167EC" w:rsidRPr="000167EC" w:rsidRDefault="000167EC" w:rsidP="000167EC">
            <w:pPr>
              <w:spacing w:after="0" w:line="240" w:lineRule="auto"/>
              <w:jc w:val="right"/>
              <w:rPr>
                <w:rFonts w:ascii="Calibri" w:eastAsia="Times New Roman" w:hAnsi="Calibri" w:cs="Times New Roman"/>
                <w:color w:val="000000"/>
                <w:lang w:eastAsia="en-GB"/>
              </w:rPr>
            </w:pPr>
            <w:r w:rsidRPr="000167EC">
              <w:rPr>
                <w:rFonts w:ascii="Calibri" w:eastAsia="Times New Roman" w:hAnsi="Calibri" w:cs="Times New Roman"/>
                <w:color w:val="000000"/>
                <w:lang w:eastAsia="en-GB"/>
              </w:rPr>
              <w:t>4.50</w:t>
            </w:r>
          </w:p>
        </w:tc>
      </w:tr>
    </w:tbl>
    <w:p w14:paraId="5951131F" w14:textId="77777777" w:rsidR="000167EC" w:rsidRDefault="000167EC" w:rsidP="00A44217">
      <w:pPr>
        <w:rPr>
          <w:rFonts w:ascii="Times New Roman" w:hAnsi="Times New Roman" w:cs="Times New Roman"/>
          <w:sz w:val="24"/>
          <w:szCs w:val="24"/>
        </w:rPr>
      </w:pPr>
    </w:p>
    <w:p w14:paraId="42C8C6EB" w14:textId="2048A962" w:rsidR="00322EE7" w:rsidRDefault="00520E84" w:rsidP="00A44217">
      <w:pPr>
        <w:rPr>
          <w:rFonts w:ascii="Times New Roman" w:hAnsi="Times New Roman" w:cs="Times New Roman"/>
          <w:sz w:val="24"/>
          <w:szCs w:val="24"/>
        </w:rPr>
      </w:pPr>
      <w:r>
        <w:rPr>
          <w:rFonts w:ascii="Times New Roman" w:hAnsi="Times New Roman" w:cs="Times New Roman"/>
          <w:sz w:val="24"/>
          <w:szCs w:val="24"/>
        </w:rPr>
        <w:t xml:space="preserve"> </w:t>
      </w:r>
      <w:r w:rsidR="00D00D29">
        <w:rPr>
          <w:rFonts w:ascii="Times New Roman" w:hAnsi="Times New Roman" w:cs="Times New Roman"/>
          <w:sz w:val="24"/>
          <w:szCs w:val="24"/>
        </w:rPr>
        <w:t xml:space="preserve"> This means that for every pound of asset JD Sports generates 2.14 pounds of sales which is a very good value compared to Sports Direct’s of only 1.18. But JD Sports has a bigger difference between fixed asset turnover and total asset turnover this means that a big part </w:t>
      </w:r>
      <w:r w:rsidR="006F6CB1">
        <w:rPr>
          <w:rFonts w:ascii="Times New Roman" w:hAnsi="Times New Roman" w:cs="Times New Roman"/>
          <w:sz w:val="24"/>
          <w:szCs w:val="24"/>
        </w:rPr>
        <w:t>of JD Sports assets does not generate sales.</w:t>
      </w:r>
    </w:p>
    <w:p w14:paraId="1F8823D9" w14:textId="77777777" w:rsidR="00CB5476" w:rsidRDefault="006F6CB1" w:rsidP="00A44217">
      <w:pPr>
        <w:rPr>
          <w:rFonts w:ascii="Times New Roman" w:hAnsi="Times New Roman" w:cs="Times New Roman"/>
          <w:sz w:val="24"/>
          <w:szCs w:val="24"/>
        </w:rPr>
      </w:pPr>
      <w:r>
        <w:rPr>
          <w:rFonts w:ascii="Times New Roman" w:hAnsi="Times New Roman" w:cs="Times New Roman"/>
          <w:sz w:val="24"/>
          <w:szCs w:val="24"/>
        </w:rPr>
        <w:t xml:space="preserve"> Leverage ratios are used to measure a company’s financial leverage which means the risk of paying the company’s investors less equity because of the difficulties to bay back the borrowings, in this paper will be analysed the debt to debt-to-equity ratio and the de</w:t>
      </w:r>
      <w:r w:rsidR="008853D4">
        <w:rPr>
          <w:rFonts w:ascii="Times New Roman" w:hAnsi="Times New Roman" w:cs="Times New Roman"/>
          <w:sz w:val="24"/>
          <w:szCs w:val="24"/>
        </w:rPr>
        <w:t>bt-to-capital ratio</w:t>
      </w:r>
    </w:p>
    <w:tbl>
      <w:tblPr>
        <w:tblW w:w="8853" w:type="dxa"/>
        <w:tblInd w:w="113" w:type="dxa"/>
        <w:tblLook w:val="04A0" w:firstRow="1" w:lastRow="0" w:firstColumn="1" w:lastColumn="0" w:noHBand="0" w:noVBand="1"/>
      </w:tblPr>
      <w:tblGrid>
        <w:gridCol w:w="2304"/>
        <w:gridCol w:w="1129"/>
        <w:gridCol w:w="1084"/>
        <w:gridCol w:w="1084"/>
        <w:gridCol w:w="1084"/>
        <w:gridCol w:w="1084"/>
        <w:gridCol w:w="1084"/>
      </w:tblGrid>
      <w:tr w:rsidR="00386F8A" w:rsidRPr="00CB5476" w14:paraId="59D2E959" w14:textId="77777777" w:rsidTr="00386F8A">
        <w:trPr>
          <w:trHeight w:val="466"/>
        </w:trPr>
        <w:tc>
          <w:tcPr>
            <w:tcW w:w="230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F5E6D7D" w14:textId="5297187B" w:rsidR="00386F8A" w:rsidRPr="00CB5476" w:rsidRDefault="00386F8A" w:rsidP="00CB5476">
            <w:pPr>
              <w:spacing w:after="0" w:line="240" w:lineRule="auto"/>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JD sports</w:t>
            </w:r>
          </w:p>
        </w:tc>
        <w:tc>
          <w:tcPr>
            <w:tcW w:w="1129" w:type="dxa"/>
            <w:tcBorders>
              <w:top w:val="single" w:sz="4" w:space="0" w:color="auto"/>
              <w:left w:val="nil"/>
              <w:bottom w:val="single" w:sz="4" w:space="0" w:color="auto"/>
              <w:right w:val="single" w:sz="4" w:space="0" w:color="auto"/>
            </w:tcBorders>
            <w:shd w:val="clear" w:color="auto" w:fill="auto"/>
            <w:noWrap/>
            <w:vAlign w:val="bottom"/>
          </w:tcPr>
          <w:p w14:paraId="149B3AD7" w14:textId="137B45BE" w:rsidR="00386F8A" w:rsidRPr="00386F8A" w:rsidRDefault="00386F8A" w:rsidP="00386F8A">
            <w:pPr>
              <w:spacing w:after="0" w:line="240" w:lineRule="auto"/>
              <w:jc w:val="center"/>
              <w:rPr>
                <w:rFonts w:ascii="Calibri" w:eastAsia="Times New Roman" w:hAnsi="Calibri" w:cs="Times New Roman"/>
                <w:b/>
                <w:color w:val="000000"/>
                <w:lang w:eastAsia="en-GB"/>
              </w:rPr>
            </w:pPr>
            <w:r w:rsidRPr="00386F8A">
              <w:rPr>
                <w:rFonts w:ascii="Calibri" w:eastAsia="Times New Roman" w:hAnsi="Calibri" w:cs="Times New Roman"/>
                <w:b/>
                <w:color w:val="000000"/>
                <w:lang w:eastAsia="en-GB"/>
              </w:rPr>
              <w:t>2015</w:t>
            </w:r>
          </w:p>
        </w:tc>
        <w:tc>
          <w:tcPr>
            <w:tcW w:w="1084" w:type="dxa"/>
            <w:tcBorders>
              <w:top w:val="single" w:sz="4" w:space="0" w:color="auto"/>
              <w:left w:val="nil"/>
              <w:bottom w:val="single" w:sz="4" w:space="0" w:color="auto"/>
              <w:right w:val="single" w:sz="4" w:space="0" w:color="auto"/>
            </w:tcBorders>
            <w:shd w:val="clear" w:color="auto" w:fill="auto"/>
            <w:noWrap/>
            <w:vAlign w:val="bottom"/>
          </w:tcPr>
          <w:p w14:paraId="222D0946" w14:textId="3C48AD38" w:rsidR="00386F8A" w:rsidRPr="00386F8A" w:rsidRDefault="00386F8A" w:rsidP="00386F8A">
            <w:pPr>
              <w:spacing w:after="0" w:line="240" w:lineRule="auto"/>
              <w:jc w:val="center"/>
              <w:rPr>
                <w:rFonts w:ascii="Calibri" w:eastAsia="Times New Roman" w:hAnsi="Calibri" w:cs="Times New Roman"/>
                <w:b/>
                <w:color w:val="000000"/>
                <w:lang w:eastAsia="en-GB"/>
              </w:rPr>
            </w:pPr>
            <w:r w:rsidRPr="00386F8A">
              <w:rPr>
                <w:rFonts w:ascii="Calibri" w:eastAsia="Times New Roman" w:hAnsi="Calibri" w:cs="Times New Roman"/>
                <w:b/>
                <w:color w:val="000000"/>
                <w:lang w:eastAsia="en-GB"/>
              </w:rPr>
              <w:t>2016</w:t>
            </w:r>
          </w:p>
        </w:tc>
        <w:tc>
          <w:tcPr>
            <w:tcW w:w="1084" w:type="dxa"/>
            <w:tcBorders>
              <w:top w:val="single" w:sz="4" w:space="0" w:color="auto"/>
              <w:left w:val="nil"/>
              <w:bottom w:val="single" w:sz="4" w:space="0" w:color="auto"/>
              <w:right w:val="single" w:sz="4" w:space="0" w:color="auto"/>
            </w:tcBorders>
            <w:shd w:val="clear" w:color="auto" w:fill="auto"/>
            <w:noWrap/>
            <w:vAlign w:val="bottom"/>
          </w:tcPr>
          <w:p w14:paraId="34C97AA0" w14:textId="1C745239" w:rsidR="00386F8A" w:rsidRPr="00386F8A" w:rsidRDefault="00386F8A" w:rsidP="00386F8A">
            <w:pPr>
              <w:spacing w:after="0" w:line="240" w:lineRule="auto"/>
              <w:jc w:val="center"/>
              <w:rPr>
                <w:rFonts w:ascii="Calibri" w:eastAsia="Times New Roman" w:hAnsi="Calibri" w:cs="Times New Roman"/>
                <w:b/>
                <w:color w:val="000000"/>
                <w:lang w:eastAsia="en-GB"/>
              </w:rPr>
            </w:pPr>
            <w:r w:rsidRPr="00386F8A">
              <w:rPr>
                <w:rFonts w:ascii="Calibri" w:eastAsia="Times New Roman" w:hAnsi="Calibri" w:cs="Times New Roman"/>
                <w:b/>
                <w:color w:val="000000"/>
                <w:lang w:eastAsia="en-GB"/>
              </w:rPr>
              <w:t>2017</w:t>
            </w:r>
          </w:p>
        </w:tc>
        <w:tc>
          <w:tcPr>
            <w:tcW w:w="1084" w:type="dxa"/>
            <w:tcBorders>
              <w:top w:val="single" w:sz="4" w:space="0" w:color="auto"/>
              <w:left w:val="nil"/>
              <w:bottom w:val="single" w:sz="4" w:space="0" w:color="auto"/>
              <w:right w:val="single" w:sz="4" w:space="0" w:color="auto"/>
            </w:tcBorders>
            <w:shd w:val="clear" w:color="auto" w:fill="auto"/>
            <w:noWrap/>
            <w:vAlign w:val="bottom"/>
          </w:tcPr>
          <w:p w14:paraId="30722ECF" w14:textId="1E48CABC" w:rsidR="00386F8A" w:rsidRPr="00386F8A" w:rsidRDefault="00386F8A" w:rsidP="00386F8A">
            <w:pPr>
              <w:spacing w:after="0" w:line="240" w:lineRule="auto"/>
              <w:jc w:val="center"/>
              <w:rPr>
                <w:rFonts w:ascii="Calibri" w:eastAsia="Times New Roman" w:hAnsi="Calibri" w:cs="Times New Roman"/>
                <w:b/>
                <w:color w:val="000000"/>
                <w:lang w:eastAsia="en-GB"/>
              </w:rPr>
            </w:pPr>
            <w:r w:rsidRPr="00386F8A">
              <w:rPr>
                <w:rFonts w:ascii="Calibri" w:eastAsia="Times New Roman" w:hAnsi="Calibri" w:cs="Times New Roman"/>
                <w:b/>
                <w:color w:val="000000"/>
                <w:lang w:eastAsia="en-GB"/>
              </w:rPr>
              <w:t>2018</w:t>
            </w:r>
          </w:p>
        </w:tc>
        <w:tc>
          <w:tcPr>
            <w:tcW w:w="1084" w:type="dxa"/>
            <w:tcBorders>
              <w:top w:val="single" w:sz="4" w:space="0" w:color="auto"/>
              <w:left w:val="nil"/>
              <w:bottom w:val="single" w:sz="4" w:space="0" w:color="auto"/>
              <w:right w:val="single" w:sz="4" w:space="0" w:color="auto"/>
            </w:tcBorders>
            <w:shd w:val="clear" w:color="auto" w:fill="auto"/>
            <w:noWrap/>
            <w:vAlign w:val="bottom"/>
          </w:tcPr>
          <w:p w14:paraId="277A7725" w14:textId="7471EED3" w:rsidR="00386F8A" w:rsidRPr="00386F8A" w:rsidRDefault="00386F8A" w:rsidP="00386F8A">
            <w:pPr>
              <w:spacing w:after="0" w:line="240" w:lineRule="auto"/>
              <w:jc w:val="center"/>
              <w:rPr>
                <w:rFonts w:ascii="Calibri" w:eastAsia="Times New Roman" w:hAnsi="Calibri" w:cs="Times New Roman"/>
                <w:b/>
                <w:color w:val="000000"/>
                <w:lang w:eastAsia="en-GB"/>
              </w:rPr>
            </w:pPr>
            <w:r w:rsidRPr="00386F8A">
              <w:rPr>
                <w:rFonts w:ascii="Calibri" w:eastAsia="Times New Roman" w:hAnsi="Calibri" w:cs="Times New Roman"/>
                <w:b/>
                <w:color w:val="000000"/>
                <w:lang w:eastAsia="en-GB"/>
              </w:rPr>
              <w:t>2019</w:t>
            </w:r>
          </w:p>
        </w:tc>
        <w:tc>
          <w:tcPr>
            <w:tcW w:w="1084" w:type="dxa"/>
            <w:tcBorders>
              <w:top w:val="single" w:sz="4" w:space="0" w:color="auto"/>
              <w:left w:val="nil"/>
              <w:bottom w:val="single" w:sz="4" w:space="0" w:color="auto"/>
              <w:right w:val="single" w:sz="4" w:space="0" w:color="auto"/>
            </w:tcBorders>
            <w:shd w:val="clear" w:color="auto" w:fill="auto"/>
            <w:noWrap/>
            <w:vAlign w:val="bottom"/>
          </w:tcPr>
          <w:p w14:paraId="203985E8" w14:textId="6F365C6A" w:rsidR="00386F8A" w:rsidRPr="00386F8A" w:rsidRDefault="00386F8A" w:rsidP="00386F8A">
            <w:pPr>
              <w:spacing w:after="0" w:line="240" w:lineRule="auto"/>
              <w:jc w:val="center"/>
              <w:rPr>
                <w:rFonts w:ascii="Calibri" w:eastAsia="Times New Roman" w:hAnsi="Calibri" w:cs="Times New Roman"/>
                <w:b/>
                <w:color w:val="000000"/>
                <w:lang w:eastAsia="en-GB"/>
              </w:rPr>
            </w:pPr>
            <w:r w:rsidRPr="00386F8A">
              <w:rPr>
                <w:rFonts w:ascii="Calibri" w:eastAsia="Times New Roman" w:hAnsi="Calibri" w:cs="Times New Roman"/>
                <w:b/>
                <w:color w:val="000000"/>
                <w:lang w:eastAsia="en-GB"/>
              </w:rPr>
              <w:t>Sports Direct PLC 2019</w:t>
            </w:r>
          </w:p>
        </w:tc>
      </w:tr>
      <w:tr w:rsidR="00386F8A" w:rsidRPr="00CB5476" w14:paraId="6AC7C56F" w14:textId="77777777" w:rsidTr="00386F8A">
        <w:trPr>
          <w:trHeight w:val="466"/>
        </w:trPr>
        <w:tc>
          <w:tcPr>
            <w:tcW w:w="23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292FFA" w14:textId="17250B19" w:rsidR="00CB5476" w:rsidRPr="00CB5476" w:rsidRDefault="00CB5476" w:rsidP="00CB5476">
            <w:pPr>
              <w:spacing w:after="0" w:line="240" w:lineRule="auto"/>
              <w:rPr>
                <w:rFonts w:ascii="Calibri" w:eastAsia="Times New Roman" w:hAnsi="Calibri" w:cs="Times New Roman"/>
                <w:b/>
                <w:bCs/>
                <w:color w:val="000000"/>
                <w:lang w:eastAsia="en-GB"/>
              </w:rPr>
            </w:pPr>
            <w:r w:rsidRPr="00CB5476">
              <w:rPr>
                <w:rFonts w:ascii="Calibri" w:eastAsia="Times New Roman" w:hAnsi="Calibri" w:cs="Times New Roman"/>
                <w:b/>
                <w:bCs/>
                <w:color w:val="000000"/>
                <w:lang w:eastAsia="en-GB"/>
              </w:rPr>
              <w:t>Debt - equity ratio</w:t>
            </w:r>
            <w:r w:rsidR="00386F8A">
              <w:rPr>
                <w:rFonts w:ascii="Calibri" w:eastAsia="Times New Roman" w:hAnsi="Calibri" w:cs="Times New Roman"/>
                <w:b/>
                <w:bCs/>
                <w:color w:val="000000"/>
                <w:lang w:eastAsia="en-GB"/>
              </w:rPr>
              <w:t xml:space="preserve"> (%)</w:t>
            </w:r>
          </w:p>
        </w:tc>
        <w:tc>
          <w:tcPr>
            <w:tcW w:w="1129" w:type="dxa"/>
            <w:tcBorders>
              <w:top w:val="single" w:sz="4" w:space="0" w:color="auto"/>
              <w:left w:val="nil"/>
              <w:bottom w:val="single" w:sz="4" w:space="0" w:color="auto"/>
              <w:right w:val="single" w:sz="4" w:space="0" w:color="auto"/>
            </w:tcBorders>
            <w:shd w:val="clear" w:color="auto" w:fill="auto"/>
            <w:noWrap/>
            <w:vAlign w:val="bottom"/>
            <w:hideMark/>
          </w:tcPr>
          <w:p w14:paraId="5D223D98"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12.20</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05A1DDC5"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1.65</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2DC5711C"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5.87</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0A910EE6"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4.53</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79F54B38"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11.70</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52538FFD"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65.99</w:t>
            </w:r>
          </w:p>
        </w:tc>
      </w:tr>
      <w:tr w:rsidR="00CB5476" w:rsidRPr="00CB5476" w14:paraId="7DE023DB" w14:textId="77777777" w:rsidTr="00386F8A">
        <w:trPr>
          <w:trHeight w:val="466"/>
        </w:trPr>
        <w:tc>
          <w:tcPr>
            <w:tcW w:w="2304" w:type="dxa"/>
            <w:tcBorders>
              <w:top w:val="nil"/>
              <w:left w:val="single" w:sz="4" w:space="0" w:color="auto"/>
              <w:bottom w:val="single" w:sz="4" w:space="0" w:color="auto"/>
              <w:right w:val="single" w:sz="4" w:space="0" w:color="auto"/>
            </w:tcBorders>
            <w:shd w:val="clear" w:color="auto" w:fill="auto"/>
            <w:noWrap/>
            <w:vAlign w:val="bottom"/>
            <w:hideMark/>
          </w:tcPr>
          <w:p w14:paraId="0CEE1C14" w14:textId="77777777" w:rsidR="00CB5476" w:rsidRPr="00CB5476" w:rsidRDefault="00CB5476" w:rsidP="00CB5476">
            <w:pPr>
              <w:spacing w:after="0" w:line="240" w:lineRule="auto"/>
              <w:rPr>
                <w:rFonts w:ascii="Calibri" w:eastAsia="Times New Roman" w:hAnsi="Calibri" w:cs="Times New Roman"/>
                <w:b/>
                <w:bCs/>
                <w:color w:val="000000"/>
                <w:lang w:eastAsia="en-GB"/>
              </w:rPr>
            </w:pPr>
            <w:r w:rsidRPr="00CB5476">
              <w:rPr>
                <w:rFonts w:ascii="Calibri" w:eastAsia="Times New Roman" w:hAnsi="Calibri" w:cs="Times New Roman"/>
                <w:b/>
                <w:bCs/>
                <w:color w:val="000000"/>
                <w:lang w:eastAsia="en-GB"/>
              </w:rPr>
              <w:t>Debt-capital ratio (%)</w:t>
            </w:r>
          </w:p>
        </w:tc>
        <w:tc>
          <w:tcPr>
            <w:tcW w:w="1129" w:type="dxa"/>
            <w:tcBorders>
              <w:top w:val="nil"/>
              <w:left w:val="nil"/>
              <w:bottom w:val="single" w:sz="4" w:space="0" w:color="auto"/>
              <w:right w:val="single" w:sz="4" w:space="0" w:color="auto"/>
            </w:tcBorders>
            <w:shd w:val="clear" w:color="auto" w:fill="auto"/>
            <w:noWrap/>
            <w:vAlign w:val="center"/>
            <w:hideMark/>
          </w:tcPr>
          <w:p w14:paraId="25B7DC58"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10.88</w:t>
            </w:r>
          </w:p>
        </w:tc>
        <w:tc>
          <w:tcPr>
            <w:tcW w:w="1084" w:type="dxa"/>
            <w:tcBorders>
              <w:top w:val="nil"/>
              <w:left w:val="nil"/>
              <w:bottom w:val="single" w:sz="4" w:space="0" w:color="auto"/>
              <w:right w:val="single" w:sz="4" w:space="0" w:color="auto"/>
            </w:tcBorders>
            <w:shd w:val="clear" w:color="auto" w:fill="auto"/>
            <w:noWrap/>
            <w:vAlign w:val="center"/>
            <w:hideMark/>
          </w:tcPr>
          <w:p w14:paraId="198CF4D6"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1.62</w:t>
            </w:r>
          </w:p>
        </w:tc>
        <w:tc>
          <w:tcPr>
            <w:tcW w:w="1084" w:type="dxa"/>
            <w:tcBorders>
              <w:top w:val="nil"/>
              <w:left w:val="nil"/>
              <w:bottom w:val="single" w:sz="4" w:space="0" w:color="auto"/>
              <w:right w:val="single" w:sz="4" w:space="0" w:color="auto"/>
            </w:tcBorders>
            <w:shd w:val="clear" w:color="auto" w:fill="auto"/>
            <w:noWrap/>
            <w:vAlign w:val="center"/>
            <w:hideMark/>
          </w:tcPr>
          <w:p w14:paraId="4F99798D"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5.55</w:t>
            </w:r>
          </w:p>
        </w:tc>
        <w:tc>
          <w:tcPr>
            <w:tcW w:w="1084" w:type="dxa"/>
            <w:tcBorders>
              <w:top w:val="nil"/>
              <w:left w:val="nil"/>
              <w:bottom w:val="single" w:sz="4" w:space="0" w:color="auto"/>
              <w:right w:val="single" w:sz="4" w:space="0" w:color="auto"/>
            </w:tcBorders>
            <w:shd w:val="clear" w:color="auto" w:fill="auto"/>
            <w:noWrap/>
            <w:vAlign w:val="center"/>
            <w:hideMark/>
          </w:tcPr>
          <w:p w14:paraId="4DD8FED2"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4.33</w:t>
            </w:r>
          </w:p>
        </w:tc>
        <w:tc>
          <w:tcPr>
            <w:tcW w:w="1084" w:type="dxa"/>
            <w:tcBorders>
              <w:top w:val="nil"/>
              <w:left w:val="nil"/>
              <w:bottom w:val="single" w:sz="4" w:space="0" w:color="auto"/>
              <w:right w:val="single" w:sz="4" w:space="0" w:color="auto"/>
            </w:tcBorders>
            <w:shd w:val="clear" w:color="auto" w:fill="auto"/>
            <w:noWrap/>
            <w:vAlign w:val="center"/>
            <w:hideMark/>
          </w:tcPr>
          <w:p w14:paraId="18B4AE03"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10.48</w:t>
            </w:r>
          </w:p>
        </w:tc>
        <w:tc>
          <w:tcPr>
            <w:tcW w:w="1084" w:type="dxa"/>
            <w:tcBorders>
              <w:top w:val="nil"/>
              <w:left w:val="nil"/>
              <w:bottom w:val="single" w:sz="4" w:space="0" w:color="auto"/>
              <w:right w:val="single" w:sz="4" w:space="0" w:color="auto"/>
            </w:tcBorders>
            <w:shd w:val="clear" w:color="auto" w:fill="auto"/>
            <w:noWrap/>
            <w:vAlign w:val="center"/>
            <w:hideMark/>
          </w:tcPr>
          <w:p w14:paraId="668455E5"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39.76</w:t>
            </w:r>
          </w:p>
        </w:tc>
      </w:tr>
      <w:tr w:rsidR="00CB5476" w:rsidRPr="00CB5476" w14:paraId="0C46892B" w14:textId="77777777" w:rsidTr="00386F8A">
        <w:trPr>
          <w:trHeight w:val="466"/>
        </w:trPr>
        <w:tc>
          <w:tcPr>
            <w:tcW w:w="2304" w:type="dxa"/>
            <w:tcBorders>
              <w:top w:val="nil"/>
              <w:left w:val="single" w:sz="4" w:space="0" w:color="auto"/>
              <w:bottom w:val="single" w:sz="4" w:space="0" w:color="auto"/>
              <w:right w:val="single" w:sz="4" w:space="0" w:color="auto"/>
            </w:tcBorders>
            <w:shd w:val="clear" w:color="auto" w:fill="auto"/>
            <w:noWrap/>
            <w:vAlign w:val="bottom"/>
            <w:hideMark/>
          </w:tcPr>
          <w:p w14:paraId="1ACC7774" w14:textId="77777777" w:rsidR="00CB5476" w:rsidRPr="00CB5476" w:rsidRDefault="00CB5476" w:rsidP="00CB5476">
            <w:pPr>
              <w:spacing w:after="0" w:line="240" w:lineRule="auto"/>
              <w:rPr>
                <w:rFonts w:ascii="Calibri" w:eastAsia="Times New Roman" w:hAnsi="Calibri" w:cs="Times New Roman"/>
                <w:b/>
                <w:bCs/>
                <w:color w:val="000000"/>
                <w:lang w:eastAsia="en-GB"/>
              </w:rPr>
            </w:pPr>
            <w:r w:rsidRPr="00CB5476">
              <w:rPr>
                <w:rFonts w:ascii="Calibri" w:eastAsia="Times New Roman" w:hAnsi="Calibri" w:cs="Times New Roman"/>
                <w:b/>
                <w:bCs/>
                <w:color w:val="000000"/>
                <w:lang w:eastAsia="en-GB"/>
              </w:rPr>
              <w:t>Debt</w:t>
            </w:r>
          </w:p>
        </w:tc>
        <w:tc>
          <w:tcPr>
            <w:tcW w:w="1129" w:type="dxa"/>
            <w:tcBorders>
              <w:top w:val="nil"/>
              <w:left w:val="nil"/>
              <w:bottom w:val="single" w:sz="4" w:space="0" w:color="auto"/>
              <w:right w:val="single" w:sz="4" w:space="0" w:color="auto"/>
            </w:tcBorders>
            <w:shd w:val="clear" w:color="auto" w:fill="auto"/>
            <w:noWrap/>
            <w:vAlign w:val="bottom"/>
            <w:hideMark/>
          </w:tcPr>
          <w:p w14:paraId="310F7063"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37.1</w:t>
            </w:r>
          </w:p>
        </w:tc>
        <w:tc>
          <w:tcPr>
            <w:tcW w:w="1084" w:type="dxa"/>
            <w:tcBorders>
              <w:top w:val="nil"/>
              <w:left w:val="nil"/>
              <w:bottom w:val="single" w:sz="4" w:space="0" w:color="auto"/>
              <w:right w:val="single" w:sz="4" w:space="0" w:color="auto"/>
            </w:tcBorders>
            <w:shd w:val="clear" w:color="auto" w:fill="auto"/>
            <w:noWrap/>
            <w:vAlign w:val="bottom"/>
            <w:hideMark/>
          </w:tcPr>
          <w:p w14:paraId="3857583D"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6.6</w:t>
            </w:r>
          </w:p>
        </w:tc>
        <w:tc>
          <w:tcPr>
            <w:tcW w:w="1084" w:type="dxa"/>
            <w:tcBorders>
              <w:top w:val="nil"/>
              <w:left w:val="nil"/>
              <w:bottom w:val="single" w:sz="4" w:space="0" w:color="auto"/>
              <w:right w:val="single" w:sz="4" w:space="0" w:color="auto"/>
            </w:tcBorders>
            <w:shd w:val="clear" w:color="auto" w:fill="auto"/>
            <w:noWrap/>
            <w:vAlign w:val="bottom"/>
            <w:hideMark/>
          </w:tcPr>
          <w:p w14:paraId="09E0E093"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34</w:t>
            </w:r>
          </w:p>
        </w:tc>
        <w:tc>
          <w:tcPr>
            <w:tcW w:w="1084" w:type="dxa"/>
            <w:tcBorders>
              <w:top w:val="nil"/>
              <w:left w:val="nil"/>
              <w:bottom w:val="single" w:sz="4" w:space="0" w:color="auto"/>
              <w:right w:val="single" w:sz="4" w:space="0" w:color="auto"/>
            </w:tcBorders>
            <w:shd w:val="clear" w:color="auto" w:fill="auto"/>
            <w:noWrap/>
            <w:vAlign w:val="bottom"/>
            <w:hideMark/>
          </w:tcPr>
          <w:p w14:paraId="131414A9"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37.8</w:t>
            </w:r>
          </w:p>
        </w:tc>
        <w:tc>
          <w:tcPr>
            <w:tcW w:w="1084" w:type="dxa"/>
            <w:tcBorders>
              <w:top w:val="nil"/>
              <w:left w:val="nil"/>
              <w:bottom w:val="single" w:sz="4" w:space="0" w:color="auto"/>
              <w:right w:val="single" w:sz="4" w:space="0" w:color="auto"/>
            </w:tcBorders>
            <w:shd w:val="clear" w:color="auto" w:fill="auto"/>
            <w:noWrap/>
            <w:vAlign w:val="bottom"/>
            <w:hideMark/>
          </w:tcPr>
          <w:p w14:paraId="04696626"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126</w:t>
            </w:r>
          </w:p>
        </w:tc>
        <w:tc>
          <w:tcPr>
            <w:tcW w:w="1084" w:type="dxa"/>
            <w:tcBorders>
              <w:top w:val="nil"/>
              <w:left w:val="nil"/>
              <w:bottom w:val="single" w:sz="4" w:space="0" w:color="auto"/>
              <w:right w:val="single" w:sz="4" w:space="0" w:color="auto"/>
            </w:tcBorders>
            <w:shd w:val="clear" w:color="auto" w:fill="auto"/>
            <w:noWrap/>
            <w:vAlign w:val="bottom"/>
            <w:hideMark/>
          </w:tcPr>
          <w:p w14:paraId="5A806F9C"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826.5</w:t>
            </w:r>
          </w:p>
        </w:tc>
      </w:tr>
      <w:tr w:rsidR="00CB5476" w:rsidRPr="00CB5476" w14:paraId="384F3B8A" w14:textId="77777777" w:rsidTr="00386F8A">
        <w:trPr>
          <w:trHeight w:val="466"/>
        </w:trPr>
        <w:tc>
          <w:tcPr>
            <w:tcW w:w="2304" w:type="dxa"/>
            <w:tcBorders>
              <w:top w:val="nil"/>
              <w:left w:val="single" w:sz="4" w:space="0" w:color="auto"/>
              <w:bottom w:val="single" w:sz="4" w:space="0" w:color="auto"/>
              <w:right w:val="single" w:sz="4" w:space="0" w:color="auto"/>
            </w:tcBorders>
            <w:shd w:val="clear" w:color="auto" w:fill="auto"/>
            <w:noWrap/>
            <w:vAlign w:val="bottom"/>
            <w:hideMark/>
          </w:tcPr>
          <w:p w14:paraId="0908F3C4" w14:textId="77777777" w:rsidR="00CB5476" w:rsidRPr="00CB5476" w:rsidRDefault="00CB5476" w:rsidP="00CB5476">
            <w:pPr>
              <w:spacing w:after="0" w:line="240" w:lineRule="auto"/>
              <w:rPr>
                <w:rFonts w:ascii="Calibri" w:eastAsia="Times New Roman" w:hAnsi="Calibri" w:cs="Times New Roman"/>
                <w:b/>
                <w:bCs/>
                <w:color w:val="000000"/>
                <w:lang w:eastAsia="en-GB"/>
              </w:rPr>
            </w:pPr>
            <w:r w:rsidRPr="00CB5476">
              <w:rPr>
                <w:rFonts w:ascii="Calibri" w:eastAsia="Times New Roman" w:hAnsi="Calibri" w:cs="Times New Roman"/>
                <w:b/>
                <w:bCs/>
                <w:color w:val="000000"/>
                <w:lang w:eastAsia="en-GB"/>
              </w:rPr>
              <w:t>Equity</w:t>
            </w:r>
          </w:p>
        </w:tc>
        <w:tc>
          <w:tcPr>
            <w:tcW w:w="1129" w:type="dxa"/>
            <w:tcBorders>
              <w:top w:val="nil"/>
              <w:left w:val="nil"/>
              <w:bottom w:val="single" w:sz="4" w:space="0" w:color="auto"/>
              <w:right w:val="single" w:sz="4" w:space="0" w:color="auto"/>
            </w:tcBorders>
            <w:shd w:val="clear" w:color="auto" w:fill="auto"/>
            <w:noWrap/>
            <w:vAlign w:val="bottom"/>
            <w:hideMark/>
          </w:tcPr>
          <w:p w14:paraId="377C6212"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304</w:t>
            </w:r>
          </w:p>
        </w:tc>
        <w:tc>
          <w:tcPr>
            <w:tcW w:w="1084" w:type="dxa"/>
            <w:tcBorders>
              <w:top w:val="nil"/>
              <w:left w:val="nil"/>
              <w:bottom w:val="single" w:sz="4" w:space="0" w:color="auto"/>
              <w:right w:val="single" w:sz="4" w:space="0" w:color="auto"/>
            </w:tcBorders>
            <w:shd w:val="clear" w:color="auto" w:fill="auto"/>
            <w:noWrap/>
            <w:vAlign w:val="bottom"/>
            <w:hideMark/>
          </w:tcPr>
          <w:p w14:paraId="39CB2B66"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400.8</w:t>
            </w:r>
          </w:p>
        </w:tc>
        <w:tc>
          <w:tcPr>
            <w:tcW w:w="1084" w:type="dxa"/>
            <w:tcBorders>
              <w:top w:val="nil"/>
              <w:left w:val="nil"/>
              <w:bottom w:val="single" w:sz="4" w:space="0" w:color="auto"/>
              <w:right w:val="single" w:sz="4" w:space="0" w:color="auto"/>
            </w:tcBorders>
            <w:shd w:val="clear" w:color="auto" w:fill="auto"/>
            <w:noWrap/>
            <w:vAlign w:val="bottom"/>
            <w:hideMark/>
          </w:tcPr>
          <w:p w14:paraId="424CC03F"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579</w:t>
            </w:r>
          </w:p>
        </w:tc>
        <w:tc>
          <w:tcPr>
            <w:tcW w:w="1084" w:type="dxa"/>
            <w:tcBorders>
              <w:top w:val="nil"/>
              <w:left w:val="nil"/>
              <w:bottom w:val="single" w:sz="4" w:space="0" w:color="auto"/>
              <w:right w:val="single" w:sz="4" w:space="0" w:color="auto"/>
            </w:tcBorders>
            <w:shd w:val="clear" w:color="auto" w:fill="auto"/>
            <w:noWrap/>
            <w:vAlign w:val="bottom"/>
            <w:hideMark/>
          </w:tcPr>
          <w:p w14:paraId="157802B6"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834.3</w:t>
            </w:r>
          </w:p>
        </w:tc>
        <w:tc>
          <w:tcPr>
            <w:tcW w:w="1084" w:type="dxa"/>
            <w:tcBorders>
              <w:top w:val="nil"/>
              <w:left w:val="nil"/>
              <w:bottom w:val="single" w:sz="4" w:space="0" w:color="auto"/>
              <w:right w:val="single" w:sz="4" w:space="0" w:color="auto"/>
            </w:tcBorders>
            <w:shd w:val="clear" w:color="auto" w:fill="auto"/>
            <w:noWrap/>
            <w:vAlign w:val="bottom"/>
            <w:hideMark/>
          </w:tcPr>
          <w:p w14:paraId="380CC115"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1076.8</w:t>
            </w:r>
          </w:p>
        </w:tc>
        <w:tc>
          <w:tcPr>
            <w:tcW w:w="1084" w:type="dxa"/>
            <w:tcBorders>
              <w:top w:val="nil"/>
              <w:left w:val="nil"/>
              <w:bottom w:val="single" w:sz="4" w:space="0" w:color="auto"/>
              <w:right w:val="single" w:sz="4" w:space="0" w:color="auto"/>
            </w:tcBorders>
            <w:shd w:val="clear" w:color="auto" w:fill="auto"/>
            <w:noWrap/>
            <w:vAlign w:val="bottom"/>
            <w:hideMark/>
          </w:tcPr>
          <w:p w14:paraId="5C58089C" w14:textId="77777777" w:rsidR="00CB5476" w:rsidRPr="00CB5476" w:rsidRDefault="00CB5476" w:rsidP="00386F8A">
            <w:pPr>
              <w:spacing w:after="0" w:line="240" w:lineRule="auto"/>
              <w:jc w:val="center"/>
              <w:rPr>
                <w:rFonts w:ascii="Calibri" w:eastAsia="Times New Roman" w:hAnsi="Calibri" w:cs="Times New Roman"/>
                <w:color w:val="000000"/>
                <w:lang w:eastAsia="en-GB"/>
              </w:rPr>
            </w:pPr>
            <w:r w:rsidRPr="00CB5476">
              <w:rPr>
                <w:rFonts w:ascii="Calibri" w:eastAsia="Times New Roman" w:hAnsi="Calibri" w:cs="Times New Roman"/>
                <w:color w:val="000000"/>
                <w:lang w:eastAsia="en-GB"/>
              </w:rPr>
              <w:t>1252.4</w:t>
            </w:r>
          </w:p>
        </w:tc>
      </w:tr>
    </w:tbl>
    <w:p w14:paraId="0F080B79" w14:textId="03277C0D" w:rsidR="00386F8A" w:rsidRDefault="00386F8A" w:rsidP="00A44217">
      <w:pPr>
        <w:rPr>
          <w:rFonts w:ascii="Times New Roman" w:hAnsi="Times New Roman" w:cs="Times New Roman"/>
          <w:sz w:val="24"/>
          <w:szCs w:val="24"/>
        </w:rPr>
      </w:pPr>
      <w:r>
        <w:rPr>
          <w:rFonts w:ascii="Times New Roman" w:hAnsi="Times New Roman" w:cs="Times New Roman"/>
          <w:sz w:val="24"/>
          <w:szCs w:val="24"/>
        </w:rPr>
        <w:t>.</w:t>
      </w:r>
    </w:p>
    <w:p w14:paraId="1CCEBA85" w14:textId="33D34D29" w:rsidR="00386F8A" w:rsidRDefault="00386F8A" w:rsidP="00A44217">
      <w:pPr>
        <w:rPr>
          <w:rFonts w:ascii="Times New Roman" w:hAnsi="Times New Roman" w:cs="Times New Roman"/>
          <w:sz w:val="24"/>
          <w:szCs w:val="24"/>
        </w:rPr>
      </w:pPr>
      <w:r>
        <w:rPr>
          <w:rFonts w:ascii="Times New Roman" w:hAnsi="Times New Roman" w:cs="Times New Roman"/>
          <w:sz w:val="24"/>
          <w:szCs w:val="24"/>
        </w:rPr>
        <w:t xml:space="preserve"> The debt to capital ratio calculates the fraction of the company which is financed by debt.</w:t>
      </w:r>
    </w:p>
    <w:p w14:paraId="40480E2A" w14:textId="77777777" w:rsidR="007F7523" w:rsidRDefault="00386F8A" w:rsidP="00A44217">
      <w:pPr>
        <w:rPr>
          <w:rFonts w:ascii="Times New Roman" w:hAnsi="Times New Roman" w:cs="Times New Roman"/>
          <w:sz w:val="24"/>
          <w:szCs w:val="24"/>
        </w:rPr>
      </w:pPr>
      <w:r>
        <w:rPr>
          <w:rFonts w:ascii="Times New Roman" w:hAnsi="Times New Roman" w:cs="Times New Roman"/>
          <w:sz w:val="24"/>
          <w:szCs w:val="24"/>
        </w:rPr>
        <w:t xml:space="preserve">From the data above can be seen that JD Sports has very good leverage ratios which means they are in a strong position for obtaining for new loans if that is </w:t>
      </w:r>
      <w:r w:rsidR="00747600">
        <w:rPr>
          <w:rFonts w:ascii="Times New Roman" w:hAnsi="Times New Roman" w:cs="Times New Roman"/>
          <w:sz w:val="24"/>
          <w:szCs w:val="24"/>
        </w:rPr>
        <w:t xml:space="preserve">wanted and there is only a small chance for the investors to be affected by an equity payment reduction because of </w:t>
      </w:r>
      <w:r>
        <w:rPr>
          <w:rFonts w:ascii="Times New Roman" w:hAnsi="Times New Roman" w:cs="Times New Roman"/>
          <w:sz w:val="24"/>
          <w:szCs w:val="24"/>
        </w:rPr>
        <w:t xml:space="preserve"> </w:t>
      </w:r>
      <w:r w:rsidR="00747600">
        <w:rPr>
          <w:rFonts w:ascii="Times New Roman" w:hAnsi="Times New Roman" w:cs="Times New Roman"/>
          <w:sz w:val="24"/>
          <w:szCs w:val="24"/>
        </w:rPr>
        <w:t xml:space="preserve">its </w:t>
      </w:r>
      <w:r w:rsidR="00747600">
        <w:rPr>
          <w:rFonts w:ascii="Times New Roman" w:hAnsi="Times New Roman" w:cs="Times New Roman"/>
          <w:sz w:val="24"/>
          <w:szCs w:val="24"/>
        </w:rPr>
        <w:lastRenderedPageBreak/>
        <w:t>debt which makes JD Sports a relatively low risk investment from this point of view on the other side Sports Direct does not enjoy such good leverage ratios but it is still in a good position but the future borrowings can be affected by it by debtors asking for higher interest for their loans in order to cover the risks they are exposed to</w:t>
      </w:r>
      <w:r w:rsidR="007F7523">
        <w:rPr>
          <w:rFonts w:ascii="Times New Roman" w:hAnsi="Times New Roman" w:cs="Times New Roman"/>
          <w:sz w:val="24"/>
          <w:szCs w:val="24"/>
        </w:rPr>
        <w:t>.</w:t>
      </w:r>
    </w:p>
    <w:p w14:paraId="35F84AC2" w14:textId="77777777" w:rsidR="00534101" w:rsidRDefault="007F7523" w:rsidP="00A44217">
      <w:pPr>
        <w:rPr>
          <w:rFonts w:ascii="Times New Roman" w:hAnsi="Times New Roman" w:cs="Times New Roman"/>
          <w:sz w:val="24"/>
          <w:szCs w:val="24"/>
        </w:rPr>
      </w:pPr>
      <w:r>
        <w:rPr>
          <w:rFonts w:ascii="Times New Roman" w:hAnsi="Times New Roman" w:cs="Times New Roman"/>
          <w:sz w:val="24"/>
          <w:szCs w:val="24"/>
        </w:rPr>
        <w:t xml:space="preserve"> As recommendations for JD Sports the following are proposed:</w:t>
      </w:r>
    </w:p>
    <w:p w14:paraId="4C43ED05" w14:textId="7D57241D" w:rsidR="00386F8A" w:rsidRDefault="00534101" w:rsidP="00A44217">
      <w:pPr>
        <w:rPr>
          <w:rFonts w:ascii="Times New Roman" w:hAnsi="Times New Roman" w:cs="Times New Roman"/>
          <w:sz w:val="24"/>
          <w:szCs w:val="24"/>
        </w:rPr>
      </w:pPr>
      <w:r>
        <w:rPr>
          <w:rFonts w:ascii="Times New Roman" w:hAnsi="Times New Roman" w:cs="Times New Roman"/>
          <w:sz w:val="24"/>
          <w:szCs w:val="24"/>
        </w:rPr>
        <w:t xml:space="preserve"> Increasing the current and the quick ratios by increasing the price of the products or reducing the costs of sales by negotiating a better price with the distributors or finding new ones</w:t>
      </w:r>
      <w:r w:rsidR="00E37B05">
        <w:rPr>
          <w:rFonts w:ascii="Times New Roman" w:hAnsi="Times New Roman" w:cs="Times New Roman"/>
          <w:sz w:val="24"/>
          <w:szCs w:val="24"/>
        </w:rPr>
        <w:t>,</w:t>
      </w:r>
      <w:r>
        <w:rPr>
          <w:rFonts w:ascii="Times New Roman" w:hAnsi="Times New Roman" w:cs="Times New Roman"/>
          <w:sz w:val="24"/>
          <w:szCs w:val="24"/>
        </w:rPr>
        <w:t xml:space="preserve"> reducing the value of their inventory by selling a bigger part of it, increasing its cash asset in order to protect itself from future risks, </w:t>
      </w:r>
      <w:r w:rsidR="001C40D0">
        <w:rPr>
          <w:rFonts w:ascii="Times New Roman" w:hAnsi="Times New Roman" w:cs="Times New Roman"/>
          <w:sz w:val="24"/>
          <w:szCs w:val="24"/>
        </w:rPr>
        <w:t>The company has increased its equity considerably since 2015 but its debt to equity ratio remained at approximately the same level which is an important strength but it’s competitor pays more equity (although its dept to equity level is alarming ) which it can make it a more attractive company for short term investors so increasing its equity even more will result in increased attractiveness for new in</w:t>
      </w:r>
      <w:r w:rsidR="00B713D7">
        <w:rPr>
          <w:rFonts w:ascii="Times New Roman" w:hAnsi="Times New Roman" w:cs="Times New Roman"/>
          <w:sz w:val="24"/>
          <w:szCs w:val="24"/>
        </w:rPr>
        <w:t>v</w:t>
      </w:r>
      <w:r w:rsidR="001C40D0">
        <w:rPr>
          <w:rFonts w:ascii="Times New Roman" w:hAnsi="Times New Roman" w:cs="Times New Roman"/>
          <w:sz w:val="24"/>
          <w:szCs w:val="24"/>
        </w:rPr>
        <w:t>estors</w:t>
      </w:r>
      <w:r w:rsidR="00B713D7">
        <w:rPr>
          <w:rFonts w:ascii="Times New Roman" w:hAnsi="Times New Roman" w:cs="Times New Roman"/>
          <w:sz w:val="24"/>
          <w:szCs w:val="24"/>
        </w:rPr>
        <w:t>, the company’s assets</w:t>
      </w:r>
      <w:r w:rsidR="001C40D0">
        <w:rPr>
          <w:rFonts w:ascii="Times New Roman" w:hAnsi="Times New Roman" w:cs="Times New Roman"/>
          <w:sz w:val="24"/>
          <w:szCs w:val="24"/>
        </w:rPr>
        <w:t xml:space="preserve"> </w:t>
      </w:r>
      <w:r w:rsidR="00B713D7">
        <w:rPr>
          <w:rFonts w:ascii="Times New Roman" w:hAnsi="Times New Roman" w:cs="Times New Roman"/>
          <w:sz w:val="24"/>
          <w:szCs w:val="24"/>
        </w:rPr>
        <w:t>turnover is relatively small compared to it’s fixed assets turnover from which we can recommend that the company should reduce its inventory</w:t>
      </w:r>
      <w:r w:rsidR="00E37B05">
        <w:rPr>
          <w:rFonts w:ascii="Times New Roman" w:hAnsi="Times New Roman" w:cs="Times New Roman"/>
          <w:sz w:val="24"/>
          <w:szCs w:val="24"/>
        </w:rPr>
        <w:t xml:space="preserve">, by doing this it will increase its profit margins and operating margins which have decreased considerably for compared with </w:t>
      </w:r>
      <w:r w:rsidR="004C4BE0">
        <w:rPr>
          <w:rFonts w:ascii="Times New Roman" w:hAnsi="Times New Roman" w:cs="Times New Roman"/>
          <w:sz w:val="24"/>
          <w:szCs w:val="24"/>
        </w:rPr>
        <w:t>the margin of the last two years.</w:t>
      </w:r>
    </w:p>
    <w:p w14:paraId="0A2BB78F" w14:textId="2F86E2B7" w:rsidR="00B713D7" w:rsidRDefault="00B713D7" w:rsidP="00A44217">
      <w:pPr>
        <w:rPr>
          <w:rFonts w:ascii="Times New Roman" w:hAnsi="Times New Roman" w:cs="Times New Roman"/>
          <w:sz w:val="24"/>
          <w:szCs w:val="24"/>
        </w:rPr>
      </w:pPr>
      <w:r>
        <w:rPr>
          <w:rFonts w:ascii="Times New Roman" w:hAnsi="Times New Roman" w:cs="Times New Roman"/>
          <w:sz w:val="24"/>
          <w:szCs w:val="24"/>
        </w:rPr>
        <w:t xml:space="preserve"> As Conclusion JD Sports has a strong financial and market position, being more efficient than its competitor Sports Direct paying comparable amount of equity </w:t>
      </w:r>
      <w:r w:rsidR="004F0030">
        <w:rPr>
          <w:rFonts w:ascii="Times New Roman" w:hAnsi="Times New Roman" w:cs="Times New Roman"/>
          <w:sz w:val="24"/>
          <w:szCs w:val="24"/>
        </w:rPr>
        <w:t>with less debt and with bigger profit margin.</w:t>
      </w:r>
    </w:p>
    <w:p w14:paraId="1E3EAFE9" w14:textId="4CCF9DB4" w:rsidR="00322EE7" w:rsidRDefault="006F6CB1" w:rsidP="00533D17">
      <w:pPr>
        <w:rPr>
          <w:rFonts w:ascii="Times New Roman" w:hAnsi="Times New Roman" w:cs="Times New Roman"/>
          <w:sz w:val="24"/>
          <w:szCs w:val="24"/>
        </w:rPr>
      </w:pPr>
      <w:r>
        <w:rPr>
          <w:rFonts w:ascii="Times New Roman" w:hAnsi="Times New Roman" w:cs="Times New Roman"/>
          <w:sz w:val="24"/>
          <w:szCs w:val="24"/>
        </w:rPr>
        <w:t xml:space="preserve"> </w:t>
      </w:r>
    </w:p>
    <w:p w14:paraId="24C63DBA" w14:textId="77777777" w:rsidR="00322EE7" w:rsidRDefault="00322EE7" w:rsidP="00A44217">
      <w:pPr>
        <w:rPr>
          <w:rFonts w:ascii="Times New Roman" w:hAnsi="Times New Roman" w:cs="Times New Roman"/>
          <w:sz w:val="24"/>
          <w:szCs w:val="24"/>
        </w:rPr>
      </w:pPr>
    </w:p>
    <w:p w14:paraId="74DE6D29" w14:textId="04D42843" w:rsidR="00A44217" w:rsidRDefault="00A44217" w:rsidP="00A44217">
      <w:pPr>
        <w:rPr>
          <w:rFonts w:ascii="Times New Roman" w:hAnsi="Times New Roman" w:cs="Times New Roman"/>
          <w:b/>
          <w:sz w:val="24"/>
          <w:szCs w:val="24"/>
        </w:rPr>
      </w:pPr>
      <w:r>
        <w:rPr>
          <w:rFonts w:ascii="Times New Roman" w:hAnsi="Times New Roman" w:cs="Times New Roman"/>
          <w:b/>
          <w:sz w:val="24"/>
          <w:szCs w:val="24"/>
        </w:rPr>
        <w:t>Part C</w:t>
      </w:r>
    </w:p>
    <w:p w14:paraId="5A194178" w14:textId="182E8CB6" w:rsidR="00A44217" w:rsidRDefault="005F0B08" w:rsidP="00A44217">
      <w:pPr>
        <w:rPr>
          <w:rFonts w:ascii="Times New Roman" w:hAnsi="Times New Roman" w:cs="Times New Roman"/>
          <w:sz w:val="24"/>
          <w:szCs w:val="24"/>
        </w:rPr>
      </w:pPr>
      <w:r w:rsidRPr="00761CD6">
        <w:rPr>
          <w:rFonts w:ascii="Times New Roman" w:hAnsi="Times New Roman" w:cs="Times New Roman"/>
          <w:sz w:val="24"/>
          <w:szCs w:val="24"/>
        </w:rPr>
        <w:t xml:space="preserve"> JD SPORTS </w:t>
      </w:r>
      <w:r w:rsidR="00761CD6">
        <w:rPr>
          <w:rFonts w:ascii="Times New Roman" w:hAnsi="Times New Roman" w:cs="Times New Roman"/>
          <w:sz w:val="24"/>
          <w:szCs w:val="24"/>
        </w:rPr>
        <w:t>is looking to invest in a new project, this part of the paper will analyse two different projects (project A and project B) in order to establish the best project to invest in.</w:t>
      </w:r>
    </w:p>
    <w:p w14:paraId="4CD8D332" w14:textId="242A5BE5" w:rsidR="00761CD6" w:rsidRDefault="00761CD6" w:rsidP="00A44217">
      <w:pPr>
        <w:rPr>
          <w:rFonts w:ascii="Times New Roman" w:hAnsi="Times New Roman" w:cs="Times New Roman"/>
          <w:sz w:val="24"/>
          <w:szCs w:val="24"/>
        </w:rPr>
      </w:pPr>
      <w:r>
        <w:rPr>
          <w:rFonts w:ascii="Times New Roman" w:hAnsi="Times New Roman" w:cs="Times New Roman"/>
          <w:sz w:val="24"/>
          <w:szCs w:val="24"/>
        </w:rPr>
        <w:t xml:space="preserve"> The first factor that will be analysed is the payback period which is the number of years it takes </w:t>
      </w:r>
      <w:r w:rsidR="00C75659">
        <w:rPr>
          <w:rFonts w:ascii="Times New Roman" w:hAnsi="Times New Roman" w:cs="Times New Roman"/>
          <w:sz w:val="24"/>
          <w:szCs w:val="24"/>
        </w:rPr>
        <w:t xml:space="preserve">in order for the initial investment to be covered by the projected cumulative cash flows, in which case for the project A it will take 3.2 years and for project B it will take 2.25 years, if only this factor is taken in consideration, project be will be more profitable to adopt because it takes a shorter period of time to repay the initial investment; however making investment decisions based solely on payback period is </w:t>
      </w:r>
      <w:r w:rsidR="008927BE">
        <w:rPr>
          <w:rFonts w:ascii="Times New Roman" w:hAnsi="Times New Roman" w:cs="Times New Roman"/>
          <w:sz w:val="24"/>
          <w:szCs w:val="24"/>
        </w:rPr>
        <w:t>inopportune because as expressed by (A. Braley, C. Myers and F. Allen</w:t>
      </w:r>
      <w:r w:rsidR="001F58BF">
        <w:rPr>
          <w:rFonts w:ascii="Times New Roman" w:hAnsi="Times New Roman" w:cs="Times New Roman"/>
          <w:sz w:val="24"/>
          <w:szCs w:val="24"/>
        </w:rPr>
        <w:t xml:space="preserve"> 2011</w:t>
      </w:r>
      <w:r w:rsidR="008927BE">
        <w:rPr>
          <w:rFonts w:ascii="Times New Roman" w:hAnsi="Times New Roman" w:cs="Times New Roman"/>
          <w:sz w:val="24"/>
          <w:szCs w:val="24"/>
        </w:rPr>
        <w:t xml:space="preserve">) it </w:t>
      </w:r>
      <w:r w:rsidR="00870A45">
        <w:rPr>
          <w:rFonts w:ascii="Times New Roman" w:hAnsi="Times New Roman" w:cs="Times New Roman"/>
          <w:sz w:val="24"/>
          <w:szCs w:val="24"/>
        </w:rPr>
        <w:t>has</w:t>
      </w:r>
      <w:r w:rsidR="008927BE">
        <w:rPr>
          <w:rFonts w:ascii="Times New Roman" w:hAnsi="Times New Roman" w:cs="Times New Roman"/>
          <w:sz w:val="24"/>
          <w:szCs w:val="24"/>
        </w:rPr>
        <w:t xml:space="preserve"> some significant short coming as: it ignores all the cash flows after the initial investment </w:t>
      </w:r>
      <w:r w:rsidR="00870A45">
        <w:rPr>
          <w:rFonts w:ascii="Times New Roman" w:hAnsi="Times New Roman" w:cs="Times New Roman"/>
          <w:sz w:val="24"/>
          <w:szCs w:val="24"/>
        </w:rPr>
        <w:t xml:space="preserve">amount is reached, for example project A has a cash inflow of 55 million in year 4 and project B has a total inflow if 40 million for </w:t>
      </w:r>
      <w:r w:rsidR="00C34C69">
        <w:rPr>
          <w:rFonts w:ascii="Times New Roman" w:hAnsi="Times New Roman" w:cs="Times New Roman"/>
          <w:sz w:val="24"/>
          <w:szCs w:val="24"/>
        </w:rPr>
        <w:t xml:space="preserve">the </w:t>
      </w:r>
      <w:r w:rsidR="00870A45">
        <w:rPr>
          <w:rFonts w:ascii="Times New Roman" w:hAnsi="Times New Roman" w:cs="Times New Roman"/>
          <w:sz w:val="24"/>
          <w:szCs w:val="24"/>
        </w:rPr>
        <w:t>years 3 and 4 so by taking in consideration only the payback period, this information will be ignored,</w:t>
      </w:r>
      <w:r w:rsidR="00A6510B">
        <w:rPr>
          <w:rFonts w:ascii="Times New Roman" w:hAnsi="Times New Roman" w:cs="Times New Roman"/>
          <w:sz w:val="24"/>
          <w:szCs w:val="24"/>
        </w:rPr>
        <w:t xml:space="preserve"> it give equal weight to every cash flows by not taking in consideration the time value of money.</w:t>
      </w:r>
    </w:p>
    <w:p w14:paraId="108399EF" w14:textId="77777777" w:rsidR="007279B1" w:rsidRDefault="000C52C3" w:rsidP="00A44217">
      <w:pPr>
        <w:rPr>
          <w:rFonts w:ascii="Times New Roman" w:hAnsi="Times New Roman" w:cs="Times New Roman"/>
          <w:sz w:val="24"/>
          <w:szCs w:val="24"/>
        </w:rPr>
      </w:pPr>
      <w:r>
        <w:rPr>
          <w:rFonts w:ascii="Times New Roman" w:hAnsi="Times New Roman" w:cs="Times New Roman"/>
          <w:sz w:val="24"/>
          <w:szCs w:val="24"/>
        </w:rPr>
        <w:lastRenderedPageBreak/>
        <w:t xml:space="preserve"> The second factor will be the accounting rate of return</w:t>
      </w:r>
      <w:r w:rsidR="006A45C9">
        <w:rPr>
          <w:rFonts w:ascii="Times New Roman" w:hAnsi="Times New Roman" w:cs="Times New Roman"/>
          <w:sz w:val="24"/>
          <w:szCs w:val="24"/>
        </w:rPr>
        <w:t xml:space="preserve"> which </w:t>
      </w:r>
      <w:r w:rsidR="006439A2">
        <w:rPr>
          <w:rFonts w:ascii="Times New Roman" w:hAnsi="Times New Roman" w:cs="Times New Roman"/>
          <w:sz w:val="24"/>
          <w:szCs w:val="24"/>
        </w:rPr>
        <w:t>is the profitability ratio of a project based on its book values which for project A the accounting rate of return is 28% and for project B is 23%. The accounting rate of return is beneficial because it gives the value in percentage terms which can be easily understood by the investors and it considers the whole of a project unlike the payback period but the disadvantages ca</w:t>
      </w:r>
      <w:r w:rsidR="001F58BF">
        <w:rPr>
          <w:rFonts w:ascii="Times New Roman" w:hAnsi="Times New Roman" w:cs="Times New Roman"/>
          <w:sz w:val="24"/>
          <w:szCs w:val="24"/>
        </w:rPr>
        <w:t>n</w:t>
      </w:r>
      <w:r w:rsidR="006439A2">
        <w:rPr>
          <w:rFonts w:ascii="Times New Roman" w:hAnsi="Times New Roman" w:cs="Times New Roman"/>
          <w:sz w:val="24"/>
          <w:szCs w:val="24"/>
        </w:rPr>
        <w:t xml:space="preserve"> </w:t>
      </w:r>
      <w:r w:rsidR="001F58BF">
        <w:rPr>
          <w:rFonts w:ascii="Times New Roman" w:hAnsi="Times New Roman" w:cs="Times New Roman"/>
          <w:sz w:val="24"/>
          <w:szCs w:val="24"/>
        </w:rPr>
        <w:t xml:space="preserve">be found in the fact that is based only on the book values of the projects which can be easily manipulated to seem something else for example some cash outflows can be labelled as capital investments and other as operating costs (A. Braley, C. Myers and F. Allen 2011)  </w:t>
      </w:r>
      <w:r w:rsidR="006439A2">
        <w:rPr>
          <w:rFonts w:ascii="Times New Roman" w:hAnsi="Times New Roman" w:cs="Times New Roman"/>
          <w:sz w:val="24"/>
          <w:szCs w:val="24"/>
        </w:rPr>
        <w:t xml:space="preserve">  </w:t>
      </w:r>
    </w:p>
    <w:p w14:paraId="67C43320" w14:textId="29F5E77A" w:rsidR="00CF58CF" w:rsidRDefault="00CF58CF" w:rsidP="00A44217">
      <w:pPr>
        <w:rPr>
          <w:rFonts w:ascii="Times New Roman" w:hAnsi="Times New Roman" w:cs="Times New Roman"/>
          <w:sz w:val="24"/>
          <w:szCs w:val="24"/>
        </w:rPr>
      </w:pPr>
      <w:r>
        <w:rPr>
          <w:rFonts w:ascii="Times New Roman" w:hAnsi="Times New Roman" w:cs="Times New Roman"/>
          <w:sz w:val="24"/>
          <w:szCs w:val="24"/>
        </w:rPr>
        <w:t xml:space="preserve"> The third factor will be the internal rate of return which is the </w:t>
      </w:r>
      <w:r w:rsidR="002E210A">
        <w:rPr>
          <w:rFonts w:ascii="Times New Roman" w:hAnsi="Times New Roman" w:cs="Times New Roman"/>
          <w:sz w:val="24"/>
          <w:szCs w:val="24"/>
        </w:rPr>
        <w:t xml:space="preserve">is the rate of return from which the project’s </w:t>
      </w:r>
      <w:r w:rsidR="00412BC8">
        <w:rPr>
          <w:rFonts w:ascii="Times New Roman" w:hAnsi="Times New Roman" w:cs="Times New Roman"/>
          <w:sz w:val="24"/>
          <w:szCs w:val="24"/>
        </w:rPr>
        <w:t xml:space="preserve">total present </w:t>
      </w:r>
      <w:r w:rsidR="002E210A">
        <w:rPr>
          <w:rFonts w:ascii="Times New Roman" w:hAnsi="Times New Roman" w:cs="Times New Roman"/>
          <w:sz w:val="24"/>
          <w:szCs w:val="24"/>
        </w:rPr>
        <w:t xml:space="preserve">value will be equal to 0 this is use as a benchmark for comparison in order to establish if a project is </w:t>
      </w:r>
      <w:r w:rsidR="00412BC8">
        <w:rPr>
          <w:rFonts w:ascii="Times New Roman" w:hAnsi="Times New Roman" w:cs="Times New Roman"/>
          <w:sz w:val="24"/>
          <w:szCs w:val="24"/>
        </w:rPr>
        <w:t xml:space="preserve">worthy of pursuing or to compare multiple project, as a general rule if a project internal rate of return is higher than the companies rate of return than taking the project on board will add value to the company in this case project A internal rate of return is of 18% and for project B is of 22%   </w:t>
      </w:r>
    </w:p>
    <w:p w14:paraId="10BF8568" w14:textId="4BBCD94F" w:rsidR="000C52C3" w:rsidRDefault="005274F8" w:rsidP="00A44217">
      <w:pPr>
        <w:rPr>
          <w:rFonts w:ascii="Times New Roman" w:hAnsi="Times New Roman" w:cs="Times New Roman"/>
          <w:sz w:val="24"/>
          <w:szCs w:val="24"/>
        </w:rPr>
      </w:pPr>
      <w:r>
        <w:rPr>
          <w:rFonts w:ascii="Times New Roman" w:hAnsi="Times New Roman" w:cs="Times New Roman"/>
          <w:sz w:val="24"/>
          <w:szCs w:val="24"/>
        </w:rPr>
        <w:t xml:space="preserve"> The fourth factor will be net present value which is the value of the cashflows when the time value of money is taken in consideration </w:t>
      </w:r>
      <w:r w:rsidR="006D37FD">
        <w:rPr>
          <w:rFonts w:ascii="Times New Roman" w:hAnsi="Times New Roman" w:cs="Times New Roman"/>
          <w:sz w:val="24"/>
          <w:szCs w:val="24"/>
        </w:rPr>
        <w:t xml:space="preserve">and converts the future cashflows in present value </w:t>
      </w:r>
      <w:r>
        <w:rPr>
          <w:rFonts w:ascii="Times New Roman" w:hAnsi="Times New Roman" w:cs="Times New Roman"/>
          <w:sz w:val="24"/>
          <w:szCs w:val="24"/>
        </w:rPr>
        <w:t>(</w:t>
      </w:r>
      <w:r w:rsidR="00CF58CF">
        <w:rPr>
          <w:rFonts w:ascii="Times New Roman" w:hAnsi="Times New Roman" w:cs="Times New Roman"/>
          <w:sz w:val="24"/>
          <w:szCs w:val="24"/>
        </w:rPr>
        <w:t>at a cost of capital of 9.75%) where project A has a net present value of</w:t>
      </w:r>
      <w:r w:rsidR="006D37FD">
        <w:rPr>
          <w:rFonts w:ascii="Times New Roman" w:hAnsi="Times New Roman" w:cs="Times New Roman"/>
          <w:sz w:val="24"/>
          <w:szCs w:val="24"/>
        </w:rPr>
        <w:t xml:space="preserve"> </w:t>
      </w:r>
      <w:r w:rsidR="003B1D6C">
        <w:rPr>
          <w:rFonts w:ascii="Times New Roman" w:hAnsi="Times New Roman" w:cs="Times New Roman"/>
          <w:sz w:val="24"/>
          <w:szCs w:val="24"/>
        </w:rPr>
        <w:t>16.</w:t>
      </w:r>
      <w:r w:rsidR="00F0783A">
        <w:rPr>
          <w:rFonts w:ascii="Times New Roman" w:hAnsi="Times New Roman" w:cs="Times New Roman"/>
          <w:sz w:val="24"/>
          <w:szCs w:val="24"/>
        </w:rPr>
        <w:t xml:space="preserve">6 </w:t>
      </w:r>
      <w:r w:rsidR="006D37FD">
        <w:rPr>
          <w:rFonts w:ascii="Times New Roman" w:hAnsi="Times New Roman" w:cs="Times New Roman"/>
          <w:sz w:val="24"/>
          <w:szCs w:val="24"/>
        </w:rPr>
        <w:t xml:space="preserve">million pounds and project B </w:t>
      </w:r>
      <w:r w:rsidR="00F0783A">
        <w:rPr>
          <w:rFonts w:ascii="Times New Roman" w:hAnsi="Times New Roman" w:cs="Times New Roman"/>
          <w:sz w:val="24"/>
          <w:szCs w:val="24"/>
        </w:rPr>
        <w:t>16.08</w:t>
      </w:r>
      <w:r w:rsidR="006D37FD">
        <w:rPr>
          <w:rFonts w:ascii="Times New Roman" w:hAnsi="Times New Roman" w:cs="Times New Roman"/>
          <w:sz w:val="24"/>
          <w:szCs w:val="24"/>
        </w:rPr>
        <w:t xml:space="preserve"> million pounds</w:t>
      </w:r>
      <w:r w:rsidR="00CF58CF">
        <w:rPr>
          <w:rFonts w:ascii="Times New Roman" w:hAnsi="Times New Roman" w:cs="Times New Roman"/>
          <w:sz w:val="24"/>
          <w:szCs w:val="24"/>
        </w:rPr>
        <w:t xml:space="preserve"> </w:t>
      </w:r>
      <w:r w:rsidR="006D37FD">
        <w:rPr>
          <w:rFonts w:ascii="Times New Roman" w:hAnsi="Times New Roman" w:cs="Times New Roman"/>
          <w:sz w:val="24"/>
          <w:szCs w:val="24"/>
        </w:rPr>
        <w:t xml:space="preserve"> </w:t>
      </w:r>
    </w:p>
    <w:p w14:paraId="4D827213" w14:textId="55B1CB64" w:rsidR="006D37FD" w:rsidRDefault="006D37FD" w:rsidP="00A44217">
      <w:pPr>
        <w:rPr>
          <w:rFonts w:ascii="Times New Roman" w:hAnsi="Times New Roman" w:cs="Times New Roman"/>
          <w:sz w:val="24"/>
          <w:szCs w:val="24"/>
        </w:rPr>
      </w:pPr>
      <w:r>
        <w:rPr>
          <w:rFonts w:ascii="Times New Roman" w:hAnsi="Times New Roman" w:cs="Times New Roman"/>
          <w:sz w:val="24"/>
          <w:szCs w:val="24"/>
        </w:rPr>
        <w:t xml:space="preserve"> The net present value and internal rate of return are tools recommended by the majority of finance textbooks </w:t>
      </w:r>
      <w:r w:rsidR="00203DBF">
        <w:rPr>
          <w:rFonts w:ascii="Times New Roman" w:hAnsi="Times New Roman" w:cs="Times New Roman"/>
          <w:sz w:val="24"/>
          <w:szCs w:val="24"/>
        </w:rPr>
        <w:t>(A. Braley, C. Myers and F. Allen) although the future cashflows are difficult to predict exactly but this is true for all the other ratios presented in this paper, the internal rate of return doesn’t take in consideration possible changes in the discount rate compared to net present value where the discount rate can be adjusted</w:t>
      </w:r>
      <w:r w:rsidR="00BD0275">
        <w:rPr>
          <w:rFonts w:ascii="Times New Roman" w:hAnsi="Times New Roman" w:cs="Times New Roman"/>
          <w:sz w:val="24"/>
          <w:szCs w:val="24"/>
        </w:rPr>
        <w:t>.</w:t>
      </w:r>
    </w:p>
    <w:p w14:paraId="20D4ADBF" w14:textId="318FF9C7" w:rsidR="00DA0EE7" w:rsidRDefault="00DA0EE7" w:rsidP="00A44217">
      <w:pPr>
        <w:rPr>
          <w:rFonts w:ascii="Times New Roman" w:hAnsi="Times New Roman" w:cs="Times New Roman"/>
          <w:sz w:val="24"/>
          <w:szCs w:val="24"/>
        </w:rPr>
      </w:pPr>
      <w:r>
        <w:rPr>
          <w:rFonts w:ascii="Times New Roman" w:hAnsi="Times New Roman" w:cs="Times New Roman"/>
          <w:sz w:val="24"/>
          <w:szCs w:val="24"/>
        </w:rPr>
        <w:t xml:space="preserve"> </w:t>
      </w:r>
      <w:r w:rsidR="00762256">
        <w:rPr>
          <w:rFonts w:ascii="Times New Roman" w:hAnsi="Times New Roman" w:cs="Times New Roman"/>
          <w:sz w:val="24"/>
          <w:szCs w:val="24"/>
        </w:rPr>
        <w:t xml:space="preserve">As we can see in the data above both projects are close in value and require small differences in investment (5 million £) project A will payback the investment in 2.2 years and project B will repay it in 3.2 years, this is do to the  high difference of </w:t>
      </w:r>
      <w:r w:rsidR="00C34C69">
        <w:rPr>
          <w:rFonts w:ascii="Times New Roman" w:hAnsi="Times New Roman" w:cs="Times New Roman"/>
          <w:sz w:val="24"/>
          <w:szCs w:val="24"/>
        </w:rPr>
        <w:t>cashflows in the first years (25 million for project A and 50 for project B) this means that the amount received in firs year is not discounted as much as the amount of money received in year 4 when project A had an income of 55 million and project B of 20 million but if is taken in consideration the time value of money for project B the 50 million earned in year 1 will be equivalent with 45.56 million</w:t>
      </w:r>
      <w:r w:rsidR="00751751">
        <w:rPr>
          <w:rFonts w:ascii="Times New Roman" w:hAnsi="Times New Roman" w:cs="Times New Roman"/>
          <w:sz w:val="24"/>
          <w:szCs w:val="24"/>
        </w:rPr>
        <w:t xml:space="preserve"> of the value when the initial investment will be made at a cost of capital of 9.25% while the 55 million earned by project A in year 4 will be equivalent with 37.95 million  for the value when the initial investment will be made</w:t>
      </w:r>
      <w:r w:rsidR="00707BF4">
        <w:rPr>
          <w:rFonts w:ascii="Times New Roman" w:hAnsi="Times New Roman" w:cs="Times New Roman"/>
          <w:sz w:val="24"/>
          <w:szCs w:val="24"/>
        </w:rPr>
        <w:t>,</w:t>
      </w:r>
      <w:r w:rsidR="00BF4301">
        <w:rPr>
          <w:rFonts w:ascii="Times New Roman" w:hAnsi="Times New Roman" w:cs="Times New Roman"/>
          <w:sz w:val="24"/>
          <w:szCs w:val="24"/>
        </w:rPr>
        <w:t xml:space="preserve"> a more accurate measure is discounted rate of return which when used, the payback period of return is 3.6 years for project A</w:t>
      </w:r>
      <w:r w:rsidR="006A38D8">
        <w:rPr>
          <w:rFonts w:ascii="Times New Roman" w:hAnsi="Times New Roman" w:cs="Times New Roman"/>
          <w:sz w:val="24"/>
          <w:szCs w:val="24"/>
        </w:rPr>
        <w:t xml:space="preserve"> after which it will generate profit</w:t>
      </w:r>
      <w:r w:rsidR="00BF4301">
        <w:rPr>
          <w:rFonts w:ascii="Times New Roman" w:hAnsi="Times New Roman" w:cs="Times New Roman"/>
          <w:sz w:val="24"/>
          <w:szCs w:val="24"/>
        </w:rPr>
        <w:t xml:space="preserve"> and for project B 2.8 years when it starts to generate profit which can be used for investments in future projects or in paying </w:t>
      </w:r>
      <w:r w:rsidR="006A38D8">
        <w:rPr>
          <w:rFonts w:ascii="Times New Roman" w:hAnsi="Times New Roman" w:cs="Times New Roman"/>
          <w:sz w:val="24"/>
          <w:szCs w:val="24"/>
        </w:rPr>
        <w:t xml:space="preserve">dividends, if JD sports is looking to generate profit as quick as possible, project B will be the most suitable but if it’s goal is to generate as much profit as possible project </w:t>
      </w:r>
      <w:r w:rsidR="00CF0C2E">
        <w:rPr>
          <w:rFonts w:ascii="Times New Roman" w:hAnsi="Times New Roman" w:cs="Times New Roman"/>
          <w:sz w:val="24"/>
          <w:szCs w:val="24"/>
        </w:rPr>
        <w:t>A</w:t>
      </w:r>
      <w:r w:rsidR="006A38D8">
        <w:rPr>
          <w:rFonts w:ascii="Times New Roman" w:hAnsi="Times New Roman" w:cs="Times New Roman"/>
          <w:sz w:val="24"/>
          <w:szCs w:val="24"/>
        </w:rPr>
        <w:t xml:space="preserve"> is more appropriate</w:t>
      </w:r>
      <w:r w:rsidR="00E37B05">
        <w:rPr>
          <w:rFonts w:ascii="Times New Roman" w:hAnsi="Times New Roman" w:cs="Times New Roman"/>
          <w:sz w:val="24"/>
          <w:szCs w:val="24"/>
        </w:rPr>
        <w:t>.</w:t>
      </w:r>
      <w:r w:rsidR="00CF0C2E">
        <w:rPr>
          <w:rFonts w:ascii="Times New Roman" w:hAnsi="Times New Roman" w:cs="Times New Roman"/>
          <w:sz w:val="24"/>
          <w:szCs w:val="24"/>
        </w:rPr>
        <w:t xml:space="preserve"> Taking in consideration that JD Sports Liquidity ratios fall short compared to Sports Directs it would be recommended to invest in projects that would  generate profit in a shorter period of time so because project B requires less investment and it is predicted that will generate profit in a </w:t>
      </w:r>
      <w:r w:rsidR="00CF0C2E">
        <w:rPr>
          <w:rFonts w:ascii="Times New Roman" w:hAnsi="Times New Roman" w:cs="Times New Roman"/>
          <w:sz w:val="24"/>
          <w:szCs w:val="24"/>
        </w:rPr>
        <w:lastRenderedPageBreak/>
        <w:t>shorter period of time, although project A generates more profit at the end of the 4 years perio</w:t>
      </w:r>
      <w:r w:rsidR="004D459B">
        <w:rPr>
          <w:rFonts w:ascii="Times New Roman" w:hAnsi="Times New Roman" w:cs="Times New Roman"/>
          <w:sz w:val="24"/>
          <w:szCs w:val="24"/>
        </w:rPr>
        <w:t>d, the difference in profit is not a big one and 520,000 compared whit the total value of the project, JD Sports can make use of a part of the profit quicker and possibly generate more money by investing in other projects, so the recommended project for JD Sports to follow is project B.</w:t>
      </w:r>
    </w:p>
    <w:p w14:paraId="26CED26D" w14:textId="676B7490" w:rsidR="00DB3CBA" w:rsidRDefault="00DB3CBA" w:rsidP="00A44217">
      <w:pPr>
        <w:rPr>
          <w:rFonts w:ascii="Times New Roman" w:hAnsi="Times New Roman" w:cs="Times New Roman"/>
          <w:sz w:val="24"/>
          <w:szCs w:val="24"/>
        </w:rPr>
      </w:pPr>
    </w:p>
    <w:p w14:paraId="2063B7C5" w14:textId="70846155" w:rsidR="00DB3CBA" w:rsidRDefault="00DB3CBA" w:rsidP="00A44217">
      <w:pPr>
        <w:rPr>
          <w:rFonts w:ascii="Times New Roman" w:hAnsi="Times New Roman" w:cs="Times New Roman"/>
          <w:sz w:val="24"/>
          <w:szCs w:val="24"/>
        </w:rPr>
      </w:pPr>
    </w:p>
    <w:p w14:paraId="2196FF2E" w14:textId="38C84095" w:rsidR="005D526B" w:rsidRDefault="005D526B" w:rsidP="00A44217">
      <w:pPr>
        <w:rPr>
          <w:rFonts w:ascii="Times New Roman" w:hAnsi="Times New Roman" w:cs="Times New Roman"/>
          <w:sz w:val="24"/>
          <w:szCs w:val="24"/>
        </w:rPr>
      </w:pPr>
    </w:p>
    <w:p w14:paraId="756268CC" w14:textId="5B5B3DB0" w:rsidR="005D526B" w:rsidRDefault="005D526B" w:rsidP="00A44217">
      <w:pPr>
        <w:rPr>
          <w:rFonts w:ascii="Times New Roman" w:hAnsi="Times New Roman" w:cs="Times New Roman"/>
          <w:sz w:val="24"/>
          <w:szCs w:val="24"/>
        </w:rPr>
      </w:pPr>
    </w:p>
    <w:p w14:paraId="565A7236" w14:textId="66DC6352" w:rsidR="005D526B" w:rsidRDefault="005D526B" w:rsidP="00A44217">
      <w:pPr>
        <w:rPr>
          <w:rFonts w:ascii="Times New Roman" w:hAnsi="Times New Roman" w:cs="Times New Roman"/>
          <w:sz w:val="24"/>
          <w:szCs w:val="24"/>
        </w:rPr>
      </w:pPr>
    </w:p>
    <w:p w14:paraId="2FDB3B99" w14:textId="088A2B43" w:rsidR="005D526B" w:rsidRDefault="005D526B" w:rsidP="00A44217">
      <w:pPr>
        <w:rPr>
          <w:rFonts w:ascii="Times New Roman" w:hAnsi="Times New Roman" w:cs="Times New Roman"/>
          <w:sz w:val="24"/>
          <w:szCs w:val="24"/>
        </w:rPr>
      </w:pPr>
    </w:p>
    <w:p w14:paraId="37AA522D" w14:textId="1C1F61F7" w:rsidR="005D526B" w:rsidRDefault="005D526B" w:rsidP="00A44217">
      <w:pPr>
        <w:rPr>
          <w:rFonts w:ascii="Times New Roman" w:hAnsi="Times New Roman" w:cs="Times New Roman"/>
          <w:sz w:val="24"/>
          <w:szCs w:val="24"/>
        </w:rPr>
      </w:pPr>
    </w:p>
    <w:p w14:paraId="7AFDFD7E" w14:textId="7CF2D6E3" w:rsidR="005D526B" w:rsidRDefault="005D526B" w:rsidP="00A44217">
      <w:pPr>
        <w:rPr>
          <w:rFonts w:ascii="Times New Roman" w:hAnsi="Times New Roman" w:cs="Times New Roman"/>
          <w:sz w:val="24"/>
          <w:szCs w:val="24"/>
        </w:rPr>
      </w:pPr>
    </w:p>
    <w:p w14:paraId="0B2AB615" w14:textId="00980199" w:rsidR="005D526B" w:rsidRDefault="005D526B" w:rsidP="00A44217">
      <w:pPr>
        <w:rPr>
          <w:rFonts w:ascii="Times New Roman" w:hAnsi="Times New Roman" w:cs="Times New Roman"/>
          <w:sz w:val="24"/>
          <w:szCs w:val="24"/>
        </w:rPr>
      </w:pPr>
    </w:p>
    <w:p w14:paraId="6282065F" w14:textId="313B68C5" w:rsidR="005D526B" w:rsidRDefault="005D526B" w:rsidP="00A44217">
      <w:pPr>
        <w:rPr>
          <w:rFonts w:ascii="Times New Roman" w:hAnsi="Times New Roman" w:cs="Times New Roman"/>
          <w:sz w:val="24"/>
          <w:szCs w:val="24"/>
        </w:rPr>
      </w:pPr>
    </w:p>
    <w:p w14:paraId="4F2F0EFA" w14:textId="5B5E7C9D" w:rsidR="005D526B" w:rsidRDefault="005D526B" w:rsidP="00A44217">
      <w:pPr>
        <w:rPr>
          <w:rFonts w:ascii="Times New Roman" w:hAnsi="Times New Roman" w:cs="Times New Roman"/>
          <w:sz w:val="24"/>
          <w:szCs w:val="24"/>
        </w:rPr>
      </w:pPr>
    </w:p>
    <w:p w14:paraId="52DF6D2C" w14:textId="606C1E87" w:rsidR="005D526B" w:rsidRDefault="005D526B" w:rsidP="00A44217">
      <w:pPr>
        <w:rPr>
          <w:rFonts w:ascii="Times New Roman" w:hAnsi="Times New Roman" w:cs="Times New Roman"/>
          <w:sz w:val="24"/>
          <w:szCs w:val="24"/>
        </w:rPr>
      </w:pPr>
    </w:p>
    <w:p w14:paraId="2EDC1050" w14:textId="4B6A9CC9" w:rsidR="005D526B" w:rsidRDefault="005D526B" w:rsidP="00A44217">
      <w:pPr>
        <w:rPr>
          <w:rFonts w:ascii="Times New Roman" w:hAnsi="Times New Roman" w:cs="Times New Roman"/>
          <w:sz w:val="24"/>
          <w:szCs w:val="24"/>
        </w:rPr>
      </w:pPr>
    </w:p>
    <w:p w14:paraId="540DAF0C" w14:textId="2C014C02" w:rsidR="005D526B" w:rsidRDefault="005D526B" w:rsidP="00A44217">
      <w:pPr>
        <w:rPr>
          <w:rFonts w:ascii="Times New Roman" w:hAnsi="Times New Roman" w:cs="Times New Roman"/>
          <w:sz w:val="24"/>
          <w:szCs w:val="24"/>
        </w:rPr>
      </w:pPr>
    </w:p>
    <w:p w14:paraId="48CDAABD" w14:textId="151BEF7A" w:rsidR="005D526B" w:rsidRDefault="005D526B" w:rsidP="00A44217">
      <w:pPr>
        <w:rPr>
          <w:rFonts w:ascii="Times New Roman" w:hAnsi="Times New Roman" w:cs="Times New Roman"/>
          <w:sz w:val="24"/>
          <w:szCs w:val="24"/>
        </w:rPr>
      </w:pPr>
    </w:p>
    <w:p w14:paraId="6BBED47D" w14:textId="12EAAFF5" w:rsidR="005D526B" w:rsidRDefault="005D526B" w:rsidP="00A44217">
      <w:pPr>
        <w:rPr>
          <w:rFonts w:ascii="Times New Roman" w:hAnsi="Times New Roman" w:cs="Times New Roman"/>
          <w:sz w:val="24"/>
          <w:szCs w:val="24"/>
        </w:rPr>
      </w:pPr>
    </w:p>
    <w:p w14:paraId="506CF6E3" w14:textId="7F4834BC" w:rsidR="005D526B" w:rsidRDefault="005D526B" w:rsidP="00A44217">
      <w:pPr>
        <w:rPr>
          <w:rFonts w:ascii="Times New Roman" w:hAnsi="Times New Roman" w:cs="Times New Roman"/>
          <w:sz w:val="24"/>
          <w:szCs w:val="24"/>
        </w:rPr>
      </w:pPr>
    </w:p>
    <w:p w14:paraId="101BFB13" w14:textId="1C7BB53D" w:rsidR="005D526B" w:rsidRDefault="005D526B" w:rsidP="00A44217">
      <w:pPr>
        <w:rPr>
          <w:rFonts w:ascii="Times New Roman" w:hAnsi="Times New Roman" w:cs="Times New Roman"/>
          <w:sz w:val="24"/>
          <w:szCs w:val="24"/>
        </w:rPr>
      </w:pPr>
    </w:p>
    <w:p w14:paraId="50E49484" w14:textId="6C225DFF" w:rsidR="005D526B" w:rsidRDefault="005D526B" w:rsidP="00A44217">
      <w:pPr>
        <w:rPr>
          <w:rFonts w:ascii="Times New Roman" w:hAnsi="Times New Roman" w:cs="Times New Roman"/>
          <w:sz w:val="24"/>
          <w:szCs w:val="24"/>
        </w:rPr>
      </w:pPr>
    </w:p>
    <w:p w14:paraId="7D7CFBDD" w14:textId="3ED753C8" w:rsidR="005D526B" w:rsidRDefault="005D526B" w:rsidP="00A44217">
      <w:pPr>
        <w:rPr>
          <w:rFonts w:ascii="Times New Roman" w:hAnsi="Times New Roman" w:cs="Times New Roman"/>
          <w:sz w:val="24"/>
          <w:szCs w:val="24"/>
        </w:rPr>
      </w:pPr>
    </w:p>
    <w:p w14:paraId="5DD50756" w14:textId="44D9473C" w:rsidR="001D601A" w:rsidRDefault="009161F4" w:rsidP="00A44217">
      <w:pPr>
        <w:rPr>
          <w:rFonts w:ascii="Times New Roman" w:hAnsi="Times New Roman" w:cs="Times New Roman"/>
          <w:sz w:val="24"/>
          <w:szCs w:val="24"/>
        </w:rPr>
      </w:pPr>
      <w:r w:rsidRPr="001D601A">
        <w:rPr>
          <w:rFonts w:ascii="Times New Roman" w:hAnsi="Times New Roman" w:cs="Times New Roman"/>
          <w:sz w:val="24"/>
          <w:szCs w:val="24"/>
        </w:rPr>
        <w:object w:dxaOrig="6255" w:dyaOrig="1425" w14:anchorId="5983CA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7.25pt;height:51.75pt" o:ole="">
            <v:imagedata r:id="rId7" o:title=""/>
          </v:shape>
          <o:OLEObject Type="Embed" ProgID="Unknown" ShapeID="_x0000_i1025" DrawAspect="Content" ObjectID="_1628626867" r:id="rId8"/>
        </w:object>
      </w:r>
      <w:r w:rsidRPr="001D601A">
        <w:rPr>
          <w:rFonts w:ascii="Times New Roman" w:hAnsi="Times New Roman" w:cs="Times New Roman"/>
          <w:sz w:val="24"/>
          <w:szCs w:val="24"/>
        </w:rPr>
        <w:object w:dxaOrig="8265" w:dyaOrig="1425" w14:anchorId="3619EED5">
          <v:shape id="_x0000_i1026" type="#_x0000_t75" style="width:236.25pt;height:40.5pt" o:ole="">
            <v:imagedata r:id="rId9" o:title=""/>
          </v:shape>
          <o:OLEObject Type="Embed" ProgID="Unknown" ShapeID="_x0000_i1026" DrawAspect="Content" ObjectID="_1628626868" r:id="rId10"/>
        </w:object>
      </w:r>
      <w:r w:rsidRPr="001D601A">
        <w:rPr>
          <w:rFonts w:ascii="Times New Roman" w:hAnsi="Times New Roman" w:cs="Times New Roman"/>
          <w:sz w:val="24"/>
          <w:szCs w:val="24"/>
        </w:rPr>
        <w:object w:dxaOrig="7575" w:dyaOrig="1545" w14:anchorId="4984732D">
          <v:shape id="_x0000_i1027" type="#_x0000_t75" style="width:241.5pt;height:49.5pt" o:ole="">
            <v:imagedata r:id="rId11" o:title=""/>
          </v:shape>
          <o:OLEObject Type="Embed" ProgID="Unknown" ShapeID="_x0000_i1027" DrawAspect="Content" ObjectID="_1628626869" r:id="rId12"/>
        </w:object>
      </w:r>
      <w:r w:rsidRPr="001D601A">
        <w:rPr>
          <w:rFonts w:ascii="Times New Roman" w:hAnsi="Times New Roman" w:cs="Times New Roman"/>
          <w:sz w:val="24"/>
          <w:szCs w:val="24"/>
        </w:rPr>
        <w:object w:dxaOrig="7695" w:dyaOrig="1455" w14:anchorId="05515124">
          <v:shape id="_x0000_i1028" type="#_x0000_t75" style="width:252pt;height:47.25pt" o:ole="">
            <v:imagedata r:id="rId13" o:title=""/>
          </v:shape>
          <o:OLEObject Type="Embed" ProgID="Unknown" ShapeID="_x0000_i1028" DrawAspect="Content" ObjectID="_1628626870" r:id="rId14"/>
        </w:object>
      </w:r>
      <w:r w:rsidRPr="001D601A">
        <w:rPr>
          <w:rFonts w:ascii="Times New Roman" w:hAnsi="Times New Roman" w:cs="Times New Roman"/>
          <w:sz w:val="24"/>
          <w:szCs w:val="24"/>
        </w:rPr>
        <w:object w:dxaOrig="9675" w:dyaOrig="1545" w14:anchorId="6EEABB1D">
          <v:shape id="_x0000_i1029" type="#_x0000_t75" style="width:267.75pt;height:42.75pt" o:ole="">
            <v:imagedata r:id="rId15" o:title=""/>
          </v:shape>
          <o:OLEObject Type="Embed" ProgID="Unknown" ShapeID="_x0000_i1029" DrawAspect="Content" ObjectID="_1628626871" r:id="rId16"/>
        </w:object>
      </w:r>
      <w:r w:rsidR="001D601A">
        <w:rPr>
          <w:rFonts w:ascii="Times New Roman" w:hAnsi="Times New Roman" w:cs="Times New Roman"/>
          <w:noProof/>
          <w:sz w:val="24"/>
          <w:szCs w:val="24"/>
        </w:rPr>
        <w:drawing>
          <wp:inline distT="0" distB="0" distL="0" distR="0" wp14:anchorId="764C9308" wp14:editId="653FD19F">
            <wp:extent cx="3076575" cy="377142"/>
            <wp:effectExtent l="0" t="0" r="0" b="444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05789" cy="392982"/>
                    </a:xfrm>
                    <a:prstGeom prst="rect">
                      <a:avLst/>
                    </a:prstGeom>
                    <a:noFill/>
                  </pic:spPr>
                </pic:pic>
              </a:graphicData>
            </a:graphic>
          </wp:inline>
        </w:drawing>
      </w:r>
      <w:r w:rsidRPr="001D601A">
        <w:rPr>
          <w:rFonts w:ascii="Times New Roman" w:hAnsi="Times New Roman" w:cs="Times New Roman"/>
          <w:sz w:val="24"/>
          <w:szCs w:val="24"/>
        </w:rPr>
        <w:object w:dxaOrig="7170" w:dyaOrig="1545" w14:anchorId="3F43D0C8">
          <v:shape id="_x0000_i1030" type="#_x0000_t75" style="width:244.5pt;height:52.5pt" o:ole="">
            <v:imagedata r:id="rId18" o:title=""/>
          </v:shape>
          <o:OLEObject Type="Embed" ProgID="Unknown" ShapeID="_x0000_i1030" DrawAspect="Content" ObjectID="_1628626872" r:id="rId19"/>
        </w:object>
      </w:r>
      <w:r w:rsidRPr="001D601A">
        <w:rPr>
          <w:rFonts w:ascii="Times New Roman" w:hAnsi="Times New Roman" w:cs="Times New Roman"/>
          <w:sz w:val="24"/>
          <w:szCs w:val="24"/>
        </w:rPr>
        <w:object w:dxaOrig="8445" w:dyaOrig="1425" w14:anchorId="1AE82B96">
          <v:shape id="_x0000_i1031" type="#_x0000_t75" style="width:243pt;height:41.25pt" o:ole="">
            <v:imagedata r:id="rId20" o:title=""/>
          </v:shape>
          <o:OLEObject Type="Embed" ProgID="Unknown" ShapeID="_x0000_i1031" DrawAspect="Content" ObjectID="_1628626873" r:id="rId21"/>
        </w:object>
      </w:r>
    </w:p>
    <w:p w14:paraId="3933A8D5" w14:textId="3A19F509" w:rsidR="001D601A" w:rsidRDefault="009161F4" w:rsidP="00A44217">
      <w:pPr>
        <w:rPr>
          <w:rFonts w:ascii="Times New Roman" w:hAnsi="Times New Roman" w:cs="Times New Roman"/>
          <w:sz w:val="24"/>
          <w:szCs w:val="24"/>
        </w:rPr>
      </w:pPr>
      <w:r w:rsidRPr="001D601A">
        <w:rPr>
          <w:rFonts w:ascii="Times New Roman" w:hAnsi="Times New Roman" w:cs="Times New Roman"/>
          <w:sz w:val="24"/>
          <w:szCs w:val="24"/>
        </w:rPr>
        <w:object w:dxaOrig="7980" w:dyaOrig="1695" w14:anchorId="285475BA">
          <v:shape id="_x0000_i1032" type="#_x0000_t75" style="width:267.75pt;height:57pt" o:ole="">
            <v:imagedata r:id="rId22" o:title=""/>
          </v:shape>
          <o:OLEObject Type="Embed" ProgID="Unknown" ShapeID="_x0000_i1032" DrawAspect="Content" ObjectID="_1628626874" r:id="rId23"/>
        </w:object>
      </w:r>
    </w:p>
    <w:p w14:paraId="740FBAD4" w14:textId="152A9A8A" w:rsidR="001D601A" w:rsidRDefault="001D601A" w:rsidP="00A4421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8B352B" wp14:editId="2EA8FB0A">
            <wp:extent cx="3276600" cy="347596"/>
            <wp:effectExtent l="0"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94131" cy="370673"/>
                    </a:xfrm>
                    <a:prstGeom prst="rect">
                      <a:avLst/>
                    </a:prstGeom>
                    <a:noFill/>
                  </pic:spPr>
                </pic:pic>
              </a:graphicData>
            </a:graphic>
          </wp:inline>
        </w:drawing>
      </w:r>
    </w:p>
    <w:p w14:paraId="1E776931" w14:textId="1C48C9F9" w:rsidR="001D601A" w:rsidRDefault="001D601A" w:rsidP="00A44217">
      <w:pPr>
        <w:rPr>
          <w:rFonts w:ascii="Times New Roman" w:hAnsi="Times New Roman" w:cs="Times New Roman"/>
          <w:sz w:val="24"/>
          <w:szCs w:val="24"/>
        </w:rPr>
      </w:pPr>
      <w:r w:rsidRPr="001D601A">
        <w:rPr>
          <w:rFonts w:ascii="Times New Roman" w:hAnsi="Times New Roman" w:cs="Times New Roman"/>
          <w:sz w:val="24"/>
          <w:szCs w:val="24"/>
        </w:rPr>
        <w:object w:dxaOrig="10065" w:dyaOrig="1725" w14:anchorId="7C7D7839">
          <v:shape id="_x0000_i1033" type="#_x0000_t75" style="width:270.75pt;height:46.5pt" o:ole="">
            <v:imagedata r:id="rId25" o:title=""/>
          </v:shape>
          <o:OLEObject Type="Embed" ProgID="Unknown" ShapeID="_x0000_i1033" DrawAspect="Content" ObjectID="_1628626875" r:id="rId26"/>
        </w:object>
      </w:r>
      <w:r w:rsidR="009161F4" w:rsidRPr="009161F4">
        <w:rPr>
          <w:rFonts w:eastAsiaTheme="minorEastAsia"/>
          <w:lang w:eastAsia="en-GB"/>
        </w:rPr>
        <w:t xml:space="preserve"> </w:t>
      </w:r>
      <w:r w:rsidR="009161F4" w:rsidRPr="009161F4">
        <w:rPr>
          <w:rFonts w:ascii="Times New Roman" w:hAnsi="Times New Roman" w:cs="Times New Roman"/>
          <w:sz w:val="24"/>
          <w:szCs w:val="24"/>
        </w:rPr>
        <w:object w:dxaOrig="8040" w:dyaOrig="1665" w14:anchorId="7C0E4C39">
          <v:shape id="_x0000_i1034" type="#_x0000_t75" style="width:268.5pt;height:55.5pt" o:ole="">
            <v:imagedata r:id="rId27" o:title=""/>
          </v:shape>
          <o:OLEObject Type="Embed" ProgID="Unknown" ShapeID="_x0000_i1034" DrawAspect="Content" ObjectID="_1628626876" r:id="rId28"/>
        </w:object>
      </w:r>
    </w:p>
    <w:p w14:paraId="35EACC83" w14:textId="77777777" w:rsidR="009161F4" w:rsidRPr="009161F4" w:rsidRDefault="009161F4" w:rsidP="009161F4">
      <w:pPr>
        <w:rPr>
          <w:rFonts w:ascii="Times New Roman" w:hAnsi="Times New Roman" w:cs="Times New Roman"/>
          <w:sz w:val="24"/>
          <w:szCs w:val="24"/>
        </w:rPr>
      </w:pPr>
      <w:r w:rsidRPr="009161F4">
        <w:rPr>
          <w:rFonts w:ascii="Times New Roman" w:hAnsi="Times New Roman" w:cs="Times New Roman"/>
          <w:sz w:val="24"/>
          <w:szCs w:val="24"/>
        </w:rPr>
        <w:tab/>
        <w:t xml:space="preserve">        C</w:t>
      </w:r>
      <w:r w:rsidRPr="009161F4">
        <w:rPr>
          <w:rFonts w:ascii="Times New Roman" w:hAnsi="Times New Roman" w:cs="Times New Roman"/>
          <w:sz w:val="24"/>
          <w:szCs w:val="24"/>
          <w:vertAlign w:val="subscript"/>
        </w:rPr>
        <w:t>1</w:t>
      </w:r>
      <w:r w:rsidRPr="009161F4">
        <w:rPr>
          <w:rFonts w:ascii="Times New Roman" w:hAnsi="Times New Roman" w:cs="Times New Roman"/>
          <w:sz w:val="24"/>
          <w:szCs w:val="24"/>
        </w:rPr>
        <w:t xml:space="preserve">       C</w:t>
      </w:r>
      <w:r w:rsidRPr="009161F4">
        <w:rPr>
          <w:rFonts w:ascii="Times New Roman" w:hAnsi="Times New Roman" w:cs="Times New Roman"/>
          <w:sz w:val="24"/>
          <w:szCs w:val="24"/>
          <w:vertAlign w:val="subscript"/>
        </w:rPr>
        <w:t>2</w:t>
      </w:r>
      <w:r w:rsidRPr="009161F4">
        <w:rPr>
          <w:rFonts w:ascii="Times New Roman" w:hAnsi="Times New Roman" w:cs="Times New Roman"/>
          <w:sz w:val="24"/>
          <w:szCs w:val="24"/>
        </w:rPr>
        <w:tab/>
        <w:t xml:space="preserve">       C</w:t>
      </w:r>
      <w:r w:rsidRPr="009161F4">
        <w:rPr>
          <w:rFonts w:ascii="Times New Roman" w:hAnsi="Times New Roman" w:cs="Times New Roman"/>
          <w:sz w:val="24"/>
          <w:szCs w:val="24"/>
          <w:vertAlign w:val="subscript"/>
        </w:rPr>
        <w:t>3</w:t>
      </w:r>
      <w:r w:rsidRPr="009161F4">
        <w:rPr>
          <w:rFonts w:ascii="Times New Roman" w:hAnsi="Times New Roman" w:cs="Times New Roman"/>
          <w:sz w:val="24"/>
          <w:szCs w:val="24"/>
        </w:rPr>
        <w:t xml:space="preserve">                C</w:t>
      </w:r>
      <w:r w:rsidRPr="009161F4">
        <w:rPr>
          <w:rFonts w:ascii="Times New Roman" w:hAnsi="Times New Roman" w:cs="Times New Roman"/>
          <w:sz w:val="24"/>
          <w:szCs w:val="24"/>
          <w:vertAlign w:val="subscript"/>
        </w:rPr>
        <w:t>n</w:t>
      </w:r>
    </w:p>
    <w:p w14:paraId="0BB491F6" w14:textId="77777777" w:rsidR="009161F4" w:rsidRPr="009161F4" w:rsidRDefault="009161F4" w:rsidP="009161F4">
      <w:pPr>
        <w:rPr>
          <w:rFonts w:ascii="Times New Roman" w:hAnsi="Times New Roman" w:cs="Times New Roman"/>
          <w:sz w:val="24"/>
          <w:szCs w:val="24"/>
        </w:rPr>
      </w:pPr>
      <w:r w:rsidRPr="009161F4">
        <w:rPr>
          <w:rFonts w:ascii="Times New Roman" w:hAnsi="Times New Roman" w:cs="Times New Roman"/>
          <w:b/>
          <w:bCs/>
          <w:sz w:val="24"/>
          <w:szCs w:val="24"/>
        </w:rPr>
        <w:t>–</w:t>
      </w:r>
      <w:r w:rsidRPr="009161F4">
        <w:rPr>
          <w:rFonts w:ascii="Times New Roman" w:hAnsi="Times New Roman" w:cs="Times New Roman"/>
          <w:sz w:val="24"/>
          <w:szCs w:val="24"/>
        </w:rPr>
        <w:t xml:space="preserve"> I</w:t>
      </w:r>
      <w:r w:rsidRPr="009161F4">
        <w:rPr>
          <w:rFonts w:ascii="Times New Roman" w:hAnsi="Times New Roman" w:cs="Times New Roman"/>
          <w:sz w:val="24"/>
          <w:szCs w:val="24"/>
          <w:vertAlign w:val="subscript"/>
        </w:rPr>
        <w:t>0</w:t>
      </w:r>
      <w:r w:rsidRPr="009161F4">
        <w:rPr>
          <w:rFonts w:ascii="Times New Roman" w:hAnsi="Times New Roman" w:cs="Times New Roman"/>
          <w:sz w:val="24"/>
          <w:szCs w:val="24"/>
        </w:rPr>
        <w:t xml:space="preserve"> +</w:t>
      </w:r>
      <w:r w:rsidRPr="009161F4">
        <w:rPr>
          <w:rFonts w:ascii="Times New Roman" w:hAnsi="Times New Roman" w:cs="Times New Roman"/>
          <w:sz w:val="24"/>
          <w:szCs w:val="24"/>
          <w:vertAlign w:val="superscript"/>
        </w:rPr>
        <w:t xml:space="preserve"> _____</w:t>
      </w:r>
      <w:r w:rsidRPr="009161F4">
        <w:rPr>
          <w:rFonts w:ascii="Times New Roman" w:hAnsi="Times New Roman" w:cs="Times New Roman"/>
          <w:sz w:val="24"/>
          <w:szCs w:val="24"/>
        </w:rPr>
        <w:t xml:space="preserve"> + </w:t>
      </w:r>
      <w:r w:rsidRPr="009161F4">
        <w:rPr>
          <w:rFonts w:ascii="Times New Roman" w:hAnsi="Times New Roman" w:cs="Times New Roman"/>
          <w:sz w:val="24"/>
          <w:szCs w:val="24"/>
          <w:vertAlign w:val="superscript"/>
        </w:rPr>
        <w:t>_____</w:t>
      </w:r>
      <w:r w:rsidRPr="009161F4">
        <w:rPr>
          <w:rFonts w:ascii="Times New Roman" w:hAnsi="Times New Roman" w:cs="Times New Roman"/>
          <w:sz w:val="24"/>
          <w:szCs w:val="24"/>
        </w:rPr>
        <w:t xml:space="preserve"> + </w:t>
      </w:r>
      <w:r w:rsidRPr="009161F4">
        <w:rPr>
          <w:rFonts w:ascii="Times New Roman" w:hAnsi="Times New Roman" w:cs="Times New Roman"/>
          <w:sz w:val="24"/>
          <w:szCs w:val="24"/>
          <w:vertAlign w:val="superscript"/>
        </w:rPr>
        <w:t>_____</w:t>
      </w:r>
      <w:r w:rsidRPr="009161F4">
        <w:rPr>
          <w:rFonts w:ascii="Times New Roman" w:hAnsi="Times New Roman" w:cs="Times New Roman"/>
          <w:sz w:val="24"/>
          <w:szCs w:val="24"/>
        </w:rPr>
        <w:t xml:space="preserve"> + . . .+ </w:t>
      </w:r>
      <w:r w:rsidRPr="009161F4">
        <w:rPr>
          <w:rFonts w:ascii="Times New Roman" w:hAnsi="Times New Roman" w:cs="Times New Roman"/>
          <w:sz w:val="24"/>
          <w:szCs w:val="24"/>
          <w:vertAlign w:val="superscript"/>
        </w:rPr>
        <w:t>____</w:t>
      </w:r>
    </w:p>
    <w:p w14:paraId="519F4553" w14:textId="06EE2465" w:rsidR="001D601A" w:rsidRDefault="009161F4" w:rsidP="00A44217">
      <w:pPr>
        <w:rPr>
          <w:rFonts w:ascii="Times New Roman" w:hAnsi="Times New Roman" w:cs="Times New Roman"/>
          <w:sz w:val="24"/>
          <w:szCs w:val="24"/>
        </w:rPr>
      </w:pPr>
      <w:r w:rsidRPr="009161F4">
        <w:rPr>
          <w:rFonts w:ascii="Times New Roman" w:hAnsi="Times New Roman" w:cs="Times New Roman"/>
          <w:sz w:val="24"/>
          <w:szCs w:val="24"/>
        </w:rPr>
        <w:tab/>
        <w:t xml:space="preserve">     (1+r)    (1+r)</w:t>
      </w:r>
      <w:r w:rsidRPr="009161F4">
        <w:rPr>
          <w:rFonts w:ascii="Times New Roman" w:hAnsi="Times New Roman" w:cs="Times New Roman"/>
          <w:sz w:val="24"/>
          <w:szCs w:val="24"/>
          <w:vertAlign w:val="superscript"/>
        </w:rPr>
        <w:t>2</w:t>
      </w:r>
      <w:r w:rsidRPr="009161F4">
        <w:rPr>
          <w:rFonts w:ascii="Times New Roman" w:hAnsi="Times New Roman" w:cs="Times New Roman"/>
          <w:sz w:val="24"/>
          <w:szCs w:val="24"/>
        </w:rPr>
        <w:t xml:space="preserve">   (1+r)</w:t>
      </w:r>
      <w:r w:rsidRPr="009161F4">
        <w:rPr>
          <w:rFonts w:ascii="Times New Roman" w:hAnsi="Times New Roman" w:cs="Times New Roman"/>
          <w:sz w:val="24"/>
          <w:szCs w:val="24"/>
          <w:vertAlign w:val="superscript"/>
        </w:rPr>
        <w:t>3</w:t>
      </w:r>
      <w:r w:rsidRPr="009161F4">
        <w:rPr>
          <w:rFonts w:ascii="Times New Roman" w:hAnsi="Times New Roman" w:cs="Times New Roman"/>
          <w:sz w:val="24"/>
          <w:szCs w:val="24"/>
        </w:rPr>
        <w:t xml:space="preserve">           (1+r)</w:t>
      </w:r>
    </w:p>
    <w:p w14:paraId="3962E0B8" w14:textId="77777777" w:rsidR="001D601A" w:rsidRDefault="001D601A" w:rsidP="00A44217">
      <w:pPr>
        <w:rPr>
          <w:rFonts w:ascii="Times New Roman" w:hAnsi="Times New Roman" w:cs="Times New Roman"/>
          <w:sz w:val="24"/>
          <w:szCs w:val="24"/>
        </w:rPr>
      </w:pPr>
    </w:p>
    <w:p w14:paraId="57BB493D" w14:textId="7627B390" w:rsidR="005D526B" w:rsidRDefault="005D526B" w:rsidP="00A44217">
      <w:pP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6C209285" w14:textId="1B576EC5" w:rsidR="005D526B" w:rsidRDefault="005D526B" w:rsidP="00A44217">
      <w:pPr>
        <w:rPr>
          <w:rFonts w:ascii="Times New Roman" w:hAnsi="Times New Roman" w:cs="Times New Roman"/>
          <w:sz w:val="24"/>
          <w:szCs w:val="24"/>
        </w:rPr>
      </w:pPr>
      <w:r w:rsidRPr="005D526B">
        <w:rPr>
          <w:rFonts w:ascii="Times New Roman" w:hAnsi="Times New Roman" w:cs="Times New Roman"/>
          <w:sz w:val="24"/>
          <w:szCs w:val="24"/>
        </w:rPr>
        <w:t>Arkan, T., 2016. The importance of financial ratios in predicting stock price trends: A case study in emerging markets. </w:t>
      </w:r>
      <w:r w:rsidRPr="005D526B">
        <w:rPr>
          <w:rFonts w:ascii="Times New Roman" w:hAnsi="Times New Roman" w:cs="Times New Roman"/>
          <w:i/>
          <w:iCs/>
          <w:sz w:val="24"/>
          <w:szCs w:val="24"/>
        </w:rPr>
        <w:t>Finanse, Rynki Finansowe, Ubezpieczenia</w:t>
      </w:r>
      <w:r w:rsidRPr="005D526B">
        <w:rPr>
          <w:rFonts w:ascii="Times New Roman" w:hAnsi="Times New Roman" w:cs="Times New Roman"/>
          <w:sz w:val="24"/>
          <w:szCs w:val="24"/>
        </w:rPr>
        <w:t>, </w:t>
      </w:r>
      <w:r w:rsidRPr="005D526B">
        <w:rPr>
          <w:rFonts w:ascii="Times New Roman" w:hAnsi="Times New Roman" w:cs="Times New Roman"/>
          <w:i/>
          <w:iCs/>
          <w:sz w:val="24"/>
          <w:szCs w:val="24"/>
        </w:rPr>
        <w:t>79</w:t>
      </w:r>
      <w:r w:rsidRPr="005D526B">
        <w:rPr>
          <w:rFonts w:ascii="Times New Roman" w:hAnsi="Times New Roman" w:cs="Times New Roman"/>
          <w:sz w:val="24"/>
          <w:szCs w:val="24"/>
        </w:rPr>
        <w:t>(1), pp.13-26.</w:t>
      </w:r>
    </w:p>
    <w:p w14:paraId="04414AD8" w14:textId="42DB84E7" w:rsidR="00533D17" w:rsidRDefault="00533D17" w:rsidP="00A44217">
      <w:pPr>
        <w:rPr>
          <w:rFonts w:ascii="Times New Roman" w:hAnsi="Times New Roman" w:cs="Times New Roman"/>
          <w:sz w:val="24"/>
          <w:szCs w:val="24"/>
        </w:rPr>
      </w:pPr>
      <w:r w:rsidRPr="00533D17">
        <w:rPr>
          <w:rFonts w:ascii="Times New Roman" w:hAnsi="Times New Roman" w:cs="Times New Roman"/>
          <w:sz w:val="24"/>
          <w:szCs w:val="24"/>
        </w:rPr>
        <w:t>Brealey, R.A., Myers, S.C., Allen, F. and Mohanty. </w:t>
      </w:r>
      <w:r w:rsidRPr="00533D17">
        <w:rPr>
          <w:rFonts w:ascii="Times New Roman" w:hAnsi="Times New Roman" w:cs="Times New Roman"/>
          <w:i/>
          <w:iCs/>
          <w:sz w:val="24"/>
          <w:szCs w:val="24"/>
        </w:rPr>
        <w:t>Principles of corporate finance</w:t>
      </w:r>
      <w:r w:rsidRPr="00533D17">
        <w:rPr>
          <w:rFonts w:ascii="Times New Roman" w:hAnsi="Times New Roman" w:cs="Times New Roman"/>
          <w:sz w:val="24"/>
          <w:szCs w:val="24"/>
        </w:rPr>
        <w:t>. Tata McGraw-Hill Education.</w:t>
      </w:r>
    </w:p>
    <w:p w14:paraId="7A865DAB" w14:textId="4DAE719F" w:rsidR="005F410A" w:rsidRDefault="005F410A" w:rsidP="00A44217">
      <w:pPr>
        <w:rPr>
          <w:rFonts w:ascii="Times New Roman" w:hAnsi="Times New Roman" w:cs="Times New Roman"/>
          <w:sz w:val="24"/>
          <w:szCs w:val="24"/>
        </w:rPr>
      </w:pPr>
      <w:r w:rsidRPr="005F410A">
        <w:rPr>
          <w:rFonts w:ascii="Times New Roman" w:hAnsi="Times New Roman" w:cs="Times New Roman"/>
          <w:sz w:val="24"/>
          <w:szCs w:val="24"/>
        </w:rPr>
        <w:t>Jdplc.com. (2019). [online] Available at: https://www.jdplc.com/~/media/Files/J/Jd-Sports-Fashion-Plc/reports-and-presentations/annual-report-and-accounts-2015.pdf [Accessed 27 Aug. 2019].</w:t>
      </w:r>
    </w:p>
    <w:p w14:paraId="3849B488" w14:textId="342514CF" w:rsidR="005F410A" w:rsidRDefault="005F410A" w:rsidP="00A44217">
      <w:pPr>
        <w:rPr>
          <w:rFonts w:ascii="Times New Roman" w:hAnsi="Times New Roman" w:cs="Times New Roman"/>
          <w:sz w:val="24"/>
          <w:szCs w:val="24"/>
        </w:rPr>
      </w:pPr>
      <w:r w:rsidRPr="005F410A">
        <w:rPr>
          <w:rFonts w:ascii="Times New Roman" w:hAnsi="Times New Roman" w:cs="Times New Roman"/>
          <w:sz w:val="24"/>
          <w:szCs w:val="24"/>
        </w:rPr>
        <w:t>Jdplc.com. (2019). [online] Available at: https://www.jdplc.com/~/media/Files/J/Jd-Sports-Fashion-Plc/reports-and-presentations/annual-report-2019.pdf [Accessed 27 Aug. 2019].</w:t>
      </w:r>
    </w:p>
    <w:p w14:paraId="29CD60F7" w14:textId="14D9B9B6" w:rsidR="00533D17" w:rsidRDefault="00533D17" w:rsidP="00A44217">
      <w:pPr>
        <w:rPr>
          <w:rFonts w:ascii="Times New Roman" w:hAnsi="Times New Roman" w:cs="Times New Roman"/>
          <w:sz w:val="24"/>
          <w:szCs w:val="24"/>
        </w:rPr>
      </w:pPr>
      <w:r w:rsidRPr="00533D17">
        <w:rPr>
          <w:rFonts w:ascii="Times New Roman" w:hAnsi="Times New Roman" w:cs="Times New Roman"/>
          <w:sz w:val="24"/>
          <w:szCs w:val="24"/>
        </w:rPr>
        <w:t>Markets.ft.com. (2019). </w:t>
      </w:r>
      <w:r w:rsidRPr="00533D17">
        <w:rPr>
          <w:rFonts w:ascii="Times New Roman" w:hAnsi="Times New Roman" w:cs="Times New Roman"/>
          <w:i/>
          <w:iCs/>
          <w:sz w:val="24"/>
          <w:szCs w:val="24"/>
        </w:rPr>
        <w:t>JD Sports Fashion PLC, JD.:LSE financials - FT.com</w:t>
      </w:r>
      <w:r w:rsidRPr="00533D17">
        <w:rPr>
          <w:rFonts w:ascii="Times New Roman" w:hAnsi="Times New Roman" w:cs="Times New Roman"/>
          <w:sz w:val="24"/>
          <w:szCs w:val="24"/>
        </w:rPr>
        <w:t xml:space="preserve">. [online] Available at: https://markets.ft.com/data/equities/tearsheet/financials?s=JD.:LSE&amp;subview=Overview </w:t>
      </w:r>
    </w:p>
    <w:p w14:paraId="0C0C448C" w14:textId="7E2E2865" w:rsidR="005F410A" w:rsidRDefault="005F410A" w:rsidP="005F410A">
      <w:pPr>
        <w:rPr>
          <w:rFonts w:ascii="Times New Roman" w:hAnsi="Times New Roman" w:cs="Times New Roman"/>
          <w:sz w:val="24"/>
          <w:szCs w:val="24"/>
        </w:rPr>
      </w:pPr>
      <w:r w:rsidRPr="00533D17">
        <w:rPr>
          <w:rFonts w:ascii="Times New Roman" w:hAnsi="Times New Roman" w:cs="Times New Roman"/>
          <w:sz w:val="24"/>
          <w:szCs w:val="24"/>
        </w:rPr>
        <w:t>Penman, S.H. and Penman, S.H., 2007. </w:t>
      </w:r>
      <w:r w:rsidRPr="00533D17">
        <w:rPr>
          <w:rFonts w:ascii="Times New Roman" w:hAnsi="Times New Roman" w:cs="Times New Roman"/>
          <w:i/>
          <w:iCs/>
          <w:sz w:val="24"/>
          <w:szCs w:val="24"/>
        </w:rPr>
        <w:t>Financial statement analysis and security valuation</w:t>
      </w:r>
      <w:r w:rsidRPr="00533D17">
        <w:rPr>
          <w:rFonts w:ascii="Times New Roman" w:hAnsi="Times New Roman" w:cs="Times New Roman"/>
          <w:sz w:val="24"/>
          <w:szCs w:val="24"/>
        </w:rPr>
        <w:t> (Vol. 3). New York: McGraw-Hill.</w:t>
      </w:r>
    </w:p>
    <w:p w14:paraId="4BD0B861" w14:textId="1F8B70AB" w:rsidR="005F410A" w:rsidRDefault="005F410A" w:rsidP="005F410A">
      <w:pPr>
        <w:rPr>
          <w:rFonts w:ascii="Times New Roman" w:hAnsi="Times New Roman" w:cs="Times New Roman"/>
          <w:sz w:val="24"/>
          <w:szCs w:val="24"/>
        </w:rPr>
      </w:pPr>
      <w:r w:rsidRPr="005F410A">
        <w:rPr>
          <w:rFonts w:ascii="Times New Roman" w:hAnsi="Times New Roman" w:cs="Times New Roman"/>
          <w:sz w:val="24"/>
          <w:szCs w:val="24"/>
        </w:rPr>
        <w:t>Sportsdirectplc.com. (2019). </w:t>
      </w:r>
      <w:r w:rsidRPr="005F410A">
        <w:rPr>
          <w:rFonts w:ascii="Times New Roman" w:hAnsi="Times New Roman" w:cs="Times New Roman"/>
          <w:i/>
          <w:iCs/>
          <w:sz w:val="24"/>
          <w:szCs w:val="24"/>
        </w:rPr>
        <w:t>2019</w:t>
      </w:r>
      <w:r w:rsidRPr="005F410A">
        <w:rPr>
          <w:rFonts w:ascii="Times New Roman" w:hAnsi="Times New Roman" w:cs="Times New Roman"/>
          <w:sz w:val="24"/>
          <w:szCs w:val="24"/>
        </w:rPr>
        <w:t>. [online] Available at: https://www.sportsdirectplc.com/investor-relations/reports-and-presentations/rp-2019.aspx [Accessed 27 Aug. 2019].</w:t>
      </w:r>
    </w:p>
    <w:p w14:paraId="7FB63495" w14:textId="77777777" w:rsidR="005F410A" w:rsidRDefault="005F410A" w:rsidP="00A44217">
      <w:pPr>
        <w:rPr>
          <w:rFonts w:ascii="Times New Roman" w:hAnsi="Times New Roman" w:cs="Times New Roman"/>
          <w:sz w:val="24"/>
          <w:szCs w:val="24"/>
        </w:rPr>
      </w:pPr>
    </w:p>
    <w:p w14:paraId="6C297368" w14:textId="77777777" w:rsidR="00533D17" w:rsidRPr="00761CD6" w:rsidRDefault="00533D17" w:rsidP="00A44217">
      <w:pPr>
        <w:rPr>
          <w:rFonts w:ascii="Times New Roman" w:hAnsi="Times New Roman" w:cs="Times New Roman"/>
          <w:sz w:val="24"/>
          <w:szCs w:val="24"/>
        </w:rPr>
      </w:pPr>
    </w:p>
    <w:sectPr w:rsidR="00533D17" w:rsidRPr="00761C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9411E"/>
    <w:rsid w:val="000167EC"/>
    <w:rsid w:val="000173B7"/>
    <w:rsid w:val="000C52C3"/>
    <w:rsid w:val="001272C9"/>
    <w:rsid w:val="00177924"/>
    <w:rsid w:val="001C40D0"/>
    <w:rsid w:val="001C4B81"/>
    <w:rsid w:val="001D601A"/>
    <w:rsid w:val="001D7F09"/>
    <w:rsid w:val="001F58BF"/>
    <w:rsid w:val="00203DBF"/>
    <w:rsid w:val="00235F1B"/>
    <w:rsid w:val="002A574E"/>
    <w:rsid w:val="002E210A"/>
    <w:rsid w:val="00322EE7"/>
    <w:rsid w:val="00356B17"/>
    <w:rsid w:val="00377075"/>
    <w:rsid w:val="00386F8A"/>
    <w:rsid w:val="003B1D6C"/>
    <w:rsid w:val="00412BC8"/>
    <w:rsid w:val="00454E6B"/>
    <w:rsid w:val="00462D25"/>
    <w:rsid w:val="00492A80"/>
    <w:rsid w:val="004B118E"/>
    <w:rsid w:val="004B3B0A"/>
    <w:rsid w:val="004C4BE0"/>
    <w:rsid w:val="004D459B"/>
    <w:rsid w:val="004F0030"/>
    <w:rsid w:val="004F61E2"/>
    <w:rsid w:val="00520E84"/>
    <w:rsid w:val="005274F8"/>
    <w:rsid w:val="00533D17"/>
    <w:rsid w:val="00534101"/>
    <w:rsid w:val="00534922"/>
    <w:rsid w:val="00563366"/>
    <w:rsid w:val="005D526B"/>
    <w:rsid w:val="005F04C4"/>
    <w:rsid w:val="005F0B08"/>
    <w:rsid w:val="005F410A"/>
    <w:rsid w:val="00637D40"/>
    <w:rsid w:val="006439A2"/>
    <w:rsid w:val="00656EA0"/>
    <w:rsid w:val="006805A3"/>
    <w:rsid w:val="006A38D8"/>
    <w:rsid w:val="006A45C9"/>
    <w:rsid w:val="006D37FD"/>
    <w:rsid w:val="006F6CB1"/>
    <w:rsid w:val="00707BF4"/>
    <w:rsid w:val="007279B1"/>
    <w:rsid w:val="00747600"/>
    <w:rsid w:val="00751751"/>
    <w:rsid w:val="00761CD6"/>
    <w:rsid w:val="00762256"/>
    <w:rsid w:val="007915BE"/>
    <w:rsid w:val="007930B9"/>
    <w:rsid w:val="007F7523"/>
    <w:rsid w:val="00820A68"/>
    <w:rsid w:val="008352A1"/>
    <w:rsid w:val="008416F9"/>
    <w:rsid w:val="008605F5"/>
    <w:rsid w:val="00870A45"/>
    <w:rsid w:val="008853D4"/>
    <w:rsid w:val="008927BE"/>
    <w:rsid w:val="008B3932"/>
    <w:rsid w:val="008D55D0"/>
    <w:rsid w:val="009161F4"/>
    <w:rsid w:val="00916BEF"/>
    <w:rsid w:val="00942A79"/>
    <w:rsid w:val="00974D14"/>
    <w:rsid w:val="00977C80"/>
    <w:rsid w:val="0098548F"/>
    <w:rsid w:val="009E7C29"/>
    <w:rsid w:val="009F069B"/>
    <w:rsid w:val="00A20144"/>
    <w:rsid w:val="00A20BF2"/>
    <w:rsid w:val="00A44217"/>
    <w:rsid w:val="00A63DBC"/>
    <w:rsid w:val="00A6510B"/>
    <w:rsid w:val="00AB65A5"/>
    <w:rsid w:val="00B052A8"/>
    <w:rsid w:val="00B26784"/>
    <w:rsid w:val="00B40483"/>
    <w:rsid w:val="00B445D2"/>
    <w:rsid w:val="00B713D7"/>
    <w:rsid w:val="00BD0275"/>
    <w:rsid w:val="00BD3696"/>
    <w:rsid w:val="00BE1C45"/>
    <w:rsid w:val="00BF4301"/>
    <w:rsid w:val="00C21AAB"/>
    <w:rsid w:val="00C34C69"/>
    <w:rsid w:val="00C75659"/>
    <w:rsid w:val="00CA35CC"/>
    <w:rsid w:val="00CB5476"/>
    <w:rsid w:val="00CF0C2E"/>
    <w:rsid w:val="00CF58CF"/>
    <w:rsid w:val="00D00D29"/>
    <w:rsid w:val="00D9411E"/>
    <w:rsid w:val="00DA0EE7"/>
    <w:rsid w:val="00DB3CBA"/>
    <w:rsid w:val="00DF3D4D"/>
    <w:rsid w:val="00DF76D1"/>
    <w:rsid w:val="00E37B05"/>
    <w:rsid w:val="00E6391D"/>
    <w:rsid w:val="00EF69FE"/>
    <w:rsid w:val="00F0783A"/>
    <w:rsid w:val="00F26A52"/>
    <w:rsid w:val="00F40B1A"/>
    <w:rsid w:val="00F63BE5"/>
    <w:rsid w:val="00F70613"/>
    <w:rsid w:val="00F74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DDC16"/>
  <w15:chartTrackingRefBased/>
  <w15:docId w15:val="{2E2FEE38-8D6A-4AD9-BDB7-78D73A427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4F0030"/>
    <w:rPr>
      <w:color w:val="0000FF" w:themeColor="hyperlink"/>
      <w:u w:val="single"/>
    </w:rPr>
  </w:style>
  <w:style w:type="character" w:styleId="MeniuneNerezolvat">
    <w:name w:val="Unresolved Mention"/>
    <w:basedOn w:val="Fontdeparagrafimplicit"/>
    <w:uiPriority w:val="99"/>
    <w:semiHidden/>
    <w:unhideWhenUsed/>
    <w:rsid w:val="004F0030"/>
    <w:rPr>
      <w:color w:val="605E5C"/>
      <w:shd w:val="clear" w:color="auto" w:fill="E1DFDD"/>
    </w:rPr>
  </w:style>
  <w:style w:type="paragraph" w:styleId="TextnBalon">
    <w:name w:val="Balloon Text"/>
    <w:basedOn w:val="Normal"/>
    <w:link w:val="TextnBalonCaracter"/>
    <w:uiPriority w:val="99"/>
    <w:semiHidden/>
    <w:unhideWhenUsed/>
    <w:rsid w:val="00533D17"/>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533D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255482">
      <w:bodyDiv w:val="1"/>
      <w:marLeft w:val="0"/>
      <w:marRight w:val="0"/>
      <w:marTop w:val="0"/>
      <w:marBottom w:val="0"/>
      <w:divBdr>
        <w:top w:val="none" w:sz="0" w:space="0" w:color="auto"/>
        <w:left w:val="none" w:sz="0" w:space="0" w:color="auto"/>
        <w:bottom w:val="none" w:sz="0" w:space="0" w:color="auto"/>
        <w:right w:val="none" w:sz="0" w:space="0" w:color="auto"/>
      </w:divBdr>
    </w:div>
    <w:div w:id="428278060">
      <w:bodyDiv w:val="1"/>
      <w:marLeft w:val="0"/>
      <w:marRight w:val="0"/>
      <w:marTop w:val="0"/>
      <w:marBottom w:val="0"/>
      <w:divBdr>
        <w:top w:val="none" w:sz="0" w:space="0" w:color="auto"/>
        <w:left w:val="none" w:sz="0" w:space="0" w:color="auto"/>
        <w:bottom w:val="none" w:sz="0" w:space="0" w:color="auto"/>
        <w:right w:val="none" w:sz="0" w:space="0" w:color="auto"/>
      </w:divBdr>
    </w:div>
    <w:div w:id="452938820">
      <w:bodyDiv w:val="1"/>
      <w:marLeft w:val="0"/>
      <w:marRight w:val="0"/>
      <w:marTop w:val="0"/>
      <w:marBottom w:val="0"/>
      <w:divBdr>
        <w:top w:val="none" w:sz="0" w:space="0" w:color="auto"/>
        <w:left w:val="none" w:sz="0" w:space="0" w:color="auto"/>
        <w:bottom w:val="none" w:sz="0" w:space="0" w:color="auto"/>
        <w:right w:val="none" w:sz="0" w:space="0" w:color="auto"/>
      </w:divBdr>
    </w:div>
    <w:div w:id="932015117">
      <w:bodyDiv w:val="1"/>
      <w:marLeft w:val="0"/>
      <w:marRight w:val="0"/>
      <w:marTop w:val="0"/>
      <w:marBottom w:val="0"/>
      <w:divBdr>
        <w:top w:val="none" w:sz="0" w:space="0" w:color="auto"/>
        <w:left w:val="none" w:sz="0" w:space="0" w:color="auto"/>
        <w:bottom w:val="none" w:sz="0" w:space="0" w:color="auto"/>
        <w:right w:val="none" w:sz="0" w:space="0" w:color="auto"/>
      </w:divBdr>
    </w:div>
    <w:div w:id="950674431">
      <w:bodyDiv w:val="1"/>
      <w:marLeft w:val="0"/>
      <w:marRight w:val="0"/>
      <w:marTop w:val="0"/>
      <w:marBottom w:val="0"/>
      <w:divBdr>
        <w:top w:val="none" w:sz="0" w:space="0" w:color="auto"/>
        <w:left w:val="none" w:sz="0" w:space="0" w:color="auto"/>
        <w:bottom w:val="none" w:sz="0" w:space="0" w:color="auto"/>
        <w:right w:val="none" w:sz="0" w:space="0" w:color="auto"/>
      </w:divBdr>
    </w:div>
    <w:div w:id="1019894061">
      <w:bodyDiv w:val="1"/>
      <w:marLeft w:val="0"/>
      <w:marRight w:val="0"/>
      <w:marTop w:val="0"/>
      <w:marBottom w:val="0"/>
      <w:divBdr>
        <w:top w:val="none" w:sz="0" w:space="0" w:color="auto"/>
        <w:left w:val="none" w:sz="0" w:space="0" w:color="auto"/>
        <w:bottom w:val="none" w:sz="0" w:space="0" w:color="auto"/>
        <w:right w:val="none" w:sz="0" w:space="0" w:color="auto"/>
      </w:divBdr>
    </w:div>
    <w:div w:id="1162937260">
      <w:bodyDiv w:val="1"/>
      <w:marLeft w:val="0"/>
      <w:marRight w:val="0"/>
      <w:marTop w:val="0"/>
      <w:marBottom w:val="0"/>
      <w:divBdr>
        <w:top w:val="none" w:sz="0" w:space="0" w:color="auto"/>
        <w:left w:val="none" w:sz="0" w:space="0" w:color="auto"/>
        <w:bottom w:val="none" w:sz="0" w:space="0" w:color="auto"/>
        <w:right w:val="none" w:sz="0" w:space="0" w:color="auto"/>
      </w:divBdr>
    </w:div>
    <w:div w:id="1272860577">
      <w:bodyDiv w:val="1"/>
      <w:marLeft w:val="0"/>
      <w:marRight w:val="0"/>
      <w:marTop w:val="0"/>
      <w:marBottom w:val="0"/>
      <w:divBdr>
        <w:top w:val="none" w:sz="0" w:space="0" w:color="auto"/>
        <w:left w:val="none" w:sz="0" w:space="0" w:color="auto"/>
        <w:bottom w:val="none" w:sz="0" w:space="0" w:color="auto"/>
        <w:right w:val="none" w:sz="0" w:space="0" w:color="auto"/>
      </w:divBdr>
    </w:div>
    <w:div w:id="1415787165">
      <w:bodyDiv w:val="1"/>
      <w:marLeft w:val="0"/>
      <w:marRight w:val="0"/>
      <w:marTop w:val="0"/>
      <w:marBottom w:val="0"/>
      <w:divBdr>
        <w:top w:val="none" w:sz="0" w:space="0" w:color="auto"/>
        <w:left w:val="none" w:sz="0" w:space="0" w:color="auto"/>
        <w:bottom w:val="none" w:sz="0" w:space="0" w:color="auto"/>
        <w:right w:val="none" w:sz="0" w:space="0" w:color="auto"/>
      </w:divBdr>
    </w:div>
    <w:div w:id="1457676362">
      <w:bodyDiv w:val="1"/>
      <w:marLeft w:val="0"/>
      <w:marRight w:val="0"/>
      <w:marTop w:val="0"/>
      <w:marBottom w:val="0"/>
      <w:divBdr>
        <w:top w:val="none" w:sz="0" w:space="0" w:color="auto"/>
        <w:left w:val="none" w:sz="0" w:space="0" w:color="auto"/>
        <w:bottom w:val="none" w:sz="0" w:space="0" w:color="auto"/>
        <w:right w:val="none" w:sz="0" w:space="0" w:color="auto"/>
      </w:divBdr>
    </w:div>
    <w:div w:id="1546020507">
      <w:bodyDiv w:val="1"/>
      <w:marLeft w:val="0"/>
      <w:marRight w:val="0"/>
      <w:marTop w:val="0"/>
      <w:marBottom w:val="0"/>
      <w:divBdr>
        <w:top w:val="none" w:sz="0" w:space="0" w:color="auto"/>
        <w:left w:val="none" w:sz="0" w:space="0" w:color="auto"/>
        <w:bottom w:val="none" w:sz="0" w:space="0" w:color="auto"/>
        <w:right w:val="none" w:sz="0" w:space="0" w:color="auto"/>
      </w:divBdr>
    </w:div>
    <w:div w:id="1693260150">
      <w:bodyDiv w:val="1"/>
      <w:marLeft w:val="0"/>
      <w:marRight w:val="0"/>
      <w:marTop w:val="0"/>
      <w:marBottom w:val="0"/>
      <w:divBdr>
        <w:top w:val="none" w:sz="0" w:space="0" w:color="auto"/>
        <w:left w:val="none" w:sz="0" w:space="0" w:color="auto"/>
        <w:bottom w:val="none" w:sz="0" w:space="0" w:color="auto"/>
        <w:right w:val="none" w:sz="0" w:space="0" w:color="auto"/>
      </w:divBdr>
    </w:div>
    <w:div w:id="1798838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5.wmf"/><Relationship Id="rId18" Type="http://schemas.openxmlformats.org/officeDocument/2006/relationships/image" Target="media/image8.wmf"/><Relationship Id="rId26" Type="http://schemas.openxmlformats.org/officeDocument/2006/relationships/oleObject" Target="embeddings/oleObject9.bin"/><Relationship Id="rId3" Type="http://schemas.openxmlformats.org/officeDocument/2006/relationships/webSettings" Target="webSettings.xml"/><Relationship Id="rId21" Type="http://schemas.openxmlformats.org/officeDocument/2006/relationships/oleObject" Target="embeddings/oleObject7.bin"/><Relationship Id="rId7" Type="http://schemas.openxmlformats.org/officeDocument/2006/relationships/image" Target="media/image2.wmf"/><Relationship Id="rId12" Type="http://schemas.openxmlformats.org/officeDocument/2006/relationships/oleObject" Target="embeddings/oleObject3.bin"/><Relationship Id="rId17" Type="http://schemas.openxmlformats.org/officeDocument/2006/relationships/image" Target="media/image7.png"/><Relationship Id="rId25" Type="http://schemas.openxmlformats.org/officeDocument/2006/relationships/image" Target="media/image12.wmf"/><Relationship Id="rId2" Type="http://schemas.openxmlformats.org/officeDocument/2006/relationships/settings" Target="settings.xml"/><Relationship Id="rId16" Type="http://schemas.openxmlformats.org/officeDocument/2006/relationships/oleObject" Target="embeddings/oleObject5.bin"/><Relationship Id="rId20" Type="http://schemas.openxmlformats.org/officeDocument/2006/relationships/image" Target="media/image9.wmf"/><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Bury,_Greater_Manchester" TargetMode="External"/><Relationship Id="rId11" Type="http://schemas.openxmlformats.org/officeDocument/2006/relationships/image" Target="media/image4.wmf"/><Relationship Id="rId24" Type="http://schemas.openxmlformats.org/officeDocument/2006/relationships/image" Target="media/image11.png"/><Relationship Id="rId5" Type="http://schemas.openxmlformats.org/officeDocument/2006/relationships/hyperlink" Target="https://en.wikipedia.org/wiki/Fashion" TargetMode="External"/><Relationship Id="rId15" Type="http://schemas.openxmlformats.org/officeDocument/2006/relationships/image" Target="media/image6.wmf"/><Relationship Id="rId23" Type="http://schemas.openxmlformats.org/officeDocument/2006/relationships/oleObject" Target="embeddings/oleObject8.bin"/><Relationship Id="rId28" Type="http://schemas.openxmlformats.org/officeDocument/2006/relationships/oleObject" Target="embeddings/oleObject10.bin"/><Relationship Id="rId10" Type="http://schemas.openxmlformats.org/officeDocument/2006/relationships/oleObject" Target="embeddings/oleObject2.bin"/><Relationship Id="rId19" Type="http://schemas.openxmlformats.org/officeDocument/2006/relationships/oleObject" Target="embeddings/oleObject6.bin"/><Relationship Id="rId4" Type="http://schemas.openxmlformats.org/officeDocument/2006/relationships/image" Target="media/image1.jpeg"/><Relationship Id="rId9" Type="http://schemas.openxmlformats.org/officeDocument/2006/relationships/image" Target="media/image3.wmf"/><Relationship Id="rId14" Type="http://schemas.openxmlformats.org/officeDocument/2006/relationships/oleObject" Target="embeddings/oleObject4.bin"/><Relationship Id="rId22" Type="http://schemas.openxmlformats.org/officeDocument/2006/relationships/image" Target="media/image10.wmf"/><Relationship Id="rId27" Type="http://schemas.openxmlformats.org/officeDocument/2006/relationships/image" Target="media/image13.w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1528</TotalTime>
  <Pages>11</Pages>
  <Words>2942</Words>
  <Characters>16771</Characters>
  <Application>Microsoft Office Word</Application>
  <DocSecurity>0</DocSecurity>
  <Lines>139</Lines>
  <Paragraphs>39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CRISTY</dc:creator>
  <cp:keywords/>
  <dc:description/>
  <cp:lastModifiedBy>CRISTY</cp:lastModifiedBy>
  <cp:revision>15</cp:revision>
  <dcterms:created xsi:type="dcterms:W3CDTF">2019-08-26T12:57:00Z</dcterms:created>
  <dcterms:modified xsi:type="dcterms:W3CDTF">2019-08-29T22:34:00Z</dcterms:modified>
</cp:coreProperties>
</file>