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theme="minorBidi"/>
          <w:color w:val="auto"/>
          <w:sz w:val="24"/>
          <w:szCs w:val="22"/>
        </w:rPr>
        <w:id w:val="911125774"/>
        <w:docPartObj>
          <w:docPartGallery w:val="Table of Contents"/>
          <w:docPartUnique/>
        </w:docPartObj>
      </w:sdtPr>
      <w:sdtEndPr>
        <w:rPr>
          <w:b/>
          <w:bCs/>
          <w:noProof/>
        </w:rPr>
      </w:sdtEndPr>
      <w:sdtContent>
        <w:p w14:paraId="2516949C" w14:textId="35F17650" w:rsidR="00EA368A" w:rsidRDefault="00EA368A" w:rsidP="00EA368A">
          <w:pPr>
            <w:pStyle w:val="TOCHeading"/>
            <w:jc w:val="center"/>
          </w:pPr>
        </w:p>
        <w:p w14:paraId="6E4FDF7D" w14:textId="133CC8A4" w:rsidR="00EC29BB" w:rsidRDefault="00000000"/>
      </w:sdtContent>
    </w:sdt>
    <w:p w14:paraId="73DA7F5A" w14:textId="6CB82EFE" w:rsidR="00EC29BB" w:rsidRDefault="00EC29BB" w:rsidP="00EC29BB"/>
    <w:p w14:paraId="70EFC653" w14:textId="39984854" w:rsidR="00EC29BB" w:rsidRDefault="00EC29BB" w:rsidP="00EC29BB"/>
    <w:p w14:paraId="64A38727" w14:textId="2B9B760E" w:rsidR="00077CF7" w:rsidRPr="00077CF7" w:rsidRDefault="00077CF7" w:rsidP="00077CF7">
      <w:pPr>
        <w:rPr>
          <w:rFonts w:cs="Arial"/>
          <w:sz w:val="28"/>
          <w:szCs w:val="28"/>
        </w:rPr>
      </w:pPr>
      <w:r w:rsidRPr="00077CF7">
        <w:rPr>
          <w:rFonts w:eastAsia="Arial" w:cs="Arial"/>
          <w:color w:val="000000" w:themeColor="text1"/>
          <w:sz w:val="36"/>
          <w:szCs w:val="36"/>
          <w:lang w:val="en-GB" w:eastAsia="en-GB"/>
        </w:rPr>
        <w:t>The title of the Journal –</w:t>
      </w:r>
      <w:r w:rsidRPr="00077CF7">
        <w:rPr>
          <w:rFonts w:eastAsia="Arial" w:cs="Arial"/>
          <w:sz w:val="36"/>
          <w:szCs w:val="36"/>
          <w:lang w:val="en-GB" w:eastAsia="en-GB"/>
        </w:rPr>
        <w:t xml:space="preserve"> </w:t>
      </w:r>
      <w:r w:rsidRPr="00077CF7">
        <w:rPr>
          <w:rFonts w:cs="Arial"/>
          <w:sz w:val="28"/>
          <w:szCs w:val="28"/>
        </w:rPr>
        <w:t>Sustainability within the hotel industry and the emerging trends in the hotel industry.</w:t>
      </w:r>
    </w:p>
    <w:p w14:paraId="0A8C8A4D" w14:textId="77777777" w:rsidR="00077CF7" w:rsidRDefault="00077CF7" w:rsidP="00077CF7">
      <w:pPr>
        <w:spacing w:before="0" w:after="0" w:line="240" w:lineRule="auto"/>
        <w:contextualSpacing/>
        <w:rPr>
          <w:rFonts w:eastAsia="Arial" w:cs="Arial"/>
          <w:color w:val="000000" w:themeColor="text1"/>
          <w:sz w:val="36"/>
          <w:szCs w:val="36"/>
          <w:lang w:val="en-GB" w:eastAsia="en-GB"/>
        </w:rPr>
      </w:pPr>
    </w:p>
    <w:p w14:paraId="7084BD74" w14:textId="3AF95707" w:rsidR="00077CF7" w:rsidRPr="00077CF7" w:rsidRDefault="00077CF7" w:rsidP="00077CF7">
      <w:pPr>
        <w:spacing w:before="0" w:after="0" w:line="240" w:lineRule="auto"/>
        <w:contextualSpacing/>
        <w:rPr>
          <w:rFonts w:eastAsia="Arial" w:cs="Arial"/>
          <w:color w:val="000000" w:themeColor="text1"/>
          <w:sz w:val="36"/>
          <w:szCs w:val="36"/>
          <w:lang w:val="en-GB" w:eastAsia="en-GB"/>
        </w:rPr>
      </w:pPr>
      <w:r w:rsidRPr="00077CF7">
        <w:rPr>
          <w:rFonts w:eastAsia="Arial" w:cs="Arial"/>
          <w:color w:val="000000" w:themeColor="text1"/>
          <w:sz w:val="36"/>
          <w:szCs w:val="36"/>
          <w:lang w:val="en-GB" w:eastAsia="en-GB"/>
        </w:rPr>
        <w:t>Your name - Thivya Vivekananthan</w:t>
      </w:r>
    </w:p>
    <w:p w14:paraId="2F6506A0" w14:textId="4CA26EE2" w:rsidR="00077CF7" w:rsidRDefault="00077CF7" w:rsidP="00077CF7">
      <w:pPr>
        <w:spacing w:before="0" w:after="0" w:line="240" w:lineRule="auto"/>
        <w:ind w:left="720"/>
        <w:contextualSpacing/>
        <w:jc w:val="left"/>
        <w:rPr>
          <w:rFonts w:eastAsia="Arial" w:cs="Arial"/>
          <w:color w:val="000000" w:themeColor="text1"/>
          <w:sz w:val="36"/>
          <w:szCs w:val="36"/>
          <w:lang w:val="en-GB" w:eastAsia="en-GB"/>
        </w:rPr>
      </w:pPr>
    </w:p>
    <w:p w14:paraId="0E84B5D0" w14:textId="77777777" w:rsidR="00077CF7" w:rsidRPr="00077CF7" w:rsidRDefault="00077CF7" w:rsidP="00077CF7">
      <w:pPr>
        <w:spacing w:before="0" w:after="0" w:line="240" w:lineRule="auto"/>
        <w:ind w:left="720"/>
        <w:contextualSpacing/>
        <w:jc w:val="left"/>
        <w:rPr>
          <w:rFonts w:eastAsia="Arial" w:cs="Arial"/>
          <w:color w:val="000000" w:themeColor="text1"/>
          <w:sz w:val="36"/>
          <w:szCs w:val="36"/>
          <w:lang w:val="en-GB" w:eastAsia="en-GB"/>
        </w:rPr>
      </w:pPr>
    </w:p>
    <w:p w14:paraId="51BBE8CA" w14:textId="77777777" w:rsidR="00077CF7" w:rsidRPr="00077CF7" w:rsidRDefault="00077CF7" w:rsidP="00077CF7">
      <w:pPr>
        <w:spacing w:before="0" w:after="0" w:line="240" w:lineRule="auto"/>
        <w:contextualSpacing/>
        <w:rPr>
          <w:rFonts w:eastAsia="Arial" w:cs="Arial"/>
          <w:color w:val="000000" w:themeColor="text1"/>
          <w:sz w:val="36"/>
          <w:szCs w:val="36"/>
          <w:lang w:val="en-GB" w:eastAsia="en-GB"/>
        </w:rPr>
      </w:pPr>
      <w:r w:rsidRPr="00077CF7">
        <w:rPr>
          <w:rFonts w:eastAsia="Arial" w:cs="Arial"/>
          <w:color w:val="000000" w:themeColor="text1"/>
          <w:sz w:val="36"/>
          <w:szCs w:val="36"/>
          <w:lang w:val="en-GB" w:eastAsia="en-GB"/>
        </w:rPr>
        <w:t>Student no - 2118239</w:t>
      </w:r>
    </w:p>
    <w:p w14:paraId="30DE5DDB" w14:textId="143F9AA5" w:rsidR="00077CF7" w:rsidRDefault="00077CF7" w:rsidP="00077CF7">
      <w:pPr>
        <w:spacing w:before="0" w:after="0" w:line="240" w:lineRule="auto"/>
        <w:ind w:left="720"/>
        <w:contextualSpacing/>
        <w:jc w:val="left"/>
        <w:rPr>
          <w:rFonts w:eastAsia="Arial" w:cs="Arial"/>
          <w:color w:val="000000" w:themeColor="text1"/>
          <w:sz w:val="36"/>
          <w:szCs w:val="36"/>
          <w:lang w:val="en-GB" w:eastAsia="en-GB"/>
        </w:rPr>
      </w:pPr>
    </w:p>
    <w:p w14:paraId="671C7A9D" w14:textId="77777777" w:rsidR="00077CF7" w:rsidRPr="00077CF7" w:rsidRDefault="00077CF7" w:rsidP="00077CF7">
      <w:pPr>
        <w:spacing w:before="0" w:after="0" w:line="240" w:lineRule="auto"/>
        <w:ind w:left="720"/>
        <w:contextualSpacing/>
        <w:jc w:val="left"/>
        <w:rPr>
          <w:rFonts w:eastAsia="Arial" w:cs="Arial"/>
          <w:color w:val="000000" w:themeColor="text1"/>
          <w:sz w:val="36"/>
          <w:szCs w:val="36"/>
          <w:lang w:val="en-GB" w:eastAsia="en-GB"/>
        </w:rPr>
      </w:pPr>
    </w:p>
    <w:p w14:paraId="5DC3778B" w14:textId="7F360F05" w:rsidR="00077CF7" w:rsidRDefault="00077CF7" w:rsidP="00077CF7">
      <w:pPr>
        <w:spacing w:before="0" w:after="0" w:line="240" w:lineRule="auto"/>
        <w:contextualSpacing/>
        <w:rPr>
          <w:rFonts w:eastAsia="Arial" w:cs="Arial"/>
          <w:color w:val="000000" w:themeColor="text1"/>
          <w:sz w:val="36"/>
          <w:szCs w:val="36"/>
          <w:lang w:val="en-GB" w:eastAsia="en-GB"/>
        </w:rPr>
      </w:pPr>
      <w:r w:rsidRPr="00077CF7">
        <w:rPr>
          <w:rFonts w:eastAsia="Arial" w:cs="Arial"/>
          <w:color w:val="000000" w:themeColor="text1"/>
          <w:sz w:val="36"/>
          <w:szCs w:val="36"/>
          <w:lang w:val="en-GB" w:eastAsia="en-GB"/>
        </w:rPr>
        <w:t>The module title and number –</w:t>
      </w:r>
      <w:r w:rsidR="00EB7921">
        <w:rPr>
          <w:rFonts w:eastAsia="Arial" w:cs="Arial"/>
          <w:color w:val="000000" w:themeColor="text1"/>
          <w:sz w:val="36"/>
          <w:szCs w:val="36"/>
          <w:lang w:val="en-GB" w:eastAsia="en-GB"/>
        </w:rPr>
        <w:t xml:space="preserve"> BMIH4006</w:t>
      </w:r>
    </w:p>
    <w:p w14:paraId="32F779F2" w14:textId="4A98CE99" w:rsidR="00077CF7" w:rsidRDefault="00077CF7" w:rsidP="00077CF7">
      <w:pPr>
        <w:spacing w:before="0" w:after="0" w:line="240" w:lineRule="auto"/>
        <w:contextualSpacing/>
        <w:rPr>
          <w:rFonts w:eastAsia="Arial" w:cs="Arial"/>
          <w:color w:val="000000" w:themeColor="text1"/>
          <w:sz w:val="36"/>
          <w:szCs w:val="36"/>
          <w:lang w:val="en-GB" w:eastAsia="en-GB"/>
        </w:rPr>
      </w:pPr>
    </w:p>
    <w:p w14:paraId="633A9D32" w14:textId="77777777" w:rsidR="00077CF7" w:rsidRPr="00077CF7" w:rsidRDefault="00077CF7" w:rsidP="00077CF7">
      <w:pPr>
        <w:spacing w:before="0" w:after="0" w:line="240" w:lineRule="auto"/>
        <w:contextualSpacing/>
        <w:rPr>
          <w:rFonts w:eastAsia="Arial" w:cs="Arial"/>
          <w:color w:val="000000" w:themeColor="text1"/>
          <w:sz w:val="36"/>
          <w:szCs w:val="36"/>
          <w:lang w:val="en-GB" w:eastAsia="en-GB"/>
        </w:rPr>
      </w:pPr>
    </w:p>
    <w:p w14:paraId="2ECDF94C" w14:textId="019BBBF7" w:rsidR="00077CF7" w:rsidRPr="00077CF7" w:rsidRDefault="00077CF7" w:rsidP="00077CF7">
      <w:pPr>
        <w:spacing w:before="0" w:after="0" w:line="240" w:lineRule="auto"/>
        <w:contextualSpacing/>
        <w:rPr>
          <w:rFonts w:eastAsia="Arial" w:cs="Arial"/>
          <w:color w:val="000000" w:themeColor="text1"/>
          <w:sz w:val="36"/>
          <w:szCs w:val="36"/>
          <w:lang w:val="en-GB" w:eastAsia="en-GB"/>
        </w:rPr>
      </w:pPr>
      <w:r w:rsidRPr="00077CF7">
        <w:rPr>
          <w:rFonts w:eastAsia="Arial" w:cs="Arial"/>
          <w:color w:val="000000" w:themeColor="text1"/>
          <w:sz w:val="36"/>
          <w:szCs w:val="36"/>
          <w:lang w:val="en-GB" w:eastAsia="en-GB"/>
        </w:rPr>
        <w:t xml:space="preserve">Your lecturer’s name – </w:t>
      </w:r>
      <w:r w:rsidR="00EB7921">
        <w:rPr>
          <w:rFonts w:eastAsia="Arial" w:cs="Arial"/>
          <w:color w:val="000000" w:themeColor="text1"/>
          <w:sz w:val="36"/>
          <w:szCs w:val="36"/>
          <w:lang w:val="en-GB" w:eastAsia="en-GB"/>
        </w:rPr>
        <w:t>Laurence Blake</w:t>
      </w:r>
    </w:p>
    <w:p w14:paraId="2EE19E5E" w14:textId="5AAD6A4B" w:rsidR="00077CF7" w:rsidRDefault="00077CF7" w:rsidP="00077CF7">
      <w:pPr>
        <w:spacing w:before="0" w:after="0" w:line="240" w:lineRule="auto"/>
        <w:ind w:left="720"/>
        <w:contextualSpacing/>
        <w:jc w:val="left"/>
        <w:rPr>
          <w:rFonts w:eastAsia="Arial" w:cs="Arial"/>
          <w:color w:val="000000" w:themeColor="text1"/>
          <w:sz w:val="36"/>
          <w:szCs w:val="36"/>
          <w:lang w:val="en-GB" w:eastAsia="en-GB"/>
        </w:rPr>
      </w:pPr>
    </w:p>
    <w:p w14:paraId="49D3A500" w14:textId="77777777" w:rsidR="00077CF7" w:rsidRPr="00077CF7" w:rsidRDefault="00077CF7" w:rsidP="00077CF7">
      <w:pPr>
        <w:spacing w:before="0" w:after="0" w:line="240" w:lineRule="auto"/>
        <w:ind w:left="720"/>
        <w:contextualSpacing/>
        <w:jc w:val="left"/>
        <w:rPr>
          <w:rFonts w:eastAsia="Arial" w:cs="Arial"/>
          <w:color w:val="000000" w:themeColor="text1"/>
          <w:sz w:val="36"/>
          <w:szCs w:val="36"/>
          <w:lang w:val="en-GB" w:eastAsia="en-GB"/>
        </w:rPr>
      </w:pPr>
    </w:p>
    <w:p w14:paraId="36DEB578" w14:textId="42C09E5B" w:rsidR="00077CF7" w:rsidRPr="00077CF7" w:rsidRDefault="00077CF7" w:rsidP="00077CF7">
      <w:pPr>
        <w:spacing w:before="0" w:after="0" w:line="240" w:lineRule="auto"/>
        <w:contextualSpacing/>
        <w:rPr>
          <w:rFonts w:eastAsia="Arial" w:cs="Arial"/>
          <w:color w:val="000000" w:themeColor="text1"/>
          <w:sz w:val="36"/>
          <w:szCs w:val="36"/>
          <w:lang w:val="en-GB" w:eastAsia="en-GB"/>
        </w:rPr>
      </w:pPr>
      <w:r w:rsidRPr="00077CF7">
        <w:rPr>
          <w:rFonts w:eastAsia="Arial" w:cs="Arial"/>
          <w:color w:val="000000" w:themeColor="text1"/>
          <w:sz w:val="36"/>
          <w:szCs w:val="36"/>
          <w:lang w:val="en-GB" w:eastAsia="en-GB"/>
        </w:rPr>
        <w:t xml:space="preserve">Word count –  </w:t>
      </w:r>
      <w:r>
        <w:rPr>
          <w:rFonts w:eastAsia="Arial" w:cs="Arial"/>
          <w:color w:val="000000" w:themeColor="text1"/>
          <w:sz w:val="36"/>
          <w:szCs w:val="36"/>
          <w:lang w:val="en-GB" w:eastAsia="en-GB"/>
        </w:rPr>
        <w:t xml:space="preserve"> </w:t>
      </w:r>
      <w:r w:rsidR="00EB7921">
        <w:rPr>
          <w:rFonts w:eastAsia="Arial" w:cs="Arial"/>
          <w:color w:val="000000" w:themeColor="text1"/>
          <w:sz w:val="36"/>
          <w:szCs w:val="36"/>
          <w:lang w:val="en-GB" w:eastAsia="en-GB"/>
        </w:rPr>
        <w:t xml:space="preserve">760 </w:t>
      </w:r>
      <w:r w:rsidRPr="00077CF7">
        <w:rPr>
          <w:rFonts w:eastAsia="Arial" w:cs="Arial"/>
          <w:color w:val="000000" w:themeColor="text1"/>
          <w:sz w:val="36"/>
          <w:szCs w:val="36"/>
          <w:lang w:val="en-GB" w:eastAsia="en-GB"/>
        </w:rPr>
        <w:t>Words</w:t>
      </w:r>
    </w:p>
    <w:p w14:paraId="221B80D4" w14:textId="5B24EDB5" w:rsidR="00EC29BB" w:rsidRDefault="00EC29BB" w:rsidP="00EC29BB"/>
    <w:p w14:paraId="32C02421" w14:textId="597DA804" w:rsidR="00EC29BB" w:rsidRDefault="00EC29BB" w:rsidP="00EC29BB"/>
    <w:p w14:paraId="44A38123" w14:textId="09C2ABE2" w:rsidR="00EC29BB" w:rsidRDefault="00EC29BB" w:rsidP="00EC29BB"/>
    <w:p w14:paraId="6D4B2401" w14:textId="77777777" w:rsidR="00077CF7" w:rsidRDefault="00077CF7" w:rsidP="00EC29BB"/>
    <w:p w14:paraId="2CDA65CD" w14:textId="1A48BD6B" w:rsidR="00EA368A" w:rsidRPr="00EA368A" w:rsidRDefault="00EA368A" w:rsidP="00EA368A">
      <w:pPr>
        <w:pStyle w:val="Heading1"/>
      </w:pPr>
      <w:r w:rsidRPr="00EC29BB">
        <w:lastRenderedPageBreak/>
        <w:t>Introductio</w:t>
      </w:r>
      <w:r>
        <w:t>n</w:t>
      </w:r>
    </w:p>
    <w:p w14:paraId="44804D95" w14:textId="6445ECFB" w:rsidR="00282E65" w:rsidRPr="00EC29BB" w:rsidRDefault="002F1D9C" w:rsidP="00877C9F">
      <w:pPr>
        <w:rPr>
          <w:rFonts w:cs="Arial"/>
          <w:szCs w:val="24"/>
        </w:rPr>
      </w:pPr>
      <w:r w:rsidRPr="00EC29BB">
        <w:rPr>
          <w:rFonts w:cs="Arial"/>
          <w:szCs w:val="24"/>
        </w:rPr>
        <w:t xml:space="preserve">This study is focus on the </w:t>
      </w:r>
      <w:r w:rsidR="00426829" w:rsidRPr="00EC29BB">
        <w:rPr>
          <w:rFonts w:cs="Arial"/>
          <w:szCs w:val="24"/>
        </w:rPr>
        <w:t xml:space="preserve">developing sustainability, health and well-being and the emerging trends in in the global hotel </w:t>
      </w:r>
      <w:r w:rsidR="00077CF7" w:rsidRPr="00EC29BB">
        <w:rPr>
          <w:rFonts w:cs="Arial"/>
          <w:szCs w:val="24"/>
        </w:rPr>
        <w:t>industry</w:t>
      </w:r>
      <w:r w:rsidR="00077CF7">
        <w:rPr>
          <w:rFonts w:cs="Arial"/>
          <w:szCs w:val="24"/>
        </w:rPr>
        <w:t>.</w:t>
      </w:r>
      <w:r w:rsidR="00077CF7" w:rsidRPr="00EC29BB">
        <w:rPr>
          <w:rFonts w:cs="Arial"/>
          <w:szCs w:val="24"/>
        </w:rPr>
        <w:t xml:space="preserve"> This</w:t>
      </w:r>
      <w:r w:rsidR="00B054D6" w:rsidRPr="00EC29BB">
        <w:rPr>
          <w:rFonts w:cs="Arial"/>
          <w:szCs w:val="24"/>
        </w:rPr>
        <w:t xml:space="preserve"> article researches the movement and the readiness of the concept of sustainability with relevance to the sustainability of the hotel industry in the global context </w:t>
      </w:r>
      <w:r w:rsidR="00192236" w:rsidRPr="00EC29BB">
        <w:rPr>
          <w:rFonts w:cs="Arial"/>
          <w:szCs w:val="24"/>
        </w:rPr>
        <w:t>and</w:t>
      </w:r>
      <w:r w:rsidR="00B054D6" w:rsidRPr="00EC29BB">
        <w:rPr>
          <w:rFonts w:cs="Arial"/>
          <w:szCs w:val="24"/>
        </w:rPr>
        <w:t xml:space="preserve"> the emerging trends, </w:t>
      </w:r>
      <w:r w:rsidR="00282E65" w:rsidRPr="00EC29BB">
        <w:rPr>
          <w:rFonts w:cs="Arial"/>
          <w:szCs w:val="24"/>
        </w:rPr>
        <w:t>health,</w:t>
      </w:r>
      <w:r w:rsidR="00B054D6" w:rsidRPr="00EC29BB">
        <w:rPr>
          <w:rFonts w:cs="Arial"/>
          <w:szCs w:val="24"/>
        </w:rPr>
        <w:t xml:space="preserve"> and wellbeing measures of the hotel industry. </w:t>
      </w:r>
      <w:r w:rsidR="00282E65" w:rsidRPr="00EC29BB">
        <w:rPr>
          <w:rFonts w:cs="Arial"/>
          <w:szCs w:val="24"/>
        </w:rPr>
        <w:t xml:space="preserve">The hotel industry is a rapidly growing industry and a very complex product and service offering industry which beside the food and beverages, lodging, entertainment as well as range of complementary and </w:t>
      </w:r>
      <w:r w:rsidR="00051B6B" w:rsidRPr="00EC29BB">
        <w:rPr>
          <w:rFonts w:cs="Arial"/>
          <w:szCs w:val="24"/>
        </w:rPr>
        <w:t>ancillary competitive</w:t>
      </w:r>
      <w:r w:rsidR="00282E65" w:rsidRPr="00EC29BB">
        <w:rPr>
          <w:rFonts w:cs="Arial"/>
          <w:szCs w:val="24"/>
        </w:rPr>
        <w:t xml:space="preserve"> facilities and services </w:t>
      </w:r>
      <w:r w:rsidR="00051B6B" w:rsidRPr="00EC29BB">
        <w:rPr>
          <w:rFonts w:cs="Arial"/>
          <w:szCs w:val="24"/>
        </w:rPr>
        <w:t>to</w:t>
      </w:r>
      <w:r w:rsidR="00282E65" w:rsidRPr="00EC29BB">
        <w:rPr>
          <w:rFonts w:cs="Arial"/>
          <w:szCs w:val="24"/>
        </w:rPr>
        <w:t xml:space="preserve"> create a higher level of demand for the desired tourist and service groups.</w:t>
      </w:r>
    </w:p>
    <w:p w14:paraId="63CDE7D6" w14:textId="34441E48" w:rsidR="00603723" w:rsidRPr="00EC29BB" w:rsidRDefault="00603723" w:rsidP="00EA368A">
      <w:pPr>
        <w:pStyle w:val="Heading2"/>
        <w:ind w:left="0"/>
      </w:pPr>
      <w:bookmarkStart w:id="0" w:name="_Toc117855478"/>
      <w:r w:rsidRPr="00EC29BB">
        <w:t xml:space="preserve">Sustainability within the </w:t>
      </w:r>
      <w:r w:rsidR="00747A51" w:rsidRPr="00EC29BB">
        <w:t>H</w:t>
      </w:r>
      <w:r w:rsidRPr="00EC29BB">
        <w:t xml:space="preserve">otel </w:t>
      </w:r>
      <w:r w:rsidR="00747A51" w:rsidRPr="00EC29BB">
        <w:t>I</w:t>
      </w:r>
      <w:r w:rsidRPr="00EC29BB">
        <w:t>ndustry</w:t>
      </w:r>
      <w:bookmarkEnd w:id="0"/>
    </w:p>
    <w:p w14:paraId="18E6DBAB" w14:textId="04C0BD7A" w:rsidR="00EC29BB" w:rsidRDefault="00282E65" w:rsidP="00877C9F">
      <w:pPr>
        <w:rPr>
          <w:rFonts w:cs="Arial"/>
          <w:szCs w:val="24"/>
        </w:rPr>
      </w:pPr>
      <w:r w:rsidRPr="00EC29BB">
        <w:rPr>
          <w:rFonts w:cs="Arial"/>
          <w:szCs w:val="24"/>
        </w:rPr>
        <w:t>The sustainability is a widely accepted measurement criterion of the modern business world, and the sustainable development refers just more than rectifying environmental issues and it incorporates economic and social cultural components as we</w:t>
      </w:r>
      <w:r w:rsidRPr="00B61C68">
        <w:rPr>
          <w:rFonts w:cs="Arial"/>
          <w:szCs w:val="24"/>
        </w:rPr>
        <w:t>ll</w:t>
      </w:r>
      <w:r w:rsidR="00B61C68">
        <w:rPr>
          <w:rFonts w:cs="Arial"/>
          <w:szCs w:val="24"/>
        </w:rPr>
        <w:t xml:space="preserve"> (Jones, 2014)</w:t>
      </w:r>
      <w:r w:rsidRPr="00EC29BB">
        <w:rPr>
          <w:rFonts w:cs="Arial"/>
          <w:szCs w:val="24"/>
        </w:rPr>
        <w:t xml:space="preserve">. </w:t>
      </w:r>
      <w:r w:rsidR="00A33523" w:rsidRPr="00EC29BB">
        <w:rPr>
          <w:rFonts w:cs="Arial"/>
          <w:szCs w:val="24"/>
        </w:rPr>
        <w:t>Generally, the sustainability means conducting businesses in the environment friendly manner and supporting communities in which the business operates by caring the planet</w:t>
      </w:r>
      <w:r w:rsidR="00B61C68">
        <w:rPr>
          <w:rFonts w:cs="Arial"/>
          <w:szCs w:val="24"/>
        </w:rPr>
        <w:t xml:space="preserve"> (</w:t>
      </w:r>
      <w:r w:rsidR="00B61C68" w:rsidRPr="00B61C68">
        <w:rPr>
          <w:rFonts w:cs="Arial"/>
          <w:szCs w:val="24"/>
        </w:rPr>
        <w:t>Diesendorf</w:t>
      </w:r>
      <w:r w:rsidR="00B61C68">
        <w:rPr>
          <w:rFonts w:cs="Arial"/>
          <w:szCs w:val="24"/>
        </w:rPr>
        <w:t>,</w:t>
      </w:r>
      <w:r w:rsidR="00B61C68" w:rsidRPr="00B61C68">
        <w:rPr>
          <w:rFonts w:cs="Arial"/>
          <w:szCs w:val="24"/>
        </w:rPr>
        <w:t xml:space="preserve"> 2000)</w:t>
      </w:r>
      <w:r w:rsidR="00A33523" w:rsidRPr="00EC29BB">
        <w:rPr>
          <w:rFonts w:cs="Arial"/>
          <w:szCs w:val="24"/>
        </w:rPr>
        <w:t xml:space="preserve"> </w:t>
      </w:r>
      <w:r w:rsidR="00747A51" w:rsidRPr="00EC29BB">
        <w:rPr>
          <w:rFonts w:cs="Arial"/>
          <w:szCs w:val="24"/>
        </w:rPr>
        <w:t>At the initial phase of the co</w:t>
      </w:r>
      <w:r w:rsidR="004D2631" w:rsidRPr="00EC29BB">
        <w:rPr>
          <w:rFonts w:cs="Arial"/>
          <w:szCs w:val="24"/>
        </w:rPr>
        <w:t>ncept</w:t>
      </w:r>
      <w:r w:rsidR="00747A51" w:rsidRPr="00EC29BB">
        <w:rPr>
          <w:rFonts w:cs="Arial"/>
          <w:szCs w:val="24"/>
        </w:rPr>
        <w:t xml:space="preserve"> of sustainability its purely focused on the </w:t>
      </w:r>
      <w:r w:rsidR="004D2631" w:rsidRPr="00EC29BB">
        <w:rPr>
          <w:rFonts w:cs="Arial"/>
          <w:szCs w:val="24"/>
        </w:rPr>
        <w:t xml:space="preserve">environment friendly business undertakings which exhibit the proper governance and social friendly business </w:t>
      </w:r>
      <w:r w:rsidR="00D11CF6" w:rsidRPr="00EC29BB">
        <w:rPr>
          <w:rFonts w:cs="Arial"/>
          <w:szCs w:val="24"/>
        </w:rPr>
        <w:t>processes</w:t>
      </w:r>
      <w:r w:rsidR="004D2631" w:rsidRPr="00EC29BB">
        <w:rPr>
          <w:rFonts w:cs="Arial"/>
          <w:szCs w:val="24"/>
        </w:rPr>
        <w:t xml:space="preserve">. </w:t>
      </w:r>
    </w:p>
    <w:p w14:paraId="01152613" w14:textId="2CFED712" w:rsidR="0030486A" w:rsidRPr="00EC29BB" w:rsidRDefault="004D2631" w:rsidP="00EB7921">
      <w:r w:rsidRPr="00EC29BB">
        <w:t xml:space="preserve">However, in the modern business world, the </w:t>
      </w:r>
      <w:r w:rsidR="00D11CF6" w:rsidRPr="00EC29BB">
        <w:t xml:space="preserve">concept of </w:t>
      </w:r>
      <w:r w:rsidRPr="00EC29BB">
        <w:t xml:space="preserve">sustainability considered in the strategy formulation process and </w:t>
      </w:r>
      <w:r w:rsidR="00D11CF6" w:rsidRPr="00EC29BB">
        <w:t xml:space="preserve">most importantly, </w:t>
      </w:r>
      <w:r w:rsidRPr="00EC29BB">
        <w:t>it recognized under economical and sociocultural factors where it will make higher level of value addition and increase brand value of the business in this competitive business world</w:t>
      </w:r>
      <w:r w:rsidR="00B61C68">
        <w:t xml:space="preserve"> (Amsler, 2009)</w:t>
      </w:r>
      <w:r w:rsidRPr="00EC29BB">
        <w:t xml:space="preserve">. </w:t>
      </w:r>
      <w:r w:rsidR="00D11CF6" w:rsidRPr="00EC29BB">
        <w:t>For an example, under the 2025 sustainability &amp; social impact goals of Marriott hotel network, it planned to create positive and sustainable values addition for the business</w:t>
      </w:r>
      <w:r w:rsidR="00B61C68">
        <w:t xml:space="preserve"> (</w:t>
      </w:r>
      <w:r w:rsidR="006837E7" w:rsidRPr="006837E7">
        <w:t>Sustainable goals</w:t>
      </w:r>
      <w:r w:rsidR="006837E7">
        <w:t xml:space="preserve">, </w:t>
      </w:r>
      <w:r w:rsidR="006837E7" w:rsidRPr="00EC29BB">
        <w:t>Marriott</w:t>
      </w:r>
      <w:r w:rsidR="006837E7">
        <w:t xml:space="preserve"> 2022)</w:t>
      </w:r>
      <w:r w:rsidR="00D11CF6" w:rsidRPr="00EC29BB">
        <w:t>.</w:t>
      </w:r>
      <w:r w:rsidR="006837E7">
        <w:t xml:space="preserve"> </w:t>
      </w:r>
      <w:r w:rsidR="00781F11" w:rsidRPr="00EC29BB">
        <w:t xml:space="preserve">Therefore, the sustainability considered as a tool in the community engagement strategy and under this the organizations in the hotel industries trying to establish community service activities, empower the community through opportunities, </w:t>
      </w:r>
      <w:r w:rsidR="00A33523" w:rsidRPr="00EC29BB">
        <w:t xml:space="preserve">execute all advance human rights and aligned the operations in environment friendly </w:t>
      </w:r>
      <w:r w:rsidR="00A33523" w:rsidRPr="00EC29BB">
        <w:lastRenderedPageBreak/>
        <w:t xml:space="preserve">manner. </w:t>
      </w:r>
      <w:r w:rsidR="00EB7921">
        <w:t>Like ecofriendly, reduce plastics usage in hotels, reduce food wastage, saving energy.</w:t>
      </w:r>
    </w:p>
    <w:p w14:paraId="3EA0AECB" w14:textId="333A833D" w:rsidR="003A1A59" w:rsidRPr="00EA368A" w:rsidRDefault="0030486A" w:rsidP="00EA368A">
      <w:pPr>
        <w:rPr>
          <w:rFonts w:cs="Arial"/>
          <w:szCs w:val="24"/>
        </w:rPr>
      </w:pPr>
      <w:r w:rsidRPr="00EC29BB">
        <w:rPr>
          <w:rFonts w:cs="Arial"/>
          <w:szCs w:val="24"/>
        </w:rPr>
        <w:t xml:space="preserve">The </w:t>
      </w:r>
      <w:r w:rsidR="005360A4" w:rsidRPr="00EC29BB">
        <w:rPr>
          <w:rFonts w:cs="Arial"/>
          <w:szCs w:val="24"/>
        </w:rPr>
        <w:t>sustainability of the business undertakings is considered as a key element in the modern business world, and it use as a tool for create higher level of value for the customers and the community in large</w:t>
      </w:r>
      <w:r w:rsidR="006837E7">
        <w:rPr>
          <w:rFonts w:cs="Arial"/>
          <w:szCs w:val="24"/>
        </w:rPr>
        <w:t xml:space="preserve"> (Chen, 2009)</w:t>
      </w:r>
      <w:r w:rsidR="005360A4" w:rsidRPr="00EC29BB">
        <w:rPr>
          <w:rFonts w:cs="Arial"/>
          <w:szCs w:val="24"/>
        </w:rPr>
        <w:t>.</w:t>
      </w:r>
      <w:r w:rsidR="006837E7">
        <w:rPr>
          <w:rFonts w:cs="Arial"/>
          <w:szCs w:val="24"/>
        </w:rPr>
        <w:t xml:space="preserve"> </w:t>
      </w:r>
      <w:r w:rsidR="005360A4" w:rsidRPr="00EC29BB">
        <w:rPr>
          <w:rFonts w:cs="Arial"/>
          <w:szCs w:val="24"/>
        </w:rPr>
        <w:t xml:space="preserve">Therefore, using green house energy systems, balance the gender difference in the leadership roles, diverting and controlling wastages, elaborating </w:t>
      </w:r>
      <w:r w:rsidR="00EC126B" w:rsidRPr="00EC29BB">
        <w:rPr>
          <w:rFonts w:cs="Arial"/>
          <w:szCs w:val="24"/>
        </w:rPr>
        <w:t>sustainability, and</w:t>
      </w:r>
      <w:r w:rsidR="005360A4" w:rsidRPr="00EC29BB">
        <w:rPr>
          <w:rFonts w:cs="Arial"/>
          <w:szCs w:val="24"/>
        </w:rPr>
        <w:t xml:space="preserve"> identify</w:t>
      </w:r>
      <w:r w:rsidR="00EC126B" w:rsidRPr="00EC29BB">
        <w:rPr>
          <w:rFonts w:cs="Arial"/>
          <w:szCs w:val="24"/>
        </w:rPr>
        <w:t>ing</w:t>
      </w:r>
      <w:r w:rsidR="005360A4" w:rsidRPr="00EC29BB">
        <w:rPr>
          <w:rFonts w:cs="Arial"/>
          <w:szCs w:val="24"/>
        </w:rPr>
        <w:t xml:space="preserve"> more environment friendly hotel developing methods while encouraging the similar concepts of suppliers</w:t>
      </w:r>
      <w:r w:rsidR="00EC126B" w:rsidRPr="00EC29BB">
        <w:rPr>
          <w:rFonts w:cs="Arial"/>
          <w:szCs w:val="24"/>
        </w:rPr>
        <w:t>.</w:t>
      </w:r>
    </w:p>
    <w:p w14:paraId="42E19B86" w14:textId="409DF4F0" w:rsidR="00EC29BB" w:rsidRDefault="0030486A" w:rsidP="00051B6B">
      <w:pPr>
        <w:rPr>
          <w:rFonts w:cs="Arial"/>
          <w:szCs w:val="24"/>
        </w:rPr>
      </w:pPr>
      <w:r w:rsidRPr="00EC29BB">
        <w:rPr>
          <w:rFonts w:cs="Arial"/>
          <w:szCs w:val="24"/>
        </w:rPr>
        <w:t xml:space="preserve">The global hotel industry is a very dynamic industry where the business environment is rapidly </w:t>
      </w:r>
      <w:r w:rsidR="00192236" w:rsidRPr="00EC29BB">
        <w:rPr>
          <w:rFonts w:cs="Arial"/>
          <w:szCs w:val="24"/>
        </w:rPr>
        <w:t>changing,</w:t>
      </w:r>
      <w:r w:rsidR="00EC126B" w:rsidRPr="00EC29BB">
        <w:rPr>
          <w:rFonts w:cs="Arial"/>
          <w:szCs w:val="24"/>
        </w:rPr>
        <w:t xml:space="preserve"> and large-scale hotel networks are expanding their businesses in the different regions and countries.</w:t>
      </w:r>
      <w:r w:rsidR="00192236" w:rsidRPr="00EC29BB">
        <w:rPr>
          <w:rFonts w:cs="Arial"/>
          <w:szCs w:val="24"/>
        </w:rPr>
        <w:t xml:space="preserve"> </w:t>
      </w:r>
      <w:r w:rsidR="00356E1F" w:rsidRPr="00EC29BB">
        <w:rPr>
          <w:rFonts w:cs="Arial"/>
          <w:szCs w:val="24"/>
        </w:rPr>
        <w:t xml:space="preserve">Therefore, it recognizes as most important sector in the global economic context. </w:t>
      </w:r>
      <w:r w:rsidR="00192236" w:rsidRPr="00EC29BB">
        <w:rPr>
          <w:rFonts w:cs="Arial"/>
          <w:szCs w:val="24"/>
        </w:rPr>
        <w:t xml:space="preserve">There are range of trends in the hotel industry with related to safety, hygiene, contactless </w:t>
      </w:r>
      <w:r w:rsidR="00EB7921" w:rsidRPr="00EC29BB">
        <w:rPr>
          <w:rFonts w:cs="Arial"/>
          <w:szCs w:val="24"/>
        </w:rPr>
        <w:t>payments,</w:t>
      </w:r>
      <w:r w:rsidR="00EB7921">
        <w:rPr>
          <w:rFonts w:cs="Arial"/>
          <w:szCs w:val="24"/>
        </w:rPr>
        <w:t xml:space="preserve"> manage bookings,</w:t>
      </w:r>
      <w:r w:rsidR="00192236" w:rsidRPr="00EC29BB">
        <w:rPr>
          <w:rFonts w:cs="Arial"/>
          <w:szCs w:val="24"/>
        </w:rPr>
        <w:t xml:space="preserve"> voice search, voice control, robots in hotels</w:t>
      </w:r>
      <w:r w:rsidR="00216BC0" w:rsidRPr="00EC29BB">
        <w:rPr>
          <w:rFonts w:cs="Arial"/>
          <w:szCs w:val="24"/>
        </w:rPr>
        <w:t xml:space="preserve"> and</w:t>
      </w:r>
      <w:r w:rsidR="00192236" w:rsidRPr="00EC29BB">
        <w:rPr>
          <w:rFonts w:cs="Arial"/>
          <w:szCs w:val="24"/>
        </w:rPr>
        <w:t xml:space="preserve"> mobile check in service</w:t>
      </w:r>
      <w:r w:rsidR="00216BC0" w:rsidRPr="00EC29BB">
        <w:rPr>
          <w:rFonts w:cs="Arial"/>
          <w:szCs w:val="24"/>
        </w:rPr>
        <w:t xml:space="preserve"> etc. </w:t>
      </w:r>
      <w:r w:rsidR="00356E1F" w:rsidRPr="00EC29BB">
        <w:rPr>
          <w:rFonts w:cs="Arial"/>
          <w:szCs w:val="24"/>
        </w:rPr>
        <w:t xml:space="preserve">Due to the global pandemic and social behavioral changes, the health and the wellbeing is considered as a most important factor which create higher level of value addition for the customers while eliminating the risk associated with the health-related matters. </w:t>
      </w:r>
      <w:r w:rsidR="00282E65" w:rsidRPr="00EC29BB">
        <w:rPr>
          <w:rFonts w:cs="Arial"/>
          <w:szCs w:val="24"/>
        </w:rPr>
        <w:t>Considering the health and the wellbeing as a more responsible manner will be the most influencing future factor which determine the travel destinations of the tourists. Therefore, this matter is considered as an influential emerging trend in the hospitality industry in the global context</w:t>
      </w:r>
      <w:r w:rsidR="006837E7">
        <w:rPr>
          <w:rFonts w:cs="Arial"/>
          <w:szCs w:val="24"/>
        </w:rPr>
        <w:t xml:space="preserve"> (</w:t>
      </w:r>
      <w:r w:rsidR="006837E7">
        <w:t>Garvare, 2010)</w:t>
      </w:r>
      <w:r w:rsidR="00282E65" w:rsidRPr="00EC29BB">
        <w:rPr>
          <w:rFonts w:cs="Arial"/>
          <w:szCs w:val="24"/>
        </w:rPr>
        <w:t xml:space="preserve">. Modernized needs, desires and expectations </w:t>
      </w:r>
      <w:r w:rsidR="00051B6B" w:rsidRPr="00EC29BB">
        <w:rPr>
          <w:rFonts w:cs="Arial"/>
          <w:szCs w:val="24"/>
        </w:rPr>
        <w:t>of guests drive the industry in to creation of more secured and healthy accommodations; experience on ecology and healthy foods; nature experience, adventure, and excitements; arranging cultural, religious tours and providing conventional facilities.</w:t>
      </w:r>
    </w:p>
    <w:p w14:paraId="6E51404A" w14:textId="64184A68" w:rsidR="00747A51" w:rsidRPr="00EC29BB" w:rsidRDefault="00283FFB" w:rsidP="00051B6B">
      <w:pPr>
        <w:rPr>
          <w:rFonts w:cs="Arial"/>
          <w:szCs w:val="24"/>
        </w:rPr>
      </w:pPr>
      <w:r w:rsidRPr="00EC29BB">
        <w:rPr>
          <w:rFonts w:cs="Arial"/>
          <w:szCs w:val="24"/>
        </w:rPr>
        <w:t xml:space="preserve">In the modern context the health conscious, wellness and spa hotels, boutique hotels, nature villas and slow-food restaurants, and wine and lounge bars are considered as key industry changes in the modern business and consumer context. </w:t>
      </w:r>
    </w:p>
    <w:p w14:paraId="2084B66D" w14:textId="344A8221" w:rsidR="00E96250" w:rsidRPr="00EC29BB" w:rsidRDefault="00E96250" w:rsidP="00EC29BB">
      <w:pPr>
        <w:pStyle w:val="Heading1"/>
      </w:pPr>
      <w:bookmarkStart w:id="1" w:name="_Toc117855480"/>
      <w:r w:rsidRPr="00EC29BB">
        <w:lastRenderedPageBreak/>
        <w:t>Conclusion</w:t>
      </w:r>
      <w:bookmarkEnd w:id="1"/>
    </w:p>
    <w:p w14:paraId="296EFAE4" w14:textId="7D3E3604" w:rsidR="00747A51" w:rsidRDefault="00283FFB">
      <w:pPr>
        <w:rPr>
          <w:rFonts w:cs="Arial"/>
          <w:szCs w:val="24"/>
        </w:rPr>
      </w:pPr>
      <w:r w:rsidRPr="00EC29BB">
        <w:rPr>
          <w:rFonts w:cs="Arial"/>
          <w:szCs w:val="24"/>
        </w:rPr>
        <w:t xml:space="preserve">Hospitality is an emerging economic activity which create higher level of value addition for the social, </w:t>
      </w:r>
      <w:r w:rsidR="00EC29BB" w:rsidRPr="00EC29BB">
        <w:rPr>
          <w:rFonts w:cs="Arial"/>
          <w:szCs w:val="24"/>
        </w:rPr>
        <w:t>economic,</w:t>
      </w:r>
      <w:r w:rsidRPr="00EC29BB">
        <w:rPr>
          <w:rFonts w:cs="Arial"/>
          <w:szCs w:val="24"/>
        </w:rPr>
        <w:t xml:space="preserve"> and business context. The changing customer needs, desires, and demands drive the industry in to emerging of new trends in the design of the market offering of the hospitality industry. Sustainability is the most influential corporate term in the modern business world which create environment, social and economic friendly business undertakings in this competitive business world. </w:t>
      </w:r>
    </w:p>
    <w:p w14:paraId="56AB3C9A" w14:textId="0240B13F" w:rsidR="000046D0" w:rsidRDefault="000046D0">
      <w:pPr>
        <w:rPr>
          <w:rFonts w:cs="Arial"/>
          <w:szCs w:val="24"/>
        </w:rPr>
      </w:pPr>
    </w:p>
    <w:p w14:paraId="06DC7470" w14:textId="075E0F05" w:rsidR="000046D0" w:rsidRDefault="000046D0">
      <w:pPr>
        <w:rPr>
          <w:rFonts w:cs="Arial"/>
          <w:szCs w:val="24"/>
        </w:rPr>
      </w:pPr>
    </w:p>
    <w:p w14:paraId="3E72E000" w14:textId="111D0209" w:rsidR="000046D0" w:rsidRDefault="000046D0">
      <w:pPr>
        <w:rPr>
          <w:rFonts w:cs="Arial"/>
          <w:szCs w:val="24"/>
        </w:rPr>
      </w:pPr>
    </w:p>
    <w:p w14:paraId="20E3D3EF" w14:textId="75C97904" w:rsidR="000046D0" w:rsidRDefault="000046D0">
      <w:pPr>
        <w:rPr>
          <w:rFonts w:cs="Arial"/>
          <w:szCs w:val="24"/>
        </w:rPr>
      </w:pPr>
    </w:p>
    <w:p w14:paraId="4D347A93" w14:textId="5681B894" w:rsidR="000046D0" w:rsidRDefault="000046D0">
      <w:pPr>
        <w:rPr>
          <w:rFonts w:cs="Arial"/>
          <w:szCs w:val="24"/>
        </w:rPr>
      </w:pPr>
    </w:p>
    <w:p w14:paraId="4992F6E8" w14:textId="173320B1" w:rsidR="000046D0" w:rsidRDefault="000046D0">
      <w:pPr>
        <w:rPr>
          <w:rFonts w:cs="Arial"/>
          <w:szCs w:val="24"/>
        </w:rPr>
      </w:pPr>
    </w:p>
    <w:p w14:paraId="1F79DD00" w14:textId="06886D36" w:rsidR="000046D0" w:rsidRDefault="000046D0">
      <w:pPr>
        <w:rPr>
          <w:rFonts w:cs="Arial"/>
          <w:szCs w:val="24"/>
        </w:rPr>
      </w:pPr>
    </w:p>
    <w:p w14:paraId="3AD25808" w14:textId="67457F6C" w:rsidR="000046D0" w:rsidRDefault="000046D0">
      <w:pPr>
        <w:rPr>
          <w:rFonts w:cs="Arial"/>
          <w:szCs w:val="24"/>
        </w:rPr>
      </w:pPr>
    </w:p>
    <w:p w14:paraId="70363BE1" w14:textId="493CEAB3" w:rsidR="000046D0" w:rsidRDefault="000046D0">
      <w:pPr>
        <w:rPr>
          <w:rFonts w:cs="Arial"/>
          <w:szCs w:val="24"/>
        </w:rPr>
      </w:pPr>
    </w:p>
    <w:p w14:paraId="4104BBD4" w14:textId="66C97F45" w:rsidR="000046D0" w:rsidRDefault="000046D0">
      <w:pPr>
        <w:rPr>
          <w:rFonts w:cs="Arial"/>
          <w:szCs w:val="24"/>
        </w:rPr>
      </w:pPr>
    </w:p>
    <w:p w14:paraId="5B24582D" w14:textId="1C579596" w:rsidR="00EA368A" w:rsidRDefault="00EA368A">
      <w:pPr>
        <w:rPr>
          <w:rFonts w:cs="Arial"/>
          <w:szCs w:val="24"/>
        </w:rPr>
      </w:pPr>
    </w:p>
    <w:p w14:paraId="671249CC" w14:textId="7A10E873" w:rsidR="00EA368A" w:rsidRDefault="00EA368A">
      <w:pPr>
        <w:rPr>
          <w:rFonts w:cs="Arial"/>
          <w:szCs w:val="24"/>
        </w:rPr>
      </w:pPr>
    </w:p>
    <w:p w14:paraId="75B282B4" w14:textId="77777777" w:rsidR="00EA368A" w:rsidRPr="00EC29BB" w:rsidRDefault="00EA368A">
      <w:pPr>
        <w:rPr>
          <w:rFonts w:cs="Arial"/>
          <w:szCs w:val="24"/>
        </w:rPr>
      </w:pPr>
    </w:p>
    <w:p w14:paraId="459EFD54" w14:textId="4A2547B5" w:rsidR="00E96250" w:rsidRDefault="00E96250" w:rsidP="00EC29BB">
      <w:pPr>
        <w:pStyle w:val="Heading1"/>
      </w:pPr>
      <w:bookmarkStart w:id="2" w:name="_Toc117855481"/>
      <w:r w:rsidRPr="00EC29BB">
        <w:lastRenderedPageBreak/>
        <w:t>Reference</w:t>
      </w:r>
      <w:bookmarkEnd w:id="2"/>
      <w:r w:rsidR="00EA368A">
        <w:t>s</w:t>
      </w:r>
    </w:p>
    <w:p w14:paraId="0D4DAD80" w14:textId="273183AF" w:rsidR="00B61C68" w:rsidRPr="00B61C68" w:rsidRDefault="00B61C68" w:rsidP="00B61C68">
      <w:r>
        <w:t>Amsler, S. S. (2009) ‘Embracing the Politics of Ambiguity: Towards a Normative Theory of Sustainability’, Capitalism, Nature and Socialism, Vol.20, No. 2, pp.111-125.</w:t>
      </w:r>
    </w:p>
    <w:p w14:paraId="66715C74" w14:textId="09ED776E" w:rsidR="000046D0" w:rsidRDefault="000046D0">
      <w:r>
        <w:t xml:space="preserve">Bridger, E. (2018) Employee engagement: a practical introduction. 2nd ed. HR Fundamentals. London: CIPD and Kogan Page. </w:t>
      </w:r>
    </w:p>
    <w:p w14:paraId="760B5CDF" w14:textId="5BBAA92D" w:rsidR="006837E7" w:rsidRDefault="006837E7" w:rsidP="006837E7">
      <w:r>
        <w:t>Chen, J.S., Sloan, P. and Legrand, W. (2009) ‘Sustainability in the Hospitality Industry’, Maryland Heights, Elsevier</w:t>
      </w:r>
    </w:p>
    <w:p w14:paraId="3B8018EF" w14:textId="7131B4E7" w:rsidR="000046D0" w:rsidRDefault="000046D0">
      <w:r>
        <w:t xml:space="preserve">Cottrell, S. (2019) The Study Skills Handbook. 5th ed. London: Red Globe Press. </w:t>
      </w:r>
    </w:p>
    <w:p w14:paraId="1AF5FBFB" w14:textId="1A91C190" w:rsidR="00B61C68" w:rsidRDefault="00B61C68" w:rsidP="00B61C68">
      <w:r>
        <w:t>Diesendorf, M. (2000) ‘Sustainability and Sustainable Development’, in ‘Sustainability: The corporate challenge of the 21st century’, Dunphy, D., Benveniste, J., Griffiths, A. and Sutton, P. eds. Allen and Unwin, Sydney,</w:t>
      </w:r>
    </w:p>
    <w:p w14:paraId="64BB81B5" w14:textId="1D146F2B" w:rsidR="006837E7" w:rsidRDefault="006837E7" w:rsidP="006837E7">
      <w:r>
        <w:t>Garvare, R. and Johansson, P. (2010) ‘Management for sustainability – A stakeholder theory’, Total Quality Management, Vol. 21, No. 7, pp. 737-744.</w:t>
      </w:r>
    </w:p>
    <w:p w14:paraId="738960F2" w14:textId="740F5631" w:rsidR="00E029C6" w:rsidRDefault="00E029C6">
      <w:bookmarkStart w:id="3" w:name="_Hlk117866665"/>
      <w:r w:rsidRPr="00E029C6">
        <w:t>Sustainable goals</w:t>
      </w:r>
      <w:bookmarkEnd w:id="3"/>
      <w:r w:rsidRPr="00E029C6">
        <w:t>: Marriott International serve360 - CSR (no date) Marriott. Available at: https://serve360.marriott.com/sustainable-goals/ (Accessed: October 28, 2022).</w:t>
      </w:r>
    </w:p>
    <w:p w14:paraId="66B6E14A" w14:textId="0B6A9003" w:rsidR="000046D0" w:rsidRDefault="000046D0">
      <w:r>
        <w:t xml:space="preserve">Leiter, M. P. and Bakker, A. B. (2010) Work Engagement: A Handbook of Essential Theory and Research. Hove [England]: Psychology Press. </w:t>
      </w:r>
    </w:p>
    <w:p w14:paraId="7B3F9F91" w14:textId="52D97F87" w:rsidR="00E029C6" w:rsidRDefault="00E029C6">
      <w:r w:rsidRPr="00E029C6">
        <w:t>Jones, P., Hillier, D. and Comfort, D. (2014) Sustainability in the Global Hotel Industry, Research Repository. Emerald. Available at: https://eprints.glos.ac.uk/2998/ (Accessed: October 28, 2022).</w:t>
      </w:r>
    </w:p>
    <w:p w14:paraId="0C58FF6A" w14:textId="42D000E6" w:rsidR="000046D0" w:rsidRDefault="000046D0">
      <w:r>
        <w:t xml:space="preserve">Mullins, L. and Dossor, P. (2013) Hospitality Management and Organizational Behavior. 5th ed. Harlow: Pearson. </w:t>
      </w:r>
    </w:p>
    <w:p w14:paraId="58158164" w14:textId="0DEAA164" w:rsidR="000046D0" w:rsidRDefault="000046D0">
      <w:r>
        <w:t xml:space="preserve">Raghubalan, G. and Raghubalan, S. (2016) Hotel Housekeeping - Operations and Management. 3rd ed. India: Oxford University Press. </w:t>
      </w:r>
    </w:p>
    <w:p w14:paraId="45FEA686" w14:textId="27BEC839" w:rsidR="00CC323F" w:rsidRDefault="000046D0">
      <w:r>
        <w:lastRenderedPageBreak/>
        <w:t>Quick, L. (2020) Managing Events. Real Challenges, Real Outcomes. London: SAGE Publications Ltd</w:t>
      </w:r>
    </w:p>
    <w:p w14:paraId="5D1409D9" w14:textId="77777777" w:rsidR="00F32D5C" w:rsidRPr="00EC29BB" w:rsidRDefault="00F32D5C">
      <w:pPr>
        <w:rPr>
          <w:rFonts w:cs="Arial"/>
          <w:szCs w:val="24"/>
        </w:rPr>
      </w:pPr>
    </w:p>
    <w:sectPr w:rsidR="00F32D5C" w:rsidRPr="00EC29BB" w:rsidSect="00F32D5C">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E5CBD8" w14:textId="77777777" w:rsidR="009F1EEA" w:rsidRDefault="009F1EEA" w:rsidP="00A051FB">
      <w:pPr>
        <w:spacing w:after="0" w:line="240" w:lineRule="auto"/>
      </w:pPr>
      <w:r>
        <w:separator/>
      </w:r>
    </w:p>
  </w:endnote>
  <w:endnote w:type="continuationSeparator" w:id="0">
    <w:p w14:paraId="07EFD7AF" w14:textId="77777777" w:rsidR="009F1EEA" w:rsidRDefault="009F1EEA" w:rsidP="00A051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1328940"/>
      <w:docPartObj>
        <w:docPartGallery w:val="Page Numbers (Bottom of Page)"/>
        <w:docPartUnique/>
      </w:docPartObj>
    </w:sdtPr>
    <w:sdtEndPr>
      <w:rPr>
        <w:noProof/>
      </w:rPr>
    </w:sdtEndPr>
    <w:sdtContent>
      <w:p w14:paraId="721F2616" w14:textId="4A7253E2" w:rsidR="00EC29BB" w:rsidRDefault="00EC29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EB7FE0" w14:textId="77777777" w:rsidR="00EC29BB" w:rsidRDefault="00EC29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EA0E2D" w14:textId="77777777" w:rsidR="009F1EEA" w:rsidRDefault="009F1EEA" w:rsidP="00A051FB">
      <w:pPr>
        <w:spacing w:after="0" w:line="240" w:lineRule="auto"/>
      </w:pPr>
      <w:r>
        <w:separator/>
      </w:r>
    </w:p>
  </w:footnote>
  <w:footnote w:type="continuationSeparator" w:id="0">
    <w:p w14:paraId="117E5D61" w14:textId="77777777" w:rsidR="009F1EEA" w:rsidRDefault="009F1EEA" w:rsidP="00A051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A7724"/>
    <w:multiLevelType w:val="hybridMultilevel"/>
    <w:tmpl w:val="F1A85DA8"/>
    <w:lvl w:ilvl="0" w:tplc="506EDA78">
      <w:start w:val="1"/>
      <w:numFmt w:val="bullet"/>
      <w:lvlText w:val=""/>
      <w:lvlJc w:val="left"/>
      <w:pPr>
        <w:ind w:left="720" w:hanging="360"/>
      </w:pPr>
      <w:rPr>
        <w:rFonts w:ascii="Symbol" w:hAnsi="Symbol" w:hint="default"/>
      </w:rPr>
    </w:lvl>
    <w:lvl w:ilvl="1" w:tplc="F0CECF56">
      <w:start w:val="1"/>
      <w:numFmt w:val="bullet"/>
      <w:lvlText w:val=""/>
      <w:lvlJc w:val="left"/>
      <w:pPr>
        <w:ind w:left="1440" w:hanging="360"/>
      </w:pPr>
      <w:rPr>
        <w:rFonts w:ascii="Symbol" w:hAnsi="Symbol" w:hint="default"/>
      </w:rPr>
    </w:lvl>
    <w:lvl w:ilvl="2" w:tplc="9E9C36BA">
      <w:start w:val="1"/>
      <w:numFmt w:val="bullet"/>
      <w:lvlText w:val=""/>
      <w:lvlJc w:val="left"/>
      <w:pPr>
        <w:ind w:left="2160" w:hanging="360"/>
      </w:pPr>
      <w:rPr>
        <w:rFonts w:ascii="Wingdings" w:hAnsi="Wingdings" w:hint="default"/>
      </w:rPr>
    </w:lvl>
    <w:lvl w:ilvl="3" w:tplc="06681BE6">
      <w:start w:val="1"/>
      <w:numFmt w:val="bullet"/>
      <w:lvlText w:val=""/>
      <w:lvlJc w:val="left"/>
      <w:pPr>
        <w:ind w:left="2880" w:hanging="360"/>
      </w:pPr>
      <w:rPr>
        <w:rFonts w:ascii="Symbol" w:hAnsi="Symbol" w:hint="default"/>
      </w:rPr>
    </w:lvl>
    <w:lvl w:ilvl="4" w:tplc="BA944B1E">
      <w:start w:val="1"/>
      <w:numFmt w:val="bullet"/>
      <w:lvlText w:val="o"/>
      <w:lvlJc w:val="left"/>
      <w:pPr>
        <w:ind w:left="3600" w:hanging="360"/>
      </w:pPr>
      <w:rPr>
        <w:rFonts w:ascii="Courier New" w:hAnsi="Courier New" w:hint="default"/>
      </w:rPr>
    </w:lvl>
    <w:lvl w:ilvl="5" w:tplc="1DE42BE0">
      <w:start w:val="1"/>
      <w:numFmt w:val="bullet"/>
      <w:lvlText w:val=""/>
      <w:lvlJc w:val="left"/>
      <w:pPr>
        <w:ind w:left="4320" w:hanging="360"/>
      </w:pPr>
      <w:rPr>
        <w:rFonts w:ascii="Wingdings" w:hAnsi="Wingdings" w:hint="default"/>
      </w:rPr>
    </w:lvl>
    <w:lvl w:ilvl="6" w:tplc="7728C4DE">
      <w:start w:val="1"/>
      <w:numFmt w:val="bullet"/>
      <w:lvlText w:val=""/>
      <w:lvlJc w:val="left"/>
      <w:pPr>
        <w:ind w:left="5040" w:hanging="360"/>
      </w:pPr>
      <w:rPr>
        <w:rFonts w:ascii="Symbol" w:hAnsi="Symbol" w:hint="default"/>
      </w:rPr>
    </w:lvl>
    <w:lvl w:ilvl="7" w:tplc="140C6AEA">
      <w:start w:val="1"/>
      <w:numFmt w:val="bullet"/>
      <w:lvlText w:val="o"/>
      <w:lvlJc w:val="left"/>
      <w:pPr>
        <w:ind w:left="5760" w:hanging="360"/>
      </w:pPr>
      <w:rPr>
        <w:rFonts w:ascii="Courier New" w:hAnsi="Courier New" w:hint="default"/>
      </w:rPr>
    </w:lvl>
    <w:lvl w:ilvl="8" w:tplc="0F1C2B5C">
      <w:start w:val="1"/>
      <w:numFmt w:val="bullet"/>
      <w:lvlText w:val=""/>
      <w:lvlJc w:val="left"/>
      <w:pPr>
        <w:ind w:left="6480" w:hanging="360"/>
      </w:pPr>
      <w:rPr>
        <w:rFonts w:ascii="Wingdings" w:hAnsi="Wingdings" w:hint="default"/>
      </w:rPr>
    </w:lvl>
  </w:abstractNum>
  <w:num w:numId="1" w16cid:durableId="4176007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FB8"/>
    <w:rsid w:val="000046D0"/>
    <w:rsid w:val="00051B6B"/>
    <w:rsid w:val="00077CF7"/>
    <w:rsid w:val="00192236"/>
    <w:rsid w:val="00216BC0"/>
    <w:rsid w:val="00282E65"/>
    <w:rsid w:val="00283FFB"/>
    <w:rsid w:val="002F1D9C"/>
    <w:rsid w:val="0030486A"/>
    <w:rsid w:val="00356E1F"/>
    <w:rsid w:val="003A1A59"/>
    <w:rsid w:val="00413FB8"/>
    <w:rsid w:val="00426829"/>
    <w:rsid w:val="004D2631"/>
    <w:rsid w:val="004E32C1"/>
    <w:rsid w:val="005212B3"/>
    <w:rsid w:val="005360A4"/>
    <w:rsid w:val="00603723"/>
    <w:rsid w:val="006837E7"/>
    <w:rsid w:val="006B2343"/>
    <w:rsid w:val="006B659A"/>
    <w:rsid w:val="0071363F"/>
    <w:rsid w:val="00747A51"/>
    <w:rsid w:val="00771A7C"/>
    <w:rsid w:val="00781F11"/>
    <w:rsid w:val="007E076A"/>
    <w:rsid w:val="00877C9F"/>
    <w:rsid w:val="008B1159"/>
    <w:rsid w:val="009F1EEA"/>
    <w:rsid w:val="00A051FB"/>
    <w:rsid w:val="00A33523"/>
    <w:rsid w:val="00A7648F"/>
    <w:rsid w:val="00AE1039"/>
    <w:rsid w:val="00B054D6"/>
    <w:rsid w:val="00B61C68"/>
    <w:rsid w:val="00CC323F"/>
    <w:rsid w:val="00D11CF6"/>
    <w:rsid w:val="00DD2CE6"/>
    <w:rsid w:val="00E029C6"/>
    <w:rsid w:val="00E40C70"/>
    <w:rsid w:val="00E52143"/>
    <w:rsid w:val="00E96250"/>
    <w:rsid w:val="00EA368A"/>
    <w:rsid w:val="00EB7921"/>
    <w:rsid w:val="00EC126B"/>
    <w:rsid w:val="00EC29BB"/>
    <w:rsid w:val="00F32D5C"/>
    <w:rsid w:val="00FD1C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E6A570"/>
  <w15:chartTrackingRefBased/>
  <w15:docId w15:val="{E26C87D2-50F7-4F02-A454-C40D12B947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29BB"/>
    <w:pPr>
      <w:spacing w:before="120" w:after="280" w:line="360" w:lineRule="auto"/>
      <w:jc w:val="both"/>
    </w:pPr>
    <w:rPr>
      <w:rFonts w:ascii="Arial" w:hAnsi="Arial"/>
      <w:sz w:val="24"/>
    </w:rPr>
  </w:style>
  <w:style w:type="paragraph" w:styleId="Heading1">
    <w:name w:val="heading 1"/>
    <w:basedOn w:val="Normal"/>
    <w:next w:val="Normal"/>
    <w:link w:val="Heading1Char"/>
    <w:uiPriority w:val="9"/>
    <w:qFormat/>
    <w:rsid w:val="00EC29BB"/>
    <w:pPr>
      <w:keepNext/>
      <w:keepLines/>
      <w:spacing w:before="360" w:after="12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EC29BB"/>
    <w:pPr>
      <w:keepNext/>
      <w:keepLines/>
      <w:spacing w:before="160" w:after="120" w:line="480" w:lineRule="auto"/>
      <w:ind w:left="720"/>
      <w:jc w:val="left"/>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29BB"/>
    <w:rPr>
      <w:rFonts w:ascii="Arial" w:eastAsiaTheme="majorEastAsia" w:hAnsi="Arial" w:cstheme="majorBidi"/>
      <w:b/>
      <w:sz w:val="24"/>
      <w:szCs w:val="32"/>
    </w:rPr>
  </w:style>
  <w:style w:type="character" w:customStyle="1" w:styleId="Heading2Char">
    <w:name w:val="Heading 2 Char"/>
    <w:basedOn w:val="DefaultParagraphFont"/>
    <w:link w:val="Heading2"/>
    <w:uiPriority w:val="9"/>
    <w:rsid w:val="00EC29BB"/>
    <w:rPr>
      <w:rFonts w:ascii="Arial" w:eastAsiaTheme="majorEastAsia" w:hAnsi="Arial" w:cstheme="majorBidi"/>
      <w:b/>
      <w:sz w:val="24"/>
      <w:szCs w:val="26"/>
    </w:rPr>
  </w:style>
  <w:style w:type="paragraph" w:styleId="TOCHeading">
    <w:name w:val="TOC Heading"/>
    <w:basedOn w:val="Heading1"/>
    <w:next w:val="Normal"/>
    <w:uiPriority w:val="39"/>
    <w:unhideWhenUsed/>
    <w:qFormat/>
    <w:rsid w:val="00EC29BB"/>
    <w:pPr>
      <w:spacing w:before="240" w:after="0"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EC29BB"/>
    <w:pPr>
      <w:spacing w:after="100"/>
    </w:pPr>
  </w:style>
  <w:style w:type="paragraph" w:styleId="TOC2">
    <w:name w:val="toc 2"/>
    <w:basedOn w:val="Normal"/>
    <w:next w:val="Normal"/>
    <w:autoRedefine/>
    <w:uiPriority w:val="39"/>
    <w:unhideWhenUsed/>
    <w:rsid w:val="00EC29BB"/>
    <w:pPr>
      <w:spacing w:after="100"/>
      <w:ind w:left="240"/>
    </w:pPr>
  </w:style>
  <w:style w:type="character" w:styleId="Hyperlink">
    <w:name w:val="Hyperlink"/>
    <w:basedOn w:val="DefaultParagraphFont"/>
    <w:uiPriority w:val="99"/>
    <w:unhideWhenUsed/>
    <w:rsid w:val="00EC29BB"/>
    <w:rPr>
      <w:color w:val="0563C1" w:themeColor="hyperlink"/>
      <w:u w:val="single"/>
    </w:rPr>
  </w:style>
  <w:style w:type="paragraph" w:styleId="Header">
    <w:name w:val="header"/>
    <w:basedOn w:val="Normal"/>
    <w:link w:val="HeaderChar"/>
    <w:uiPriority w:val="99"/>
    <w:unhideWhenUsed/>
    <w:rsid w:val="00EC29BB"/>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EC29BB"/>
    <w:rPr>
      <w:rFonts w:ascii="Arial" w:hAnsi="Arial"/>
      <w:sz w:val="24"/>
    </w:rPr>
  </w:style>
  <w:style w:type="paragraph" w:styleId="Footer">
    <w:name w:val="footer"/>
    <w:basedOn w:val="Normal"/>
    <w:link w:val="FooterChar"/>
    <w:uiPriority w:val="99"/>
    <w:unhideWhenUsed/>
    <w:rsid w:val="00EC29B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C29BB"/>
    <w:rPr>
      <w:rFonts w:ascii="Arial" w:hAnsi="Arial"/>
      <w:sz w:val="24"/>
    </w:rPr>
  </w:style>
  <w:style w:type="paragraph" w:styleId="NoSpacing">
    <w:name w:val="No Spacing"/>
    <w:uiPriority w:val="1"/>
    <w:qFormat/>
    <w:rsid w:val="00F32D5C"/>
    <w:pPr>
      <w:spacing w:after="0" w:line="240" w:lineRule="auto"/>
    </w:pPr>
    <w:rPr>
      <w:color w:val="44546A" w:themeColor="text2"/>
      <w:sz w:val="20"/>
      <w:szCs w:val="20"/>
    </w:rPr>
  </w:style>
  <w:style w:type="paragraph" w:styleId="ListParagraph">
    <w:name w:val="List Paragraph"/>
    <w:basedOn w:val="Normal"/>
    <w:uiPriority w:val="34"/>
    <w:qFormat/>
    <w:rsid w:val="006B23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17BF22-EBC6-4AD4-9CC4-14E6E11D17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6</Pages>
  <Words>1044</Words>
  <Characters>5953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Thivya</dc:creator>
  <cp:keywords/>
  <dc:description/>
  <cp:lastModifiedBy>Thivya Vivekananthan (2118239)</cp:lastModifiedBy>
  <cp:revision>4</cp:revision>
  <dcterms:created xsi:type="dcterms:W3CDTF">2022-10-28T13:05:00Z</dcterms:created>
  <dcterms:modified xsi:type="dcterms:W3CDTF">2022-10-28T13:21:00Z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597c7fb0-cc58-4f25-88bb-50489bb5d5b9_Enabled">
    <vt:lpwstr>True</vt:lpwstr>
  </property>
  <property fmtid="{D5CDD505-2E9C-101B-9397-08002B2CF9AE}" pid="3" name="MSIP_Label_597c7fb0-cc58-4f25-88bb-50489bb5d5b9_SiteId">
    <vt:lpwstr>cb51a0d8-a1a0-4e59-810b-4114cdcb51bd</vt:lpwstr>
  </property>
  <property fmtid="{D5CDD505-2E9C-101B-9397-08002B2CF9AE}" pid="4" name="MSIP_Label_597c7fb0-cc58-4f25-88bb-50489bb5d5b9_Owner">
    <vt:lpwstr>sameera.gunasekara@transnational-grp.com</vt:lpwstr>
  </property>
  <property fmtid="{D5CDD505-2E9C-101B-9397-08002B2CF9AE}" pid="5" name="MSIP_Label_597c7fb0-cc58-4f25-88bb-50489bb5d5b9_SetDate">
    <vt:lpwstr>2022-10-27T07:18:58.0542851Z</vt:lpwstr>
  </property>
  <property fmtid="{D5CDD505-2E9C-101B-9397-08002B2CF9AE}" pid="6" name="MSIP_Label_597c7fb0-cc58-4f25-88bb-50489bb5d5b9_Name">
    <vt:lpwstr>Public</vt:lpwstr>
  </property>
  <property fmtid="{D5CDD505-2E9C-101B-9397-08002B2CF9AE}" pid="7" name="MSIP_Label_597c7fb0-cc58-4f25-88bb-50489bb5d5b9_Application">
    <vt:lpwstr>Microsoft Azure Information Protection</vt:lpwstr>
  </property>
  <property fmtid="{D5CDD505-2E9C-101B-9397-08002B2CF9AE}" pid="8" name="MSIP_Label_597c7fb0-cc58-4f25-88bb-50489bb5d5b9_ActionId">
    <vt:lpwstr>6b8fe8d8-420b-4228-955c-f03adb4fb299</vt:lpwstr>
  </property>
  <property fmtid="{D5CDD505-2E9C-101B-9397-08002B2CF9AE}" pid="9" name="MSIP_Label_597c7fb0-cc58-4f25-88bb-50489bb5d5b9_Extended_MSFT_Method">
    <vt:lpwstr>Manual</vt:lpwstr>
  </property>
  <property fmtid="{D5CDD505-2E9C-101B-9397-08002B2CF9AE}" pid="10" name="Sensitivity">
    <vt:lpwstr>Public</vt:lpwstr>
  </property>
</Properties>
</file>