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GB"/>
        </w:rPr>
        <w:id w:val="1404331519"/>
        <w:docPartObj>
          <w:docPartGallery w:val="Cover Pages"/>
          <w:docPartUnique/>
        </w:docPartObj>
      </w:sdtPr>
      <w:sdtEndPr>
        <w:rPr>
          <w:b/>
          <w:bCs/>
          <w:color w:val="auto"/>
        </w:rPr>
      </w:sdtEndPr>
      <w:sdtContent>
        <w:p w14:paraId="4F56ACE4" w14:textId="70ACA245" w:rsidR="00C133BA" w:rsidRDefault="00C133BA">
          <w:pPr>
            <w:pStyle w:val="NoSpacing"/>
            <w:spacing w:before="1540" w:after="240"/>
            <w:jc w:val="center"/>
            <w:rPr>
              <w:color w:val="156082" w:themeColor="accent1"/>
            </w:rPr>
          </w:pPr>
          <w:r>
            <w:rPr>
              <w:noProof/>
              <w:color w:val="156082" w:themeColor="accent1"/>
            </w:rPr>
            <w:drawing>
              <wp:anchor distT="0" distB="0" distL="114300" distR="114300" simplePos="0" relativeHeight="251663360" behindDoc="1" locked="0" layoutInCell="1" allowOverlap="1" wp14:anchorId="7E96BD05" wp14:editId="6C25810C">
                <wp:simplePos x="0" y="0"/>
                <wp:positionH relativeFrom="margin">
                  <wp:align>center</wp:align>
                </wp:positionH>
                <wp:positionV relativeFrom="paragraph">
                  <wp:posOffset>272716</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caps/>
              <w:color w:val="156082" w:themeColor="accent1"/>
              <w:sz w:val="72"/>
              <w:szCs w:val="72"/>
            </w:rPr>
            <w:alias w:val="Title"/>
            <w:tag w:val=""/>
            <w:id w:val="1735040861"/>
            <w:placeholder>
              <w:docPart w:val="53938DC8D6B740329F2879626E46FA82"/>
            </w:placeholder>
            <w:dataBinding w:prefixMappings="xmlns:ns0='http://purl.org/dc/elements/1.1/' xmlns:ns1='http://schemas.openxmlformats.org/package/2006/metadata/core-properties' " w:xpath="/ns1:coreProperties[1]/ns0:title[1]" w:storeItemID="{6C3C8BC8-F283-45AE-878A-BAB7291924A1}"/>
            <w:text/>
          </w:sdtPr>
          <w:sdtContent>
            <w:p w14:paraId="4B3382EA" w14:textId="4ADFADA8" w:rsidR="00C133BA" w:rsidRDefault="00C133BA" w:rsidP="00B66624">
              <w:pPr>
                <w:pStyle w:val="NoSpacing"/>
                <w:pBdr>
                  <w:top w:val="single" w:sz="6" w:space="31"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133BA">
                <w:rPr>
                  <w:rFonts w:asciiTheme="majorHAnsi" w:eastAsiaTheme="majorEastAsia" w:hAnsiTheme="majorHAnsi" w:cstheme="majorBidi"/>
                  <w:caps/>
                  <w:color w:val="156082" w:themeColor="accent1"/>
                  <w:sz w:val="72"/>
                  <w:szCs w:val="72"/>
                </w:rPr>
                <w:t>A Project portfolio</w:t>
              </w:r>
            </w:p>
          </w:sdtContent>
        </w:sdt>
        <w:p w14:paraId="12322DEB" w14:textId="38C34373" w:rsidR="00C133BA" w:rsidRDefault="00C133BA">
          <w:pPr>
            <w:pStyle w:val="NoSpacing"/>
            <w:jc w:val="center"/>
            <w:rPr>
              <w:color w:val="156082" w:themeColor="accent1"/>
              <w:sz w:val="28"/>
              <w:szCs w:val="28"/>
            </w:rPr>
          </w:pPr>
        </w:p>
        <w:p w14:paraId="2A183ADB" w14:textId="35FF637A" w:rsidR="00C133BA" w:rsidRDefault="00B66624">
          <w:pPr>
            <w:pStyle w:val="NoSpacing"/>
            <w:spacing w:before="480"/>
            <w:jc w:val="center"/>
            <w:rPr>
              <w:color w:val="156082" w:themeColor="accent1"/>
            </w:rPr>
          </w:pPr>
          <w:r>
            <w:rPr>
              <w:noProof/>
              <w:color w:val="156082" w:themeColor="accent1"/>
            </w:rPr>
            <w:drawing>
              <wp:anchor distT="0" distB="0" distL="114300" distR="114300" simplePos="0" relativeHeight="251664384" behindDoc="0" locked="0" layoutInCell="1" allowOverlap="1" wp14:anchorId="5C7E0DE3" wp14:editId="21980ADA">
                <wp:simplePos x="0" y="0"/>
                <wp:positionH relativeFrom="margin">
                  <wp:align>center</wp:align>
                </wp:positionH>
                <wp:positionV relativeFrom="paragraph">
                  <wp:posOffset>53774</wp:posOffset>
                </wp:positionV>
                <wp:extent cx="758952" cy="478932"/>
                <wp:effectExtent l="0" t="0" r="3175" b="0"/>
                <wp:wrapThrough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hrough>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611B4936" w14:textId="5E35C01A" w:rsidR="00C133BA" w:rsidRDefault="00486AAC" w:rsidP="00C133BA">
          <w:pPr>
            <w:jc w:val="right"/>
            <w:rPr>
              <w:b/>
              <w:bCs/>
            </w:rPr>
          </w:pPr>
          <w:r w:rsidRPr="00486AAC">
            <w:rPr>
              <w:b/>
              <w:bCs/>
              <w:noProof/>
            </w:rPr>
            <mc:AlternateContent>
              <mc:Choice Requires="wps">
                <w:drawing>
                  <wp:anchor distT="45720" distB="45720" distL="114300" distR="114300" simplePos="0" relativeHeight="251662336" behindDoc="0" locked="0" layoutInCell="1" allowOverlap="1" wp14:anchorId="4F178F18" wp14:editId="687ED795">
                    <wp:simplePos x="0" y="0"/>
                    <wp:positionH relativeFrom="margin">
                      <wp:align>left</wp:align>
                    </wp:positionH>
                    <wp:positionV relativeFrom="paragraph">
                      <wp:posOffset>2867326</wp:posOffset>
                    </wp:positionV>
                    <wp:extent cx="6271895" cy="2776220"/>
                    <wp:effectExtent l="0" t="0" r="1460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1895" cy="2776220"/>
                            </a:xfrm>
                            <a:prstGeom prst="rect">
                              <a:avLst/>
                            </a:prstGeom>
                            <a:solidFill>
                              <a:srgbClr val="FFFFFF"/>
                            </a:solidFill>
                            <a:ln w="9525">
                              <a:solidFill>
                                <a:schemeClr val="bg1"/>
                              </a:solidFill>
                              <a:miter lim="800000"/>
                              <a:headEnd/>
                              <a:tailEnd/>
                            </a:ln>
                          </wps:spPr>
                          <wps:txbx>
                            <w:txbxContent>
                              <w:p w14:paraId="56714BDB" w14:textId="02DAC8F8"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Module Title:</w:t>
                                </w:r>
                                <w:r w:rsidRPr="00136B18">
                                  <w:t xml:space="preserve"> </w:t>
                                </w:r>
                                <w:r w:rsidRPr="00136B18">
                                  <w:rPr>
                                    <w:rFonts w:ascii="Arial" w:hAnsi="Arial" w:cs="Arial"/>
                                    <w:b/>
                                    <w:bCs/>
                                    <w:sz w:val="24"/>
                                    <w:szCs w:val="24"/>
                                  </w:rPr>
                                  <w:t xml:space="preserve">Project Management </w:t>
                                </w:r>
                                <w:r>
                                  <w:rPr>
                                    <w:rFonts w:ascii="Arial" w:hAnsi="Arial" w:cs="Arial"/>
                                    <w:b/>
                                    <w:bCs/>
                                    <w:sz w:val="24"/>
                                    <w:szCs w:val="24"/>
                                  </w:rPr>
                                  <w:t xml:space="preserve"> </w:t>
                                </w:r>
                              </w:p>
                              <w:p w14:paraId="76F5537E" w14:textId="55BFB619"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Module Code:</w:t>
                                </w:r>
                                <w:r w:rsidRPr="00136B18">
                                  <w:t xml:space="preserve"> </w:t>
                                </w:r>
                                <w:r w:rsidRPr="00136B18">
                                  <w:rPr>
                                    <w:rFonts w:ascii="Arial" w:hAnsi="Arial" w:cs="Arial"/>
                                    <w:b/>
                                    <w:bCs/>
                                    <w:sz w:val="24"/>
                                    <w:szCs w:val="24"/>
                                  </w:rPr>
                                  <w:t>LCLM5003</w:t>
                                </w:r>
                              </w:p>
                              <w:p w14:paraId="24701813" w14:textId="710BD197" w:rsidR="00136B18" w:rsidRPr="00136B18" w:rsidRDefault="00136B18" w:rsidP="00136B18">
                                <w:pPr>
                                  <w:spacing w:line="360" w:lineRule="auto"/>
                                  <w:jc w:val="right"/>
                                  <w:rPr>
                                    <w:rFonts w:ascii="Arial" w:hAnsi="Arial" w:cs="Arial"/>
                                    <w:b/>
                                    <w:bCs/>
                                    <w:sz w:val="24"/>
                                    <w:szCs w:val="24"/>
                                  </w:rPr>
                                </w:pPr>
                                <w:r>
                                  <w:rPr>
                                    <w:rFonts w:ascii="Arial" w:hAnsi="Arial" w:cs="Arial"/>
                                    <w:b/>
                                    <w:bCs/>
                                    <w:sz w:val="24"/>
                                    <w:szCs w:val="24"/>
                                  </w:rPr>
                                  <w:t xml:space="preserve">Lecturer Name: </w:t>
                                </w:r>
                                <w:r w:rsidRPr="00136B18">
                                  <w:rPr>
                                    <w:rFonts w:ascii="Arial" w:hAnsi="Arial" w:cs="Arial"/>
                                    <w:b/>
                                    <w:bCs/>
                                    <w:sz w:val="24"/>
                                    <w:szCs w:val="24"/>
                                  </w:rPr>
                                  <w:t>Samson Oladejo</w:t>
                                </w:r>
                                <w:r>
                                  <w:rPr>
                                    <w:rFonts w:ascii="Arial" w:hAnsi="Arial" w:cs="Arial"/>
                                    <w:b/>
                                    <w:bCs/>
                                    <w:sz w:val="24"/>
                                    <w:szCs w:val="24"/>
                                  </w:rPr>
                                  <w:t xml:space="preserve">, </w:t>
                                </w:r>
                                <w:r w:rsidRPr="00136B18">
                                  <w:rPr>
                                    <w:rFonts w:ascii="Arial" w:hAnsi="Arial" w:cs="Arial"/>
                                    <w:b/>
                                    <w:bCs/>
                                    <w:sz w:val="24"/>
                                    <w:szCs w:val="24"/>
                                  </w:rPr>
                                  <w:t xml:space="preserve">Dr. Xavier </w:t>
                                </w:r>
                                <w:proofErr w:type="spellStart"/>
                                <w:r w:rsidRPr="00136B18">
                                  <w:rPr>
                                    <w:rFonts w:ascii="Arial" w:hAnsi="Arial" w:cs="Arial"/>
                                    <w:b/>
                                    <w:bCs/>
                                    <w:sz w:val="24"/>
                                    <w:szCs w:val="24"/>
                                  </w:rPr>
                                  <w:t>Matieni</w:t>
                                </w:r>
                                <w:proofErr w:type="spellEnd"/>
                              </w:p>
                              <w:p w14:paraId="4145C8C3" w14:textId="77777777"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Student Name: Mario-Daniel Gramon</w:t>
                                </w:r>
                              </w:p>
                              <w:p w14:paraId="15E38751" w14:textId="77777777"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Student Number: 2416241</w:t>
                                </w:r>
                              </w:p>
                              <w:p w14:paraId="6BE4BD79" w14:textId="77777777" w:rsidR="00136B18" w:rsidRDefault="00136B18" w:rsidP="00136B18">
                                <w:pPr>
                                  <w:spacing w:line="360" w:lineRule="auto"/>
                                  <w:jc w:val="right"/>
                                  <w:rPr>
                                    <w:rFonts w:ascii="Arial" w:hAnsi="Arial" w:cs="Arial"/>
                                    <w:b/>
                                    <w:bCs/>
                                    <w:sz w:val="24"/>
                                    <w:szCs w:val="24"/>
                                  </w:rPr>
                                </w:pPr>
                              </w:p>
                              <w:p w14:paraId="722569B6" w14:textId="5AE9BAD1" w:rsidR="00486AAC" w:rsidRPr="00486AAC" w:rsidRDefault="00486AAC" w:rsidP="00486AAC">
                                <w:pPr>
                                  <w:jc w:val="right"/>
                                  <w:rPr>
                                    <w:sz w:val="26"/>
                                    <w:szCs w:val="28"/>
                                  </w:rPr>
                                </w:pPr>
                              </w:p>
                              <w:p w14:paraId="5D511E59" w14:textId="77777777" w:rsidR="00486AAC" w:rsidRDefault="00486A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178F18" id="_x0000_t202" coordsize="21600,21600" o:spt="202" path="m,l,21600r21600,l21600,xe">
                    <v:stroke joinstyle="miter"/>
                    <v:path gradientshapeok="t" o:connecttype="rect"/>
                  </v:shapetype>
                  <v:shape id="Text Box 2" o:spid="_x0000_s1026" type="#_x0000_t202" style="position:absolute;left:0;text-align:left;margin-left:0;margin-top:225.75pt;width:493.85pt;height:218.6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" strokecolor="white [3212]">
                    <v:textbox>
                      <w:txbxContent>
                        <w:p w14:paraId="56714BDB" w14:textId="02DAC8F8"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Module Title:</w:t>
                          </w:r>
                          <w:r w:rsidRPr="00136B18">
                            <w:t xml:space="preserve"> </w:t>
                          </w:r>
                          <w:r w:rsidRPr="00136B18">
                            <w:rPr>
                              <w:rFonts w:ascii="Arial" w:hAnsi="Arial" w:cs="Arial"/>
                              <w:b/>
                              <w:bCs/>
                              <w:sz w:val="24"/>
                              <w:szCs w:val="24"/>
                            </w:rPr>
                            <w:t xml:space="preserve">Project Management </w:t>
                          </w:r>
                          <w:r>
                            <w:rPr>
                              <w:rFonts w:ascii="Arial" w:hAnsi="Arial" w:cs="Arial"/>
                              <w:b/>
                              <w:bCs/>
                              <w:sz w:val="24"/>
                              <w:szCs w:val="24"/>
                            </w:rPr>
                            <w:t xml:space="preserve"> </w:t>
                          </w:r>
                        </w:p>
                        <w:p w14:paraId="76F5537E" w14:textId="55BFB619"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Module Code:</w:t>
                          </w:r>
                          <w:r w:rsidRPr="00136B18">
                            <w:t xml:space="preserve"> </w:t>
                          </w:r>
                          <w:r w:rsidRPr="00136B18">
                            <w:rPr>
                              <w:rFonts w:ascii="Arial" w:hAnsi="Arial" w:cs="Arial"/>
                              <w:b/>
                              <w:bCs/>
                              <w:sz w:val="24"/>
                              <w:szCs w:val="24"/>
                            </w:rPr>
                            <w:t>LCLM5003</w:t>
                          </w:r>
                        </w:p>
                        <w:p w14:paraId="24701813" w14:textId="710BD197" w:rsidR="00136B18" w:rsidRPr="00136B18" w:rsidRDefault="00136B18" w:rsidP="00136B18">
                          <w:pPr>
                            <w:spacing w:line="360" w:lineRule="auto"/>
                            <w:jc w:val="right"/>
                            <w:rPr>
                              <w:rFonts w:ascii="Arial" w:hAnsi="Arial" w:cs="Arial"/>
                              <w:b/>
                              <w:bCs/>
                              <w:sz w:val="24"/>
                              <w:szCs w:val="24"/>
                            </w:rPr>
                          </w:pPr>
                          <w:r>
                            <w:rPr>
                              <w:rFonts w:ascii="Arial" w:hAnsi="Arial" w:cs="Arial"/>
                              <w:b/>
                              <w:bCs/>
                              <w:sz w:val="24"/>
                              <w:szCs w:val="24"/>
                            </w:rPr>
                            <w:t xml:space="preserve">Lecturer Name: </w:t>
                          </w:r>
                          <w:r w:rsidRPr="00136B18">
                            <w:rPr>
                              <w:rFonts w:ascii="Arial" w:hAnsi="Arial" w:cs="Arial"/>
                              <w:b/>
                              <w:bCs/>
                              <w:sz w:val="24"/>
                              <w:szCs w:val="24"/>
                            </w:rPr>
                            <w:t>Samson Oladejo</w:t>
                          </w:r>
                          <w:r>
                            <w:rPr>
                              <w:rFonts w:ascii="Arial" w:hAnsi="Arial" w:cs="Arial"/>
                              <w:b/>
                              <w:bCs/>
                              <w:sz w:val="24"/>
                              <w:szCs w:val="24"/>
                            </w:rPr>
                            <w:t xml:space="preserve">, </w:t>
                          </w:r>
                          <w:r w:rsidRPr="00136B18">
                            <w:rPr>
                              <w:rFonts w:ascii="Arial" w:hAnsi="Arial" w:cs="Arial"/>
                              <w:b/>
                              <w:bCs/>
                              <w:sz w:val="24"/>
                              <w:szCs w:val="24"/>
                            </w:rPr>
                            <w:t xml:space="preserve">Dr. Xavier </w:t>
                          </w:r>
                          <w:proofErr w:type="spellStart"/>
                          <w:r w:rsidRPr="00136B18">
                            <w:rPr>
                              <w:rFonts w:ascii="Arial" w:hAnsi="Arial" w:cs="Arial"/>
                              <w:b/>
                              <w:bCs/>
                              <w:sz w:val="24"/>
                              <w:szCs w:val="24"/>
                            </w:rPr>
                            <w:t>Matieni</w:t>
                          </w:r>
                          <w:proofErr w:type="spellEnd"/>
                        </w:p>
                        <w:p w14:paraId="4145C8C3" w14:textId="77777777"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Student Name: Mario-Daniel Gramon</w:t>
                          </w:r>
                        </w:p>
                        <w:p w14:paraId="15E38751" w14:textId="77777777" w:rsidR="00136B18" w:rsidRDefault="00136B18" w:rsidP="00136B18">
                          <w:pPr>
                            <w:spacing w:line="360" w:lineRule="auto"/>
                            <w:jc w:val="right"/>
                            <w:rPr>
                              <w:rFonts w:ascii="Arial" w:hAnsi="Arial" w:cs="Arial"/>
                              <w:b/>
                              <w:bCs/>
                              <w:sz w:val="24"/>
                              <w:szCs w:val="24"/>
                            </w:rPr>
                          </w:pPr>
                          <w:r>
                            <w:rPr>
                              <w:rFonts w:ascii="Arial" w:hAnsi="Arial" w:cs="Arial"/>
                              <w:b/>
                              <w:bCs/>
                              <w:sz w:val="24"/>
                              <w:szCs w:val="24"/>
                            </w:rPr>
                            <w:t>Student Number: 2416241</w:t>
                          </w:r>
                        </w:p>
                        <w:p w14:paraId="6BE4BD79" w14:textId="77777777" w:rsidR="00136B18" w:rsidRDefault="00136B18" w:rsidP="00136B18">
                          <w:pPr>
                            <w:spacing w:line="360" w:lineRule="auto"/>
                            <w:jc w:val="right"/>
                            <w:rPr>
                              <w:rFonts w:ascii="Arial" w:hAnsi="Arial" w:cs="Arial"/>
                              <w:b/>
                              <w:bCs/>
                              <w:sz w:val="24"/>
                              <w:szCs w:val="24"/>
                            </w:rPr>
                          </w:pPr>
                        </w:p>
                        <w:p w14:paraId="722569B6" w14:textId="5AE9BAD1" w:rsidR="00486AAC" w:rsidRPr="00486AAC" w:rsidRDefault="00486AAC" w:rsidP="00486AAC">
                          <w:pPr>
                            <w:jc w:val="right"/>
                            <w:rPr>
                              <w:sz w:val="26"/>
                              <w:szCs w:val="28"/>
                            </w:rPr>
                          </w:pPr>
                        </w:p>
                        <w:p w14:paraId="5D511E59" w14:textId="77777777" w:rsidR="00486AAC" w:rsidRDefault="00486AAC"/>
                      </w:txbxContent>
                    </v:textbox>
                    <w10:wrap type="square" anchorx="margin"/>
                  </v:shape>
                </w:pict>
              </mc:Fallback>
            </mc:AlternateContent>
          </w:r>
          <w:r w:rsidR="00C133BA">
            <w:rPr>
              <w:noProof/>
              <w:color w:val="156082" w:themeColor="accent1"/>
            </w:rPr>
            <mc:AlternateContent>
              <mc:Choice Requires="wps">
                <w:drawing>
                  <wp:anchor distT="0" distB="0" distL="114300" distR="114300" simplePos="0" relativeHeight="251660288" behindDoc="0" locked="0" layoutInCell="1" allowOverlap="1" wp14:anchorId="29BD7E95" wp14:editId="17FF7655">
                    <wp:simplePos x="0" y="0"/>
                    <wp:positionH relativeFrom="margin">
                      <wp:align>center</wp:align>
                    </wp:positionH>
                    <wp:positionV relativeFrom="page">
                      <wp:posOffset>10285367</wp:posOffset>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31T00:00:00Z">
                                    <w:dateFormat w:val="MMMM d, yyyy"/>
                                    <w:lid w:val="en-US"/>
                                    <w:storeMappedDataAs w:val="dateTime"/>
                                    <w:calendar w:val="gregorian"/>
                                  </w:date>
                                </w:sdtPr>
                                <w:sdtContent>
                                  <w:p w14:paraId="77ED0972" w14:textId="54D47C9D" w:rsidR="00C133BA" w:rsidRDefault="00C133BA">
                                    <w:pPr>
                                      <w:pStyle w:val="NoSpacing"/>
                                      <w:spacing w:after="40"/>
                                      <w:jc w:val="center"/>
                                      <w:rPr>
                                        <w:caps/>
                                        <w:color w:val="156082" w:themeColor="accent1"/>
                                        <w:sz w:val="28"/>
                                        <w:szCs w:val="28"/>
                                      </w:rPr>
                                    </w:pPr>
                                    <w:r>
                                      <w:rPr>
                                        <w:caps/>
                                        <w:color w:val="156082" w:themeColor="accent1"/>
                                        <w:sz w:val="28"/>
                                        <w:szCs w:val="28"/>
                                      </w:rPr>
                                      <w:t>July 31, 2026</w:t>
                                    </w:r>
                                  </w:p>
                                </w:sdtContent>
                              </w:sdt>
                              <w:p w14:paraId="5B90402A" w14:textId="5792182D" w:rsidR="00C133BA" w:rsidRDefault="00C133BA">
                                <w:pPr>
                                  <w:pStyle w:val="NoSpacing"/>
                                  <w:jc w:val="center"/>
                                  <w:rPr>
                                    <w:color w:val="156082" w:themeColor="accent1"/>
                                  </w:rPr>
                                </w:pPr>
                              </w:p>
                              <w:p w14:paraId="47FA7EDF" w14:textId="6FD31ADC" w:rsidR="00C133BA" w:rsidRDefault="00C133BA">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9BD7E95" id="Text Box 146" o:spid="_x0000_s1027" type="#_x0000_t202" style="position:absolute;left:0;text-align:left;margin-left:0;margin-top:809.85pt;width:516pt;height:43.9pt;z-index:251660288;visibility:visible;mso-wrap-style:square;mso-width-percent:1000;mso-height-percent:0;mso-wrap-distance-left:9pt;mso-wrap-distance-top:0;mso-wrap-distance-right:9pt;mso-wrap-distance-bottom:0;mso-position-horizontal:center;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31T00:00:00Z">
                              <w:dateFormat w:val="MMMM d, yyyy"/>
                              <w:lid w:val="en-US"/>
                              <w:storeMappedDataAs w:val="dateTime"/>
                              <w:calendar w:val="gregorian"/>
                            </w:date>
                          </w:sdtPr>
                          <w:sdtContent>
                            <w:p w14:paraId="77ED0972" w14:textId="54D47C9D" w:rsidR="00C133BA" w:rsidRDefault="00C133BA">
                              <w:pPr>
                                <w:pStyle w:val="NoSpacing"/>
                                <w:spacing w:after="40"/>
                                <w:jc w:val="center"/>
                                <w:rPr>
                                  <w:caps/>
                                  <w:color w:val="156082" w:themeColor="accent1"/>
                                  <w:sz w:val="28"/>
                                  <w:szCs w:val="28"/>
                                </w:rPr>
                              </w:pPr>
                              <w:r>
                                <w:rPr>
                                  <w:caps/>
                                  <w:color w:val="156082" w:themeColor="accent1"/>
                                  <w:sz w:val="28"/>
                                  <w:szCs w:val="28"/>
                                </w:rPr>
                                <w:t>July 31, 2026</w:t>
                              </w:r>
                            </w:p>
                          </w:sdtContent>
                        </w:sdt>
                        <w:p w14:paraId="5B90402A" w14:textId="5792182D" w:rsidR="00C133BA" w:rsidRDefault="00C133BA">
                          <w:pPr>
                            <w:pStyle w:val="NoSpacing"/>
                            <w:jc w:val="center"/>
                            <w:rPr>
                              <w:color w:val="156082" w:themeColor="accent1"/>
                            </w:rPr>
                          </w:pPr>
                        </w:p>
                        <w:p w14:paraId="47FA7EDF" w14:textId="6FD31ADC" w:rsidR="00C133BA" w:rsidRDefault="00C133BA">
                          <w:pPr>
                            <w:pStyle w:val="NoSpacing"/>
                            <w:jc w:val="center"/>
                            <w:rPr>
                              <w:color w:val="156082" w:themeColor="accent1"/>
                            </w:rPr>
                          </w:pPr>
                        </w:p>
                      </w:txbxContent>
                    </v:textbox>
                    <w10:wrap anchorx="margin" anchory="page"/>
                  </v:shape>
                </w:pict>
              </mc:Fallback>
            </mc:AlternateContent>
          </w:r>
          <w:r w:rsidR="00C133BA">
            <w:rPr>
              <w:b/>
              <w:bCs/>
            </w:rPr>
            <w:br w:type="page"/>
          </w:r>
        </w:p>
        <w:sdt>
          <w:sdtPr>
            <w:rPr>
              <w:rFonts w:asciiTheme="minorHAnsi" w:eastAsiaTheme="minorHAnsi" w:hAnsiTheme="minorHAnsi" w:cstheme="minorBidi"/>
              <w:color w:val="auto"/>
              <w:sz w:val="22"/>
              <w:szCs w:val="22"/>
              <w:lang w:val="en-GB"/>
            </w:rPr>
            <w:id w:val="459920437"/>
            <w:docPartObj>
              <w:docPartGallery w:val="Table of Contents"/>
              <w:docPartUnique/>
            </w:docPartObj>
          </w:sdtPr>
          <w:sdtEndPr>
            <w:rPr>
              <w:b/>
              <w:bCs/>
              <w:noProof/>
            </w:rPr>
          </w:sdtEndPr>
          <w:sdtContent>
            <w:p w14:paraId="27BAA09E" w14:textId="02764153" w:rsidR="00B66624" w:rsidRDefault="00B66624">
              <w:pPr>
                <w:pStyle w:val="TOCHeading"/>
              </w:pPr>
              <w:r>
                <w:t>Table of Contents</w:t>
              </w:r>
            </w:p>
            <w:p w14:paraId="23A6F5A1" w14:textId="3EF92225" w:rsidR="00AE28BE" w:rsidRDefault="00B66624">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895525" w:history="1">
                <w:r w:rsidR="00AE28BE" w:rsidRPr="00030609">
                  <w:rPr>
                    <w:rStyle w:val="Hyperlink"/>
                    <w:noProof/>
                  </w:rPr>
                  <w:t>Part A: Poster</w:t>
                </w:r>
                <w:r w:rsidR="00AE28BE">
                  <w:rPr>
                    <w:noProof/>
                    <w:webHidden/>
                  </w:rPr>
                  <w:tab/>
                </w:r>
                <w:r w:rsidR="00AE28BE">
                  <w:rPr>
                    <w:noProof/>
                    <w:webHidden/>
                  </w:rPr>
                  <w:fldChar w:fldCharType="begin"/>
                </w:r>
                <w:r w:rsidR="00AE28BE">
                  <w:rPr>
                    <w:noProof/>
                    <w:webHidden/>
                  </w:rPr>
                  <w:instrText xml:space="preserve"> PAGEREF _Toc237895525 \h </w:instrText>
                </w:r>
                <w:r w:rsidR="00AE28BE">
                  <w:rPr>
                    <w:noProof/>
                    <w:webHidden/>
                  </w:rPr>
                </w:r>
                <w:r w:rsidR="00AE28BE">
                  <w:rPr>
                    <w:noProof/>
                    <w:webHidden/>
                  </w:rPr>
                  <w:fldChar w:fldCharType="separate"/>
                </w:r>
                <w:r w:rsidR="00AE28BE">
                  <w:rPr>
                    <w:noProof/>
                    <w:webHidden/>
                  </w:rPr>
                  <w:t>3</w:t>
                </w:r>
                <w:r w:rsidR="00AE28BE">
                  <w:rPr>
                    <w:noProof/>
                    <w:webHidden/>
                  </w:rPr>
                  <w:fldChar w:fldCharType="end"/>
                </w:r>
              </w:hyperlink>
            </w:p>
            <w:p w14:paraId="5729DBDB" w14:textId="6A5A34BD"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26" w:history="1">
                <w:r w:rsidRPr="00030609">
                  <w:rPr>
                    <w:rStyle w:val="Hyperlink"/>
                    <w:noProof/>
                  </w:rPr>
                  <w:t>Part B: Critical Reflection</w:t>
                </w:r>
                <w:r>
                  <w:rPr>
                    <w:noProof/>
                    <w:webHidden/>
                  </w:rPr>
                  <w:tab/>
                </w:r>
                <w:r>
                  <w:rPr>
                    <w:noProof/>
                    <w:webHidden/>
                  </w:rPr>
                  <w:fldChar w:fldCharType="begin"/>
                </w:r>
                <w:r>
                  <w:rPr>
                    <w:noProof/>
                    <w:webHidden/>
                  </w:rPr>
                  <w:instrText xml:space="preserve"> PAGEREF _Toc237895526 \h </w:instrText>
                </w:r>
                <w:r>
                  <w:rPr>
                    <w:noProof/>
                    <w:webHidden/>
                  </w:rPr>
                </w:r>
                <w:r>
                  <w:rPr>
                    <w:noProof/>
                    <w:webHidden/>
                  </w:rPr>
                  <w:fldChar w:fldCharType="separate"/>
                </w:r>
                <w:r>
                  <w:rPr>
                    <w:noProof/>
                    <w:webHidden/>
                  </w:rPr>
                  <w:t>4</w:t>
                </w:r>
                <w:r>
                  <w:rPr>
                    <w:noProof/>
                    <w:webHidden/>
                  </w:rPr>
                  <w:fldChar w:fldCharType="end"/>
                </w:r>
              </w:hyperlink>
            </w:p>
            <w:p w14:paraId="7BE44D80" w14:textId="7E54A7D2"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27" w:history="1">
                <w:r w:rsidRPr="00030609">
                  <w:rPr>
                    <w:rStyle w:val="Hyperlink"/>
                    <w:noProof/>
                  </w:rPr>
                  <w:t>Part C: Project Management Plan</w:t>
                </w:r>
                <w:r>
                  <w:rPr>
                    <w:noProof/>
                    <w:webHidden/>
                  </w:rPr>
                  <w:tab/>
                </w:r>
                <w:r>
                  <w:rPr>
                    <w:noProof/>
                    <w:webHidden/>
                  </w:rPr>
                  <w:fldChar w:fldCharType="begin"/>
                </w:r>
                <w:r>
                  <w:rPr>
                    <w:noProof/>
                    <w:webHidden/>
                  </w:rPr>
                  <w:instrText xml:space="preserve"> PAGEREF _Toc237895527 \h </w:instrText>
                </w:r>
                <w:r>
                  <w:rPr>
                    <w:noProof/>
                    <w:webHidden/>
                  </w:rPr>
                </w:r>
                <w:r>
                  <w:rPr>
                    <w:noProof/>
                    <w:webHidden/>
                  </w:rPr>
                  <w:fldChar w:fldCharType="separate"/>
                </w:r>
                <w:r>
                  <w:rPr>
                    <w:noProof/>
                    <w:webHidden/>
                  </w:rPr>
                  <w:t>6</w:t>
                </w:r>
                <w:r>
                  <w:rPr>
                    <w:noProof/>
                    <w:webHidden/>
                  </w:rPr>
                  <w:fldChar w:fldCharType="end"/>
                </w:r>
              </w:hyperlink>
            </w:p>
            <w:p w14:paraId="007E2BC1" w14:textId="59D14D70"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28" w:history="1">
                <w:r w:rsidRPr="00030609">
                  <w:rPr>
                    <w:rStyle w:val="Hyperlink"/>
                    <w:noProof/>
                  </w:rPr>
                  <w:t>1. Introduction &amp; Executive Summary</w:t>
                </w:r>
                <w:r>
                  <w:rPr>
                    <w:noProof/>
                    <w:webHidden/>
                  </w:rPr>
                  <w:tab/>
                </w:r>
                <w:r>
                  <w:rPr>
                    <w:noProof/>
                    <w:webHidden/>
                  </w:rPr>
                  <w:fldChar w:fldCharType="begin"/>
                </w:r>
                <w:r>
                  <w:rPr>
                    <w:noProof/>
                    <w:webHidden/>
                  </w:rPr>
                  <w:instrText xml:space="preserve"> PAGEREF _Toc237895528 \h </w:instrText>
                </w:r>
                <w:r>
                  <w:rPr>
                    <w:noProof/>
                    <w:webHidden/>
                  </w:rPr>
                </w:r>
                <w:r>
                  <w:rPr>
                    <w:noProof/>
                    <w:webHidden/>
                  </w:rPr>
                  <w:fldChar w:fldCharType="separate"/>
                </w:r>
                <w:r>
                  <w:rPr>
                    <w:noProof/>
                    <w:webHidden/>
                  </w:rPr>
                  <w:t>6</w:t>
                </w:r>
                <w:r>
                  <w:rPr>
                    <w:noProof/>
                    <w:webHidden/>
                  </w:rPr>
                  <w:fldChar w:fldCharType="end"/>
                </w:r>
              </w:hyperlink>
            </w:p>
            <w:p w14:paraId="03612F28" w14:textId="5A1F3034"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29" w:history="1">
                <w:r w:rsidRPr="00030609">
                  <w:rPr>
                    <w:rStyle w:val="Hyperlink"/>
                    <w:noProof/>
                  </w:rPr>
                  <w:t>1.1 The Context of Urban Transport Infrastructure</w:t>
                </w:r>
                <w:r>
                  <w:rPr>
                    <w:noProof/>
                    <w:webHidden/>
                  </w:rPr>
                  <w:tab/>
                </w:r>
                <w:r>
                  <w:rPr>
                    <w:noProof/>
                    <w:webHidden/>
                  </w:rPr>
                  <w:fldChar w:fldCharType="begin"/>
                </w:r>
                <w:r>
                  <w:rPr>
                    <w:noProof/>
                    <w:webHidden/>
                  </w:rPr>
                  <w:instrText xml:space="preserve"> PAGEREF _Toc237895529 \h </w:instrText>
                </w:r>
                <w:r>
                  <w:rPr>
                    <w:noProof/>
                    <w:webHidden/>
                  </w:rPr>
                </w:r>
                <w:r>
                  <w:rPr>
                    <w:noProof/>
                    <w:webHidden/>
                  </w:rPr>
                  <w:fldChar w:fldCharType="separate"/>
                </w:r>
                <w:r>
                  <w:rPr>
                    <w:noProof/>
                    <w:webHidden/>
                  </w:rPr>
                  <w:t>6</w:t>
                </w:r>
                <w:r>
                  <w:rPr>
                    <w:noProof/>
                    <w:webHidden/>
                  </w:rPr>
                  <w:fldChar w:fldCharType="end"/>
                </w:r>
              </w:hyperlink>
            </w:p>
            <w:p w14:paraId="425AD32B" w14:textId="1D629F49"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0" w:history="1">
                <w:r w:rsidRPr="00030609">
                  <w:rPr>
                    <w:rStyle w:val="Hyperlink"/>
                    <w:noProof/>
                  </w:rPr>
                  <w:t>2. Project Rationale, Vision &amp; Strategic Objectives</w:t>
                </w:r>
                <w:r>
                  <w:rPr>
                    <w:noProof/>
                    <w:webHidden/>
                  </w:rPr>
                  <w:tab/>
                </w:r>
                <w:r>
                  <w:rPr>
                    <w:noProof/>
                    <w:webHidden/>
                  </w:rPr>
                  <w:fldChar w:fldCharType="begin"/>
                </w:r>
                <w:r>
                  <w:rPr>
                    <w:noProof/>
                    <w:webHidden/>
                  </w:rPr>
                  <w:instrText xml:space="preserve"> PAGEREF _Toc237895530 \h </w:instrText>
                </w:r>
                <w:r>
                  <w:rPr>
                    <w:noProof/>
                    <w:webHidden/>
                  </w:rPr>
                </w:r>
                <w:r>
                  <w:rPr>
                    <w:noProof/>
                    <w:webHidden/>
                  </w:rPr>
                  <w:fldChar w:fldCharType="separate"/>
                </w:r>
                <w:r>
                  <w:rPr>
                    <w:noProof/>
                    <w:webHidden/>
                  </w:rPr>
                  <w:t>7</w:t>
                </w:r>
                <w:r>
                  <w:rPr>
                    <w:noProof/>
                    <w:webHidden/>
                  </w:rPr>
                  <w:fldChar w:fldCharType="end"/>
                </w:r>
              </w:hyperlink>
            </w:p>
            <w:p w14:paraId="31640274" w14:textId="7A793787"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1" w:history="1">
                <w:r w:rsidRPr="00030609">
                  <w:rPr>
                    <w:rStyle w:val="Hyperlink"/>
                    <w:noProof/>
                  </w:rPr>
                  <w:t>2.1 Operational Challenges of the Legacy Terminal</w:t>
                </w:r>
                <w:r>
                  <w:rPr>
                    <w:noProof/>
                    <w:webHidden/>
                  </w:rPr>
                  <w:tab/>
                </w:r>
                <w:r>
                  <w:rPr>
                    <w:noProof/>
                    <w:webHidden/>
                  </w:rPr>
                  <w:fldChar w:fldCharType="begin"/>
                </w:r>
                <w:r>
                  <w:rPr>
                    <w:noProof/>
                    <w:webHidden/>
                  </w:rPr>
                  <w:instrText xml:space="preserve"> PAGEREF _Toc237895531 \h </w:instrText>
                </w:r>
                <w:r>
                  <w:rPr>
                    <w:noProof/>
                    <w:webHidden/>
                  </w:rPr>
                </w:r>
                <w:r>
                  <w:rPr>
                    <w:noProof/>
                    <w:webHidden/>
                  </w:rPr>
                  <w:fldChar w:fldCharType="separate"/>
                </w:r>
                <w:r>
                  <w:rPr>
                    <w:noProof/>
                    <w:webHidden/>
                  </w:rPr>
                  <w:t>7</w:t>
                </w:r>
                <w:r>
                  <w:rPr>
                    <w:noProof/>
                    <w:webHidden/>
                  </w:rPr>
                  <w:fldChar w:fldCharType="end"/>
                </w:r>
              </w:hyperlink>
            </w:p>
            <w:p w14:paraId="64BEF0F5" w14:textId="115F06EB"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32" w:history="1">
                <w:r w:rsidRPr="00030609">
                  <w:rPr>
                    <w:rStyle w:val="Hyperlink"/>
                    <w:noProof/>
                  </w:rPr>
                  <w:t>2.2 Project Vision &amp; Core Strategic Objectives</w:t>
                </w:r>
                <w:r>
                  <w:rPr>
                    <w:noProof/>
                    <w:webHidden/>
                  </w:rPr>
                  <w:tab/>
                </w:r>
                <w:r>
                  <w:rPr>
                    <w:noProof/>
                    <w:webHidden/>
                  </w:rPr>
                  <w:fldChar w:fldCharType="begin"/>
                </w:r>
                <w:r>
                  <w:rPr>
                    <w:noProof/>
                    <w:webHidden/>
                  </w:rPr>
                  <w:instrText xml:space="preserve"> PAGEREF _Toc237895532 \h </w:instrText>
                </w:r>
                <w:r>
                  <w:rPr>
                    <w:noProof/>
                    <w:webHidden/>
                  </w:rPr>
                </w:r>
                <w:r>
                  <w:rPr>
                    <w:noProof/>
                    <w:webHidden/>
                  </w:rPr>
                  <w:fldChar w:fldCharType="separate"/>
                </w:r>
                <w:r>
                  <w:rPr>
                    <w:noProof/>
                    <w:webHidden/>
                  </w:rPr>
                  <w:t>8</w:t>
                </w:r>
                <w:r>
                  <w:rPr>
                    <w:noProof/>
                    <w:webHidden/>
                  </w:rPr>
                  <w:fldChar w:fldCharType="end"/>
                </w:r>
              </w:hyperlink>
            </w:p>
            <w:p w14:paraId="0C2ED886" w14:textId="5D2A30B3"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3" w:history="1">
                <w:r w:rsidRPr="00030609">
                  <w:rPr>
                    <w:rStyle w:val="Hyperlink"/>
                    <w:rFonts w:ascii="Calibri" w:eastAsia="Times New Roman" w:hAnsi="Calibri" w:cs="Calibri"/>
                    <w:b/>
                    <w:bCs/>
                    <w:noProof/>
                    <w:lang w:eastAsia="en-GB"/>
                  </w:rPr>
                  <w:t>3. Detailed Scope Management</w:t>
                </w:r>
                <w:r>
                  <w:rPr>
                    <w:noProof/>
                    <w:webHidden/>
                  </w:rPr>
                  <w:tab/>
                </w:r>
                <w:r>
                  <w:rPr>
                    <w:noProof/>
                    <w:webHidden/>
                  </w:rPr>
                  <w:fldChar w:fldCharType="begin"/>
                </w:r>
                <w:r>
                  <w:rPr>
                    <w:noProof/>
                    <w:webHidden/>
                  </w:rPr>
                  <w:instrText xml:space="preserve"> PAGEREF _Toc237895533 \h </w:instrText>
                </w:r>
                <w:r>
                  <w:rPr>
                    <w:noProof/>
                    <w:webHidden/>
                  </w:rPr>
                </w:r>
                <w:r>
                  <w:rPr>
                    <w:noProof/>
                    <w:webHidden/>
                  </w:rPr>
                  <w:fldChar w:fldCharType="separate"/>
                </w:r>
                <w:r>
                  <w:rPr>
                    <w:noProof/>
                    <w:webHidden/>
                  </w:rPr>
                  <w:t>9</w:t>
                </w:r>
                <w:r>
                  <w:rPr>
                    <w:noProof/>
                    <w:webHidden/>
                  </w:rPr>
                  <w:fldChar w:fldCharType="end"/>
                </w:r>
              </w:hyperlink>
            </w:p>
            <w:p w14:paraId="7C354745" w14:textId="7C5DEC63"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34" w:history="1">
                <w:r w:rsidRPr="00030609">
                  <w:rPr>
                    <w:rStyle w:val="Hyperlink"/>
                    <w:rFonts w:ascii="Calibri" w:eastAsia="Times New Roman" w:hAnsi="Calibri" w:cs="Calibri"/>
                    <w:b/>
                    <w:bCs/>
                    <w:noProof/>
                    <w:lang w:eastAsia="en-GB"/>
                  </w:rPr>
                  <w:t>3.1 In-Scope Deliverables Decomposition</w:t>
                </w:r>
                <w:r>
                  <w:rPr>
                    <w:noProof/>
                    <w:webHidden/>
                  </w:rPr>
                  <w:tab/>
                </w:r>
                <w:r>
                  <w:rPr>
                    <w:noProof/>
                    <w:webHidden/>
                  </w:rPr>
                  <w:fldChar w:fldCharType="begin"/>
                </w:r>
                <w:r>
                  <w:rPr>
                    <w:noProof/>
                    <w:webHidden/>
                  </w:rPr>
                  <w:instrText xml:space="preserve"> PAGEREF _Toc237895534 \h </w:instrText>
                </w:r>
                <w:r>
                  <w:rPr>
                    <w:noProof/>
                    <w:webHidden/>
                  </w:rPr>
                </w:r>
                <w:r>
                  <w:rPr>
                    <w:noProof/>
                    <w:webHidden/>
                  </w:rPr>
                  <w:fldChar w:fldCharType="separate"/>
                </w:r>
                <w:r>
                  <w:rPr>
                    <w:noProof/>
                    <w:webHidden/>
                  </w:rPr>
                  <w:t>9</w:t>
                </w:r>
                <w:r>
                  <w:rPr>
                    <w:noProof/>
                    <w:webHidden/>
                  </w:rPr>
                  <w:fldChar w:fldCharType="end"/>
                </w:r>
              </w:hyperlink>
            </w:p>
            <w:p w14:paraId="22FC23EB" w14:textId="280AE0A4"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5" w:history="1">
                <w:r w:rsidRPr="00030609">
                  <w:rPr>
                    <w:rStyle w:val="Hyperlink"/>
                    <w:rFonts w:eastAsia="Times New Roman"/>
                    <w:noProof/>
                    <w:lang w:eastAsia="en-GB"/>
                  </w:rPr>
                  <w:t>4. Work Breakdown Structure (WBS) &amp; Dictionary</w:t>
                </w:r>
                <w:r>
                  <w:rPr>
                    <w:noProof/>
                    <w:webHidden/>
                  </w:rPr>
                  <w:tab/>
                </w:r>
                <w:r>
                  <w:rPr>
                    <w:noProof/>
                    <w:webHidden/>
                  </w:rPr>
                  <w:fldChar w:fldCharType="begin"/>
                </w:r>
                <w:r>
                  <w:rPr>
                    <w:noProof/>
                    <w:webHidden/>
                  </w:rPr>
                  <w:instrText xml:space="preserve"> PAGEREF _Toc237895535 \h </w:instrText>
                </w:r>
                <w:r>
                  <w:rPr>
                    <w:noProof/>
                    <w:webHidden/>
                  </w:rPr>
                </w:r>
                <w:r>
                  <w:rPr>
                    <w:noProof/>
                    <w:webHidden/>
                  </w:rPr>
                  <w:fldChar w:fldCharType="separate"/>
                </w:r>
                <w:r>
                  <w:rPr>
                    <w:noProof/>
                    <w:webHidden/>
                  </w:rPr>
                  <w:t>12</w:t>
                </w:r>
                <w:r>
                  <w:rPr>
                    <w:noProof/>
                    <w:webHidden/>
                  </w:rPr>
                  <w:fldChar w:fldCharType="end"/>
                </w:r>
              </w:hyperlink>
            </w:p>
            <w:p w14:paraId="3DFABFF8" w14:textId="1C2C864C"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36" w:history="1">
                <w:r w:rsidRPr="00030609">
                  <w:rPr>
                    <w:rStyle w:val="Hyperlink"/>
                    <w:rFonts w:ascii="Calibri" w:eastAsia="Times New Roman" w:hAnsi="Calibri" w:cs="Calibri"/>
                    <w:b/>
                    <w:bCs/>
                    <w:noProof/>
                    <w:lang w:eastAsia="en-GB"/>
                  </w:rPr>
                  <w:t>4.1 Structural Decomposition Principles</w:t>
                </w:r>
                <w:r>
                  <w:rPr>
                    <w:noProof/>
                    <w:webHidden/>
                  </w:rPr>
                  <w:tab/>
                </w:r>
                <w:r>
                  <w:rPr>
                    <w:noProof/>
                    <w:webHidden/>
                  </w:rPr>
                  <w:fldChar w:fldCharType="begin"/>
                </w:r>
                <w:r>
                  <w:rPr>
                    <w:noProof/>
                    <w:webHidden/>
                  </w:rPr>
                  <w:instrText xml:space="preserve"> PAGEREF _Toc237895536 \h </w:instrText>
                </w:r>
                <w:r>
                  <w:rPr>
                    <w:noProof/>
                    <w:webHidden/>
                  </w:rPr>
                </w:r>
                <w:r>
                  <w:rPr>
                    <w:noProof/>
                    <w:webHidden/>
                  </w:rPr>
                  <w:fldChar w:fldCharType="separate"/>
                </w:r>
                <w:r>
                  <w:rPr>
                    <w:noProof/>
                    <w:webHidden/>
                  </w:rPr>
                  <w:t>12</w:t>
                </w:r>
                <w:r>
                  <w:rPr>
                    <w:noProof/>
                    <w:webHidden/>
                  </w:rPr>
                  <w:fldChar w:fldCharType="end"/>
                </w:r>
              </w:hyperlink>
            </w:p>
            <w:p w14:paraId="57A35F84" w14:textId="015C694B"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7" w:history="1">
                <w:r w:rsidRPr="00030609">
                  <w:rPr>
                    <w:rStyle w:val="Hyperlink"/>
                    <w:noProof/>
                  </w:rPr>
                  <w:t>5. Expanded Strategic Quad Chart Execution Matrix</w:t>
                </w:r>
                <w:r>
                  <w:rPr>
                    <w:noProof/>
                    <w:webHidden/>
                  </w:rPr>
                  <w:tab/>
                </w:r>
                <w:r>
                  <w:rPr>
                    <w:noProof/>
                    <w:webHidden/>
                  </w:rPr>
                  <w:fldChar w:fldCharType="begin"/>
                </w:r>
                <w:r>
                  <w:rPr>
                    <w:noProof/>
                    <w:webHidden/>
                  </w:rPr>
                  <w:instrText xml:space="preserve"> PAGEREF _Toc237895537 \h </w:instrText>
                </w:r>
                <w:r>
                  <w:rPr>
                    <w:noProof/>
                    <w:webHidden/>
                  </w:rPr>
                </w:r>
                <w:r>
                  <w:rPr>
                    <w:noProof/>
                    <w:webHidden/>
                  </w:rPr>
                  <w:fldChar w:fldCharType="separate"/>
                </w:r>
                <w:r>
                  <w:rPr>
                    <w:noProof/>
                    <w:webHidden/>
                  </w:rPr>
                  <w:t>13</w:t>
                </w:r>
                <w:r>
                  <w:rPr>
                    <w:noProof/>
                    <w:webHidden/>
                  </w:rPr>
                  <w:fldChar w:fldCharType="end"/>
                </w:r>
              </w:hyperlink>
            </w:p>
            <w:p w14:paraId="31941D4D" w14:textId="223DAF81"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38" w:history="1">
                <w:r w:rsidRPr="00030609">
                  <w:rPr>
                    <w:rStyle w:val="Hyperlink"/>
                    <w:noProof/>
                  </w:rPr>
                  <w:t>6. Integrated Project Schedule &amp; Critical Path Analysis</w:t>
                </w:r>
                <w:r>
                  <w:rPr>
                    <w:noProof/>
                    <w:webHidden/>
                  </w:rPr>
                  <w:tab/>
                </w:r>
                <w:r>
                  <w:rPr>
                    <w:noProof/>
                    <w:webHidden/>
                  </w:rPr>
                  <w:fldChar w:fldCharType="begin"/>
                </w:r>
                <w:r>
                  <w:rPr>
                    <w:noProof/>
                    <w:webHidden/>
                  </w:rPr>
                  <w:instrText xml:space="preserve"> PAGEREF _Toc237895538 \h </w:instrText>
                </w:r>
                <w:r>
                  <w:rPr>
                    <w:noProof/>
                    <w:webHidden/>
                  </w:rPr>
                </w:r>
                <w:r>
                  <w:rPr>
                    <w:noProof/>
                    <w:webHidden/>
                  </w:rPr>
                  <w:fldChar w:fldCharType="separate"/>
                </w:r>
                <w:r>
                  <w:rPr>
                    <w:noProof/>
                    <w:webHidden/>
                  </w:rPr>
                  <w:t>15</w:t>
                </w:r>
                <w:r>
                  <w:rPr>
                    <w:noProof/>
                    <w:webHidden/>
                  </w:rPr>
                  <w:fldChar w:fldCharType="end"/>
                </w:r>
              </w:hyperlink>
            </w:p>
            <w:p w14:paraId="1A34DE5A" w14:textId="364036C0"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39" w:history="1">
                <w:r w:rsidRPr="00030609">
                  <w:rPr>
                    <w:rStyle w:val="Hyperlink"/>
                    <w:noProof/>
                  </w:rPr>
                  <w:t>6.1 Master Schedule Architecture &amp; Phased Timeline</w:t>
                </w:r>
                <w:r>
                  <w:rPr>
                    <w:noProof/>
                    <w:webHidden/>
                  </w:rPr>
                  <w:tab/>
                </w:r>
                <w:r>
                  <w:rPr>
                    <w:noProof/>
                    <w:webHidden/>
                  </w:rPr>
                  <w:fldChar w:fldCharType="begin"/>
                </w:r>
                <w:r>
                  <w:rPr>
                    <w:noProof/>
                    <w:webHidden/>
                  </w:rPr>
                  <w:instrText xml:space="preserve"> PAGEREF _Toc237895539 \h </w:instrText>
                </w:r>
                <w:r>
                  <w:rPr>
                    <w:noProof/>
                    <w:webHidden/>
                  </w:rPr>
                </w:r>
                <w:r>
                  <w:rPr>
                    <w:noProof/>
                    <w:webHidden/>
                  </w:rPr>
                  <w:fldChar w:fldCharType="separate"/>
                </w:r>
                <w:r>
                  <w:rPr>
                    <w:noProof/>
                    <w:webHidden/>
                  </w:rPr>
                  <w:t>15</w:t>
                </w:r>
                <w:r>
                  <w:rPr>
                    <w:noProof/>
                    <w:webHidden/>
                  </w:rPr>
                  <w:fldChar w:fldCharType="end"/>
                </w:r>
              </w:hyperlink>
            </w:p>
            <w:p w14:paraId="7942F231" w14:textId="6FCE8AEA"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40" w:history="1">
                <w:r w:rsidRPr="00030609">
                  <w:rPr>
                    <w:rStyle w:val="Hyperlink"/>
                    <w:noProof/>
                  </w:rPr>
                  <w:t>7. Detailed Stakeholder Engagement Framework</w:t>
                </w:r>
                <w:r>
                  <w:rPr>
                    <w:noProof/>
                    <w:webHidden/>
                  </w:rPr>
                  <w:tab/>
                </w:r>
                <w:r>
                  <w:rPr>
                    <w:noProof/>
                    <w:webHidden/>
                  </w:rPr>
                  <w:fldChar w:fldCharType="begin"/>
                </w:r>
                <w:r>
                  <w:rPr>
                    <w:noProof/>
                    <w:webHidden/>
                  </w:rPr>
                  <w:instrText xml:space="preserve"> PAGEREF _Toc237895540 \h </w:instrText>
                </w:r>
                <w:r>
                  <w:rPr>
                    <w:noProof/>
                    <w:webHidden/>
                  </w:rPr>
                </w:r>
                <w:r>
                  <w:rPr>
                    <w:noProof/>
                    <w:webHidden/>
                  </w:rPr>
                  <w:fldChar w:fldCharType="separate"/>
                </w:r>
                <w:r>
                  <w:rPr>
                    <w:noProof/>
                    <w:webHidden/>
                  </w:rPr>
                  <w:t>16</w:t>
                </w:r>
                <w:r>
                  <w:rPr>
                    <w:noProof/>
                    <w:webHidden/>
                  </w:rPr>
                  <w:fldChar w:fldCharType="end"/>
                </w:r>
              </w:hyperlink>
            </w:p>
            <w:p w14:paraId="1852374B" w14:textId="57CD1F92"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41" w:history="1">
                <w:r w:rsidRPr="00030609">
                  <w:rPr>
                    <w:rStyle w:val="Hyperlink"/>
                    <w:noProof/>
                  </w:rPr>
                  <w:t>7.1 Theoretical Framework &amp; Engagement Methodology</w:t>
                </w:r>
                <w:r>
                  <w:rPr>
                    <w:noProof/>
                    <w:webHidden/>
                  </w:rPr>
                  <w:tab/>
                </w:r>
                <w:r>
                  <w:rPr>
                    <w:noProof/>
                    <w:webHidden/>
                  </w:rPr>
                  <w:fldChar w:fldCharType="begin"/>
                </w:r>
                <w:r>
                  <w:rPr>
                    <w:noProof/>
                    <w:webHidden/>
                  </w:rPr>
                  <w:instrText xml:space="preserve"> PAGEREF _Toc237895541 \h </w:instrText>
                </w:r>
                <w:r>
                  <w:rPr>
                    <w:noProof/>
                    <w:webHidden/>
                  </w:rPr>
                </w:r>
                <w:r>
                  <w:rPr>
                    <w:noProof/>
                    <w:webHidden/>
                  </w:rPr>
                  <w:fldChar w:fldCharType="separate"/>
                </w:r>
                <w:r>
                  <w:rPr>
                    <w:noProof/>
                    <w:webHidden/>
                  </w:rPr>
                  <w:t>16</w:t>
                </w:r>
                <w:r>
                  <w:rPr>
                    <w:noProof/>
                    <w:webHidden/>
                  </w:rPr>
                  <w:fldChar w:fldCharType="end"/>
                </w:r>
              </w:hyperlink>
            </w:p>
            <w:p w14:paraId="251FE488" w14:textId="1EE297B7"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42" w:history="1">
                <w:r w:rsidRPr="00030609">
                  <w:rPr>
                    <w:rStyle w:val="Hyperlink"/>
                    <w:noProof/>
                  </w:rPr>
                  <w:t>8. Resource &amp; Financial Allocation Plan</w:t>
                </w:r>
                <w:r>
                  <w:rPr>
                    <w:noProof/>
                    <w:webHidden/>
                  </w:rPr>
                  <w:tab/>
                </w:r>
                <w:r>
                  <w:rPr>
                    <w:noProof/>
                    <w:webHidden/>
                  </w:rPr>
                  <w:fldChar w:fldCharType="begin"/>
                </w:r>
                <w:r>
                  <w:rPr>
                    <w:noProof/>
                    <w:webHidden/>
                  </w:rPr>
                  <w:instrText xml:space="preserve"> PAGEREF _Toc237895542 \h </w:instrText>
                </w:r>
                <w:r>
                  <w:rPr>
                    <w:noProof/>
                    <w:webHidden/>
                  </w:rPr>
                </w:r>
                <w:r>
                  <w:rPr>
                    <w:noProof/>
                    <w:webHidden/>
                  </w:rPr>
                  <w:fldChar w:fldCharType="separate"/>
                </w:r>
                <w:r>
                  <w:rPr>
                    <w:noProof/>
                    <w:webHidden/>
                  </w:rPr>
                  <w:t>17</w:t>
                </w:r>
                <w:r>
                  <w:rPr>
                    <w:noProof/>
                    <w:webHidden/>
                  </w:rPr>
                  <w:fldChar w:fldCharType="end"/>
                </w:r>
              </w:hyperlink>
            </w:p>
            <w:p w14:paraId="538EF64B" w14:textId="2207008E"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43" w:history="1">
                <w:r w:rsidRPr="00030609">
                  <w:rPr>
                    <w:rStyle w:val="Hyperlink"/>
                    <w:noProof/>
                  </w:rPr>
                  <w:t>8.1 Human Resource Architecture &amp; Responsibility Assignment Matrix (RACI)</w:t>
                </w:r>
                <w:r>
                  <w:rPr>
                    <w:noProof/>
                    <w:webHidden/>
                  </w:rPr>
                  <w:tab/>
                </w:r>
                <w:r>
                  <w:rPr>
                    <w:noProof/>
                    <w:webHidden/>
                  </w:rPr>
                  <w:fldChar w:fldCharType="begin"/>
                </w:r>
                <w:r>
                  <w:rPr>
                    <w:noProof/>
                    <w:webHidden/>
                  </w:rPr>
                  <w:instrText xml:space="preserve"> PAGEREF _Toc237895543 \h </w:instrText>
                </w:r>
                <w:r>
                  <w:rPr>
                    <w:noProof/>
                    <w:webHidden/>
                  </w:rPr>
                </w:r>
                <w:r>
                  <w:rPr>
                    <w:noProof/>
                    <w:webHidden/>
                  </w:rPr>
                  <w:fldChar w:fldCharType="separate"/>
                </w:r>
                <w:r>
                  <w:rPr>
                    <w:noProof/>
                    <w:webHidden/>
                  </w:rPr>
                  <w:t>17</w:t>
                </w:r>
                <w:r>
                  <w:rPr>
                    <w:noProof/>
                    <w:webHidden/>
                  </w:rPr>
                  <w:fldChar w:fldCharType="end"/>
                </w:r>
              </w:hyperlink>
            </w:p>
            <w:p w14:paraId="2E8B80A0" w14:textId="65D1D358"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44" w:history="1">
                <w:r w:rsidRPr="00030609">
                  <w:rPr>
                    <w:rStyle w:val="Hyperlink"/>
                    <w:rFonts w:eastAsia="Times New Roman"/>
                    <w:noProof/>
                    <w:lang w:eastAsia="en-GB"/>
                  </w:rPr>
                  <w:t>9. Comprehensive Risk Management Plan</w:t>
                </w:r>
                <w:r>
                  <w:rPr>
                    <w:noProof/>
                    <w:webHidden/>
                  </w:rPr>
                  <w:tab/>
                </w:r>
                <w:r>
                  <w:rPr>
                    <w:noProof/>
                    <w:webHidden/>
                  </w:rPr>
                  <w:fldChar w:fldCharType="begin"/>
                </w:r>
                <w:r>
                  <w:rPr>
                    <w:noProof/>
                    <w:webHidden/>
                  </w:rPr>
                  <w:instrText xml:space="preserve"> PAGEREF _Toc237895544 \h </w:instrText>
                </w:r>
                <w:r>
                  <w:rPr>
                    <w:noProof/>
                    <w:webHidden/>
                  </w:rPr>
                </w:r>
                <w:r>
                  <w:rPr>
                    <w:noProof/>
                    <w:webHidden/>
                  </w:rPr>
                  <w:fldChar w:fldCharType="separate"/>
                </w:r>
                <w:r>
                  <w:rPr>
                    <w:noProof/>
                    <w:webHidden/>
                  </w:rPr>
                  <w:t>18</w:t>
                </w:r>
                <w:r>
                  <w:rPr>
                    <w:noProof/>
                    <w:webHidden/>
                  </w:rPr>
                  <w:fldChar w:fldCharType="end"/>
                </w:r>
              </w:hyperlink>
            </w:p>
            <w:p w14:paraId="38D24AC0" w14:textId="190117EE"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45" w:history="1">
                <w:r w:rsidRPr="00030609">
                  <w:rPr>
                    <w:rStyle w:val="Hyperlink"/>
                    <w:rFonts w:eastAsia="Times New Roman"/>
                    <w:noProof/>
                    <w:lang w:eastAsia="en-GB"/>
                  </w:rPr>
                  <w:t>9.1 Risk Identification, Assessment &amp; Severity Matrix</w:t>
                </w:r>
                <w:r>
                  <w:rPr>
                    <w:noProof/>
                    <w:webHidden/>
                  </w:rPr>
                  <w:tab/>
                </w:r>
                <w:r>
                  <w:rPr>
                    <w:noProof/>
                    <w:webHidden/>
                  </w:rPr>
                  <w:fldChar w:fldCharType="begin"/>
                </w:r>
                <w:r>
                  <w:rPr>
                    <w:noProof/>
                    <w:webHidden/>
                  </w:rPr>
                  <w:instrText xml:space="preserve"> PAGEREF _Toc237895545 \h </w:instrText>
                </w:r>
                <w:r>
                  <w:rPr>
                    <w:noProof/>
                    <w:webHidden/>
                  </w:rPr>
                </w:r>
                <w:r>
                  <w:rPr>
                    <w:noProof/>
                    <w:webHidden/>
                  </w:rPr>
                  <w:fldChar w:fldCharType="separate"/>
                </w:r>
                <w:r>
                  <w:rPr>
                    <w:noProof/>
                    <w:webHidden/>
                  </w:rPr>
                  <w:t>18</w:t>
                </w:r>
                <w:r>
                  <w:rPr>
                    <w:noProof/>
                    <w:webHidden/>
                  </w:rPr>
                  <w:fldChar w:fldCharType="end"/>
                </w:r>
              </w:hyperlink>
            </w:p>
            <w:p w14:paraId="768A6C4E" w14:textId="414FCD67"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46" w:history="1">
                <w:r w:rsidRPr="00030609">
                  <w:rPr>
                    <w:rStyle w:val="Hyperlink"/>
                    <w:noProof/>
                  </w:rPr>
                  <w:t>10. Governance, Quality Assurance &amp; Project Closure</w:t>
                </w:r>
                <w:r>
                  <w:rPr>
                    <w:noProof/>
                    <w:webHidden/>
                  </w:rPr>
                  <w:tab/>
                </w:r>
                <w:r>
                  <w:rPr>
                    <w:noProof/>
                    <w:webHidden/>
                  </w:rPr>
                  <w:fldChar w:fldCharType="begin"/>
                </w:r>
                <w:r>
                  <w:rPr>
                    <w:noProof/>
                    <w:webHidden/>
                  </w:rPr>
                  <w:instrText xml:space="preserve"> PAGEREF _Toc237895546 \h </w:instrText>
                </w:r>
                <w:r>
                  <w:rPr>
                    <w:noProof/>
                    <w:webHidden/>
                  </w:rPr>
                </w:r>
                <w:r>
                  <w:rPr>
                    <w:noProof/>
                    <w:webHidden/>
                  </w:rPr>
                  <w:fldChar w:fldCharType="separate"/>
                </w:r>
                <w:r>
                  <w:rPr>
                    <w:noProof/>
                    <w:webHidden/>
                  </w:rPr>
                  <w:t>19</w:t>
                </w:r>
                <w:r>
                  <w:rPr>
                    <w:noProof/>
                    <w:webHidden/>
                  </w:rPr>
                  <w:fldChar w:fldCharType="end"/>
                </w:r>
              </w:hyperlink>
            </w:p>
            <w:p w14:paraId="3769F442" w14:textId="4E8CF49E" w:rsidR="00AE28BE" w:rsidRDefault="00AE28BE">
              <w:pPr>
                <w:pStyle w:val="TOC2"/>
                <w:tabs>
                  <w:tab w:val="right" w:leader="dot" w:pos="9016"/>
                </w:tabs>
                <w:rPr>
                  <w:rFonts w:cstheme="minorBidi"/>
                  <w:noProof/>
                  <w:kern w:val="2"/>
                  <w:sz w:val="24"/>
                  <w:szCs w:val="24"/>
                  <w:lang w:val="en-GB" w:eastAsia="en-GB"/>
                  <w14:ligatures w14:val="standardContextual"/>
                </w:rPr>
              </w:pPr>
              <w:hyperlink w:anchor="_Toc237895547" w:history="1">
                <w:r w:rsidRPr="00030609">
                  <w:rPr>
                    <w:rStyle w:val="Hyperlink"/>
                    <w:noProof/>
                  </w:rPr>
                  <w:t>10.1 Quality Assurance (QA) &amp; Quality Control (QC) Protocols</w:t>
                </w:r>
                <w:r>
                  <w:rPr>
                    <w:noProof/>
                    <w:webHidden/>
                  </w:rPr>
                  <w:tab/>
                </w:r>
                <w:r>
                  <w:rPr>
                    <w:noProof/>
                    <w:webHidden/>
                  </w:rPr>
                  <w:fldChar w:fldCharType="begin"/>
                </w:r>
                <w:r>
                  <w:rPr>
                    <w:noProof/>
                    <w:webHidden/>
                  </w:rPr>
                  <w:instrText xml:space="preserve"> PAGEREF _Toc237895547 \h </w:instrText>
                </w:r>
                <w:r>
                  <w:rPr>
                    <w:noProof/>
                    <w:webHidden/>
                  </w:rPr>
                </w:r>
                <w:r>
                  <w:rPr>
                    <w:noProof/>
                    <w:webHidden/>
                  </w:rPr>
                  <w:fldChar w:fldCharType="separate"/>
                </w:r>
                <w:r>
                  <w:rPr>
                    <w:noProof/>
                    <w:webHidden/>
                  </w:rPr>
                  <w:t>19</w:t>
                </w:r>
                <w:r>
                  <w:rPr>
                    <w:noProof/>
                    <w:webHidden/>
                  </w:rPr>
                  <w:fldChar w:fldCharType="end"/>
                </w:r>
              </w:hyperlink>
            </w:p>
            <w:p w14:paraId="76CC4EA2" w14:textId="2F4B1145"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48" w:history="1">
                <w:r w:rsidRPr="00030609">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_Toc237895548 \h </w:instrText>
                </w:r>
                <w:r>
                  <w:rPr>
                    <w:noProof/>
                    <w:webHidden/>
                  </w:rPr>
                </w:r>
                <w:r>
                  <w:rPr>
                    <w:noProof/>
                    <w:webHidden/>
                  </w:rPr>
                  <w:fldChar w:fldCharType="separate"/>
                </w:r>
                <w:r>
                  <w:rPr>
                    <w:noProof/>
                    <w:webHidden/>
                  </w:rPr>
                  <w:t>21</w:t>
                </w:r>
                <w:r>
                  <w:rPr>
                    <w:noProof/>
                    <w:webHidden/>
                  </w:rPr>
                  <w:fldChar w:fldCharType="end"/>
                </w:r>
              </w:hyperlink>
            </w:p>
            <w:p w14:paraId="16F181B5" w14:textId="1D0BE38E" w:rsidR="00AE28BE" w:rsidRDefault="00AE28BE">
              <w:pPr>
                <w:pStyle w:val="TOC3"/>
                <w:tabs>
                  <w:tab w:val="right" w:leader="dot" w:pos="9016"/>
                </w:tabs>
                <w:rPr>
                  <w:rFonts w:cstheme="minorBidi"/>
                  <w:noProof/>
                  <w:kern w:val="2"/>
                  <w:sz w:val="24"/>
                  <w:szCs w:val="24"/>
                  <w:lang w:val="en-GB" w:eastAsia="en-GB"/>
                  <w14:ligatures w14:val="standardContextual"/>
                </w:rPr>
              </w:pPr>
              <w:hyperlink w:anchor="_Toc237895549" w:history="1">
                <w:r w:rsidRPr="00030609">
                  <w:rPr>
                    <w:rStyle w:val="Hyperlink"/>
                    <w:noProof/>
                  </w:rPr>
                  <w:t>References</w:t>
                </w:r>
                <w:r>
                  <w:rPr>
                    <w:noProof/>
                    <w:webHidden/>
                  </w:rPr>
                  <w:tab/>
                </w:r>
                <w:r>
                  <w:rPr>
                    <w:noProof/>
                    <w:webHidden/>
                  </w:rPr>
                  <w:fldChar w:fldCharType="begin"/>
                </w:r>
                <w:r>
                  <w:rPr>
                    <w:noProof/>
                    <w:webHidden/>
                  </w:rPr>
                  <w:instrText xml:space="preserve"> PAGEREF _Toc237895549 \h </w:instrText>
                </w:r>
                <w:r>
                  <w:rPr>
                    <w:noProof/>
                    <w:webHidden/>
                  </w:rPr>
                </w:r>
                <w:r>
                  <w:rPr>
                    <w:noProof/>
                    <w:webHidden/>
                  </w:rPr>
                  <w:fldChar w:fldCharType="separate"/>
                </w:r>
                <w:r>
                  <w:rPr>
                    <w:noProof/>
                    <w:webHidden/>
                  </w:rPr>
                  <w:t>22</w:t>
                </w:r>
                <w:r>
                  <w:rPr>
                    <w:noProof/>
                    <w:webHidden/>
                  </w:rPr>
                  <w:fldChar w:fldCharType="end"/>
                </w:r>
              </w:hyperlink>
            </w:p>
            <w:p w14:paraId="3DB0A3A4" w14:textId="4A09C31C" w:rsidR="00B66624" w:rsidRDefault="00B66624">
              <w:r>
                <w:rPr>
                  <w:b/>
                  <w:bCs/>
                  <w:noProof/>
                </w:rPr>
                <w:fldChar w:fldCharType="end"/>
              </w:r>
            </w:p>
          </w:sdtContent>
        </w:sdt>
        <w:p w14:paraId="68809049" w14:textId="77777777" w:rsidR="00C133BA" w:rsidRDefault="00C133BA" w:rsidP="00C133BA">
          <w:pPr>
            <w:jc w:val="right"/>
            <w:rPr>
              <w:b/>
              <w:bCs/>
            </w:rPr>
          </w:pPr>
        </w:p>
        <w:p w14:paraId="647FF01F" w14:textId="77777777" w:rsidR="00C133BA" w:rsidRDefault="00C133BA" w:rsidP="00C133BA">
          <w:pPr>
            <w:jc w:val="right"/>
            <w:rPr>
              <w:b/>
              <w:bCs/>
            </w:rPr>
          </w:pPr>
        </w:p>
        <w:p w14:paraId="7B3BCCD0" w14:textId="77777777" w:rsidR="00C133BA" w:rsidRDefault="00C133BA" w:rsidP="00C133BA">
          <w:pPr>
            <w:jc w:val="right"/>
            <w:rPr>
              <w:b/>
              <w:bCs/>
            </w:rPr>
          </w:pPr>
        </w:p>
        <w:p w14:paraId="5A23C452" w14:textId="402D4A76" w:rsidR="00C133BA" w:rsidRDefault="00000000" w:rsidP="00C133BA">
          <w:pPr>
            <w:jc w:val="center"/>
            <w:rPr>
              <w:b/>
              <w:bCs/>
            </w:rPr>
          </w:pPr>
        </w:p>
      </w:sdtContent>
    </w:sdt>
    <w:p w14:paraId="1AFEED9B" w14:textId="77777777" w:rsidR="00C133BA" w:rsidRDefault="00C133BA" w:rsidP="00C133BA">
      <w:pPr>
        <w:rPr>
          <w:b/>
          <w:bCs/>
        </w:rPr>
      </w:pPr>
    </w:p>
    <w:p w14:paraId="0AFF2B39" w14:textId="77777777" w:rsidR="00C133BA" w:rsidRDefault="00C133BA" w:rsidP="00C133BA">
      <w:pPr>
        <w:rPr>
          <w:b/>
          <w:bCs/>
        </w:rPr>
      </w:pPr>
    </w:p>
    <w:p w14:paraId="3470163A" w14:textId="77777777" w:rsidR="00C133BA" w:rsidRDefault="00C133BA" w:rsidP="00C133BA">
      <w:pPr>
        <w:rPr>
          <w:b/>
          <w:bCs/>
        </w:rPr>
      </w:pPr>
    </w:p>
    <w:p w14:paraId="7B539D97" w14:textId="77777777" w:rsidR="00C133BA" w:rsidRDefault="00C133BA" w:rsidP="00C133BA">
      <w:pPr>
        <w:rPr>
          <w:b/>
          <w:bCs/>
        </w:rPr>
      </w:pPr>
    </w:p>
    <w:p w14:paraId="70063AC4" w14:textId="77777777" w:rsidR="00C133BA" w:rsidRDefault="00C133BA" w:rsidP="00C133BA">
      <w:pPr>
        <w:rPr>
          <w:b/>
          <w:bCs/>
        </w:rPr>
      </w:pPr>
    </w:p>
    <w:p w14:paraId="178CD1BD" w14:textId="77777777" w:rsidR="00C133BA" w:rsidRDefault="00C133BA" w:rsidP="00C133BA">
      <w:pPr>
        <w:rPr>
          <w:b/>
          <w:bCs/>
        </w:rPr>
      </w:pPr>
    </w:p>
    <w:p w14:paraId="76F046E3" w14:textId="77777777" w:rsidR="00C133BA" w:rsidRDefault="00C133BA" w:rsidP="00C133BA">
      <w:pPr>
        <w:rPr>
          <w:b/>
          <w:bCs/>
        </w:rPr>
      </w:pPr>
    </w:p>
    <w:p w14:paraId="1B1D5590" w14:textId="77777777" w:rsidR="00486AAC" w:rsidRDefault="00486AAC" w:rsidP="00C133BA">
      <w:pPr>
        <w:rPr>
          <w:b/>
          <w:bCs/>
        </w:rPr>
      </w:pPr>
    </w:p>
    <w:p w14:paraId="39AD6C52" w14:textId="205096CB" w:rsidR="00C133BA" w:rsidRPr="00C133BA" w:rsidRDefault="00C133BA" w:rsidP="00352D95">
      <w:pPr>
        <w:pStyle w:val="Heading2"/>
      </w:pPr>
      <w:bookmarkStart w:id="0" w:name="_Toc237895525"/>
      <w:r w:rsidRPr="00C133BA">
        <w:lastRenderedPageBreak/>
        <w:t>Part A:</w:t>
      </w:r>
      <w:r w:rsidR="00352D95">
        <w:t xml:space="preserve"> Poster</w:t>
      </w:r>
      <w:bookmarkEnd w:id="0"/>
    </w:p>
    <w:p w14:paraId="1F70026F" w14:textId="13733A04" w:rsidR="00C133BA" w:rsidRDefault="00C133BA" w:rsidP="00C133BA">
      <w:pPr>
        <w:rPr>
          <w:b/>
          <w:bCs/>
        </w:rPr>
      </w:pPr>
      <w:r w:rsidRPr="00F039A1">
        <w:rPr>
          <w:noProof/>
        </w:rPr>
        <w:drawing>
          <wp:anchor distT="0" distB="0" distL="114300" distR="114300" simplePos="0" relativeHeight="251658240" behindDoc="1" locked="0" layoutInCell="1" allowOverlap="1" wp14:anchorId="41977679" wp14:editId="06AA5915">
            <wp:simplePos x="0" y="0"/>
            <wp:positionH relativeFrom="margin">
              <wp:posOffset>-98425</wp:posOffset>
            </wp:positionH>
            <wp:positionV relativeFrom="paragraph">
              <wp:posOffset>212090</wp:posOffset>
            </wp:positionV>
            <wp:extent cx="4974590" cy="7493000"/>
            <wp:effectExtent l="0" t="0" r="0" b="0"/>
            <wp:wrapTight wrapText="bothSides">
              <wp:wrapPolygon edited="0">
                <wp:start x="0" y="0"/>
                <wp:lineTo x="0" y="21527"/>
                <wp:lineTo x="21506" y="21527"/>
                <wp:lineTo x="21506" y="0"/>
                <wp:lineTo x="0" y="0"/>
              </wp:wrapPolygon>
            </wp:wrapTight>
            <wp:docPr id="116925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25742" name=""/>
                    <pic:cNvPicPr/>
                  </pic:nvPicPr>
                  <pic:blipFill>
                    <a:blip r:embed="rId11">
                      <a:extLst>
                        <a:ext uri="{28A0092B-C50C-407E-A947-70E740481C1C}">
                          <a14:useLocalDpi xmlns:a14="http://schemas.microsoft.com/office/drawing/2010/main" val="0"/>
                        </a:ext>
                      </a:extLst>
                    </a:blip>
                    <a:stretch>
                      <a:fillRect/>
                    </a:stretch>
                  </pic:blipFill>
                  <pic:spPr>
                    <a:xfrm>
                      <a:off x="0" y="0"/>
                      <a:ext cx="4974590" cy="7493000"/>
                    </a:xfrm>
                    <a:prstGeom prst="rect">
                      <a:avLst/>
                    </a:prstGeom>
                  </pic:spPr>
                </pic:pic>
              </a:graphicData>
            </a:graphic>
            <wp14:sizeRelH relativeFrom="margin">
              <wp14:pctWidth>0</wp14:pctWidth>
            </wp14:sizeRelH>
            <wp14:sizeRelV relativeFrom="margin">
              <wp14:pctHeight>0</wp14:pctHeight>
            </wp14:sizeRelV>
          </wp:anchor>
        </w:drawing>
      </w:r>
    </w:p>
    <w:p w14:paraId="32CDC43E" w14:textId="1BFAB2A6" w:rsidR="00C133BA" w:rsidRDefault="00C133BA" w:rsidP="00C133BA">
      <w:pPr>
        <w:rPr>
          <w:b/>
          <w:bCs/>
        </w:rPr>
      </w:pPr>
    </w:p>
    <w:p w14:paraId="43288BD2" w14:textId="77777777" w:rsidR="00C133BA" w:rsidRDefault="00C133BA" w:rsidP="00C133BA">
      <w:pPr>
        <w:rPr>
          <w:b/>
          <w:bCs/>
        </w:rPr>
      </w:pPr>
    </w:p>
    <w:p w14:paraId="6E30209F" w14:textId="50E5BEC3" w:rsidR="00C133BA" w:rsidRDefault="00C133BA" w:rsidP="00C133BA">
      <w:pPr>
        <w:rPr>
          <w:b/>
          <w:bCs/>
        </w:rPr>
      </w:pPr>
    </w:p>
    <w:p w14:paraId="5864F276" w14:textId="77777777" w:rsidR="00C133BA" w:rsidRDefault="00C133BA" w:rsidP="00C133BA">
      <w:pPr>
        <w:rPr>
          <w:b/>
          <w:bCs/>
        </w:rPr>
      </w:pPr>
    </w:p>
    <w:p w14:paraId="7BD69ED7" w14:textId="6D1C9EB7" w:rsidR="00C133BA" w:rsidRDefault="00C133BA" w:rsidP="00C133BA">
      <w:pPr>
        <w:rPr>
          <w:b/>
          <w:bCs/>
        </w:rPr>
      </w:pPr>
    </w:p>
    <w:p w14:paraId="426B1E19" w14:textId="7F6622B9" w:rsidR="00C133BA" w:rsidRDefault="00C133BA" w:rsidP="00C133BA">
      <w:pPr>
        <w:rPr>
          <w:b/>
          <w:bCs/>
        </w:rPr>
      </w:pPr>
    </w:p>
    <w:p w14:paraId="025E888D" w14:textId="57CA7EC9" w:rsidR="00C133BA" w:rsidRDefault="00C133BA" w:rsidP="00C133BA">
      <w:pPr>
        <w:rPr>
          <w:b/>
          <w:bCs/>
        </w:rPr>
      </w:pPr>
    </w:p>
    <w:p w14:paraId="19E3B835" w14:textId="79C806CD" w:rsidR="00C133BA" w:rsidRDefault="00C133BA" w:rsidP="00C133BA">
      <w:pPr>
        <w:rPr>
          <w:b/>
          <w:bCs/>
        </w:rPr>
      </w:pPr>
    </w:p>
    <w:p w14:paraId="3B9B6F81" w14:textId="77777777" w:rsidR="00C133BA" w:rsidRDefault="00C133BA" w:rsidP="00C133BA">
      <w:pPr>
        <w:rPr>
          <w:b/>
          <w:bCs/>
        </w:rPr>
      </w:pPr>
    </w:p>
    <w:p w14:paraId="1AEBF09A" w14:textId="77777777" w:rsidR="00C133BA" w:rsidRDefault="00C133BA" w:rsidP="00C133BA">
      <w:pPr>
        <w:rPr>
          <w:b/>
          <w:bCs/>
        </w:rPr>
      </w:pPr>
    </w:p>
    <w:p w14:paraId="2A88B6BC" w14:textId="77777777" w:rsidR="00C133BA" w:rsidRDefault="00C133BA" w:rsidP="00C133BA">
      <w:pPr>
        <w:rPr>
          <w:b/>
          <w:bCs/>
        </w:rPr>
      </w:pPr>
    </w:p>
    <w:p w14:paraId="2BCBF8D2" w14:textId="77777777" w:rsidR="00C133BA" w:rsidRDefault="00C133BA" w:rsidP="00C133BA">
      <w:pPr>
        <w:rPr>
          <w:b/>
          <w:bCs/>
        </w:rPr>
      </w:pPr>
    </w:p>
    <w:p w14:paraId="0F5BC840" w14:textId="77777777" w:rsidR="00C133BA" w:rsidRDefault="00C133BA" w:rsidP="00C133BA">
      <w:pPr>
        <w:rPr>
          <w:b/>
          <w:bCs/>
        </w:rPr>
      </w:pPr>
    </w:p>
    <w:p w14:paraId="4BBED230" w14:textId="77777777" w:rsidR="00C133BA" w:rsidRDefault="00C133BA" w:rsidP="00C133BA">
      <w:pPr>
        <w:rPr>
          <w:b/>
          <w:bCs/>
        </w:rPr>
      </w:pPr>
    </w:p>
    <w:p w14:paraId="7590376C" w14:textId="77777777" w:rsidR="00C133BA" w:rsidRDefault="00C133BA" w:rsidP="00C133BA">
      <w:pPr>
        <w:rPr>
          <w:b/>
          <w:bCs/>
        </w:rPr>
      </w:pPr>
    </w:p>
    <w:p w14:paraId="1ABE4E78" w14:textId="77777777" w:rsidR="00C133BA" w:rsidRDefault="00C133BA" w:rsidP="00C133BA">
      <w:pPr>
        <w:rPr>
          <w:b/>
          <w:bCs/>
        </w:rPr>
      </w:pPr>
    </w:p>
    <w:p w14:paraId="3774CF94" w14:textId="77777777" w:rsidR="00C133BA" w:rsidRDefault="00C133BA" w:rsidP="00C133BA">
      <w:pPr>
        <w:rPr>
          <w:b/>
          <w:bCs/>
        </w:rPr>
      </w:pPr>
    </w:p>
    <w:p w14:paraId="60E18FF4" w14:textId="77777777" w:rsidR="00C133BA" w:rsidRDefault="00C133BA" w:rsidP="00C133BA">
      <w:pPr>
        <w:rPr>
          <w:b/>
          <w:bCs/>
        </w:rPr>
      </w:pPr>
    </w:p>
    <w:p w14:paraId="1FC4EC72" w14:textId="77777777" w:rsidR="00C133BA" w:rsidRDefault="00C133BA" w:rsidP="00C133BA">
      <w:pPr>
        <w:rPr>
          <w:b/>
          <w:bCs/>
        </w:rPr>
      </w:pPr>
    </w:p>
    <w:p w14:paraId="4ACBB681" w14:textId="77777777" w:rsidR="00C133BA" w:rsidRDefault="00C133BA" w:rsidP="00C133BA">
      <w:pPr>
        <w:rPr>
          <w:b/>
          <w:bCs/>
        </w:rPr>
      </w:pPr>
    </w:p>
    <w:p w14:paraId="2843ECD0" w14:textId="77777777" w:rsidR="00C133BA" w:rsidRDefault="00C133BA" w:rsidP="00C133BA">
      <w:pPr>
        <w:rPr>
          <w:b/>
          <w:bCs/>
        </w:rPr>
      </w:pPr>
    </w:p>
    <w:p w14:paraId="54B3F447" w14:textId="77777777" w:rsidR="00C133BA" w:rsidRDefault="00C133BA" w:rsidP="00C133BA">
      <w:pPr>
        <w:rPr>
          <w:b/>
          <w:bCs/>
        </w:rPr>
      </w:pPr>
    </w:p>
    <w:p w14:paraId="57A735A7" w14:textId="77777777" w:rsidR="00C133BA" w:rsidRDefault="00C133BA" w:rsidP="00C133BA">
      <w:pPr>
        <w:rPr>
          <w:b/>
          <w:bCs/>
        </w:rPr>
      </w:pPr>
    </w:p>
    <w:p w14:paraId="6719238F" w14:textId="77777777" w:rsidR="00C133BA" w:rsidRDefault="00C133BA" w:rsidP="00C133BA">
      <w:pPr>
        <w:rPr>
          <w:b/>
          <w:bCs/>
        </w:rPr>
      </w:pPr>
    </w:p>
    <w:p w14:paraId="2FE6CD13" w14:textId="77777777" w:rsidR="00C133BA" w:rsidRDefault="00C133BA" w:rsidP="00C133BA">
      <w:pPr>
        <w:rPr>
          <w:b/>
          <w:bCs/>
        </w:rPr>
      </w:pPr>
    </w:p>
    <w:p w14:paraId="399F40C6" w14:textId="77777777" w:rsidR="00C133BA" w:rsidRDefault="00C133BA" w:rsidP="00C133BA">
      <w:pPr>
        <w:rPr>
          <w:b/>
          <w:bCs/>
        </w:rPr>
      </w:pPr>
    </w:p>
    <w:p w14:paraId="6053A2BE" w14:textId="77777777" w:rsidR="00C133BA" w:rsidRDefault="00C133BA" w:rsidP="00C133BA">
      <w:pPr>
        <w:rPr>
          <w:b/>
          <w:bCs/>
        </w:rPr>
      </w:pPr>
    </w:p>
    <w:p w14:paraId="593B67D7" w14:textId="77777777" w:rsidR="00486AAC" w:rsidRDefault="00486AAC" w:rsidP="00C133BA">
      <w:pPr>
        <w:rPr>
          <w:b/>
          <w:bCs/>
        </w:rPr>
      </w:pPr>
    </w:p>
    <w:p w14:paraId="5734244D" w14:textId="77777777" w:rsidR="00C133BA" w:rsidRDefault="00C133BA" w:rsidP="00C133BA">
      <w:pPr>
        <w:rPr>
          <w:b/>
          <w:bCs/>
        </w:rPr>
      </w:pPr>
    </w:p>
    <w:p w14:paraId="535B7822" w14:textId="2D84B583" w:rsidR="00C133BA" w:rsidRPr="00DE4FA2" w:rsidRDefault="00C133BA" w:rsidP="00352D95">
      <w:pPr>
        <w:pStyle w:val="Heading2"/>
      </w:pPr>
      <w:bookmarkStart w:id="1" w:name="_Toc237895526"/>
      <w:r w:rsidRPr="00DE4FA2">
        <w:lastRenderedPageBreak/>
        <w:t>Part B: Critical Reflection</w:t>
      </w:r>
      <w:bookmarkEnd w:id="1"/>
    </w:p>
    <w:p w14:paraId="75C6060B" w14:textId="77777777"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Receiving feedback on my initial poster pitch was a fundamental step in evaluating how effectively I communicated my core project proposal to an audience. Overall, the reaction from my tutor and classmates was very positive. They highlighted that the poster was well-structured, visually appealing, and clearly explained the overarching project goals and scope right from the start. The strategic rationale for modernizing the central transport hub was straightforward and easily understood by everyone reviewing the work.</w:t>
      </w:r>
    </w:p>
    <w:p w14:paraId="48E2B7BA" w14:textId="77777777"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However, the main area my tutor pointed out for future improvement focused specifically on how I presented my charts and visual diagrams. Although the graphics added visual interest to the poster layout, I did not actually describe or explain what was contained within them. My tutor emphasized that next time I must properly break down, interpret, and contextualize what each chart shows instead of leaving visual elements alone and expecting the audience to figure out the complex data by themselves.</w:t>
      </w:r>
    </w:p>
    <w:p w14:paraId="3CAF2B6B" w14:textId="65C65F23"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 xml:space="preserve">Looking back at this critique through reflective practice, I completely agree with the constructive feedback provided. Visual tools like Gantt charts, risk matrices, and financial breakdowns only add real value if you actively guide the reader through what the data </w:t>
      </w:r>
      <w:r w:rsidR="00D66C19" w:rsidRPr="00A1241A">
        <w:rPr>
          <w:rFonts w:ascii="Calibri" w:hAnsi="Calibri" w:cs="Calibri"/>
          <w:sz w:val="24"/>
          <w:szCs w:val="24"/>
        </w:rPr>
        <w:t>means</w:t>
      </w:r>
      <w:r w:rsidRPr="00A1241A">
        <w:rPr>
          <w:rFonts w:ascii="Calibri" w:hAnsi="Calibri" w:cs="Calibri"/>
          <w:sz w:val="24"/>
          <w:szCs w:val="24"/>
        </w:rPr>
        <w:t>. In professional project management, giving stakeholders a chart without explaining it can lead to confusion or misunderstandings regarding critical project deadlines, budget allocations, or key risk factors. Visuals are meant to support and reinforce the written text, not replace it entirely.</w:t>
      </w:r>
    </w:p>
    <w:p w14:paraId="27218156" w14:textId="77777777"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This feedback demonstrated to me that visual data should never stand by itself without supporting narrative commentary. Moving forward, every visual element requires clear descriptions, proper labels, and direct references within the main body paragraphs. Taking this step ensures that complex data is easy to interpret for both technical delivery teams and high-level project sponsors.</w:t>
      </w:r>
    </w:p>
    <w:p w14:paraId="4B6B956F" w14:textId="77777777"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To ensure I thoroughly fix this issue across all future project documentation, I have established a structured approach for presenting visual data:</w:t>
      </w:r>
    </w:p>
    <w:p w14:paraId="7950B151" w14:textId="77777777" w:rsidR="00AE1934" w:rsidRPr="00A1241A" w:rsidRDefault="00AE1934" w:rsidP="00CA32A1">
      <w:pPr>
        <w:numPr>
          <w:ilvl w:val="0"/>
          <w:numId w:val="10"/>
        </w:numPr>
        <w:spacing w:line="360" w:lineRule="auto"/>
        <w:rPr>
          <w:rFonts w:ascii="Calibri" w:hAnsi="Calibri" w:cs="Calibri"/>
          <w:sz w:val="24"/>
          <w:szCs w:val="24"/>
        </w:rPr>
      </w:pPr>
      <w:r w:rsidRPr="00A641F8">
        <w:rPr>
          <w:rFonts w:ascii="Calibri" w:hAnsi="Calibri" w:cs="Calibri"/>
          <w:b/>
          <w:bCs/>
          <w:sz w:val="24"/>
          <w:szCs w:val="24"/>
        </w:rPr>
        <w:t>Add explanatory descriptions</w:t>
      </w:r>
      <w:r w:rsidRPr="00A1241A">
        <w:rPr>
          <w:rFonts w:ascii="Calibri" w:hAnsi="Calibri" w:cs="Calibri"/>
          <w:sz w:val="24"/>
          <w:szCs w:val="24"/>
        </w:rPr>
        <w:t>: Every chart or diagram will feature a dedicated paragraph right next to it that breaks down key figures, dates, and important takeaways for the project.</w:t>
      </w:r>
    </w:p>
    <w:p w14:paraId="27AF6325" w14:textId="77777777" w:rsidR="00AE1934" w:rsidRPr="00A1241A" w:rsidRDefault="00AE1934" w:rsidP="00CA32A1">
      <w:pPr>
        <w:numPr>
          <w:ilvl w:val="0"/>
          <w:numId w:val="10"/>
        </w:numPr>
        <w:spacing w:line="360" w:lineRule="auto"/>
        <w:rPr>
          <w:rFonts w:ascii="Calibri" w:hAnsi="Calibri" w:cs="Calibri"/>
          <w:sz w:val="24"/>
          <w:szCs w:val="24"/>
        </w:rPr>
      </w:pPr>
      <w:r w:rsidRPr="00A641F8">
        <w:rPr>
          <w:rFonts w:ascii="Calibri" w:hAnsi="Calibri" w:cs="Calibri"/>
          <w:b/>
          <w:bCs/>
          <w:sz w:val="24"/>
          <w:szCs w:val="24"/>
        </w:rPr>
        <w:lastRenderedPageBreak/>
        <w:t>Include proper labels and captions</w:t>
      </w:r>
      <w:r w:rsidRPr="00A1241A">
        <w:rPr>
          <w:rFonts w:ascii="Calibri" w:hAnsi="Calibri" w:cs="Calibri"/>
          <w:sz w:val="24"/>
          <w:szCs w:val="24"/>
        </w:rPr>
        <w:t>: Every visual element will have clear titles, units of measurement, and figure numbers so readers know exactly what data is being presented.</w:t>
      </w:r>
    </w:p>
    <w:p w14:paraId="0E7B3984" w14:textId="77777777" w:rsidR="00AE1934" w:rsidRPr="00A1241A" w:rsidRDefault="00AE1934" w:rsidP="00CA32A1">
      <w:pPr>
        <w:numPr>
          <w:ilvl w:val="0"/>
          <w:numId w:val="10"/>
        </w:numPr>
        <w:spacing w:line="360" w:lineRule="auto"/>
        <w:rPr>
          <w:rFonts w:ascii="Calibri" w:hAnsi="Calibri" w:cs="Calibri"/>
          <w:sz w:val="24"/>
          <w:szCs w:val="24"/>
        </w:rPr>
      </w:pPr>
      <w:r w:rsidRPr="00A641F8">
        <w:rPr>
          <w:rFonts w:ascii="Calibri" w:hAnsi="Calibri" w:cs="Calibri"/>
          <w:b/>
          <w:bCs/>
          <w:sz w:val="24"/>
          <w:szCs w:val="24"/>
        </w:rPr>
        <w:t>Directly reference visuals in text:</w:t>
      </w:r>
      <w:r w:rsidRPr="00A1241A">
        <w:rPr>
          <w:rFonts w:ascii="Calibri" w:hAnsi="Calibri" w:cs="Calibri"/>
          <w:sz w:val="24"/>
          <w:szCs w:val="24"/>
        </w:rPr>
        <w:t xml:space="preserve"> Paragraphs will explicitly mention figures in the narrative to guide the reader through the document smoothly.</w:t>
      </w:r>
    </w:p>
    <w:p w14:paraId="285A43D6" w14:textId="77777777" w:rsidR="00AE1934" w:rsidRPr="00A1241A" w:rsidRDefault="00AE1934" w:rsidP="00CA32A1">
      <w:pPr>
        <w:numPr>
          <w:ilvl w:val="0"/>
          <w:numId w:val="10"/>
        </w:numPr>
        <w:spacing w:line="360" w:lineRule="auto"/>
        <w:rPr>
          <w:rFonts w:ascii="Calibri" w:hAnsi="Calibri" w:cs="Calibri"/>
          <w:sz w:val="24"/>
          <w:szCs w:val="24"/>
        </w:rPr>
      </w:pPr>
      <w:r w:rsidRPr="00A641F8">
        <w:rPr>
          <w:rFonts w:ascii="Calibri" w:hAnsi="Calibri" w:cs="Calibri"/>
          <w:b/>
          <w:bCs/>
          <w:sz w:val="24"/>
          <w:szCs w:val="24"/>
        </w:rPr>
        <w:t>Provide clear stakeholder context</w:t>
      </w:r>
      <w:r w:rsidRPr="00A1241A">
        <w:rPr>
          <w:rFonts w:ascii="Calibri" w:hAnsi="Calibri" w:cs="Calibri"/>
          <w:sz w:val="24"/>
          <w:szCs w:val="24"/>
        </w:rPr>
        <w:t>: Data will be explained in simple terms so non-technical stakeholders can easily track project progress, budgets, and risk profiles.</w:t>
      </w:r>
    </w:p>
    <w:p w14:paraId="29E93C24" w14:textId="77777777" w:rsidR="00AE1934" w:rsidRPr="00A1241A" w:rsidRDefault="00AE1934" w:rsidP="00CA32A1">
      <w:pPr>
        <w:spacing w:line="360" w:lineRule="auto"/>
        <w:rPr>
          <w:rFonts w:ascii="Calibri" w:hAnsi="Calibri" w:cs="Calibri"/>
          <w:sz w:val="24"/>
          <w:szCs w:val="24"/>
        </w:rPr>
      </w:pPr>
      <w:r w:rsidRPr="00A1241A">
        <w:rPr>
          <w:rFonts w:ascii="Calibri" w:hAnsi="Calibri" w:cs="Calibri"/>
          <w:sz w:val="24"/>
          <w:szCs w:val="24"/>
        </w:rPr>
        <w:t>Applying this feedback changes my project documentation from a simple visual summary into a complete, rigorous, and well-explained project baseline. By taking these practical steps, my project management reports will be much clearer, easier to follow, and far more professional for all key stakeholders involved.</w:t>
      </w:r>
    </w:p>
    <w:p w14:paraId="3BAC1212" w14:textId="77777777" w:rsidR="00222E65" w:rsidRPr="00A1241A" w:rsidRDefault="00222E65" w:rsidP="00CA32A1">
      <w:pPr>
        <w:spacing w:line="360" w:lineRule="auto"/>
        <w:rPr>
          <w:rFonts w:ascii="Calibri" w:hAnsi="Calibri" w:cs="Calibri"/>
          <w:sz w:val="24"/>
          <w:szCs w:val="24"/>
        </w:rPr>
      </w:pPr>
    </w:p>
    <w:p w14:paraId="63F97A6F" w14:textId="77777777" w:rsidR="00096DD4" w:rsidRPr="00A1241A" w:rsidRDefault="00096DD4" w:rsidP="00CA32A1">
      <w:pPr>
        <w:spacing w:line="360" w:lineRule="auto"/>
        <w:rPr>
          <w:rFonts w:ascii="Calibri" w:hAnsi="Calibri" w:cs="Calibri"/>
          <w:sz w:val="24"/>
          <w:szCs w:val="24"/>
        </w:rPr>
      </w:pPr>
    </w:p>
    <w:p w14:paraId="094C311F" w14:textId="77777777" w:rsidR="00096DD4" w:rsidRPr="00A1241A" w:rsidRDefault="00096DD4" w:rsidP="00CA32A1">
      <w:pPr>
        <w:spacing w:line="360" w:lineRule="auto"/>
        <w:rPr>
          <w:rFonts w:ascii="Calibri" w:hAnsi="Calibri" w:cs="Calibri"/>
          <w:sz w:val="24"/>
          <w:szCs w:val="24"/>
        </w:rPr>
      </w:pPr>
    </w:p>
    <w:p w14:paraId="224E7543" w14:textId="77777777" w:rsidR="00096DD4" w:rsidRPr="00A1241A" w:rsidRDefault="00096DD4" w:rsidP="00CA32A1">
      <w:pPr>
        <w:spacing w:line="360" w:lineRule="auto"/>
        <w:rPr>
          <w:rFonts w:ascii="Calibri" w:hAnsi="Calibri" w:cs="Calibri"/>
          <w:sz w:val="24"/>
          <w:szCs w:val="24"/>
        </w:rPr>
      </w:pPr>
    </w:p>
    <w:p w14:paraId="7B775293" w14:textId="77777777" w:rsidR="00096DD4" w:rsidRPr="00A1241A" w:rsidRDefault="00096DD4" w:rsidP="00CA32A1">
      <w:pPr>
        <w:spacing w:line="360" w:lineRule="auto"/>
        <w:rPr>
          <w:rFonts w:ascii="Calibri" w:hAnsi="Calibri" w:cs="Calibri"/>
          <w:sz w:val="24"/>
          <w:szCs w:val="24"/>
        </w:rPr>
      </w:pPr>
    </w:p>
    <w:p w14:paraId="5F5D81D9" w14:textId="77777777" w:rsidR="00096DD4" w:rsidRPr="00A1241A" w:rsidRDefault="00096DD4" w:rsidP="00CA32A1">
      <w:pPr>
        <w:spacing w:line="360" w:lineRule="auto"/>
        <w:rPr>
          <w:rFonts w:ascii="Calibri" w:hAnsi="Calibri" w:cs="Calibri"/>
          <w:sz w:val="24"/>
          <w:szCs w:val="24"/>
        </w:rPr>
      </w:pPr>
    </w:p>
    <w:p w14:paraId="60F787BA" w14:textId="77777777" w:rsidR="00096DD4" w:rsidRPr="00A1241A" w:rsidRDefault="00096DD4" w:rsidP="00CA32A1">
      <w:pPr>
        <w:spacing w:line="360" w:lineRule="auto"/>
        <w:rPr>
          <w:rFonts w:ascii="Calibri" w:hAnsi="Calibri" w:cs="Calibri"/>
          <w:sz w:val="24"/>
          <w:szCs w:val="24"/>
        </w:rPr>
      </w:pPr>
    </w:p>
    <w:p w14:paraId="7375B6A5" w14:textId="77777777" w:rsidR="00352D95" w:rsidRPr="00A1241A" w:rsidRDefault="00352D95" w:rsidP="00CA32A1">
      <w:pPr>
        <w:spacing w:line="360" w:lineRule="auto"/>
        <w:rPr>
          <w:rFonts w:ascii="Calibri" w:hAnsi="Calibri" w:cs="Calibri"/>
          <w:sz w:val="24"/>
          <w:szCs w:val="24"/>
        </w:rPr>
      </w:pPr>
    </w:p>
    <w:p w14:paraId="66E29B27" w14:textId="77777777" w:rsidR="00352D95" w:rsidRPr="00A1241A" w:rsidRDefault="00352D95" w:rsidP="00CA32A1">
      <w:pPr>
        <w:spacing w:line="360" w:lineRule="auto"/>
        <w:rPr>
          <w:rFonts w:ascii="Calibri" w:hAnsi="Calibri" w:cs="Calibri"/>
          <w:sz w:val="24"/>
          <w:szCs w:val="24"/>
        </w:rPr>
      </w:pPr>
    </w:p>
    <w:p w14:paraId="2377E73C" w14:textId="77777777" w:rsidR="00096DD4" w:rsidRPr="00A1241A" w:rsidRDefault="00096DD4" w:rsidP="00CA32A1">
      <w:pPr>
        <w:spacing w:line="360" w:lineRule="auto"/>
        <w:rPr>
          <w:rFonts w:ascii="Calibri" w:hAnsi="Calibri" w:cs="Calibri"/>
          <w:sz w:val="24"/>
          <w:szCs w:val="24"/>
        </w:rPr>
      </w:pPr>
    </w:p>
    <w:p w14:paraId="63CE0581" w14:textId="77777777" w:rsidR="00096DD4" w:rsidRPr="00A1241A" w:rsidRDefault="00096DD4" w:rsidP="00CA32A1">
      <w:pPr>
        <w:spacing w:line="360" w:lineRule="auto"/>
        <w:rPr>
          <w:rFonts w:ascii="Calibri" w:hAnsi="Calibri" w:cs="Calibri"/>
          <w:sz w:val="24"/>
          <w:szCs w:val="24"/>
        </w:rPr>
      </w:pPr>
    </w:p>
    <w:p w14:paraId="6E674AD4" w14:textId="77777777" w:rsidR="00096DD4" w:rsidRPr="00A1241A" w:rsidRDefault="00096DD4" w:rsidP="00CA32A1">
      <w:pPr>
        <w:spacing w:line="360" w:lineRule="auto"/>
        <w:rPr>
          <w:rFonts w:ascii="Calibri" w:hAnsi="Calibri" w:cs="Calibri"/>
          <w:sz w:val="24"/>
          <w:szCs w:val="24"/>
        </w:rPr>
      </w:pPr>
    </w:p>
    <w:p w14:paraId="10F00D46" w14:textId="77777777" w:rsidR="00222E65" w:rsidRPr="00A1241A" w:rsidRDefault="00222E65" w:rsidP="00CA32A1">
      <w:pPr>
        <w:spacing w:line="360" w:lineRule="auto"/>
        <w:rPr>
          <w:rFonts w:ascii="Calibri" w:hAnsi="Calibri" w:cs="Calibri"/>
          <w:sz w:val="24"/>
          <w:szCs w:val="24"/>
        </w:rPr>
      </w:pPr>
    </w:p>
    <w:p w14:paraId="745A8363" w14:textId="77777777" w:rsidR="00FD3D05" w:rsidRPr="00A1241A" w:rsidRDefault="00FD3D05" w:rsidP="00CA32A1">
      <w:pPr>
        <w:spacing w:line="360" w:lineRule="auto"/>
        <w:rPr>
          <w:rFonts w:ascii="Calibri" w:hAnsi="Calibri" w:cs="Calibri"/>
          <w:sz w:val="24"/>
          <w:szCs w:val="24"/>
        </w:rPr>
      </w:pPr>
    </w:p>
    <w:p w14:paraId="22D78600" w14:textId="2DD849D6" w:rsidR="002B1B69" w:rsidRPr="00A1241A" w:rsidRDefault="002B1B69" w:rsidP="00352D95">
      <w:pPr>
        <w:pStyle w:val="Heading2"/>
      </w:pPr>
      <w:bookmarkStart w:id="2" w:name="_Toc237895527"/>
      <w:r w:rsidRPr="00A1241A">
        <w:lastRenderedPageBreak/>
        <w:t>Part C: Project Management Plan</w:t>
      </w:r>
      <w:bookmarkEnd w:id="2"/>
      <w:r w:rsidRPr="00A1241A">
        <w:t xml:space="preserve"> </w:t>
      </w:r>
    </w:p>
    <w:p w14:paraId="413C8597" w14:textId="77777777" w:rsidR="002B1B69" w:rsidRPr="00A1241A" w:rsidRDefault="002B1B69" w:rsidP="00352D95">
      <w:pPr>
        <w:pStyle w:val="Heading3"/>
      </w:pPr>
      <w:bookmarkStart w:id="3" w:name="_Toc237895528"/>
      <w:r w:rsidRPr="00A1241A">
        <w:t>1. Introduction &amp; Executive Summary</w:t>
      </w:r>
      <w:bookmarkEnd w:id="3"/>
    </w:p>
    <w:p w14:paraId="49DDD8A8" w14:textId="77777777" w:rsidR="002B1B69" w:rsidRPr="00A1241A" w:rsidRDefault="002B1B69" w:rsidP="00352D95">
      <w:pPr>
        <w:pStyle w:val="Heading3"/>
      </w:pPr>
      <w:bookmarkStart w:id="4" w:name="_Toc237895529"/>
      <w:r w:rsidRPr="00A1241A">
        <w:t>1.1 The Context of Urban Transport Infrastructure</w:t>
      </w:r>
      <w:bookmarkEnd w:id="4"/>
    </w:p>
    <w:p w14:paraId="5ECD86F6"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Urban transport regeneration plays a pivotal role in enhancing regional economic productivity, cutting carbon emissions, and supporting long-term sustainable infrastructure development across the United Kingdom. As urban populations expand and daily commuting patterns evolve, legacy public transport interchanges face severe structural, technological, and operational strains. Aging rail and bus stations frequently suffer from chronic passenger overcrowding, outdated physical accessibility standards, inefficient multimodal transfer routes, and unsustainable operational energy demands.</w:t>
      </w:r>
    </w:p>
    <w:p w14:paraId="0DBF74B8"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Modernizing these critical infrastructure nodes requires far more than aesthetic refurbishment. It demands comprehensive civil engineering, digital integration, stakeholder alignment, and rigorous project governance. Transport hubs operate as high-density, real-time public utilities. Delivering major capital works within live, operating station environments requires structured project management frameworks that minimize service disruptions while maintaining safety standards.</w:t>
      </w:r>
    </w:p>
    <w:p w14:paraId="04ED7929"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This Project Management Plan (PMP) provides the operational baseline for delivering the Central Transport Hub Redevelopment Project. The core objective is to transform a constrained, legacy passenger station into an integrated, multi-modal transport hub designed to accommodate anticipated passenger volume growth over the next 50 years. This baseline establishes the project’s strategic alignment, scope boundaries, task structures, financial models, resource allocations, stakeholder communication strategies, and risk control mechanisms across all lifecycle phases.</w:t>
      </w:r>
    </w:p>
    <w:p w14:paraId="254DC3DB" w14:textId="77777777" w:rsidR="002B1B69" w:rsidRPr="00E54995" w:rsidRDefault="002B1B69" w:rsidP="00CA32A1">
      <w:pPr>
        <w:spacing w:line="360" w:lineRule="auto"/>
        <w:rPr>
          <w:rFonts w:ascii="Calibri" w:hAnsi="Calibri" w:cs="Calibri"/>
          <w:b/>
          <w:bCs/>
          <w:sz w:val="24"/>
          <w:szCs w:val="24"/>
        </w:rPr>
      </w:pPr>
      <w:r w:rsidRPr="00E54995">
        <w:rPr>
          <w:rFonts w:ascii="Calibri" w:hAnsi="Calibri" w:cs="Calibri"/>
          <w:b/>
          <w:bCs/>
          <w:sz w:val="24"/>
          <w:szCs w:val="24"/>
        </w:rPr>
        <w:t>1.2 Governance Framework &amp; Standards Alignment</w:t>
      </w:r>
    </w:p>
    <w:p w14:paraId="335F779C"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To ensure rigorous project controls, statutory compliance, and transparent delivery, this Project Management Plan aligns with established industry standards:</w:t>
      </w:r>
    </w:p>
    <w:p w14:paraId="707C6759" w14:textId="7418A5B4" w:rsidR="002B1B69" w:rsidRPr="00A1241A" w:rsidRDefault="002B1B69" w:rsidP="00CA32A1">
      <w:pPr>
        <w:numPr>
          <w:ilvl w:val="0"/>
          <w:numId w:val="26"/>
        </w:numPr>
        <w:spacing w:line="360" w:lineRule="auto"/>
        <w:rPr>
          <w:rFonts w:ascii="Calibri" w:hAnsi="Calibri" w:cs="Calibri"/>
          <w:sz w:val="24"/>
          <w:szCs w:val="24"/>
        </w:rPr>
      </w:pPr>
      <w:r w:rsidRPr="00B66624">
        <w:rPr>
          <w:rFonts w:ascii="Calibri" w:hAnsi="Calibri" w:cs="Calibri"/>
          <w:b/>
          <w:bCs/>
          <w:sz w:val="24"/>
          <w:szCs w:val="24"/>
        </w:rPr>
        <w:t xml:space="preserve">APM Body of </w:t>
      </w:r>
      <w:r w:rsidR="00352D95" w:rsidRPr="00B66624">
        <w:rPr>
          <w:rFonts w:ascii="Calibri" w:hAnsi="Calibri" w:cs="Calibri"/>
          <w:b/>
          <w:bCs/>
          <w:sz w:val="24"/>
          <w:szCs w:val="24"/>
        </w:rPr>
        <w:t>Knowledge</w:t>
      </w:r>
      <w:r w:rsidR="00352D95" w:rsidRPr="00A1241A">
        <w:rPr>
          <w:rFonts w:ascii="Calibri" w:hAnsi="Calibri" w:cs="Calibri"/>
          <w:sz w:val="24"/>
          <w:szCs w:val="24"/>
        </w:rPr>
        <w:t>:</w:t>
      </w:r>
      <w:r w:rsidRPr="00A1241A">
        <w:rPr>
          <w:rFonts w:ascii="Calibri" w:hAnsi="Calibri" w:cs="Calibri"/>
          <w:sz w:val="24"/>
          <w:szCs w:val="24"/>
        </w:rPr>
        <w:t xml:space="preserve"> Providing the framework for structural life-cycle management, stakeholder engagement, governance, and resource optimization.</w:t>
      </w:r>
    </w:p>
    <w:p w14:paraId="6F95ACB4" w14:textId="77777777" w:rsidR="002B1B69" w:rsidRPr="00A1241A" w:rsidRDefault="002B1B69" w:rsidP="00CA32A1">
      <w:pPr>
        <w:numPr>
          <w:ilvl w:val="0"/>
          <w:numId w:val="26"/>
        </w:numPr>
        <w:spacing w:line="360" w:lineRule="auto"/>
        <w:rPr>
          <w:rFonts w:ascii="Calibri" w:hAnsi="Calibri" w:cs="Calibri"/>
          <w:sz w:val="24"/>
          <w:szCs w:val="24"/>
        </w:rPr>
      </w:pPr>
      <w:r w:rsidRPr="00B66624">
        <w:rPr>
          <w:rFonts w:ascii="Calibri" w:hAnsi="Calibri" w:cs="Calibri"/>
          <w:b/>
          <w:bCs/>
          <w:sz w:val="24"/>
          <w:szCs w:val="24"/>
        </w:rPr>
        <w:lastRenderedPageBreak/>
        <w:t>PMI PMBOK Guide (7th Edition)</w:t>
      </w:r>
      <w:r w:rsidRPr="00A1241A">
        <w:rPr>
          <w:rFonts w:ascii="Calibri" w:hAnsi="Calibri" w:cs="Calibri"/>
          <w:sz w:val="24"/>
          <w:szCs w:val="24"/>
        </w:rPr>
        <w:t>: Structuring performance domains including scope control, risk management, value delivery, and system integration.</w:t>
      </w:r>
    </w:p>
    <w:p w14:paraId="7D445022" w14:textId="77777777" w:rsidR="00792939" w:rsidRPr="00A1241A" w:rsidRDefault="002B1B69" w:rsidP="00CA32A1">
      <w:pPr>
        <w:numPr>
          <w:ilvl w:val="0"/>
          <w:numId w:val="26"/>
        </w:numPr>
        <w:spacing w:line="360" w:lineRule="auto"/>
        <w:rPr>
          <w:rFonts w:ascii="Calibri" w:hAnsi="Calibri" w:cs="Calibri"/>
          <w:sz w:val="24"/>
          <w:szCs w:val="24"/>
        </w:rPr>
      </w:pPr>
      <w:r w:rsidRPr="00B66624">
        <w:rPr>
          <w:rFonts w:ascii="Calibri" w:hAnsi="Calibri" w:cs="Calibri"/>
          <w:b/>
          <w:bCs/>
          <w:sz w:val="24"/>
          <w:szCs w:val="24"/>
        </w:rPr>
        <w:t>UK Treasury Green Book Standards:</w:t>
      </w:r>
      <w:r w:rsidRPr="00A1241A">
        <w:rPr>
          <w:rFonts w:ascii="Calibri" w:hAnsi="Calibri" w:cs="Calibri"/>
          <w:sz w:val="24"/>
          <w:szCs w:val="24"/>
        </w:rPr>
        <w:t xml:space="preserve"> Ensuring public expenditure delivers demonstrable Value for Money (</w:t>
      </w:r>
      <w:proofErr w:type="spellStart"/>
      <w:r w:rsidRPr="00A1241A">
        <w:rPr>
          <w:rFonts w:ascii="Calibri" w:hAnsi="Calibri" w:cs="Calibri"/>
          <w:sz w:val="24"/>
          <w:szCs w:val="24"/>
        </w:rPr>
        <w:t>VfM</w:t>
      </w:r>
      <w:proofErr w:type="spellEnd"/>
      <w:r w:rsidRPr="00A1241A">
        <w:rPr>
          <w:rFonts w:ascii="Calibri" w:hAnsi="Calibri" w:cs="Calibri"/>
          <w:sz w:val="24"/>
          <w:szCs w:val="24"/>
        </w:rPr>
        <w:t>), economic appraisal, and long-term social benefit.</w:t>
      </w:r>
    </w:p>
    <w:p w14:paraId="5C0F5A78" w14:textId="329AF20B" w:rsidR="002B1B69" w:rsidRPr="00A1241A" w:rsidRDefault="00792939" w:rsidP="00792939">
      <w:pPr>
        <w:spacing w:line="360" w:lineRule="auto"/>
        <w:ind w:left="360"/>
        <w:rPr>
          <w:rFonts w:ascii="Calibri" w:hAnsi="Calibri" w:cs="Calibri"/>
          <w:sz w:val="24"/>
          <w:szCs w:val="24"/>
        </w:rPr>
      </w:pPr>
      <w:r w:rsidRPr="00A1241A">
        <w:rPr>
          <w:noProof/>
        </w:rPr>
        <w:t xml:space="preserve"> </w:t>
      </w:r>
      <w:r w:rsidRPr="00A1241A">
        <w:rPr>
          <w:noProof/>
        </w:rPr>
        <w:drawing>
          <wp:inline distT="0" distB="0" distL="0" distR="0" wp14:anchorId="3D3DCFC2" wp14:editId="07581D55">
            <wp:extent cx="3505053" cy="1933432"/>
            <wp:effectExtent l="0" t="0" r="635" b="0"/>
            <wp:docPr id="31893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83857" name=""/>
                    <pic:cNvPicPr/>
                  </pic:nvPicPr>
                  <pic:blipFill>
                    <a:blip r:embed="rId12"/>
                    <a:stretch>
                      <a:fillRect/>
                    </a:stretch>
                  </pic:blipFill>
                  <pic:spPr>
                    <a:xfrm>
                      <a:off x="0" y="0"/>
                      <a:ext cx="3514491" cy="1938638"/>
                    </a:xfrm>
                    <a:prstGeom prst="rect">
                      <a:avLst/>
                    </a:prstGeom>
                  </pic:spPr>
                </pic:pic>
              </a:graphicData>
            </a:graphic>
          </wp:inline>
        </w:drawing>
      </w:r>
    </w:p>
    <w:p w14:paraId="1F7DB12D" w14:textId="77777777" w:rsidR="002B1B69" w:rsidRPr="00A1241A" w:rsidRDefault="002B1B69" w:rsidP="00CA32A1">
      <w:pPr>
        <w:pStyle w:val="NormalWeb"/>
        <w:numPr>
          <w:ilvl w:val="0"/>
          <w:numId w:val="26"/>
        </w:numPr>
        <w:spacing w:line="360" w:lineRule="auto"/>
        <w:rPr>
          <w:rFonts w:ascii="Calibri" w:hAnsi="Calibri" w:cs="Calibri"/>
        </w:rPr>
      </w:pPr>
      <w:r w:rsidRPr="00A1241A">
        <w:rPr>
          <w:rFonts w:ascii="Calibri" w:hAnsi="Calibri" w:cs="Calibri"/>
          <w:i/>
          <w:iCs/>
        </w:rPr>
        <w:t>Figure 1.1: Project Management Plan Framework Architecture.</w:t>
      </w:r>
    </w:p>
    <w:p w14:paraId="3402D215" w14:textId="4D9016E2" w:rsidR="002B1B69" w:rsidRPr="00A1241A" w:rsidRDefault="002B1B69" w:rsidP="00CA32A1">
      <w:pPr>
        <w:pStyle w:val="NormalWeb"/>
        <w:numPr>
          <w:ilvl w:val="0"/>
          <w:numId w:val="26"/>
        </w:numPr>
        <w:spacing w:line="360" w:lineRule="auto"/>
        <w:rPr>
          <w:rFonts w:ascii="Calibri" w:hAnsi="Calibri" w:cs="Calibri"/>
        </w:rPr>
      </w:pPr>
      <w:r w:rsidRPr="00A1241A">
        <w:rPr>
          <w:rFonts w:ascii="Calibri" w:hAnsi="Calibri" w:cs="Calibri"/>
        </w:rPr>
        <w:t>Figure 1.1 illustrates how overarching project strategy directly feeds into daily site operations, system integration, and risk control. Every individual work package remains explicitly mapped to broader strategic goals regarding regional connectivity, passenger through</w:t>
      </w:r>
      <w:r w:rsidR="00792939" w:rsidRPr="00A1241A">
        <w:rPr>
          <w:rFonts w:ascii="Calibri" w:hAnsi="Calibri" w:cs="Calibri"/>
        </w:rPr>
        <w:t>o</w:t>
      </w:r>
      <w:r w:rsidRPr="00A1241A">
        <w:rPr>
          <w:rFonts w:ascii="Calibri" w:hAnsi="Calibri" w:cs="Calibri"/>
        </w:rPr>
        <w:t>ut safety.</w:t>
      </w:r>
    </w:p>
    <w:p w14:paraId="091DD882" w14:textId="77777777" w:rsidR="002B1B69" w:rsidRPr="00A1241A" w:rsidRDefault="002B1B69" w:rsidP="00CA32A1">
      <w:pPr>
        <w:pStyle w:val="NormalWeb"/>
        <w:spacing w:line="360" w:lineRule="auto"/>
        <w:rPr>
          <w:rFonts w:ascii="Calibri" w:hAnsi="Calibri" w:cs="Calibri"/>
        </w:rPr>
      </w:pPr>
    </w:p>
    <w:p w14:paraId="38E59164" w14:textId="77777777" w:rsidR="002B1B69" w:rsidRPr="00A1241A" w:rsidRDefault="002B1B69" w:rsidP="00352D95">
      <w:pPr>
        <w:pStyle w:val="Heading2"/>
      </w:pPr>
      <w:bookmarkStart w:id="5" w:name="_Toc237895530"/>
      <w:r w:rsidRPr="00A1241A">
        <w:t>2. Project Rationale, Vision &amp; Strategic Objectives</w:t>
      </w:r>
      <w:bookmarkEnd w:id="5"/>
    </w:p>
    <w:p w14:paraId="5A078BDC" w14:textId="77777777" w:rsidR="002B1B69" w:rsidRPr="00A1241A" w:rsidRDefault="002B1B69" w:rsidP="00352D95">
      <w:pPr>
        <w:pStyle w:val="Heading2"/>
      </w:pPr>
      <w:bookmarkStart w:id="6" w:name="_Toc237895531"/>
      <w:r w:rsidRPr="00A1241A">
        <w:t>2.1 Operational Challenges of the Legacy Terminal</w:t>
      </w:r>
      <w:bookmarkEnd w:id="6"/>
    </w:p>
    <w:p w14:paraId="6E8D4B4A"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The Central Transport Hub is a primary regional transport interchange currently handling over 12 million passenger journeys annually. Rapid regional population growth and urban commercial development over the past decade have pushed passenger throughput past the terminal’s structural design capacity. Consequently, the station experiences critical operational vulnerabilities:</w:t>
      </w:r>
    </w:p>
    <w:p w14:paraId="15D1BB0A" w14:textId="77777777" w:rsidR="002B1B69" w:rsidRPr="00A1241A" w:rsidRDefault="002B1B69" w:rsidP="00CA32A1">
      <w:pPr>
        <w:numPr>
          <w:ilvl w:val="0"/>
          <w:numId w:val="27"/>
        </w:numPr>
        <w:spacing w:line="360" w:lineRule="auto"/>
        <w:rPr>
          <w:rFonts w:ascii="Calibri" w:hAnsi="Calibri" w:cs="Calibri"/>
          <w:sz w:val="24"/>
          <w:szCs w:val="24"/>
        </w:rPr>
      </w:pPr>
      <w:r w:rsidRPr="00A641F8">
        <w:rPr>
          <w:rFonts w:ascii="Calibri" w:hAnsi="Calibri" w:cs="Calibri"/>
          <w:b/>
          <w:bCs/>
          <w:sz w:val="24"/>
          <w:szCs w:val="24"/>
        </w:rPr>
        <w:t>Fragmented Transit Modes</w:t>
      </w:r>
      <w:r w:rsidRPr="00A1241A">
        <w:rPr>
          <w:rFonts w:ascii="Calibri" w:hAnsi="Calibri" w:cs="Calibri"/>
          <w:sz w:val="24"/>
          <w:szCs w:val="24"/>
        </w:rPr>
        <w:t>: Poor physical connectivity between rail platforms, local bus services, taxi ranks, and active travel routes leads to long transfer times for passengers.</w:t>
      </w:r>
    </w:p>
    <w:p w14:paraId="2A01287B" w14:textId="77777777" w:rsidR="002B1B69" w:rsidRPr="00A1241A" w:rsidRDefault="002B1B69" w:rsidP="00CA32A1">
      <w:pPr>
        <w:numPr>
          <w:ilvl w:val="0"/>
          <w:numId w:val="27"/>
        </w:numPr>
        <w:spacing w:line="360" w:lineRule="auto"/>
        <w:rPr>
          <w:rFonts w:ascii="Calibri" w:hAnsi="Calibri" w:cs="Calibri"/>
          <w:sz w:val="24"/>
          <w:szCs w:val="24"/>
        </w:rPr>
      </w:pPr>
      <w:r w:rsidRPr="00A641F8">
        <w:rPr>
          <w:rFonts w:ascii="Calibri" w:hAnsi="Calibri" w:cs="Calibri"/>
          <w:b/>
          <w:bCs/>
          <w:sz w:val="24"/>
          <w:szCs w:val="24"/>
        </w:rPr>
        <w:lastRenderedPageBreak/>
        <w:t>Accessibility Non-Compliance</w:t>
      </w:r>
      <w:r w:rsidRPr="00A1241A">
        <w:rPr>
          <w:rFonts w:ascii="Calibri" w:hAnsi="Calibri" w:cs="Calibri"/>
          <w:sz w:val="24"/>
          <w:szCs w:val="24"/>
        </w:rPr>
        <w:t>: Legacy station layouts lack step-free access across secondary platforms, failing modern accessibility standards set by the Equality Act 2010.</w:t>
      </w:r>
    </w:p>
    <w:p w14:paraId="097AB2DB" w14:textId="77777777" w:rsidR="002B1B69" w:rsidRPr="00A1241A" w:rsidRDefault="002B1B69" w:rsidP="00CA32A1">
      <w:pPr>
        <w:numPr>
          <w:ilvl w:val="0"/>
          <w:numId w:val="27"/>
        </w:numPr>
        <w:spacing w:line="360" w:lineRule="auto"/>
        <w:rPr>
          <w:rFonts w:ascii="Calibri" w:hAnsi="Calibri" w:cs="Calibri"/>
          <w:sz w:val="24"/>
          <w:szCs w:val="24"/>
        </w:rPr>
      </w:pPr>
      <w:r w:rsidRPr="00A641F8">
        <w:rPr>
          <w:rFonts w:ascii="Calibri" w:hAnsi="Calibri" w:cs="Calibri"/>
          <w:b/>
          <w:bCs/>
          <w:sz w:val="24"/>
          <w:szCs w:val="24"/>
        </w:rPr>
        <w:t>High Operational Carbon Intensity:</w:t>
      </w:r>
      <w:r w:rsidRPr="00A1241A">
        <w:rPr>
          <w:rFonts w:ascii="Calibri" w:hAnsi="Calibri" w:cs="Calibri"/>
          <w:sz w:val="24"/>
          <w:szCs w:val="24"/>
        </w:rPr>
        <w:t xml:space="preserve"> Aging, inefficient heating, ventilation, and lighting infrastructure generate high ongoing energy costs and carbon emissions.</w:t>
      </w:r>
    </w:p>
    <w:p w14:paraId="432C2991" w14:textId="77777777" w:rsidR="002B1B69" w:rsidRPr="00A1241A" w:rsidRDefault="002B1B69" w:rsidP="002C27FE">
      <w:pPr>
        <w:pStyle w:val="Heading3"/>
      </w:pPr>
      <w:bookmarkStart w:id="7" w:name="_Toc237895532"/>
      <w:r w:rsidRPr="00A1241A">
        <w:t>2.2 Project Vision &amp; Core Strategic Objectives</w:t>
      </w:r>
      <w:bookmarkEnd w:id="7"/>
    </w:p>
    <w:p w14:paraId="10436763" w14:textId="18B3073F"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 xml:space="preserve">The £15,000,000 Central Transport Hub Redevelopment Project addresses these challenges through a phased, 18-month execution lifecycle. The project converts an inefficient station into a low-carbon, accessible, multi-modal transport </w:t>
      </w:r>
      <w:r w:rsidR="00792939" w:rsidRPr="00A1241A">
        <w:rPr>
          <w:rFonts w:ascii="Calibri" w:hAnsi="Calibri" w:cs="Calibri"/>
          <w:sz w:val="24"/>
          <w:szCs w:val="24"/>
        </w:rPr>
        <w:t>centre</w:t>
      </w:r>
      <w:r w:rsidRPr="00A1241A">
        <w:rPr>
          <w:rFonts w:ascii="Calibri" w:hAnsi="Calibri" w:cs="Calibri"/>
          <w:sz w:val="24"/>
          <w:szCs w:val="24"/>
        </w:rPr>
        <w:t>.</w:t>
      </w:r>
    </w:p>
    <w:p w14:paraId="7E513EF7" w14:textId="33746231" w:rsidR="00792939" w:rsidRPr="00A1241A" w:rsidRDefault="00792939" w:rsidP="00CA32A1">
      <w:pPr>
        <w:spacing w:line="360" w:lineRule="auto"/>
        <w:rPr>
          <w:rFonts w:ascii="Calibri" w:hAnsi="Calibri" w:cs="Calibri"/>
          <w:sz w:val="24"/>
          <w:szCs w:val="24"/>
        </w:rPr>
      </w:pPr>
      <w:r w:rsidRPr="00A1241A">
        <w:rPr>
          <w:noProof/>
        </w:rPr>
        <w:drawing>
          <wp:inline distT="0" distB="0" distL="0" distR="0" wp14:anchorId="12E7D336" wp14:editId="67EEE1EA">
            <wp:extent cx="4267200" cy="1673950"/>
            <wp:effectExtent l="0" t="0" r="0" b="2540"/>
            <wp:docPr id="166317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77643" name=""/>
                    <pic:cNvPicPr/>
                  </pic:nvPicPr>
                  <pic:blipFill>
                    <a:blip r:embed="rId13"/>
                    <a:stretch>
                      <a:fillRect/>
                    </a:stretch>
                  </pic:blipFill>
                  <pic:spPr>
                    <a:xfrm>
                      <a:off x="0" y="0"/>
                      <a:ext cx="4281828" cy="1679688"/>
                    </a:xfrm>
                    <a:prstGeom prst="rect">
                      <a:avLst/>
                    </a:prstGeom>
                  </pic:spPr>
                </pic:pic>
              </a:graphicData>
            </a:graphic>
          </wp:inline>
        </w:drawing>
      </w:r>
    </w:p>
    <w:p w14:paraId="45B329C7"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i/>
          <w:iCs/>
          <w:sz w:val="24"/>
          <w:szCs w:val="24"/>
        </w:rPr>
        <w:t>Figure 2.1: Key Strategic Project Objectives.</w:t>
      </w:r>
    </w:p>
    <w:p w14:paraId="05569256" w14:textId="77777777" w:rsidR="002B1B69" w:rsidRPr="00B66624" w:rsidRDefault="002B1B69" w:rsidP="00CA32A1">
      <w:pPr>
        <w:spacing w:line="360" w:lineRule="auto"/>
        <w:rPr>
          <w:rFonts w:ascii="Calibri" w:hAnsi="Calibri" w:cs="Calibri"/>
          <w:b/>
          <w:bCs/>
          <w:sz w:val="24"/>
          <w:szCs w:val="24"/>
        </w:rPr>
      </w:pPr>
      <w:r w:rsidRPr="00B66624">
        <w:rPr>
          <w:rFonts w:ascii="Calibri" w:hAnsi="Calibri" w:cs="Calibri"/>
          <w:b/>
          <w:bCs/>
          <w:sz w:val="24"/>
          <w:szCs w:val="24"/>
        </w:rPr>
        <w:t>Detailed Breakdown of Core Objectives</w:t>
      </w:r>
    </w:p>
    <w:p w14:paraId="653894F4" w14:textId="6E923E73" w:rsidR="002B1B69" w:rsidRPr="00A641F8" w:rsidRDefault="002B1B69" w:rsidP="00A641F8">
      <w:pPr>
        <w:numPr>
          <w:ilvl w:val="0"/>
          <w:numId w:val="28"/>
        </w:numPr>
        <w:spacing w:line="360" w:lineRule="auto"/>
        <w:rPr>
          <w:rFonts w:ascii="Calibri" w:hAnsi="Calibri" w:cs="Calibri"/>
          <w:sz w:val="24"/>
          <w:szCs w:val="24"/>
        </w:rPr>
      </w:pPr>
      <w:r w:rsidRPr="00A641F8">
        <w:rPr>
          <w:rFonts w:ascii="Calibri" w:hAnsi="Calibri" w:cs="Calibri"/>
          <w:sz w:val="24"/>
          <w:szCs w:val="24"/>
        </w:rPr>
        <w:t>Capacity Expansion &amp; Flow Optimization: Expand effective concourse floor area by 1,200 square meters and increase automated ticket barrier capacity by 50%, raising overall hourly terminal throughput by 35% and reducing dwell times.</w:t>
      </w:r>
    </w:p>
    <w:p w14:paraId="18CADB6D" w14:textId="5DA8EFDF" w:rsidR="00191510" w:rsidRPr="008229BB" w:rsidRDefault="002B1B69" w:rsidP="00191510">
      <w:pPr>
        <w:numPr>
          <w:ilvl w:val="0"/>
          <w:numId w:val="28"/>
        </w:numPr>
        <w:spacing w:line="360" w:lineRule="auto"/>
        <w:rPr>
          <w:rFonts w:ascii="Calibri" w:hAnsi="Calibri" w:cs="Calibri"/>
          <w:sz w:val="24"/>
          <w:szCs w:val="24"/>
        </w:rPr>
      </w:pPr>
      <w:r w:rsidRPr="00A1241A">
        <w:rPr>
          <w:rFonts w:ascii="Calibri" w:hAnsi="Calibri" w:cs="Calibri"/>
          <w:sz w:val="24"/>
          <w:szCs w:val="24"/>
        </w:rPr>
        <w:t xml:space="preserve"> Multi-Modal Integration: Construct a new, covered 8-bay Bus Rapid Transit (BRT) terminal connected to the main concourse via a climate-controlled walkway, supported by a secure 200-space indoor active travel (cycling) hub.</w:t>
      </w:r>
    </w:p>
    <w:p w14:paraId="7E0BA481" w14:textId="4A48EC34" w:rsidR="002B1B69" w:rsidRDefault="002B1B69" w:rsidP="00CA32A1">
      <w:pPr>
        <w:numPr>
          <w:ilvl w:val="0"/>
          <w:numId w:val="28"/>
        </w:numPr>
        <w:spacing w:line="360" w:lineRule="auto"/>
        <w:rPr>
          <w:rFonts w:ascii="Calibri" w:hAnsi="Calibri" w:cs="Calibri"/>
          <w:sz w:val="24"/>
          <w:szCs w:val="24"/>
        </w:rPr>
      </w:pPr>
      <w:r w:rsidRPr="00A1241A">
        <w:rPr>
          <w:rFonts w:ascii="Calibri" w:hAnsi="Calibri" w:cs="Calibri"/>
          <w:sz w:val="24"/>
          <w:szCs w:val="24"/>
        </w:rPr>
        <w:t xml:space="preserve"> Decarbonization &amp; Sustainability: Integrate a </w:t>
      </w:r>
      <w:r w:rsidR="00A641F8" w:rsidRPr="00A1241A">
        <w:rPr>
          <w:rFonts w:ascii="Calibri" w:hAnsi="Calibri" w:cs="Calibri"/>
          <w:sz w:val="24"/>
          <w:szCs w:val="24"/>
        </w:rPr>
        <w:t>250-kW</w:t>
      </w:r>
      <w:r w:rsidRPr="00A1241A">
        <w:rPr>
          <w:rFonts w:ascii="Calibri" w:hAnsi="Calibri" w:cs="Calibri"/>
          <w:sz w:val="24"/>
          <w:szCs w:val="24"/>
        </w:rPr>
        <w:t xml:space="preserve"> rooftop solar PV array, rainwater harvesting systems, and a smart Building Management System (BMS) to cut operational facility carbon emissions by 30% within 12 months of project handover.</w:t>
      </w:r>
    </w:p>
    <w:p w14:paraId="6DD72498" w14:textId="77777777" w:rsidR="008229BB" w:rsidRPr="00A1241A" w:rsidRDefault="008229BB" w:rsidP="008229BB">
      <w:pPr>
        <w:spacing w:line="360" w:lineRule="auto"/>
        <w:ind w:left="720"/>
        <w:rPr>
          <w:rFonts w:ascii="Calibri" w:hAnsi="Calibri" w:cs="Calibri"/>
          <w:sz w:val="24"/>
          <w:szCs w:val="24"/>
        </w:rPr>
      </w:pPr>
    </w:p>
    <w:p w14:paraId="2E957810" w14:textId="77777777" w:rsidR="002B1B69" w:rsidRPr="00E54995" w:rsidRDefault="002B1B69" w:rsidP="00CA32A1">
      <w:pPr>
        <w:spacing w:line="360" w:lineRule="auto"/>
        <w:rPr>
          <w:rFonts w:ascii="Calibri" w:hAnsi="Calibri" w:cs="Calibri"/>
          <w:b/>
          <w:bCs/>
          <w:sz w:val="24"/>
          <w:szCs w:val="24"/>
        </w:rPr>
      </w:pPr>
      <w:r w:rsidRPr="00E54995">
        <w:rPr>
          <w:rFonts w:ascii="Calibri" w:hAnsi="Calibri" w:cs="Calibri"/>
          <w:b/>
          <w:bCs/>
          <w:sz w:val="24"/>
          <w:szCs w:val="24"/>
        </w:rPr>
        <w:lastRenderedPageBreak/>
        <w:t>2.3 Project Baseline Summary</w:t>
      </w:r>
    </w:p>
    <w:p w14:paraId="372BB6E9" w14:textId="77777777" w:rsidR="002B1B69" w:rsidRPr="00A1241A" w:rsidRDefault="002B1B69" w:rsidP="00CA32A1">
      <w:pPr>
        <w:numPr>
          <w:ilvl w:val="0"/>
          <w:numId w:val="29"/>
        </w:numPr>
        <w:spacing w:line="360" w:lineRule="auto"/>
        <w:rPr>
          <w:rFonts w:ascii="Calibri" w:hAnsi="Calibri" w:cs="Calibri"/>
          <w:sz w:val="24"/>
          <w:szCs w:val="24"/>
        </w:rPr>
      </w:pPr>
      <w:r w:rsidRPr="00A1241A">
        <w:rPr>
          <w:rFonts w:ascii="Calibri" w:hAnsi="Calibri" w:cs="Calibri"/>
          <w:sz w:val="24"/>
          <w:szCs w:val="24"/>
        </w:rPr>
        <w:t>Project Name: Central Transport Hub Redevelopment Project</w:t>
      </w:r>
    </w:p>
    <w:p w14:paraId="2314CBDB" w14:textId="77777777" w:rsidR="002B1B69" w:rsidRPr="00A1241A" w:rsidRDefault="002B1B69" w:rsidP="00CA32A1">
      <w:pPr>
        <w:numPr>
          <w:ilvl w:val="0"/>
          <w:numId w:val="29"/>
        </w:numPr>
        <w:spacing w:line="360" w:lineRule="auto"/>
        <w:rPr>
          <w:rFonts w:ascii="Calibri" w:hAnsi="Calibri" w:cs="Calibri"/>
          <w:sz w:val="24"/>
          <w:szCs w:val="24"/>
        </w:rPr>
      </w:pPr>
      <w:r w:rsidRPr="00A1241A">
        <w:rPr>
          <w:rFonts w:ascii="Calibri" w:hAnsi="Calibri" w:cs="Calibri"/>
          <w:sz w:val="24"/>
          <w:szCs w:val="24"/>
        </w:rPr>
        <w:t>Sponsoring Entities: Regional Transport Authority &amp; Department for Transport (DfT)</w:t>
      </w:r>
    </w:p>
    <w:p w14:paraId="6FDD67C6" w14:textId="77777777" w:rsidR="002B1B69" w:rsidRPr="00A1241A" w:rsidRDefault="002B1B69" w:rsidP="00CA32A1">
      <w:pPr>
        <w:numPr>
          <w:ilvl w:val="0"/>
          <w:numId w:val="29"/>
        </w:numPr>
        <w:spacing w:line="360" w:lineRule="auto"/>
        <w:rPr>
          <w:rFonts w:ascii="Calibri" w:hAnsi="Calibri" w:cs="Calibri"/>
          <w:sz w:val="24"/>
          <w:szCs w:val="24"/>
        </w:rPr>
      </w:pPr>
      <w:r w:rsidRPr="00A1241A">
        <w:rPr>
          <w:rFonts w:ascii="Calibri" w:hAnsi="Calibri" w:cs="Calibri"/>
          <w:sz w:val="24"/>
          <w:szCs w:val="24"/>
        </w:rPr>
        <w:t>Execution Duration: 18 Months (Phased Construction Model)</w:t>
      </w:r>
    </w:p>
    <w:p w14:paraId="1BE30141" w14:textId="77777777" w:rsidR="002B1B69" w:rsidRPr="00A1241A" w:rsidRDefault="002B1B69" w:rsidP="00CA32A1">
      <w:pPr>
        <w:numPr>
          <w:ilvl w:val="0"/>
          <w:numId w:val="29"/>
        </w:numPr>
        <w:spacing w:line="360" w:lineRule="auto"/>
        <w:rPr>
          <w:rFonts w:ascii="Calibri" w:hAnsi="Calibri" w:cs="Calibri"/>
          <w:sz w:val="24"/>
          <w:szCs w:val="24"/>
        </w:rPr>
      </w:pPr>
      <w:r w:rsidRPr="00A1241A">
        <w:rPr>
          <w:rFonts w:ascii="Calibri" w:hAnsi="Calibri" w:cs="Calibri"/>
          <w:sz w:val="24"/>
          <w:szCs w:val="24"/>
        </w:rPr>
        <w:t>Approved Capital Budget: £15,000,000</w:t>
      </w:r>
    </w:p>
    <w:p w14:paraId="32A6D50D" w14:textId="50B96478" w:rsidR="00B66624" w:rsidRPr="00EA7DD4" w:rsidRDefault="002B1B69" w:rsidP="00EA7DD4">
      <w:pPr>
        <w:numPr>
          <w:ilvl w:val="0"/>
          <w:numId w:val="29"/>
        </w:numPr>
        <w:spacing w:line="360" w:lineRule="auto"/>
        <w:rPr>
          <w:rFonts w:ascii="Calibri" w:hAnsi="Calibri" w:cs="Calibri"/>
          <w:sz w:val="24"/>
          <w:szCs w:val="24"/>
        </w:rPr>
      </w:pPr>
      <w:r w:rsidRPr="00A1241A">
        <w:rPr>
          <w:rFonts w:ascii="Calibri" w:hAnsi="Calibri" w:cs="Calibri"/>
          <w:sz w:val="24"/>
          <w:szCs w:val="24"/>
        </w:rPr>
        <w:t>Target Handover Date: Q1 2028</w:t>
      </w:r>
    </w:p>
    <w:p w14:paraId="5B6DC135" w14:textId="11B0472A" w:rsidR="002B1B69" w:rsidRPr="00B66624" w:rsidRDefault="002B1B69" w:rsidP="00B66624">
      <w:pPr>
        <w:spacing w:before="100" w:beforeAutospacing="1" w:after="100" w:afterAutospacing="1" w:line="360" w:lineRule="auto"/>
        <w:outlineLvl w:val="1"/>
        <w:rPr>
          <w:rFonts w:ascii="Calibri" w:eastAsia="Times New Roman" w:hAnsi="Calibri" w:cs="Calibri"/>
          <w:b/>
          <w:bCs/>
          <w:sz w:val="24"/>
          <w:szCs w:val="24"/>
          <w:lang w:eastAsia="en-GB"/>
        </w:rPr>
      </w:pPr>
      <w:bookmarkStart w:id="8" w:name="_Toc237895533"/>
      <w:r w:rsidRPr="00B66624">
        <w:rPr>
          <w:rFonts w:ascii="Calibri" w:eastAsia="Times New Roman" w:hAnsi="Calibri" w:cs="Calibri"/>
          <w:b/>
          <w:bCs/>
          <w:sz w:val="24"/>
          <w:szCs w:val="24"/>
          <w:lang w:eastAsia="en-GB"/>
        </w:rPr>
        <w:t>3. Detailed Scope Management</w:t>
      </w:r>
      <w:bookmarkEnd w:id="8"/>
    </w:p>
    <w:p w14:paraId="1C99F4C2" w14:textId="77777777" w:rsidR="002B1B69" w:rsidRPr="00E54995" w:rsidRDefault="002B1B69" w:rsidP="002C27FE">
      <w:pPr>
        <w:pStyle w:val="ListParagraph"/>
        <w:spacing w:before="100" w:beforeAutospacing="1" w:after="100" w:afterAutospacing="1" w:line="360" w:lineRule="auto"/>
        <w:outlineLvl w:val="2"/>
        <w:rPr>
          <w:rFonts w:ascii="Calibri" w:eastAsia="Times New Roman" w:hAnsi="Calibri" w:cs="Calibri"/>
          <w:b/>
          <w:bCs/>
          <w:sz w:val="24"/>
          <w:szCs w:val="24"/>
          <w:lang w:eastAsia="en-GB"/>
        </w:rPr>
      </w:pPr>
      <w:bookmarkStart w:id="9" w:name="_Toc237895534"/>
      <w:r w:rsidRPr="00E54995">
        <w:rPr>
          <w:rFonts w:ascii="Calibri" w:eastAsia="Times New Roman" w:hAnsi="Calibri" w:cs="Calibri"/>
          <w:b/>
          <w:bCs/>
          <w:sz w:val="24"/>
          <w:szCs w:val="24"/>
          <w:lang w:eastAsia="en-GB"/>
        </w:rPr>
        <w:t>3.1 In-Scope Deliverables Decomposition</w:t>
      </w:r>
      <w:bookmarkEnd w:id="9"/>
    </w:p>
    <w:p w14:paraId="594F7C89" w14:textId="77777777" w:rsidR="002B1B69" w:rsidRPr="00A1241A" w:rsidRDefault="002B1B69" w:rsidP="002C27FE">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Establishing clear scope boundaries prevents scope creep and ensures every work package remains aligned with baseline cost and schedule targets. The scope is categorized across five functional domains:</w:t>
      </w:r>
    </w:p>
    <w:p w14:paraId="2513C365" w14:textId="374559F4" w:rsidR="00792939" w:rsidRPr="00A1241A" w:rsidRDefault="00792939" w:rsidP="00792939">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noProof/>
        </w:rPr>
        <w:drawing>
          <wp:inline distT="0" distB="0" distL="0" distR="0" wp14:anchorId="7A98B8CF" wp14:editId="66400C85">
            <wp:extent cx="4221368" cy="1540043"/>
            <wp:effectExtent l="0" t="0" r="8255" b="3175"/>
            <wp:docPr id="1569345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45239" name=""/>
                    <pic:cNvPicPr/>
                  </pic:nvPicPr>
                  <pic:blipFill>
                    <a:blip r:embed="rId14"/>
                    <a:stretch>
                      <a:fillRect/>
                    </a:stretch>
                  </pic:blipFill>
                  <pic:spPr>
                    <a:xfrm>
                      <a:off x="0" y="0"/>
                      <a:ext cx="4239091" cy="1546509"/>
                    </a:xfrm>
                    <a:prstGeom prst="rect">
                      <a:avLst/>
                    </a:prstGeom>
                  </pic:spPr>
                </pic:pic>
              </a:graphicData>
            </a:graphic>
          </wp:inline>
        </w:drawing>
      </w:r>
    </w:p>
    <w:p w14:paraId="0E56A540" w14:textId="527FC0CA" w:rsidR="002C27FE" w:rsidRDefault="002B1B69" w:rsidP="00CA32A1">
      <w:pPr>
        <w:spacing w:line="360" w:lineRule="auto"/>
        <w:rPr>
          <w:rFonts w:ascii="Calibri" w:hAnsi="Calibri" w:cs="Calibri"/>
          <w:i/>
          <w:iCs/>
          <w:sz w:val="24"/>
          <w:szCs w:val="24"/>
        </w:rPr>
      </w:pPr>
      <w:r w:rsidRPr="00A1241A">
        <w:rPr>
          <w:rFonts w:ascii="Calibri" w:hAnsi="Calibri" w:cs="Calibri"/>
          <w:i/>
          <w:iCs/>
          <w:sz w:val="24"/>
          <w:szCs w:val="24"/>
        </w:rPr>
        <w:t>Figure 3.1: Scope Boundaries Summary.</w:t>
      </w:r>
    </w:p>
    <w:p w14:paraId="7A3E6F1E" w14:textId="77777777" w:rsidR="00B66624" w:rsidRDefault="00B66624" w:rsidP="00CA32A1">
      <w:pPr>
        <w:spacing w:line="360" w:lineRule="auto"/>
        <w:rPr>
          <w:rFonts w:ascii="Calibri" w:hAnsi="Calibri" w:cs="Calibri"/>
          <w:i/>
          <w:iCs/>
          <w:sz w:val="24"/>
          <w:szCs w:val="24"/>
        </w:rPr>
      </w:pPr>
    </w:p>
    <w:p w14:paraId="63FF2841" w14:textId="77777777" w:rsidR="00EA7DD4" w:rsidRDefault="00EA7DD4" w:rsidP="00CA32A1">
      <w:pPr>
        <w:spacing w:line="360" w:lineRule="auto"/>
        <w:rPr>
          <w:rFonts w:ascii="Calibri" w:hAnsi="Calibri" w:cs="Calibri"/>
          <w:i/>
          <w:iCs/>
          <w:sz w:val="24"/>
          <w:szCs w:val="24"/>
        </w:rPr>
      </w:pPr>
    </w:p>
    <w:p w14:paraId="4B4D2500" w14:textId="77777777" w:rsidR="009F057E" w:rsidRDefault="009F057E" w:rsidP="00CA32A1">
      <w:pPr>
        <w:spacing w:line="360" w:lineRule="auto"/>
        <w:rPr>
          <w:rFonts w:ascii="Calibri" w:hAnsi="Calibri" w:cs="Calibri"/>
          <w:i/>
          <w:iCs/>
          <w:sz w:val="24"/>
          <w:szCs w:val="24"/>
        </w:rPr>
      </w:pPr>
    </w:p>
    <w:p w14:paraId="042AC037" w14:textId="77777777" w:rsidR="009F057E" w:rsidRDefault="009F057E" w:rsidP="00CA32A1">
      <w:pPr>
        <w:spacing w:line="360" w:lineRule="auto"/>
        <w:rPr>
          <w:rFonts w:ascii="Calibri" w:hAnsi="Calibri" w:cs="Calibri"/>
          <w:i/>
          <w:iCs/>
          <w:sz w:val="24"/>
          <w:szCs w:val="24"/>
        </w:rPr>
      </w:pPr>
    </w:p>
    <w:p w14:paraId="229729C4" w14:textId="77777777" w:rsidR="009F057E" w:rsidRDefault="009F057E" w:rsidP="00CA32A1">
      <w:pPr>
        <w:spacing w:line="360" w:lineRule="auto"/>
        <w:rPr>
          <w:rFonts w:ascii="Calibri" w:hAnsi="Calibri" w:cs="Calibri"/>
          <w:i/>
          <w:iCs/>
          <w:sz w:val="24"/>
          <w:szCs w:val="24"/>
        </w:rPr>
      </w:pPr>
    </w:p>
    <w:p w14:paraId="4F6C0639" w14:textId="77777777" w:rsidR="00191510" w:rsidRDefault="00191510" w:rsidP="00CA32A1">
      <w:pPr>
        <w:spacing w:line="360" w:lineRule="auto"/>
        <w:rPr>
          <w:rFonts w:ascii="Calibri" w:hAnsi="Calibri" w:cs="Calibri"/>
          <w:i/>
          <w:iCs/>
          <w:sz w:val="24"/>
          <w:szCs w:val="24"/>
        </w:rPr>
      </w:pPr>
    </w:p>
    <w:p w14:paraId="3AC6FB07" w14:textId="77777777" w:rsidR="00191510" w:rsidRPr="00A1241A" w:rsidRDefault="00191510" w:rsidP="00CA32A1">
      <w:pPr>
        <w:spacing w:line="360" w:lineRule="auto"/>
        <w:rPr>
          <w:rFonts w:ascii="Calibri" w:hAnsi="Calibri" w:cs="Calibri"/>
          <w:i/>
          <w:iCs/>
          <w:sz w:val="24"/>
          <w:szCs w:val="24"/>
        </w:rPr>
      </w:pPr>
    </w:p>
    <w:p w14:paraId="6DED4217" w14:textId="77777777" w:rsidR="002B1B69" w:rsidRPr="00B66624" w:rsidRDefault="002B1B69" w:rsidP="00CA32A1">
      <w:pPr>
        <w:spacing w:line="360" w:lineRule="auto"/>
        <w:rPr>
          <w:rFonts w:ascii="Calibri" w:hAnsi="Calibri" w:cs="Calibri"/>
          <w:b/>
          <w:bCs/>
          <w:sz w:val="24"/>
          <w:szCs w:val="24"/>
        </w:rPr>
      </w:pPr>
      <w:r w:rsidRPr="00B66624">
        <w:rPr>
          <w:rFonts w:ascii="Calibri" w:hAnsi="Calibri" w:cs="Calibri"/>
          <w:b/>
          <w:bCs/>
          <w:sz w:val="24"/>
          <w:szCs w:val="24"/>
        </w:rPr>
        <w:lastRenderedPageBreak/>
        <w:t>1. Civil &amp; Structural Works</w:t>
      </w:r>
    </w:p>
    <w:p w14:paraId="420D65D0" w14:textId="77777777" w:rsidR="002B1B69" w:rsidRPr="00A1241A" w:rsidRDefault="002B1B69" w:rsidP="00CA32A1">
      <w:pPr>
        <w:numPr>
          <w:ilvl w:val="0"/>
          <w:numId w:val="30"/>
        </w:numPr>
        <w:spacing w:line="360" w:lineRule="auto"/>
        <w:rPr>
          <w:rFonts w:ascii="Calibri" w:hAnsi="Calibri" w:cs="Calibri"/>
          <w:sz w:val="24"/>
          <w:szCs w:val="24"/>
        </w:rPr>
      </w:pPr>
      <w:r w:rsidRPr="00A1241A">
        <w:rPr>
          <w:rFonts w:ascii="Calibri" w:hAnsi="Calibri" w:cs="Calibri"/>
          <w:sz w:val="24"/>
          <w:szCs w:val="24"/>
        </w:rPr>
        <w:t>Concourse Expansion: Structural expansion of the main concourse including foundation piling, steel frame erection, glazed curtain walling, acoustic ceiling installations, and new retail/ticketing hall layouts.</w:t>
      </w:r>
    </w:p>
    <w:p w14:paraId="1707C757" w14:textId="77777777" w:rsidR="002B1B69" w:rsidRPr="00A1241A" w:rsidRDefault="002B1B69" w:rsidP="00CA32A1">
      <w:pPr>
        <w:numPr>
          <w:ilvl w:val="0"/>
          <w:numId w:val="30"/>
        </w:numPr>
        <w:spacing w:line="360" w:lineRule="auto"/>
        <w:rPr>
          <w:rFonts w:ascii="Calibri" w:hAnsi="Calibri" w:cs="Calibri"/>
          <w:sz w:val="24"/>
          <w:szCs w:val="24"/>
        </w:rPr>
      </w:pPr>
      <w:r w:rsidRPr="00A1241A">
        <w:rPr>
          <w:rFonts w:ascii="Calibri" w:hAnsi="Calibri" w:cs="Calibri"/>
          <w:sz w:val="24"/>
          <w:szCs w:val="24"/>
        </w:rPr>
        <w:t>BRT Terminal Construction: Ground preparation, structural framing, roofing, and passenger shelter construction for an integrated 8-bay Bus Rapid Transit terminal and adjoining taxi rank.</w:t>
      </w:r>
    </w:p>
    <w:p w14:paraId="207701DD" w14:textId="77777777" w:rsidR="002B1B69" w:rsidRPr="00A1241A" w:rsidRDefault="002B1B69" w:rsidP="00CA32A1">
      <w:pPr>
        <w:numPr>
          <w:ilvl w:val="0"/>
          <w:numId w:val="30"/>
        </w:numPr>
        <w:spacing w:line="360" w:lineRule="auto"/>
        <w:rPr>
          <w:rFonts w:ascii="Calibri" w:hAnsi="Calibri" w:cs="Calibri"/>
          <w:sz w:val="24"/>
          <w:szCs w:val="24"/>
        </w:rPr>
      </w:pPr>
      <w:r w:rsidRPr="00A1241A">
        <w:rPr>
          <w:rFonts w:ascii="Calibri" w:hAnsi="Calibri" w:cs="Calibri"/>
          <w:sz w:val="24"/>
          <w:szCs w:val="24"/>
        </w:rPr>
        <w:t>Lift Shaft &amp; Vertical Transport Civil Works: Structural excavation, reinforced concrete pit lining, and structural framing for four new glass passenger lifts and replacement heavy-duty escalators.</w:t>
      </w:r>
    </w:p>
    <w:p w14:paraId="108F4A0A" w14:textId="77777777" w:rsidR="002B1B69" w:rsidRPr="00B66624" w:rsidRDefault="002B1B69" w:rsidP="00CA32A1">
      <w:pPr>
        <w:spacing w:line="360" w:lineRule="auto"/>
        <w:rPr>
          <w:rFonts w:ascii="Calibri" w:hAnsi="Calibri" w:cs="Calibri"/>
          <w:b/>
          <w:bCs/>
          <w:sz w:val="24"/>
          <w:szCs w:val="24"/>
        </w:rPr>
      </w:pPr>
      <w:r w:rsidRPr="00B66624">
        <w:rPr>
          <w:rFonts w:ascii="Calibri" w:hAnsi="Calibri" w:cs="Calibri"/>
          <w:b/>
          <w:bCs/>
          <w:sz w:val="24"/>
          <w:szCs w:val="24"/>
        </w:rPr>
        <w:t>2. Accessibility Infrastructure</w:t>
      </w:r>
    </w:p>
    <w:p w14:paraId="6418116F" w14:textId="77777777" w:rsidR="002B1B69" w:rsidRPr="00A1241A" w:rsidRDefault="002B1B69" w:rsidP="00CA32A1">
      <w:pPr>
        <w:numPr>
          <w:ilvl w:val="0"/>
          <w:numId w:val="31"/>
        </w:numPr>
        <w:spacing w:line="360" w:lineRule="auto"/>
        <w:rPr>
          <w:rFonts w:ascii="Calibri" w:hAnsi="Calibri" w:cs="Calibri"/>
          <w:sz w:val="24"/>
          <w:szCs w:val="24"/>
        </w:rPr>
      </w:pPr>
      <w:r w:rsidRPr="00A1241A">
        <w:rPr>
          <w:rFonts w:ascii="Calibri" w:hAnsi="Calibri" w:cs="Calibri"/>
          <w:sz w:val="24"/>
          <w:szCs w:val="24"/>
        </w:rPr>
        <w:t>Full platform retrofitting with continuous tactile warning surfaces.</w:t>
      </w:r>
    </w:p>
    <w:p w14:paraId="0A61CB2F" w14:textId="77777777" w:rsidR="002B1B69" w:rsidRPr="00A1241A" w:rsidRDefault="002B1B69" w:rsidP="00CA32A1">
      <w:pPr>
        <w:numPr>
          <w:ilvl w:val="0"/>
          <w:numId w:val="31"/>
        </w:numPr>
        <w:spacing w:line="360" w:lineRule="auto"/>
        <w:rPr>
          <w:rFonts w:ascii="Calibri" w:hAnsi="Calibri" w:cs="Calibri"/>
          <w:sz w:val="24"/>
          <w:szCs w:val="24"/>
        </w:rPr>
      </w:pPr>
      <w:r w:rsidRPr="00A1241A">
        <w:rPr>
          <w:rFonts w:ascii="Calibri" w:hAnsi="Calibri" w:cs="Calibri"/>
          <w:sz w:val="24"/>
          <w:szCs w:val="24"/>
        </w:rPr>
        <w:t>Installation of wide-aisle automated barrier gates for wheelchair users, strollers, and passengers with heavy luggage.</w:t>
      </w:r>
    </w:p>
    <w:p w14:paraId="64BC8737" w14:textId="77777777" w:rsidR="002B1B69" w:rsidRPr="00A1241A" w:rsidRDefault="002B1B69" w:rsidP="00CA32A1">
      <w:pPr>
        <w:numPr>
          <w:ilvl w:val="0"/>
          <w:numId w:val="31"/>
        </w:numPr>
        <w:spacing w:line="360" w:lineRule="auto"/>
        <w:rPr>
          <w:rFonts w:ascii="Calibri" w:hAnsi="Calibri" w:cs="Calibri"/>
          <w:sz w:val="24"/>
          <w:szCs w:val="24"/>
        </w:rPr>
      </w:pPr>
      <w:r w:rsidRPr="00A1241A">
        <w:rPr>
          <w:rFonts w:ascii="Calibri" w:hAnsi="Calibri" w:cs="Calibri"/>
          <w:sz w:val="24"/>
          <w:szCs w:val="24"/>
        </w:rPr>
        <w:t>Integrated hearing loops, high-contrast visual signage, and interactive digital information kiosks across all public areas.</w:t>
      </w:r>
    </w:p>
    <w:p w14:paraId="2F9C2B36" w14:textId="77777777" w:rsidR="002B1B69" w:rsidRPr="00B66624" w:rsidRDefault="002B1B69" w:rsidP="00CA32A1">
      <w:pPr>
        <w:spacing w:line="360" w:lineRule="auto"/>
        <w:rPr>
          <w:rFonts w:ascii="Calibri" w:hAnsi="Calibri" w:cs="Calibri"/>
          <w:b/>
          <w:bCs/>
          <w:sz w:val="24"/>
          <w:szCs w:val="24"/>
        </w:rPr>
      </w:pPr>
      <w:r w:rsidRPr="00B66624">
        <w:rPr>
          <w:rFonts w:ascii="Calibri" w:hAnsi="Calibri" w:cs="Calibri"/>
          <w:b/>
          <w:bCs/>
          <w:sz w:val="24"/>
          <w:szCs w:val="24"/>
        </w:rPr>
        <w:t>3. Technology, Security &amp; Systems Integration</w:t>
      </w:r>
    </w:p>
    <w:p w14:paraId="1532957B" w14:textId="77777777" w:rsidR="002B1B69" w:rsidRPr="00A1241A" w:rsidRDefault="002B1B69" w:rsidP="00CA32A1">
      <w:pPr>
        <w:numPr>
          <w:ilvl w:val="0"/>
          <w:numId w:val="32"/>
        </w:numPr>
        <w:spacing w:line="360" w:lineRule="auto"/>
        <w:rPr>
          <w:rFonts w:ascii="Calibri" w:hAnsi="Calibri" w:cs="Calibri"/>
          <w:sz w:val="24"/>
          <w:szCs w:val="24"/>
        </w:rPr>
      </w:pPr>
      <w:r w:rsidRPr="00A1241A">
        <w:rPr>
          <w:rFonts w:ascii="Calibri" w:hAnsi="Calibri" w:cs="Calibri"/>
          <w:sz w:val="24"/>
          <w:szCs w:val="24"/>
        </w:rPr>
        <w:t>Installation of high-brightness real-time passenger information displays (PID) linked directly to national rail and local bus schedule networks.</w:t>
      </w:r>
    </w:p>
    <w:p w14:paraId="509D4183" w14:textId="77777777" w:rsidR="002B1B69" w:rsidRPr="00A1241A" w:rsidRDefault="002B1B69" w:rsidP="00CA32A1">
      <w:pPr>
        <w:numPr>
          <w:ilvl w:val="0"/>
          <w:numId w:val="32"/>
        </w:numPr>
        <w:spacing w:line="360" w:lineRule="auto"/>
        <w:rPr>
          <w:rFonts w:ascii="Calibri" w:hAnsi="Calibri" w:cs="Calibri"/>
          <w:sz w:val="24"/>
          <w:szCs w:val="24"/>
        </w:rPr>
      </w:pPr>
      <w:r w:rsidRPr="00A1241A">
        <w:rPr>
          <w:rFonts w:ascii="Calibri" w:hAnsi="Calibri" w:cs="Calibri"/>
          <w:sz w:val="24"/>
          <w:szCs w:val="24"/>
        </w:rPr>
        <w:t>Deployment of contactless smart ticket barriers supporting mobile ticketing, bank cards, and regional transit smartcards.</w:t>
      </w:r>
    </w:p>
    <w:p w14:paraId="555EB7F9" w14:textId="77777777" w:rsidR="00A641F8" w:rsidRDefault="00A641F8" w:rsidP="00A641F8">
      <w:pPr>
        <w:spacing w:line="360" w:lineRule="auto"/>
        <w:rPr>
          <w:rFonts w:ascii="Calibri" w:hAnsi="Calibri" w:cs="Calibri"/>
          <w:sz w:val="24"/>
          <w:szCs w:val="24"/>
        </w:rPr>
      </w:pPr>
    </w:p>
    <w:p w14:paraId="59E73877" w14:textId="77777777" w:rsidR="00D86F9E" w:rsidRDefault="00D86F9E" w:rsidP="00A641F8">
      <w:pPr>
        <w:spacing w:line="360" w:lineRule="auto"/>
        <w:rPr>
          <w:rFonts w:ascii="Calibri" w:hAnsi="Calibri" w:cs="Calibri"/>
          <w:sz w:val="24"/>
          <w:szCs w:val="24"/>
        </w:rPr>
      </w:pPr>
    </w:p>
    <w:p w14:paraId="188792E4" w14:textId="77777777" w:rsidR="00D86F9E" w:rsidRDefault="00D86F9E" w:rsidP="00A641F8">
      <w:pPr>
        <w:spacing w:line="360" w:lineRule="auto"/>
        <w:rPr>
          <w:rFonts w:ascii="Calibri" w:hAnsi="Calibri" w:cs="Calibri"/>
          <w:sz w:val="24"/>
          <w:szCs w:val="24"/>
        </w:rPr>
      </w:pPr>
    </w:p>
    <w:p w14:paraId="6C56A2A8" w14:textId="77777777" w:rsidR="00A641F8" w:rsidRDefault="00A641F8" w:rsidP="00A641F8">
      <w:pPr>
        <w:spacing w:line="360" w:lineRule="auto"/>
        <w:rPr>
          <w:rFonts w:ascii="Calibri" w:hAnsi="Calibri" w:cs="Calibri"/>
          <w:sz w:val="24"/>
          <w:szCs w:val="24"/>
        </w:rPr>
      </w:pPr>
    </w:p>
    <w:p w14:paraId="318022A2" w14:textId="77777777" w:rsidR="00191510" w:rsidRPr="00A1241A" w:rsidRDefault="00191510" w:rsidP="00A641F8">
      <w:pPr>
        <w:spacing w:line="360" w:lineRule="auto"/>
        <w:rPr>
          <w:rFonts w:ascii="Calibri" w:hAnsi="Calibri" w:cs="Calibri"/>
          <w:sz w:val="24"/>
          <w:szCs w:val="24"/>
        </w:rPr>
      </w:pPr>
    </w:p>
    <w:p w14:paraId="2A6D7379" w14:textId="77777777" w:rsidR="002B1B69" w:rsidRPr="00B66624" w:rsidRDefault="002B1B69" w:rsidP="00CA32A1">
      <w:pPr>
        <w:spacing w:line="360" w:lineRule="auto"/>
        <w:rPr>
          <w:rFonts w:ascii="Calibri" w:hAnsi="Calibri" w:cs="Calibri"/>
          <w:b/>
          <w:bCs/>
          <w:sz w:val="24"/>
          <w:szCs w:val="24"/>
        </w:rPr>
      </w:pPr>
      <w:r w:rsidRPr="00B66624">
        <w:rPr>
          <w:rFonts w:ascii="Calibri" w:hAnsi="Calibri" w:cs="Calibri"/>
          <w:b/>
          <w:bCs/>
          <w:sz w:val="24"/>
          <w:szCs w:val="24"/>
        </w:rPr>
        <w:lastRenderedPageBreak/>
        <w:t>4. Sustainable Infrastructure &amp; Energy Systems</w:t>
      </w:r>
    </w:p>
    <w:p w14:paraId="43F3AEF1" w14:textId="56784BFD" w:rsidR="002B1B69" w:rsidRPr="00A1241A" w:rsidRDefault="002B1B69" w:rsidP="00CA32A1">
      <w:pPr>
        <w:numPr>
          <w:ilvl w:val="0"/>
          <w:numId w:val="33"/>
        </w:numPr>
        <w:spacing w:line="360" w:lineRule="auto"/>
        <w:rPr>
          <w:rFonts w:ascii="Calibri" w:hAnsi="Calibri" w:cs="Calibri"/>
          <w:sz w:val="24"/>
          <w:szCs w:val="24"/>
        </w:rPr>
      </w:pPr>
      <w:r w:rsidRPr="00A1241A">
        <w:rPr>
          <w:rFonts w:ascii="Calibri" w:hAnsi="Calibri" w:cs="Calibri"/>
          <w:sz w:val="24"/>
          <w:szCs w:val="24"/>
        </w:rPr>
        <w:t xml:space="preserve">Roof mounting, wiring, and grid integration of a </w:t>
      </w:r>
      <w:r w:rsidR="00B66624" w:rsidRPr="00A1241A">
        <w:rPr>
          <w:rFonts w:ascii="Calibri" w:hAnsi="Calibri" w:cs="Calibri"/>
          <w:sz w:val="24"/>
          <w:szCs w:val="24"/>
        </w:rPr>
        <w:t>250-kW</w:t>
      </w:r>
      <w:r w:rsidRPr="00A1241A">
        <w:rPr>
          <w:rFonts w:ascii="Calibri" w:hAnsi="Calibri" w:cs="Calibri"/>
          <w:sz w:val="24"/>
          <w:szCs w:val="24"/>
        </w:rPr>
        <w:t xml:space="preserve"> solar PV system.</w:t>
      </w:r>
    </w:p>
    <w:p w14:paraId="768B200D" w14:textId="77777777" w:rsidR="002B1B69" w:rsidRPr="00A1241A" w:rsidRDefault="002B1B69" w:rsidP="00CA32A1">
      <w:pPr>
        <w:numPr>
          <w:ilvl w:val="0"/>
          <w:numId w:val="33"/>
        </w:numPr>
        <w:spacing w:line="360" w:lineRule="auto"/>
        <w:rPr>
          <w:rFonts w:ascii="Calibri" w:hAnsi="Calibri" w:cs="Calibri"/>
          <w:sz w:val="24"/>
          <w:szCs w:val="24"/>
        </w:rPr>
      </w:pPr>
      <w:r w:rsidRPr="00A1241A">
        <w:rPr>
          <w:rFonts w:ascii="Calibri" w:hAnsi="Calibri" w:cs="Calibri"/>
          <w:sz w:val="24"/>
          <w:szCs w:val="24"/>
        </w:rPr>
        <w:t>Centralized Building Management System (BMS) installation for automated, daylight-harvesting LED lighting and climate control optimization.</w:t>
      </w:r>
    </w:p>
    <w:p w14:paraId="52597E05" w14:textId="42528F21" w:rsidR="002B1B69" w:rsidRPr="00A1241A" w:rsidRDefault="002B1B69" w:rsidP="00CA32A1">
      <w:pPr>
        <w:numPr>
          <w:ilvl w:val="0"/>
          <w:numId w:val="33"/>
        </w:numPr>
        <w:spacing w:line="360" w:lineRule="auto"/>
        <w:rPr>
          <w:rFonts w:ascii="Calibri" w:hAnsi="Calibri" w:cs="Calibri"/>
          <w:sz w:val="24"/>
          <w:szCs w:val="24"/>
        </w:rPr>
      </w:pPr>
      <w:r w:rsidRPr="00A1241A">
        <w:rPr>
          <w:rFonts w:ascii="Calibri" w:hAnsi="Calibri" w:cs="Calibri"/>
          <w:sz w:val="24"/>
          <w:szCs w:val="24"/>
        </w:rPr>
        <w:t xml:space="preserve">Rainwater harvesting tanks and </w:t>
      </w:r>
      <w:r w:rsidR="00096DD4" w:rsidRPr="00A1241A">
        <w:rPr>
          <w:rFonts w:ascii="Calibri" w:hAnsi="Calibri" w:cs="Calibri"/>
          <w:sz w:val="24"/>
          <w:szCs w:val="24"/>
        </w:rPr>
        <w:t>greywater</w:t>
      </w:r>
      <w:r w:rsidRPr="00A1241A">
        <w:rPr>
          <w:rFonts w:ascii="Calibri" w:hAnsi="Calibri" w:cs="Calibri"/>
          <w:sz w:val="24"/>
          <w:szCs w:val="24"/>
        </w:rPr>
        <w:t xml:space="preserve"> plumbing installation for terminal sanitation facilities.</w:t>
      </w:r>
    </w:p>
    <w:p w14:paraId="4E4463DA" w14:textId="77777777" w:rsidR="002B1B69" w:rsidRPr="00E54995" w:rsidRDefault="002B1B69" w:rsidP="00CA32A1">
      <w:pPr>
        <w:spacing w:line="360" w:lineRule="auto"/>
        <w:rPr>
          <w:rFonts w:ascii="Calibri" w:hAnsi="Calibri" w:cs="Calibri"/>
          <w:b/>
          <w:bCs/>
          <w:sz w:val="24"/>
          <w:szCs w:val="24"/>
        </w:rPr>
      </w:pPr>
      <w:r w:rsidRPr="00E54995">
        <w:rPr>
          <w:rFonts w:ascii="Calibri" w:hAnsi="Calibri" w:cs="Calibri"/>
          <w:b/>
          <w:bCs/>
          <w:sz w:val="24"/>
          <w:szCs w:val="24"/>
        </w:rPr>
        <w:t>3.2 Out-of-Scope Boundaries</w:t>
      </w:r>
    </w:p>
    <w:p w14:paraId="30B77A76" w14:textId="77777777"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To prevent cost inflation and operational disputes, the following items are explicitly excluded from the project baseline:</w:t>
      </w:r>
    </w:p>
    <w:p w14:paraId="09E1D9A9" w14:textId="7DD32C54" w:rsidR="002B1B69" w:rsidRPr="00A1241A" w:rsidRDefault="002B1B69" w:rsidP="00CA32A1">
      <w:pPr>
        <w:numPr>
          <w:ilvl w:val="0"/>
          <w:numId w:val="34"/>
        </w:numPr>
        <w:spacing w:line="360" w:lineRule="auto"/>
        <w:rPr>
          <w:rFonts w:ascii="Calibri" w:hAnsi="Calibri" w:cs="Calibri"/>
          <w:sz w:val="24"/>
          <w:szCs w:val="24"/>
        </w:rPr>
      </w:pPr>
      <w:r w:rsidRPr="00A1241A">
        <w:rPr>
          <w:rFonts w:ascii="Calibri" w:hAnsi="Calibri" w:cs="Calibri"/>
          <w:sz w:val="24"/>
          <w:szCs w:val="24"/>
        </w:rPr>
        <w:t xml:space="preserve">Track laying, ballast replacement, </w:t>
      </w:r>
      <w:r w:rsidR="00096DD4" w:rsidRPr="00A1241A">
        <w:rPr>
          <w:rFonts w:ascii="Calibri" w:hAnsi="Calibri" w:cs="Calibri"/>
          <w:sz w:val="24"/>
          <w:szCs w:val="24"/>
        </w:rPr>
        <w:t>signalling</w:t>
      </w:r>
      <w:r w:rsidRPr="00A1241A">
        <w:rPr>
          <w:rFonts w:ascii="Calibri" w:hAnsi="Calibri" w:cs="Calibri"/>
          <w:sz w:val="24"/>
          <w:szCs w:val="24"/>
        </w:rPr>
        <w:t xml:space="preserve"> upgrades, or overhead electrification works beyond the physical station perimeter wall.</w:t>
      </w:r>
    </w:p>
    <w:p w14:paraId="3867E53D" w14:textId="77777777" w:rsidR="002B1B69" w:rsidRPr="00A1241A" w:rsidRDefault="002B1B69" w:rsidP="00CA32A1">
      <w:pPr>
        <w:numPr>
          <w:ilvl w:val="0"/>
          <w:numId w:val="34"/>
        </w:numPr>
        <w:spacing w:line="360" w:lineRule="auto"/>
        <w:rPr>
          <w:rFonts w:ascii="Calibri" w:hAnsi="Calibri" w:cs="Calibri"/>
          <w:sz w:val="24"/>
          <w:szCs w:val="24"/>
        </w:rPr>
      </w:pPr>
      <w:r w:rsidRPr="00A1241A">
        <w:rPr>
          <w:rFonts w:ascii="Calibri" w:hAnsi="Calibri" w:cs="Calibri"/>
          <w:sz w:val="24"/>
          <w:szCs w:val="24"/>
        </w:rPr>
        <w:t>Private commercial, hotel, or residential real estate developments on adjoining municipal lands.</w:t>
      </w:r>
    </w:p>
    <w:p w14:paraId="04D21B86" w14:textId="77777777" w:rsidR="002B1B69" w:rsidRPr="00A1241A" w:rsidRDefault="002B1B69" w:rsidP="00CA32A1">
      <w:pPr>
        <w:numPr>
          <w:ilvl w:val="0"/>
          <w:numId w:val="34"/>
        </w:numPr>
        <w:spacing w:line="360" w:lineRule="auto"/>
        <w:rPr>
          <w:rFonts w:ascii="Calibri" w:hAnsi="Calibri" w:cs="Calibri"/>
          <w:sz w:val="24"/>
          <w:szCs w:val="24"/>
        </w:rPr>
      </w:pPr>
      <w:r w:rsidRPr="00A1241A">
        <w:rPr>
          <w:rFonts w:ascii="Calibri" w:hAnsi="Calibri" w:cs="Calibri"/>
          <w:sz w:val="24"/>
          <w:szCs w:val="24"/>
        </w:rPr>
        <w:t>Operational transit staffing, vehicle maintenance, route scheduling, or conductor employment for participating transit operators.</w:t>
      </w:r>
    </w:p>
    <w:p w14:paraId="5D0AE84D" w14:textId="77777777" w:rsidR="002B1B69" w:rsidRDefault="002B1B69" w:rsidP="00CA32A1">
      <w:pPr>
        <w:numPr>
          <w:ilvl w:val="0"/>
          <w:numId w:val="34"/>
        </w:numPr>
        <w:spacing w:line="360" w:lineRule="auto"/>
        <w:rPr>
          <w:rFonts w:ascii="Calibri" w:hAnsi="Calibri" w:cs="Calibri"/>
          <w:sz w:val="24"/>
          <w:szCs w:val="24"/>
        </w:rPr>
      </w:pPr>
      <w:r w:rsidRPr="00A1241A">
        <w:rPr>
          <w:rFonts w:ascii="Calibri" w:hAnsi="Calibri" w:cs="Calibri"/>
          <w:sz w:val="24"/>
          <w:szCs w:val="24"/>
        </w:rPr>
        <w:t>Post-handover long-term janitorial operations, physical security staffing, and routine facility maintenance beyond the 12-month post-completion warranty period.</w:t>
      </w:r>
    </w:p>
    <w:p w14:paraId="277B8210" w14:textId="77777777" w:rsidR="001645B5" w:rsidRDefault="001645B5" w:rsidP="001645B5">
      <w:pPr>
        <w:spacing w:line="360" w:lineRule="auto"/>
        <w:rPr>
          <w:rFonts w:ascii="Calibri" w:hAnsi="Calibri" w:cs="Calibri"/>
          <w:sz w:val="24"/>
          <w:szCs w:val="24"/>
        </w:rPr>
      </w:pPr>
    </w:p>
    <w:p w14:paraId="162585D9" w14:textId="77777777" w:rsidR="001645B5" w:rsidRDefault="001645B5" w:rsidP="001645B5">
      <w:pPr>
        <w:spacing w:line="360" w:lineRule="auto"/>
        <w:rPr>
          <w:rFonts w:ascii="Calibri" w:hAnsi="Calibri" w:cs="Calibri"/>
          <w:sz w:val="24"/>
          <w:szCs w:val="24"/>
        </w:rPr>
      </w:pPr>
    </w:p>
    <w:p w14:paraId="4EEAC3E6" w14:textId="77777777" w:rsidR="00191510" w:rsidRDefault="00191510" w:rsidP="001645B5">
      <w:pPr>
        <w:spacing w:line="360" w:lineRule="auto"/>
        <w:rPr>
          <w:rFonts w:ascii="Calibri" w:hAnsi="Calibri" w:cs="Calibri"/>
          <w:sz w:val="24"/>
          <w:szCs w:val="24"/>
        </w:rPr>
      </w:pPr>
    </w:p>
    <w:p w14:paraId="39F80B5C" w14:textId="77777777" w:rsidR="00D86F9E" w:rsidRDefault="00D86F9E" w:rsidP="001645B5">
      <w:pPr>
        <w:spacing w:line="360" w:lineRule="auto"/>
        <w:rPr>
          <w:rFonts w:ascii="Calibri" w:hAnsi="Calibri" w:cs="Calibri"/>
          <w:sz w:val="24"/>
          <w:szCs w:val="24"/>
        </w:rPr>
      </w:pPr>
    </w:p>
    <w:p w14:paraId="3E20F52E" w14:textId="77777777" w:rsidR="00D86F9E" w:rsidRDefault="00D86F9E" w:rsidP="001645B5">
      <w:pPr>
        <w:spacing w:line="360" w:lineRule="auto"/>
        <w:rPr>
          <w:rFonts w:ascii="Calibri" w:hAnsi="Calibri" w:cs="Calibri"/>
          <w:sz w:val="24"/>
          <w:szCs w:val="24"/>
        </w:rPr>
      </w:pPr>
    </w:p>
    <w:p w14:paraId="46298189" w14:textId="77777777" w:rsidR="00191510" w:rsidRDefault="00191510" w:rsidP="001645B5">
      <w:pPr>
        <w:spacing w:line="360" w:lineRule="auto"/>
        <w:rPr>
          <w:rFonts w:ascii="Calibri" w:hAnsi="Calibri" w:cs="Calibri"/>
          <w:sz w:val="24"/>
          <w:szCs w:val="24"/>
        </w:rPr>
      </w:pPr>
    </w:p>
    <w:p w14:paraId="19E72456" w14:textId="77777777" w:rsidR="00191510" w:rsidRPr="00A1241A" w:rsidRDefault="00191510" w:rsidP="001645B5">
      <w:pPr>
        <w:spacing w:line="360" w:lineRule="auto"/>
        <w:rPr>
          <w:rFonts w:ascii="Calibri" w:hAnsi="Calibri" w:cs="Calibri"/>
          <w:sz w:val="24"/>
          <w:szCs w:val="24"/>
        </w:rPr>
      </w:pPr>
    </w:p>
    <w:p w14:paraId="5363013E" w14:textId="77777777" w:rsidR="002B1B69" w:rsidRPr="00E54995" w:rsidRDefault="002B1B69" w:rsidP="00A641F8">
      <w:pPr>
        <w:pStyle w:val="Heading2"/>
        <w:rPr>
          <w:rFonts w:eastAsia="Times New Roman"/>
          <w:lang w:eastAsia="en-GB"/>
        </w:rPr>
      </w:pPr>
      <w:bookmarkStart w:id="10" w:name="_Toc237895535"/>
      <w:r w:rsidRPr="00E54995">
        <w:rPr>
          <w:rFonts w:eastAsia="Times New Roman"/>
          <w:lang w:eastAsia="en-GB"/>
        </w:rPr>
        <w:lastRenderedPageBreak/>
        <w:t>4. Work Breakdown Structure (WBS) &amp; Dictionary</w:t>
      </w:r>
      <w:bookmarkEnd w:id="10"/>
    </w:p>
    <w:p w14:paraId="18339AFE" w14:textId="77777777" w:rsidR="002B1B69" w:rsidRPr="00E54995" w:rsidRDefault="002B1B69" w:rsidP="00CA32A1">
      <w:pPr>
        <w:pStyle w:val="ListParagraph"/>
        <w:spacing w:before="100" w:beforeAutospacing="1" w:after="100" w:afterAutospacing="1" w:line="360" w:lineRule="auto"/>
        <w:outlineLvl w:val="2"/>
        <w:rPr>
          <w:rFonts w:ascii="Calibri" w:eastAsia="Times New Roman" w:hAnsi="Calibri" w:cs="Calibri"/>
          <w:b/>
          <w:bCs/>
          <w:sz w:val="24"/>
          <w:szCs w:val="24"/>
          <w:lang w:eastAsia="en-GB"/>
        </w:rPr>
      </w:pPr>
      <w:bookmarkStart w:id="11" w:name="_Toc237895536"/>
      <w:r w:rsidRPr="00E54995">
        <w:rPr>
          <w:rFonts w:ascii="Calibri" w:eastAsia="Times New Roman" w:hAnsi="Calibri" w:cs="Calibri"/>
          <w:b/>
          <w:bCs/>
          <w:sz w:val="24"/>
          <w:szCs w:val="24"/>
          <w:lang w:eastAsia="en-GB"/>
        </w:rPr>
        <w:t>4.1 Structural Decomposition Principles</w:t>
      </w:r>
      <w:bookmarkEnd w:id="11"/>
    </w:p>
    <w:p w14:paraId="476BE398" w14:textId="66CC1E35" w:rsidR="002B1B69" w:rsidRDefault="002B1B69" w:rsidP="001645B5">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The Work Breakdown Structure (WBS) is a deliverable-oriented hierarchical decomposition of the total scope of work to be carried out by the project team. Following the 100% Rule established by the Project Management Institute (PMI), the WBS encompasses 100% of the work defined by the project scope, capturing all internal, external, and interim deliverables required for project completion.</w:t>
      </w:r>
    </w:p>
    <w:p w14:paraId="571A7E7C" w14:textId="77777777" w:rsidR="001645B5" w:rsidRPr="001645B5" w:rsidRDefault="001645B5" w:rsidP="001645B5">
      <w:pPr>
        <w:pStyle w:val="ListParagraph"/>
        <w:spacing w:before="100" w:beforeAutospacing="1" w:after="100" w:afterAutospacing="1" w:line="360" w:lineRule="auto"/>
        <w:rPr>
          <w:rFonts w:ascii="Calibri" w:eastAsia="Times New Roman" w:hAnsi="Calibri" w:cs="Calibri"/>
          <w:sz w:val="24"/>
          <w:szCs w:val="24"/>
          <w:lang w:eastAsia="en-GB"/>
        </w:rPr>
      </w:pPr>
    </w:p>
    <w:p w14:paraId="043B3E81" w14:textId="77777777" w:rsidR="002B1B69" w:rsidRPr="00A1241A" w:rsidRDefault="002B1B69" w:rsidP="00CA32A1">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To ensure operational clarity and prevent overlap, the project is structured down to Level 3 Work Packages. Each individual work package represents a discrete block of work that can be scheduled, cost-estimated, monitored, and assigned to a specific organizational lead.</w:t>
      </w:r>
    </w:p>
    <w:p w14:paraId="375E7DB5" w14:textId="545DFD8E" w:rsidR="002C27FE" w:rsidRPr="00A1241A" w:rsidRDefault="002C27FE" w:rsidP="00CA32A1">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noProof/>
        </w:rPr>
        <w:drawing>
          <wp:inline distT="0" distB="0" distL="0" distR="0" wp14:anchorId="34D51EBB" wp14:editId="5FB947AA">
            <wp:extent cx="4281913" cy="2117558"/>
            <wp:effectExtent l="0" t="0" r="4445" b="0"/>
            <wp:docPr id="921874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74503" name=""/>
                    <pic:cNvPicPr/>
                  </pic:nvPicPr>
                  <pic:blipFill>
                    <a:blip r:embed="rId15"/>
                    <a:stretch>
                      <a:fillRect/>
                    </a:stretch>
                  </pic:blipFill>
                  <pic:spPr>
                    <a:xfrm>
                      <a:off x="0" y="0"/>
                      <a:ext cx="4294026" cy="2123548"/>
                    </a:xfrm>
                    <a:prstGeom prst="rect">
                      <a:avLst/>
                    </a:prstGeom>
                  </pic:spPr>
                </pic:pic>
              </a:graphicData>
            </a:graphic>
          </wp:inline>
        </w:drawing>
      </w:r>
    </w:p>
    <w:p w14:paraId="16FA68E6" w14:textId="516AC78A" w:rsidR="002B1B69" w:rsidRPr="00A1241A" w:rsidRDefault="002B1B69" w:rsidP="00CA32A1">
      <w:pPr>
        <w:spacing w:line="360" w:lineRule="auto"/>
        <w:rPr>
          <w:rFonts w:ascii="Calibri" w:hAnsi="Calibri" w:cs="Calibri"/>
          <w:sz w:val="24"/>
          <w:szCs w:val="24"/>
        </w:rPr>
      </w:pPr>
      <w:r w:rsidRPr="00A1241A">
        <w:rPr>
          <w:rFonts w:ascii="Calibri" w:hAnsi="Calibri" w:cs="Calibri"/>
          <w:sz w:val="24"/>
          <w:szCs w:val="24"/>
        </w:rPr>
        <w:t>Figure 4.1: Comprehensive Level 3 Work Breakdown Structure (WBS).</w:t>
      </w:r>
    </w:p>
    <w:p w14:paraId="63FEE8D0" w14:textId="77777777" w:rsidR="002C27FE" w:rsidRDefault="002C27FE" w:rsidP="00CA32A1">
      <w:pPr>
        <w:spacing w:line="360" w:lineRule="auto"/>
        <w:rPr>
          <w:rFonts w:ascii="Calibri" w:hAnsi="Calibri" w:cs="Calibri"/>
          <w:sz w:val="24"/>
          <w:szCs w:val="24"/>
        </w:rPr>
      </w:pPr>
    </w:p>
    <w:p w14:paraId="4DA9D689" w14:textId="77777777" w:rsidR="001645B5" w:rsidRDefault="001645B5" w:rsidP="00CA32A1">
      <w:pPr>
        <w:spacing w:line="360" w:lineRule="auto"/>
        <w:rPr>
          <w:rFonts w:ascii="Calibri" w:hAnsi="Calibri" w:cs="Calibri"/>
          <w:sz w:val="24"/>
          <w:szCs w:val="24"/>
        </w:rPr>
      </w:pPr>
    </w:p>
    <w:p w14:paraId="74E1543C" w14:textId="77777777" w:rsidR="001645B5" w:rsidRDefault="001645B5" w:rsidP="00CA32A1">
      <w:pPr>
        <w:spacing w:line="360" w:lineRule="auto"/>
        <w:rPr>
          <w:rFonts w:ascii="Calibri" w:hAnsi="Calibri" w:cs="Calibri"/>
          <w:sz w:val="24"/>
          <w:szCs w:val="24"/>
        </w:rPr>
      </w:pPr>
    </w:p>
    <w:p w14:paraId="24EA87A3" w14:textId="77777777" w:rsidR="00A641F8" w:rsidRDefault="00A641F8" w:rsidP="00CA32A1">
      <w:pPr>
        <w:spacing w:line="360" w:lineRule="auto"/>
        <w:rPr>
          <w:rFonts w:ascii="Calibri" w:hAnsi="Calibri" w:cs="Calibri"/>
          <w:sz w:val="24"/>
          <w:szCs w:val="24"/>
        </w:rPr>
      </w:pPr>
    </w:p>
    <w:p w14:paraId="586BF1DB" w14:textId="77777777" w:rsidR="00A641F8" w:rsidRDefault="00A641F8" w:rsidP="00CA32A1">
      <w:pPr>
        <w:spacing w:line="360" w:lineRule="auto"/>
        <w:rPr>
          <w:rFonts w:ascii="Calibri" w:hAnsi="Calibri" w:cs="Calibri"/>
          <w:sz w:val="24"/>
          <w:szCs w:val="24"/>
        </w:rPr>
      </w:pPr>
    </w:p>
    <w:p w14:paraId="18E84A4A" w14:textId="77777777" w:rsidR="001645B5" w:rsidRDefault="001645B5" w:rsidP="00CA32A1">
      <w:pPr>
        <w:spacing w:line="360" w:lineRule="auto"/>
        <w:rPr>
          <w:rFonts w:ascii="Calibri" w:hAnsi="Calibri" w:cs="Calibri"/>
          <w:sz w:val="24"/>
          <w:szCs w:val="24"/>
        </w:rPr>
      </w:pPr>
    </w:p>
    <w:p w14:paraId="4D7341A3" w14:textId="77777777" w:rsidR="001645B5" w:rsidRPr="00A1241A" w:rsidRDefault="001645B5" w:rsidP="00CA32A1">
      <w:pPr>
        <w:spacing w:line="360" w:lineRule="auto"/>
        <w:rPr>
          <w:rFonts w:ascii="Calibri" w:hAnsi="Calibri" w:cs="Calibri"/>
          <w:sz w:val="24"/>
          <w:szCs w:val="24"/>
        </w:rPr>
      </w:pPr>
    </w:p>
    <w:p w14:paraId="41C38A92" w14:textId="77777777" w:rsidR="00CA32A1" w:rsidRPr="00E54995" w:rsidRDefault="00CA32A1" w:rsidP="00A641F8">
      <w:pPr>
        <w:pStyle w:val="Heading2"/>
      </w:pPr>
      <w:bookmarkStart w:id="12" w:name="_Toc237895537"/>
      <w:r w:rsidRPr="00E54995">
        <w:lastRenderedPageBreak/>
        <w:t>5. Expanded Strategic Quad Chart Execution Matrix</w:t>
      </w:r>
      <w:bookmarkEnd w:id="12"/>
    </w:p>
    <w:p w14:paraId="05A7ED4B" w14:textId="77777777" w:rsidR="00CA32A1"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A Quad Chart serves as an executive reporting mechanism, consolidating strategic drivers, deliverable boundaries, financial allocations, critical risks, and project milestones into a structured framework for steering committees and funding bodies.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45"/>
        <w:gridCol w:w="4765"/>
      </w:tblGrid>
      <w:tr w:rsidR="002C27FE" w:rsidRPr="00A1241A" w14:paraId="141DCFCD" w14:textId="77777777" w:rsidTr="002C27FE">
        <w:trPr>
          <w:tblHeader/>
          <w:tblCellSpacing w:w="15" w:type="dxa"/>
        </w:trPr>
        <w:tc>
          <w:tcPr>
            <w:tcW w:w="420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9033E6"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1. Strategic Rationale &amp; Business Objectives</w:t>
            </w:r>
          </w:p>
        </w:tc>
        <w:tc>
          <w:tcPr>
            <w:tcW w:w="47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23C3DD"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2. Detailed Scope &amp; Key Deliverables</w:t>
            </w:r>
          </w:p>
        </w:tc>
      </w:tr>
      <w:tr w:rsidR="002C27FE" w:rsidRPr="00A1241A" w14:paraId="69CC92A1" w14:textId="77777777" w:rsidTr="002C27FE">
        <w:trPr>
          <w:tblCellSpacing w:w="15" w:type="dxa"/>
        </w:trPr>
        <w:tc>
          <w:tcPr>
            <w:tcW w:w="420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B9AF22"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Transform legacy transit node to support regional economic growth.</w:t>
            </w:r>
          </w:p>
          <w:p w14:paraId="2C808604"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59A2190C"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Increase hourly peak passenger capacity by 35% across all platforms.</w:t>
            </w:r>
          </w:p>
          <w:p w14:paraId="3AA7DA25"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54688FC9"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Reduce facility operational carbon footprint by 30% within 12 months.</w:t>
            </w:r>
          </w:p>
          <w:p w14:paraId="4A6103C3"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06DA1F58"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Construct a seamless multi-modal connection (Rail, BRT, Active Travel).</w:t>
            </w:r>
          </w:p>
          <w:p w14:paraId="78F11BBA"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54C1A794"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Achieve 100% universal accessibility (Equality Act 2010 compliance).</w:t>
            </w:r>
          </w:p>
        </w:tc>
        <w:tc>
          <w:tcPr>
            <w:tcW w:w="47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46C018"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Extended concourse and modernized ticket hall layout (+1,200 m²).</w:t>
            </w:r>
          </w:p>
          <w:p w14:paraId="49441EB4"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555AABE4"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New integrated 8-bay Bus Rapid Transit (BRT) terminal &amp; taxi rank.</w:t>
            </w:r>
          </w:p>
          <w:p w14:paraId="12813521"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01DFEAAA"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Step-free access: 4 new heavy-duty glass lifts and energy-regenerative escalators.</w:t>
            </w:r>
          </w:p>
          <w:p w14:paraId="063A2DAA"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00F68531"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Rooftop 250 kW solar PV array and central Building Management System (BMS).</w:t>
            </w:r>
          </w:p>
          <w:p w14:paraId="0C605647"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66DA8FD3"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Real-time digital passenger displays and smart IP-CCTV security network.</w:t>
            </w:r>
          </w:p>
        </w:tc>
      </w:tr>
      <w:tr w:rsidR="002C27FE" w:rsidRPr="00A1241A" w14:paraId="54A0BA37" w14:textId="77777777" w:rsidTr="002C27FE">
        <w:trPr>
          <w:tblCellSpacing w:w="15" w:type="dxa"/>
        </w:trPr>
        <w:tc>
          <w:tcPr>
            <w:tcW w:w="420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2222E5"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lastRenderedPageBreak/>
              <w:t>3. Financial Allocation &amp; Resource Strategy</w:t>
            </w:r>
          </w:p>
        </w:tc>
        <w:tc>
          <w:tcPr>
            <w:tcW w:w="47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A1A76D"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4. Key Risk Governance &amp; Major Milestones</w:t>
            </w:r>
          </w:p>
        </w:tc>
      </w:tr>
      <w:tr w:rsidR="002C27FE" w:rsidRPr="00A1241A" w14:paraId="3807E67A" w14:textId="77777777" w:rsidTr="002C27FE">
        <w:trPr>
          <w:tblCellSpacing w:w="15" w:type="dxa"/>
        </w:trPr>
        <w:tc>
          <w:tcPr>
            <w:tcW w:w="420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14C3F9"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Total Approved Capital Budget: £15,000,000.</w:t>
            </w:r>
          </w:p>
          <w:p w14:paraId="78AEED49"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69D214CF"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Funding Architecture: 70% Regional Infrastructure Grant, 30% Local Government.</w:t>
            </w:r>
          </w:p>
          <w:p w14:paraId="3B753CD0"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1BAADBD2"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PMO Core Structure: Project Director, Senior PM, Lead Civil Engineer, Systems Lead, HSE Lead.</w:t>
            </w:r>
          </w:p>
          <w:p w14:paraId="04BFBC1E"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4AA0808C"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Contingency Reserve: £1,500,000 (10% retained risk buffer).</w:t>
            </w:r>
          </w:p>
          <w:p w14:paraId="0A7056CD"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12BEA515"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Supply Chain Model: Just-In-Time (JIT) off-site staging depot deliveries.</w:t>
            </w:r>
          </w:p>
        </w:tc>
        <w:tc>
          <w:tcPr>
            <w:tcW w:w="4720"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CFC95B"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Top Risk: Unmapped underground utility strikes during lift shaft excavation.</w:t>
            </w:r>
          </w:p>
          <w:p w14:paraId="5C6C80C6"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4995082B"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Milestone 1 (Month 4): Enabling Works &amp; Utility Scans Complete.</w:t>
            </w:r>
          </w:p>
          <w:p w14:paraId="75672419"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10E0C20E"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Milestone 2 (Month 10): Structural Frame &amp; Concourse Shell Complete.</w:t>
            </w:r>
          </w:p>
          <w:p w14:paraId="19814704"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0F8E1336"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Milestone 3 (Month 15): Systems Integration &amp; Solar Grid Tie-In Live.</w:t>
            </w:r>
          </w:p>
          <w:p w14:paraId="5883BF47"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br/>
            </w:r>
          </w:p>
          <w:p w14:paraId="514DFDA1" w14:textId="77777777" w:rsidR="002C27FE" w:rsidRPr="00A1241A" w:rsidRDefault="002C27FE" w:rsidP="002C27FE">
            <w:pPr>
              <w:spacing w:line="360" w:lineRule="auto"/>
              <w:rPr>
                <w:rFonts w:ascii="Calibri" w:hAnsi="Calibri" w:cs="Calibri"/>
                <w:sz w:val="24"/>
                <w:szCs w:val="24"/>
              </w:rPr>
            </w:pPr>
            <w:r w:rsidRPr="00A1241A">
              <w:rPr>
                <w:rFonts w:ascii="Calibri" w:hAnsi="Calibri" w:cs="Calibri"/>
                <w:sz w:val="24"/>
                <w:szCs w:val="24"/>
              </w:rPr>
              <w:t>• Milestone 4 (Month 18): Statutory Safety Certification &amp; Public Launch.</w:t>
            </w:r>
          </w:p>
        </w:tc>
      </w:tr>
    </w:tbl>
    <w:p w14:paraId="0C610F76" w14:textId="77777777" w:rsidR="00CA32A1" w:rsidRPr="00A1241A" w:rsidRDefault="00CA32A1" w:rsidP="00CA32A1">
      <w:pPr>
        <w:spacing w:line="360" w:lineRule="auto"/>
        <w:rPr>
          <w:rFonts w:ascii="Calibri" w:hAnsi="Calibri" w:cs="Calibri"/>
          <w:sz w:val="24"/>
          <w:szCs w:val="24"/>
        </w:rPr>
      </w:pPr>
    </w:p>
    <w:p w14:paraId="27643A54" w14:textId="77777777" w:rsidR="002B1B69" w:rsidRPr="00E54995" w:rsidRDefault="002B1B69" w:rsidP="003F599A">
      <w:pPr>
        <w:pStyle w:val="Heading2"/>
      </w:pPr>
      <w:bookmarkStart w:id="13" w:name="_Toc237895538"/>
      <w:r w:rsidRPr="00E54995">
        <w:lastRenderedPageBreak/>
        <w:t>6. Integrated Project Schedule &amp; Critical Path Analysis</w:t>
      </w:r>
      <w:bookmarkEnd w:id="13"/>
    </w:p>
    <w:p w14:paraId="4B1E808E" w14:textId="77777777" w:rsidR="002B1B69" w:rsidRPr="00E54995" w:rsidRDefault="002B1B69" w:rsidP="003F599A">
      <w:pPr>
        <w:pStyle w:val="Heading3"/>
      </w:pPr>
      <w:bookmarkStart w:id="14" w:name="_Toc237895539"/>
      <w:r w:rsidRPr="00E54995">
        <w:t>6.1 Master Schedule Architecture &amp; Phased Timeline</w:t>
      </w:r>
      <w:bookmarkEnd w:id="14"/>
    </w:p>
    <w:p w14:paraId="6C36B1D5" w14:textId="77777777" w:rsidR="002B1B69" w:rsidRDefault="002B1B69" w:rsidP="00CA32A1">
      <w:pPr>
        <w:spacing w:line="360" w:lineRule="auto"/>
        <w:rPr>
          <w:rFonts w:ascii="Calibri" w:hAnsi="Calibri" w:cs="Calibri"/>
          <w:sz w:val="24"/>
          <w:szCs w:val="24"/>
        </w:rPr>
      </w:pPr>
      <w:r w:rsidRPr="00A1241A">
        <w:rPr>
          <w:rFonts w:ascii="Calibri" w:hAnsi="Calibri" w:cs="Calibri"/>
          <w:sz w:val="24"/>
          <w:szCs w:val="24"/>
        </w:rPr>
        <w:t>Executing a major civil engineering project within a live, operating transport interchange requires careful scheduling. Construction, installation, and testing must be sequenced to prevent platform closures and protect passenger safety.</w:t>
      </w:r>
    </w:p>
    <w:p w14:paraId="751D90B6" w14:textId="1F0CD0A7" w:rsidR="00A1241A" w:rsidRPr="00A1241A" w:rsidRDefault="00A1241A" w:rsidP="00CA32A1">
      <w:pPr>
        <w:spacing w:line="360" w:lineRule="auto"/>
        <w:rPr>
          <w:rFonts w:ascii="Calibri" w:hAnsi="Calibri" w:cs="Calibri"/>
          <w:sz w:val="24"/>
          <w:szCs w:val="24"/>
        </w:rPr>
      </w:pPr>
      <w:r w:rsidRPr="00A1241A">
        <w:rPr>
          <w:noProof/>
        </w:rPr>
        <w:drawing>
          <wp:inline distT="0" distB="0" distL="0" distR="0" wp14:anchorId="49AD608C" wp14:editId="42B405A5">
            <wp:extent cx="4459705" cy="1185960"/>
            <wp:effectExtent l="0" t="0" r="0" b="0"/>
            <wp:docPr id="612557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57094" name=""/>
                    <pic:cNvPicPr/>
                  </pic:nvPicPr>
                  <pic:blipFill>
                    <a:blip r:embed="rId16"/>
                    <a:stretch>
                      <a:fillRect/>
                    </a:stretch>
                  </pic:blipFill>
                  <pic:spPr>
                    <a:xfrm>
                      <a:off x="0" y="0"/>
                      <a:ext cx="4490679" cy="1194197"/>
                    </a:xfrm>
                    <a:prstGeom prst="rect">
                      <a:avLst/>
                    </a:prstGeom>
                  </pic:spPr>
                </pic:pic>
              </a:graphicData>
            </a:graphic>
          </wp:inline>
        </w:drawing>
      </w:r>
    </w:p>
    <w:p w14:paraId="7904E476" w14:textId="375435B7" w:rsidR="00E54995" w:rsidRPr="00B66624" w:rsidRDefault="002B1B69" w:rsidP="00CA32A1">
      <w:pPr>
        <w:spacing w:line="360" w:lineRule="auto"/>
        <w:rPr>
          <w:rFonts w:ascii="Calibri" w:hAnsi="Calibri" w:cs="Calibri"/>
          <w:i/>
          <w:iCs/>
          <w:sz w:val="24"/>
          <w:szCs w:val="24"/>
        </w:rPr>
      </w:pPr>
      <w:r w:rsidRPr="00A1241A">
        <w:rPr>
          <w:rFonts w:ascii="Calibri" w:hAnsi="Calibri" w:cs="Calibri"/>
          <w:i/>
          <w:iCs/>
          <w:sz w:val="24"/>
          <w:szCs w:val="24"/>
        </w:rPr>
        <w:t>Figure 6.1: Operational Master Schedule Timeline.</w:t>
      </w:r>
    </w:p>
    <w:p w14:paraId="4062BAF9" w14:textId="77777777" w:rsidR="00E54995" w:rsidRPr="00A1241A" w:rsidRDefault="00E54995" w:rsidP="00CA32A1">
      <w:pPr>
        <w:spacing w:line="360" w:lineRule="auto"/>
        <w:rPr>
          <w:rFonts w:ascii="Calibri" w:hAnsi="Calibri" w:cs="Calibri"/>
          <w:sz w:val="24"/>
          <w:szCs w:val="24"/>
        </w:rPr>
      </w:pPr>
    </w:p>
    <w:p w14:paraId="45D050BA" w14:textId="77777777" w:rsidR="002B1B69" w:rsidRPr="00A1241A" w:rsidRDefault="002B1B69" w:rsidP="00CA32A1">
      <w:pPr>
        <w:spacing w:line="360" w:lineRule="auto"/>
        <w:rPr>
          <w:rFonts w:ascii="Calibri" w:hAnsi="Calibri" w:cs="Calibri"/>
          <w:b/>
          <w:bCs/>
          <w:sz w:val="24"/>
          <w:szCs w:val="24"/>
        </w:rPr>
      </w:pPr>
      <w:r w:rsidRPr="00A1241A">
        <w:rPr>
          <w:rFonts w:ascii="Calibri" w:hAnsi="Calibri" w:cs="Calibri"/>
          <w:b/>
          <w:bCs/>
          <w:sz w:val="24"/>
          <w:szCs w:val="24"/>
        </w:rPr>
        <w:t>Detailed Phase Breakdown</w:t>
      </w:r>
    </w:p>
    <w:p w14:paraId="63B5C729" w14:textId="77777777" w:rsidR="002B1B69" w:rsidRPr="00A1241A" w:rsidRDefault="002B1B69" w:rsidP="00CA32A1">
      <w:pPr>
        <w:numPr>
          <w:ilvl w:val="0"/>
          <w:numId w:val="36"/>
        </w:numPr>
        <w:spacing w:line="360" w:lineRule="auto"/>
        <w:rPr>
          <w:rFonts w:ascii="Calibri" w:hAnsi="Calibri" w:cs="Calibri"/>
          <w:sz w:val="24"/>
          <w:szCs w:val="24"/>
        </w:rPr>
      </w:pPr>
      <w:r w:rsidRPr="00A1241A">
        <w:rPr>
          <w:rFonts w:ascii="Calibri" w:hAnsi="Calibri" w:cs="Calibri"/>
          <w:sz w:val="24"/>
          <w:szCs w:val="24"/>
        </w:rPr>
        <w:t xml:space="preserve">Phase 1: Governance, BIM </w:t>
      </w:r>
      <w:proofErr w:type="spellStart"/>
      <w:r w:rsidRPr="00A1241A">
        <w:rPr>
          <w:rFonts w:ascii="Calibri" w:hAnsi="Calibri" w:cs="Calibri"/>
          <w:sz w:val="24"/>
          <w:szCs w:val="24"/>
        </w:rPr>
        <w:t>Modeling</w:t>
      </w:r>
      <w:proofErr w:type="spellEnd"/>
      <w:r w:rsidRPr="00A1241A">
        <w:rPr>
          <w:rFonts w:ascii="Calibri" w:hAnsi="Calibri" w:cs="Calibri"/>
          <w:sz w:val="24"/>
          <w:szCs w:val="24"/>
        </w:rPr>
        <w:t xml:space="preserve"> &amp; Procurement (Months 1–4): Securing statutory approvals, finalizing BIM models, executing supplier agreements, and establishing safety procedures.</w:t>
      </w:r>
    </w:p>
    <w:p w14:paraId="4FA656B2" w14:textId="77777777" w:rsidR="002B1B69" w:rsidRPr="00A1241A" w:rsidRDefault="002B1B69" w:rsidP="00CA32A1">
      <w:pPr>
        <w:numPr>
          <w:ilvl w:val="0"/>
          <w:numId w:val="36"/>
        </w:numPr>
        <w:spacing w:line="360" w:lineRule="auto"/>
        <w:rPr>
          <w:rFonts w:ascii="Calibri" w:hAnsi="Calibri" w:cs="Calibri"/>
          <w:sz w:val="24"/>
          <w:szCs w:val="24"/>
        </w:rPr>
      </w:pPr>
      <w:r w:rsidRPr="00A1241A">
        <w:rPr>
          <w:rFonts w:ascii="Calibri" w:hAnsi="Calibri" w:cs="Calibri"/>
          <w:sz w:val="24"/>
          <w:szCs w:val="24"/>
        </w:rPr>
        <w:t>Phase 2: Enabling Works, Utility Mapping &amp; Logistics (Months 3–6): Carrying out ground-penetrating radar scans, erecting acoustic protective hoardings, setting up temporary ticket booths, and establishing pedestrian routing pathways.</w:t>
      </w:r>
    </w:p>
    <w:p w14:paraId="3B58CC99" w14:textId="77777777" w:rsidR="002B1B69" w:rsidRPr="00A1241A" w:rsidRDefault="002B1B69" w:rsidP="00CA32A1">
      <w:pPr>
        <w:numPr>
          <w:ilvl w:val="0"/>
          <w:numId w:val="36"/>
        </w:numPr>
        <w:spacing w:line="360" w:lineRule="auto"/>
        <w:rPr>
          <w:rFonts w:ascii="Calibri" w:hAnsi="Calibri" w:cs="Calibri"/>
          <w:sz w:val="24"/>
          <w:szCs w:val="24"/>
        </w:rPr>
      </w:pPr>
      <w:r w:rsidRPr="00A1241A">
        <w:rPr>
          <w:rFonts w:ascii="Calibri" w:hAnsi="Calibri" w:cs="Calibri"/>
          <w:sz w:val="24"/>
          <w:szCs w:val="24"/>
        </w:rPr>
        <w:t>Phase 3: Civil Engineering &amp; Structural Construction (Months 5–12): Executing heavy construction work, including ground excavation, lift shaft concrete casting, concourse structural steel framing, and BRT terminal shelter erection.</w:t>
      </w:r>
    </w:p>
    <w:p w14:paraId="58ADCC91" w14:textId="6D648062" w:rsidR="002B1B69" w:rsidRPr="00A1241A" w:rsidRDefault="002B1B69" w:rsidP="00CA32A1">
      <w:pPr>
        <w:numPr>
          <w:ilvl w:val="0"/>
          <w:numId w:val="36"/>
        </w:numPr>
        <w:spacing w:line="360" w:lineRule="auto"/>
        <w:rPr>
          <w:rFonts w:ascii="Calibri" w:hAnsi="Calibri" w:cs="Calibri"/>
          <w:sz w:val="24"/>
          <w:szCs w:val="24"/>
        </w:rPr>
      </w:pPr>
      <w:r w:rsidRPr="00A1241A">
        <w:rPr>
          <w:rFonts w:ascii="Calibri" w:hAnsi="Calibri" w:cs="Calibri"/>
          <w:sz w:val="24"/>
          <w:szCs w:val="24"/>
        </w:rPr>
        <w:t xml:space="preserve">Phase 4: Systems Integration, Digital Tech &amp; Decarbonization (Months 9–15): Installing digital passenger screens, smart ticket barriers, mounting the </w:t>
      </w:r>
      <w:r w:rsidR="00EA7DD4" w:rsidRPr="00A1241A">
        <w:rPr>
          <w:rFonts w:ascii="Calibri" w:hAnsi="Calibri" w:cs="Calibri"/>
          <w:sz w:val="24"/>
          <w:szCs w:val="24"/>
        </w:rPr>
        <w:t>250-kW</w:t>
      </w:r>
      <w:r w:rsidRPr="00A1241A">
        <w:rPr>
          <w:rFonts w:ascii="Calibri" w:hAnsi="Calibri" w:cs="Calibri"/>
          <w:sz w:val="24"/>
          <w:szCs w:val="24"/>
        </w:rPr>
        <w:t xml:space="preserve"> rooftop solar array, and programming the central BMS network.</w:t>
      </w:r>
    </w:p>
    <w:p w14:paraId="1E8DBF5A" w14:textId="77777777" w:rsidR="002B1B69" w:rsidRPr="00A1241A" w:rsidRDefault="002B1B69" w:rsidP="00CA32A1">
      <w:pPr>
        <w:numPr>
          <w:ilvl w:val="0"/>
          <w:numId w:val="36"/>
        </w:numPr>
        <w:spacing w:line="360" w:lineRule="auto"/>
        <w:rPr>
          <w:rFonts w:ascii="Calibri" w:hAnsi="Calibri" w:cs="Calibri"/>
          <w:sz w:val="24"/>
          <w:szCs w:val="24"/>
        </w:rPr>
      </w:pPr>
      <w:r w:rsidRPr="00A1241A">
        <w:rPr>
          <w:rFonts w:ascii="Calibri" w:hAnsi="Calibri" w:cs="Calibri"/>
          <w:sz w:val="24"/>
          <w:szCs w:val="24"/>
        </w:rPr>
        <w:t>Phase 5: Testing, Safety Commissioning &amp; Public Handover (Months 14–18): Performing integrated system stress tests, emergency response simulations, staff training, statutory safety audits, and public launch.</w:t>
      </w:r>
    </w:p>
    <w:p w14:paraId="1103C387" w14:textId="77777777" w:rsidR="00CA32A1" w:rsidRPr="00A1241A" w:rsidRDefault="00CA32A1" w:rsidP="00A641F8">
      <w:pPr>
        <w:pStyle w:val="Heading2"/>
      </w:pPr>
      <w:bookmarkStart w:id="15" w:name="_Toc237895540"/>
      <w:r w:rsidRPr="00A1241A">
        <w:lastRenderedPageBreak/>
        <w:t>7. Detailed Stakeholder Engagement Framewor</w:t>
      </w:r>
      <w:r w:rsidRPr="00191510">
        <w:t>k</w:t>
      </w:r>
      <w:bookmarkEnd w:id="15"/>
    </w:p>
    <w:p w14:paraId="5870DE18" w14:textId="77777777" w:rsidR="00CA32A1" w:rsidRPr="00A1241A" w:rsidRDefault="00CA32A1" w:rsidP="00A641F8">
      <w:pPr>
        <w:pStyle w:val="Heading3"/>
      </w:pPr>
      <w:bookmarkStart w:id="16" w:name="_Toc237895541"/>
      <w:r w:rsidRPr="00A1241A">
        <w:t>7.1 Theoretical Framework &amp; Engagement Methodology</w:t>
      </w:r>
      <w:bookmarkEnd w:id="16"/>
    </w:p>
    <w:p w14:paraId="7D052691" w14:textId="77777777" w:rsidR="00CA32A1"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Managing stakeholders across complex public sector infrastructure initiatives requires systematic classification, proactive communication protocols, and structured feedback loops. Following Mendelow’s Power-Interest Matrix and the APM Stakeholder Engagement Guidelines, stakeholders are categorized based on their ability to influence project outcomes (Power) and their level of direct concern regarding project activities (Interest).</w:t>
      </w:r>
    </w:p>
    <w:p w14:paraId="49A57F70" w14:textId="77777777" w:rsidR="00CA32A1" w:rsidRDefault="00CA32A1" w:rsidP="00CA32A1">
      <w:pPr>
        <w:spacing w:line="360" w:lineRule="auto"/>
        <w:rPr>
          <w:rFonts w:ascii="Calibri" w:hAnsi="Calibri" w:cs="Calibri"/>
          <w:sz w:val="24"/>
          <w:szCs w:val="24"/>
        </w:rPr>
      </w:pPr>
      <w:r w:rsidRPr="00A1241A">
        <w:rPr>
          <w:rFonts w:ascii="Calibri" w:hAnsi="Calibri" w:cs="Calibri"/>
          <w:sz w:val="24"/>
          <w:szCs w:val="24"/>
        </w:rPr>
        <w:t>Because urban transport nodes interact with government entities, daily commuters, local businesses, and regulatory bodies, engagement strategies must balance high-level executive reporting with community-level operational updates.</w:t>
      </w:r>
    </w:p>
    <w:p w14:paraId="2B8A40C7" w14:textId="3991F55F" w:rsidR="00A1241A" w:rsidRPr="00A1241A" w:rsidRDefault="00A1241A" w:rsidP="00CA32A1">
      <w:pPr>
        <w:spacing w:line="360" w:lineRule="auto"/>
        <w:rPr>
          <w:rFonts w:ascii="Calibri" w:hAnsi="Calibri" w:cs="Calibri"/>
          <w:sz w:val="24"/>
          <w:szCs w:val="24"/>
        </w:rPr>
      </w:pPr>
      <w:r w:rsidRPr="00A1241A">
        <w:rPr>
          <w:noProof/>
        </w:rPr>
        <w:drawing>
          <wp:inline distT="0" distB="0" distL="0" distR="0" wp14:anchorId="2F7F0FC9" wp14:editId="388D6D6F">
            <wp:extent cx="2600325" cy="2257425"/>
            <wp:effectExtent l="0" t="0" r="9525" b="9525"/>
            <wp:docPr id="1485858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58556" name=""/>
                    <pic:cNvPicPr/>
                  </pic:nvPicPr>
                  <pic:blipFill>
                    <a:blip r:embed="rId17"/>
                    <a:stretch>
                      <a:fillRect/>
                    </a:stretch>
                  </pic:blipFill>
                  <pic:spPr>
                    <a:xfrm>
                      <a:off x="0" y="0"/>
                      <a:ext cx="2600325" cy="2257425"/>
                    </a:xfrm>
                    <a:prstGeom prst="rect">
                      <a:avLst/>
                    </a:prstGeom>
                  </pic:spPr>
                </pic:pic>
              </a:graphicData>
            </a:graphic>
          </wp:inline>
        </w:drawing>
      </w:r>
    </w:p>
    <w:p w14:paraId="27079243" w14:textId="15CEE205" w:rsidR="00CA32A1" w:rsidRDefault="00CA32A1" w:rsidP="00CA32A1">
      <w:pPr>
        <w:spacing w:line="360" w:lineRule="auto"/>
        <w:rPr>
          <w:rFonts w:ascii="Calibri" w:hAnsi="Calibri" w:cs="Calibri"/>
          <w:sz w:val="24"/>
          <w:szCs w:val="24"/>
        </w:rPr>
      </w:pPr>
      <w:r w:rsidRPr="00A1241A">
        <w:rPr>
          <w:rFonts w:ascii="Calibri" w:hAnsi="Calibri" w:cs="Calibri"/>
          <w:sz w:val="24"/>
          <w:szCs w:val="24"/>
        </w:rPr>
        <w:t>Figure 7.1: Mendelow's Power-Interest Stakeholder Matrix.</w:t>
      </w:r>
    </w:p>
    <w:p w14:paraId="3542143F" w14:textId="77777777" w:rsidR="00A1241A" w:rsidRDefault="00A1241A" w:rsidP="00CA32A1">
      <w:pPr>
        <w:spacing w:line="360" w:lineRule="auto"/>
        <w:rPr>
          <w:rFonts w:ascii="Calibri" w:hAnsi="Calibri" w:cs="Calibri"/>
          <w:sz w:val="24"/>
          <w:szCs w:val="24"/>
        </w:rPr>
      </w:pPr>
    </w:p>
    <w:p w14:paraId="3F23870F" w14:textId="77777777" w:rsidR="001645B5" w:rsidRDefault="001645B5" w:rsidP="00CA32A1">
      <w:pPr>
        <w:spacing w:line="360" w:lineRule="auto"/>
        <w:rPr>
          <w:rFonts w:ascii="Calibri" w:hAnsi="Calibri" w:cs="Calibri"/>
          <w:sz w:val="24"/>
          <w:szCs w:val="24"/>
        </w:rPr>
      </w:pPr>
    </w:p>
    <w:p w14:paraId="31F1528B" w14:textId="77777777" w:rsidR="001645B5" w:rsidRDefault="001645B5" w:rsidP="00CA32A1">
      <w:pPr>
        <w:spacing w:line="360" w:lineRule="auto"/>
        <w:rPr>
          <w:rFonts w:ascii="Calibri" w:hAnsi="Calibri" w:cs="Calibri"/>
          <w:sz w:val="24"/>
          <w:szCs w:val="24"/>
        </w:rPr>
      </w:pPr>
    </w:p>
    <w:p w14:paraId="7FDD7E92" w14:textId="77777777" w:rsidR="001645B5" w:rsidRDefault="001645B5" w:rsidP="00CA32A1">
      <w:pPr>
        <w:spacing w:line="360" w:lineRule="auto"/>
        <w:rPr>
          <w:rFonts w:ascii="Calibri" w:hAnsi="Calibri" w:cs="Calibri"/>
          <w:sz w:val="24"/>
          <w:szCs w:val="24"/>
        </w:rPr>
      </w:pPr>
    </w:p>
    <w:p w14:paraId="1274777F" w14:textId="77777777" w:rsidR="001645B5" w:rsidRDefault="001645B5" w:rsidP="00CA32A1">
      <w:pPr>
        <w:spacing w:line="360" w:lineRule="auto"/>
        <w:rPr>
          <w:rFonts w:ascii="Calibri" w:hAnsi="Calibri" w:cs="Calibri"/>
          <w:sz w:val="24"/>
          <w:szCs w:val="24"/>
        </w:rPr>
      </w:pPr>
    </w:p>
    <w:p w14:paraId="6E1B724F" w14:textId="77777777" w:rsidR="001645B5" w:rsidRDefault="001645B5" w:rsidP="00CA32A1">
      <w:pPr>
        <w:spacing w:line="360" w:lineRule="auto"/>
        <w:rPr>
          <w:rFonts w:ascii="Calibri" w:hAnsi="Calibri" w:cs="Calibri"/>
          <w:sz w:val="24"/>
          <w:szCs w:val="24"/>
        </w:rPr>
      </w:pPr>
    </w:p>
    <w:p w14:paraId="6DDE79BD" w14:textId="77777777" w:rsidR="00A641F8" w:rsidRDefault="00A641F8" w:rsidP="00CA32A1">
      <w:pPr>
        <w:spacing w:line="360" w:lineRule="auto"/>
        <w:rPr>
          <w:rFonts w:ascii="Calibri" w:hAnsi="Calibri" w:cs="Calibri"/>
          <w:sz w:val="24"/>
          <w:szCs w:val="24"/>
        </w:rPr>
      </w:pPr>
    </w:p>
    <w:p w14:paraId="63DE5BA2" w14:textId="77777777" w:rsidR="001645B5" w:rsidRPr="00A1241A" w:rsidRDefault="001645B5" w:rsidP="00CA32A1">
      <w:pPr>
        <w:spacing w:line="360" w:lineRule="auto"/>
        <w:rPr>
          <w:rFonts w:ascii="Calibri" w:hAnsi="Calibri" w:cs="Calibri"/>
          <w:sz w:val="24"/>
          <w:szCs w:val="24"/>
        </w:rPr>
      </w:pPr>
    </w:p>
    <w:p w14:paraId="4AAC31D5" w14:textId="77777777" w:rsidR="00CA32A1" w:rsidRPr="00A1241A" w:rsidRDefault="00CA32A1" w:rsidP="00A641F8">
      <w:pPr>
        <w:pStyle w:val="Heading2"/>
      </w:pPr>
      <w:bookmarkStart w:id="17" w:name="_Toc237895542"/>
      <w:r w:rsidRPr="00A1241A">
        <w:lastRenderedPageBreak/>
        <w:t>8. Resource &amp; Financial Allocation Plan</w:t>
      </w:r>
      <w:bookmarkEnd w:id="17"/>
    </w:p>
    <w:p w14:paraId="4B009058" w14:textId="77777777" w:rsidR="00CA32A1" w:rsidRPr="00A1241A" w:rsidRDefault="00CA32A1" w:rsidP="00A641F8">
      <w:pPr>
        <w:pStyle w:val="Heading3"/>
      </w:pPr>
      <w:bookmarkStart w:id="18" w:name="_Toc237895543"/>
      <w:r w:rsidRPr="00A1241A">
        <w:t>8.1 Human Resource Architecture &amp; Responsibility Assignment Matrix (RACI)</w:t>
      </w:r>
      <w:bookmarkEnd w:id="18"/>
    </w:p>
    <w:p w14:paraId="6FAE633F" w14:textId="77777777" w:rsidR="00CA32A1" w:rsidRDefault="00CA32A1" w:rsidP="00CA32A1">
      <w:pPr>
        <w:spacing w:line="360" w:lineRule="auto"/>
        <w:rPr>
          <w:rFonts w:ascii="Calibri" w:hAnsi="Calibri" w:cs="Calibri"/>
          <w:sz w:val="24"/>
          <w:szCs w:val="24"/>
        </w:rPr>
      </w:pPr>
      <w:r w:rsidRPr="00A1241A">
        <w:rPr>
          <w:rFonts w:ascii="Calibri" w:hAnsi="Calibri" w:cs="Calibri"/>
          <w:sz w:val="24"/>
          <w:szCs w:val="24"/>
        </w:rPr>
        <w:t>Delivering the Central Transport Hub Redevelopment requires an integrated project team combining executive leadership, engineering expertise, systems integration specialists, and site safety leads.</w:t>
      </w:r>
    </w:p>
    <w:p w14:paraId="24EE77B4" w14:textId="61195A52" w:rsidR="00A1241A" w:rsidRPr="00A1241A" w:rsidRDefault="00A1241A" w:rsidP="00CA32A1">
      <w:pPr>
        <w:spacing w:line="360" w:lineRule="auto"/>
        <w:rPr>
          <w:rFonts w:ascii="Calibri" w:hAnsi="Calibri" w:cs="Calibri"/>
          <w:sz w:val="24"/>
          <w:szCs w:val="24"/>
        </w:rPr>
      </w:pPr>
      <w:r w:rsidRPr="00A1241A">
        <w:rPr>
          <w:noProof/>
        </w:rPr>
        <w:drawing>
          <wp:inline distT="0" distB="0" distL="0" distR="0" wp14:anchorId="24AAEC8F" wp14:editId="5CFDAAD3">
            <wp:extent cx="4038184" cy="1283368"/>
            <wp:effectExtent l="0" t="0" r="635" b="0"/>
            <wp:docPr id="1261449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49291" name=""/>
                    <pic:cNvPicPr/>
                  </pic:nvPicPr>
                  <pic:blipFill>
                    <a:blip r:embed="rId18"/>
                    <a:stretch>
                      <a:fillRect/>
                    </a:stretch>
                  </pic:blipFill>
                  <pic:spPr>
                    <a:xfrm>
                      <a:off x="0" y="0"/>
                      <a:ext cx="4038403" cy="1283438"/>
                    </a:xfrm>
                    <a:prstGeom prst="rect">
                      <a:avLst/>
                    </a:prstGeom>
                  </pic:spPr>
                </pic:pic>
              </a:graphicData>
            </a:graphic>
          </wp:inline>
        </w:drawing>
      </w:r>
    </w:p>
    <w:p w14:paraId="3DE56590" w14:textId="77777777" w:rsidR="00CA32A1" w:rsidRPr="00A1241A" w:rsidRDefault="00CA32A1" w:rsidP="00CA32A1">
      <w:pPr>
        <w:spacing w:line="360" w:lineRule="auto"/>
        <w:rPr>
          <w:rFonts w:ascii="Calibri" w:hAnsi="Calibri" w:cs="Calibri"/>
          <w:sz w:val="24"/>
          <w:szCs w:val="24"/>
        </w:rPr>
      </w:pPr>
      <w:r w:rsidRPr="00A1241A">
        <w:rPr>
          <w:rFonts w:ascii="Calibri" w:hAnsi="Calibri" w:cs="Calibri"/>
          <w:i/>
          <w:iCs/>
          <w:sz w:val="24"/>
          <w:szCs w:val="24"/>
        </w:rPr>
        <w:t>Figure 8.1: Project Management Office (PMO) Organizational Chart.</w:t>
      </w:r>
    </w:p>
    <w:p w14:paraId="247614D0" w14:textId="77777777" w:rsidR="00CA32A1" w:rsidRPr="00A641F8" w:rsidRDefault="00CA32A1" w:rsidP="00CA32A1">
      <w:pPr>
        <w:spacing w:line="360" w:lineRule="auto"/>
        <w:rPr>
          <w:rFonts w:ascii="Calibri" w:hAnsi="Calibri" w:cs="Calibri"/>
          <w:b/>
          <w:bCs/>
          <w:sz w:val="24"/>
          <w:szCs w:val="24"/>
        </w:rPr>
      </w:pPr>
      <w:r w:rsidRPr="00A641F8">
        <w:rPr>
          <w:rFonts w:ascii="Calibri" w:hAnsi="Calibri" w:cs="Calibri"/>
          <w:b/>
          <w:bCs/>
          <w:sz w:val="24"/>
          <w:szCs w:val="24"/>
        </w:rPr>
        <w:t>RACI Responsibility Matrix</w:t>
      </w:r>
    </w:p>
    <w:p w14:paraId="61093EAF" w14:textId="77777777" w:rsidR="00CA32A1"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To ensure clear accountability across work packages, tasks are mapped using a RACI framework:</w:t>
      </w:r>
    </w:p>
    <w:p w14:paraId="3AB6B896" w14:textId="77777777" w:rsidR="00CA32A1" w:rsidRPr="00A1241A" w:rsidRDefault="00CA32A1" w:rsidP="00CA32A1">
      <w:pPr>
        <w:numPr>
          <w:ilvl w:val="0"/>
          <w:numId w:val="40"/>
        </w:numPr>
        <w:spacing w:line="360" w:lineRule="auto"/>
        <w:rPr>
          <w:rFonts w:ascii="Calibri" w:hAnsi="Calibri" w:cs="Calibri"/>
          <w:sz w:val="24"/>
          <w:szCs w:val="24"/>
        </w:rPr>
      </w:pPr>
      <w:r w:rsidRPr="00A1241A">
        <w:rPr>
          <w:rFonts w:ascii="Calibri" w:hAnsi="Calibri" w:cs="Calibri"/>
          <w:sz w:val="24"/>
          <w:szCs w:val="24"/>
        </w:rPr>
        <w:t>R (Responsible): The role that performs the activity.</w:t>
      </w:r>
    </w:p>
    <w:p w14:paraId="0ED41362" w14:textId="77777777" w:rsidR="00CA32A1" w:rsidRPr="00A1241A" w:rsidRDefault="00CA32A1" w:rsidP="00CA32A1">
      <w:pPr>
        <w:numPr>
          <w:ilvl w:val="0"/>
          <w:numId w:val="40"/>
        </w:numPr>
        <w:spacing w:line="360" w:lineRule="auto"/>
        <w:rPr>
          <w:rFonts w:ascii="Calibri" w:hAnsi="Calibri" w:cs="Calibri"/>
          <w:sz w:val="24"/>
          <w:szCs w:val="24"/>
        </w:rPr>
      </w:pPr>
      <w:r w:rsidRPr="00A1241A">
        <w:rPr>
          <w:rFonts w:ascii="Calibri" w:hAnsi="Calibri" w:cs="Calibri"/>
          <w:sz w:val="24"/>
          <w:szCs w:val="24"/>
        </w:rPr>
        <w:t>A (Accountable): The single role with final decision-making authority.</w:t>
      </w:r>
    </w:p>
    <w:p w14:paraId="78F8559D" w14:textId="77777777" w:rsidR="00CA32A1" w:rsidRPr="00A1241A" w:rsidRDefault="00CA32A1" w:rsidP="00CA32A1">
      <w:pPr>
        <w:numPr>
          <w:ilvl w:val="0"/>
          <w:numId w:val="40"/>
        </w:numPr>
        <w:spacing w:line="360" w:lineRule="auto"/>
        <w:rPr>
          <w:rFonts w:ascii="Calibri" w:hAnsi="Calibri" w:cs="Calibri"/>
          <w:sz w:val="24"/>
          <w:szCs w:val="24"/>
        </w:rPr>
      </w:pPr>
      <w:r w:rsidRPr="00A1241A">
        <w:rPr>
          <w:rFonts w:ascii="Calibri" w:hAnsi="Calibri" w:cs="Calibri"/>
          <w:sz w:val="24"/>
          <w:szCs w:val="24"/>
        </w:rPr>
        <w:t>C (Consulted): Key advisors providing input prior to execution.</w:t>
      </w:r>
    </w:p>
    <w:p w14:paraId="69F95F05" w14:textId="77777777" w:rsidR="00CA32A1" w:rsidRPr="00A1241A" w:rsidRDefault="00CA32A1" w:rsidP="00CA32A1">
      <w:pPr>
        <w:numPr>
          <w:ilvl w:val="0"/>
          <w:numId w:val="40"/>
        </w:numPr>
        <w:spacing w:line="360" w:lineRule="auto"/>
        <w:rPr>
          <w:rFonts w:ascii="Calibri" w:hAnsi="Calibri" w:cs="Calibri"/>
          <w:sz w:val="24"/>
          <w:szCs w:val="24"/>
        </w:rPr>
      </w:pPr>
      <w:r w:rsidRPr="00A1241A">
        <w:rPr>
          <w:rFonts w:ascii="Calibri" w:hAnsi="Calibri" w:cs="Calibri"/>
          <w:sz w:val="24"/>
          <w:szCs w:val="24"/>
        </w:rPr>
        <w:t>I (Informed): Parties kept updated on progress.</w:t>
      </w:r>
    </w:p>
    <w:p w14:paraId="739184B7" w14:textId="1B31A4D5" w:rsidR="00A1241A" w:rsidRPr="00E54995" w:rsidRDefault="00CA32A1" w:rsidP="001645B5">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 xml:space="preserve">The baseline budget of £15,000,000 is derived from cost estimation techniques, including parametric </w:t>
      </w:r>
      <w:proofErr w:type="spellStart"/>
      <w:r w:rsidRPr="00A1241A">
        <w:rPr>
          <w:rFonts w:ascii="Calibri" w:eastAsia="Times New Roman" w:hAnsi="Calibri" w:cs="Calibri"/>
          <w:sz w:val="24"/>
          <w:szCs w:val="24"/>
          <w:lang w:eastAsia="en-GB"/>
        </w:rPr>
        <w:t>modeling</w:t>
      </w:r>
      <w:proofErr w:type="spellEnd"/>
      <w:r w:rsidRPr="00A1241A">
        <w:rPr>
          <w:rFonts w:ascii="Calibri" w:eastAsia="Times New Roman" w:hAnsi="Calibri" w:cs="Calibri"/>
          <w:sz w:val="24"/>
          <w:szCs w:val="24"/>
          <w:lang w:eastAsia="en-GB"/>
        </w:rPr>
        <w:t xml:space="preserve"> and bottom-up subcontractor estimates.</w:t>
      </w:r>
    </w:p>
    <w:p w14:paraId="014A378E" w14:textId="77777777" w:rsidR="00CA32A1" w:rsidRPr="00A1241A" w:rsidRDefault="00CA32A1" w:rsidP="00CA32A1">
      <w:pPr>
        <w:spacing w:line="360" w:lineRule="auto"/>
        <w:rPr>
          <w:rFonts w:ascii="Calibri" w:hAnsi="Calibri" w:cs="Calibri"/>
          <w:b/>
          <w:bCs/>
          <w:sz w:val="24"/>
          <w:szCs w:val="24"/>
        </w:rPr>
      </w:pPr>
      <w:r w:rsidRPr="00A1241A">
        <w:rPr>
          <w:rFonts w:ascii="Calibri" w:hAnsi="Calibri" w:cs="Calibri"/>
          <w:b/>
          <w:bCs/>
          <w:sz w:val="24"/>
          <w:szCs w:val="24"/>
        </w:rPr>
        <w:t>Budget Breakdown Details</w:t>
      </w:r>
    </w:p>
    <w:p w14:paraId="1741EAD3" w14:textId="77777777" w:rsidR="00CA32A1" w:rsidRPr="00A1241A" w:rsidRDefault="00CA32A1" w:rsidP="00352D95">
      <w:pPr>
        <w:spacing w:line="360" w:lineRule="auto"/>
        <w:ind w:left="360"/>
        <w:rPr>
          <w:rFonts w:ascii="Calibri" w:hAnsi="Calibri" w:cs="Calibri"/>
          <w:sz w:val="24"/>
          <w:szCs w:val="24"/>
        </w:rPr>
      </w:pPr>
      <w:r w:rsidRPr="00A1241A">
        <w:rPr>
          <w:rFonts w:ascii="Calibri" w:hAnsi="Calibri" w:cs="Calibri"/>
          <w:sz w:val="24"/>
          <w:szCs w:val="24"/>
        </w:rPr>
        <w:t>Main Civil &amp; Structural Engineering (£6,500,000 / 43.3%): Foundation piling, structural steelwork, concrete lift shaft structures, glazed curtain walling, roof strengthening, and BRT terminal shelter construction.</w:t>
      </w:r>
    </w:p>
    <w:p w14:paraId="56DA68E2" w14:textId="77777777" w:rsidR="00CA32A1" w:rsidRPr="00A1241A" w:rsidRDefault="00CA32A1" w:rsidP="00352D95">
      <w:pPr>
        <w:spacing w:line="360" w:lineRule="auto"/>
        <w:ind w:left="360"/>
        <w:rPr>
          <w:rFonts w:ascii="Calibri" w:hAnsi="Calibri" w:cs="Calibri"/>
          <w:sz w:val="24"/>
          <w:szCs w:val="24"/>
        </w:rPr>
      </w:pPr>
      <w:r w:rsidRPr="00A1241A">
        <w:rPr>
          <w:rFonts w:ascii="Calibri" w:hAnsi="Calibri" w:cs="Calibri"/>
          <w:sz w:val="24"/>
          <w:szCs w:val="24"/>
        </w:rPr>
        <w:lastRenderedPageBreak/>
        <w:t>Technology, Systems &amp; Electrics (£3,500,000 / 23.3%): Automated smart ticket barriers, real-time digital screens, rooftop 250 kW solar array, BMS hardware/software, IP-CCTV network, and main electrical distribution upgrades.</w:t>
      </w:r>
    </w:p>
    <w:p w14:paraId="13F68F57" w14:textId="77777777" w:rsidR="00CA32A1" w:rsidRPr="00A1241A" w:rsidRDefault="00CA32A1" w:rsidP="00352D95">
      <w:pPr>
        <w:spacing w:line="360" w:lineRule="auto"/>
        <w:ind w:left="360"/>
        <w:rPr>
          <w:rFonts w:ascii="Calibri" w:hAnsi="Calibri" w:cs="Calibri"/>
          <w:sz w:val="24"/>
          <w:szCs w:val="24"/>
        </w:rPr>
      </w:pPr>
      <w:r w:rsidRPr="00A1241A">
        <w:rPr>
          <w:rFonts w:ascii="Calibri" w:hAnsi="Calibri" w:cs="Calibri"/>
          <w:sz w:val="24"/>
          <w:szCs w:val="24"/>
        </w:rPr>
        <w:t>Site Preparation, Enabling &amp; Safety (£2,000,000 / 13.3%): 3D radar utility scans, temporary pedestrian walkways, temporary ticketing booths, acoustic hoarding installation, and site clearance.</w:t>
      </w:r>
    </w:p>
    <w:p w14:paraId="74E5C7AE" w14:textId="77777777" w:rsidR="00CA32A1" w:rsidRPr="00A1241A" w:rsidRDefault="00CA32A1" w:rsidP="00352D95">
      <w:pPr>
        <w:spacing w:line="360" w:lineRule="auto"/>
        <w:ind w:left="360"/>
        <w:rPr>
          <w:rFonts w:ascii="Calibri" w:hAnsi="Calibri" w:cs="Calibri"/>
          <w:sz w:val="24"/>
          <w:szCs w:val="24"/>
        </w:rPr>
      </w:pPr>
      <w:r w:rsidRPr="00A1241A">
        <w:rPr>
          <w:rFonts w:ascii="Calibri" w:hAnsi="Calibri" w:cs="Calibri"/>
          <w:sz w:val="24"/>
          <w:szCs w:val="24"/>
        </w:rPr>
        <w:t xml:space="preserve">Project Management, Design &amp; Governance (£1,500,000 / 10.0%): Architectural engineering fees, BIM </w:t>
      </w:r>
      <w:proofErr w:type="spellStart"/>
      <w:r w:rsidRPr="00A1241A">
        <w:rPr>
          <w:rFonts w:ascii="Calibri" w:hAnsi="Calibri" w:cs="Calibri"/>
          <w:sz w:val="24"/>
          <w:szCs w:val="24"/>
        </w:rPr>
        <w:t>modeling</w:t>
      </w:r>
      <w:proofErr w:type="spellEnd"/>
      <w:r w:rsidRPr="00A1241A">
        <w:rPr>
          <w:rFonts w:ascii="Calibri" w:hAnsi="Calibri" w:cs="Calibri"/>
          <w:sz w:val="24"/>
          <w:szCs w:val="24"/>
        </w:rPr>
        <w:t>, PMO salaries, legal procurement costs, and statutory planning fees.</w:t>
      </w:r>
    </w:p>
    <w:p w14:paraId="7624DD0F" w14:textId="04626C40" w:rsidR="001645B5" w:rsidRPr="00A641F8" w:rsidRDefault="00CA32A1" w:rsidP="00A641F8">
      <w:pPr>
        <w:spacing w:line="360" w:lineRule="auto"/>
        <w:ind w:left="360"/>
        <w:rPr>
          <w:rFonts w:ascii="Calibri" w:hAnsi="Calibri" w:cs="Calibri"/>
          <w:sz w:val="24"/>
          <w:szCs w:val="24"/>
        </w:rPr>
      </w:pPr>
      <w:r w:rsidRPr="00A1241A">
        <w:rPr>
          <w:rFonts w:ascii="Calibri" w:hAnsi="Calibri" w:cs="Calibri"/>
          <w:sz w:val="24"/>
          <w:szCs w:val="24"/>
        </w:rPr>
        <w:t>Contingency Reserve (£1,500,000 / 10.0%): A ring-fenced contingency fund managed by the PMO to absorb unforeseen subterranean risks, scope changes approved by the CCB, or material supply inflation.</w:t>
      </w:r>
    </w:p>
    <w:p w14:paraId="708DFBBF" w14:textId="77777777" w:rsidR="00A641F8" w:rsidRPr="00A1241A" w:rsidRDefault="00A641F8" w:rsidP="003F599A">
      <w:pPr>
        <w:pStyle w:val="NormalWeb"/>
        <w:spacing w:line="360" w:lineRule="auto"/>
        <w:rPr>
          <w:rFonts w:ascii="Calibri" w:hAnsi="Calibri" w:cs="Calibri"/>
        </w:rPr>
      </w:pPr>
    </w:p>
    <w:p w14:paraId="37DD3072" w14:textId="77777777" w:rsidR="00CA32A1" w:rsidRPr="00A1241A" w:rsidRDefault="00CA32A1" w:rsidP="00A641F8">
      <w:pPr>
        <w:pStyle w:val="Heading2"/>
        <w:rPr>
          <w:rFonts w:eastAsia="Times New Roman"/>
          <w:lang w:eastAsia="en-GB"/>
        </w:rPr>
      </w:pPr>
      <w:bookmarkStart w:id="19" w:name="_Toc237895544"/>
      <w:r w:rsidRPr="00A1241A">
        <w:rPr>
          <w:rFonts w:eastAsia="Times New Roman"/>
          <w:lang w:eastAsia="en-GB"/>
        </w:rPr>
        <w:t>9. Comprehensive Risk Management Plan</w:t>
      </w:r>
      <w:bookmarkEnd w:id="19"/>
    </w:p>
    <w:p w14:paraId="3B98676C" w14:textId="77777777" w:rsidR="00CA32A1" w:rsidRPr="00A1241A" w:rsidRDefault="00CA32A1" w:rsidP="00A641F8">
      <w:pPr>
        <w:pStyle w:val="Heading3"/>
        <w:rPr>
          <w:rFonts w:eastAsia="Times New Roman"/>
          <w:lang w:eastAsia="en-GB"/>
        </w:rPr>
      </w:pPr>
      <w:bookmarkStart w:id="20" w:name="_Toc237895545"/>
      <w:r w:rsidRPr="00A1241A">
        <w:rPr>
          <w:rFonts w:eastAsia="Times New Roman"/>
          <w:lang w:eastAsia="en-GB"/>
        </w:rPr>
        <w:t>9.1 Risk Identification, Assessment &amp; Severity Matrix</w:t>
      </w:r>
      <w:bookmarkEnd w:id="20"/>
    </w:p>
    <w:p w14:paraId="22CB95A2" w14:textId="0AA07255" w:rsidR="00DE4FA2" w:rsidRDefault="00CA32A1" w:rsidP="00352D95">
      <w:pPr>
        <w:spacing w:after="100" w:afterAutospacing="1" w:line="360" w:lineRule="auto"/>
        <w:ind w:left="360"/>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 xml:space="preserve">Infrastructure redevelopment within operational transport environments introduces technical, financial, operational, and environmental risks. Risks are quantified using a standard </w:t>
      </w:r>
      <m:oMath>
        <m:r>
          <w:rPr>
            <w:rFonts w:ascii="Cambria Math" w:eastAsia="Times New Roman" w:hAnsi="Cambria Math" w:cs="Calibri"/>
            <w:sz w:val="24"/>
            <w:szCs w:val="24"/>
            <w:lang w:eastAsia="en-GB"/>
          </w:rPr>
          <m:t>5×5</m:t>
        </m:r>
      </m:oMath>
      <w:r w:rsidRPr="00A1241A">
        <w:rPr>
          <w:rFonts w:ascii="Calibri" w:eastAsia="Times New Roman" w:hAnsi="Calibri" w:cs="Calibri"/>
          <w:sz w:val="24"/>
          <w:szCs w:val="24"/>
          <w:lang w:eastAsia="en-GB"/>
        </w:rPr>
        <w:t xml:space="preserve"> Risk Matrix evaluating Probability (</w:t>
      </w:r>
      <m:oMath>
        <m:r>
          <w:rPr>
            <w:rFonts w:ascii="Cambria Math" w:eastAsia="Times New Roman" w:hAnsi="Cambria Math" w:cs="Calibri"/>
            <w:sz w:val="24"/>
            <w:szCs w:val="24"/>
            <w:lang w:eastAsia="en-GB"/>
          </w:rPr>
          <m:t>P</m:t>
        </m:r>
      </m:oMath>
      <w:r w:rsidRPr="00A1241A">
        <w:rPr>
          <w:rFonts w:ascii="Calibri" w:eastAsia="Times New Roman" w:hAnsi="Calibri" w:cs="Calibri"/>
          <w:sz w:val="24"/>
          <w:szCs w:val="24"/>
          <w:lang w:eastAsia="en-GB"/>
        </w:rPr>
        <w:t>) and Impact (</w:t>
      </w:r>
      <m:oMath>
        <m:r>
          <w:rPr>
            <w:rFonts w:ascii="Cambria Math" w:eastAsia="Times New Roman" w:hAnsi="Cambria Math" w:cs="Calibri"/>
            <w:sz w:val="24"/>
            <w:szCs w:val="24"/>
            <w:lang w:eastAsia="en-GB"/>
          </w:rPr>
          <m:t>I</m:t>
        </m:r>
      </m:oMath>
      <w:r w:rsidRPr="00A1241A">
        <w:rPr>
          <w:rFonts w:ascii="Calibri" w:eastAsia="Times New Roman" w:hAnsi="Calibri" w:cs="Calibri"/>
          <w:sz w:val="24"/>
          <w:szCs w:val="24"/>
          <w:lang w:eastAsia="en-GB"/>
        </w:rPr>
        <w:t>) on a scale from 1 to 5 to generate an overall Severity Score (</w:t>
      </w:r>
      <m:oMath>
        <m:r>
          <w:rPr>
            <w:rFonts w:ascii="Cambria Math" w:eastAsia="Times New Roman" w:hAnsi="Cambria Math" w:cs="Calibri"/>
            <w:sz w:val="24"/>
            <w:szCs w:val="24"/>
            <w:lang w:eastAsia="en-GB"/>
          </w:rPr>
          <m:t>S=P×I</m:t>
        </m:r>
      </m:oMath>
      <w:r w:rsidRPr="00A1241A">
        <w:rPr>
          <w:rFonts w:ascii="Calibri" w:eastAsia="Times New Roman" w:hAnsi="Calibri" w:cs="Calibri"/>
          <w:sz w:val="24"/>
          <w:szCs w:val="24"/>
          <w:lang w:eastAsia="en-GB"/>
        </w:rPr>
        <w:t>).</w:t>
      </w:r>
    </w:p>
    <w:p w14:paraId="4E98E711" w14:textId="612494BC" w:rsidR="00E54995" w:rsidRPr="00A1241A" w:rsidRDefault="00E54995" w:rsidP="00352D95">
      <w:pPr>
        <w:spacing w:after="100" w:afterAutospacing="1" w:line="360" w:lineRule="auto"/>
        <w:ind w:left="360"/>
        <w:rPr>
          <w:rFonts w:ascii="Calibri" w:eastAsia="Times New Roman" w:hAnsi="Calibri" w:cs="Calibri"/>
          <w:sz w:val="24"/>
          <w:szCs w:val="24"/>
          <w:lang w:eastAsia="en-GB"/>
        </w:rPr>
      </w:pPr>
      <w:r w:rsidRPr="00A1241A">
        <w:rPr>
          <w:noProof/>
        </w:rPr>
        <w:drawing>
          <wp:inline distT="0" distB="0" distL="0" distR="0" wp14:anchorId="536AC8A3" wp14:editId="60323753">
            <wp:extent cx="3144253" cy="2227662"/>
            <wp:effectExtent l="0" t="0" r="0" b="1270"/>
            <wp:docPr id="119248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85926" name=""/>
                    <pic:cNvPicPr/>
                  </pic:nvPicPr>
                  <pic:blipFill>
                    <a:blip r:embed="rId19"/>
                    <a:stretch>
                      <a:fillRect/>
                    </a:stretch>
                  </pic:blipFill>
                  <pic:spPr>
                    <a:xfrm>
                      <a:off x="0" y="0"/>
                      <a:ext cx="3213901" cy="2277007"/>
                    </a:xfrm>
                    <a:prstGeom prst="rect">
                      <a:avLst/>
                    </a:prstGeom>
                  </pic:spPr>
                </pic:pic>
              </a:graphicData>
            </a:graphic>
          </wp:inline>
        </w:drawing>
      </w:r>
    </w:p>
    <w:p w14:paraId="331D1A6E" w14:textId="77777777" w:rsidR="00CA32A1" w:rsidRPr="00A1241A" w:rsidRDefault="00CA32A1" w:rsidP="00A641F8">
      <w:pPr>
        <w:pStyle w:val="Heading2"/>
      </w:pPr>
      <w:bookmarkStart w:id="21" w:name="_Toc237895546"/>
      <w:r w:rsidRPr="00A1241A">
        <w:lastRenderedPageBreak/>
        <w:t>10. Governance, Quality Assurance &amp; Project Closure</w:t>
      </w:r>
      <w:bookmarkEnd w:id="21"/>
    </w:p>
    <w:p w14:paraId="7E8BC3FA" w14:textId="77777777" w:rsidR="00CA32A1" w:rsidRPr="00A1241A" w:rsidRDefault="00CA32A1" w:rsidP="00A641F8">
      <w:pPr>
        <w:pStyle w:val="Heading2"/>
      </w:pPr>
      <w:bookmarkStart w:id="22" w:name="_Toc237895547"/>
      <w:r w:rsidRPr="00A1241A">
        <w:t>10.1 Quality Assurance (QA) &amp; Quality Control (QC) Protocols</w:t>
      </w:r>
      <w:bookmarkEnd w:id="22"/>
    </w:p>
    <w:p w14:paraId="52EA3BBD" w14:textId="77777777" w:rsidR="00CA32A1" w:rsidRDefault="00CA32A1" w:rsidP="00CA32A1">
      <w:pPr>
        <w:spacing w:line="360" w:lineRule="auto"/>
        <w:rPr>
          <w:rFonts w:ascii="Calibri" w:hAnsi="Calibri" w:cs="Calibri"/>
          <w:sz w:val="24"/>
          <w:szCs w:val="24"/>
        </w:rPr>
      </w:pPr>
      <w:r w:rsidRPr="00A1241A">
        <w:rPr>
          <w:rFonts w:ascii="Calibri" w:hAnsi="Calibri" w:cs="Calibri"/>
          <w:sz w:val="24"/>
          <w:szCs w:val="24"/>
        </w:rPr>
        <w:t>Quality management follows ISO 9001:2015 Quality Management Systems standards to ensure all structural engineering, digital systems, and accessibility components meet technical specifications.</w:t>
      </w:r>
    </w:p>
    <w:p w14:paraId="7615EC52" w14:textId="77777777" w:rsidR="00E54995" w:rsidRPr="00A1241A" w:rsidRDefault="00E54995" w:rsidP="00CA32A1">
      <w:pPr>
        <w:spacing w:line="360" w:lineRule="auto"/>
        <w:rPr>
          <w:rFonts w:ascii="Calibri" w:hAnsi="Calibri" w:cs="Calibri"/>
          <w:sz w:val="24"/>
          <w:szCs w:val="24"/>
        </w:rPr>
      </w:pPr>
    </w:p>
    <w:p w14:paraId="7223AC97" w14:textId="77777777" w:rsidR="00CA32A1" w:rsidRPr="00E54995" w:rsidRDefault="00CA32A1" w:rsidP="00CA32A1">
      <w:pPr>
        <w:spacing w:line="360" w:lineRule="auto"/>
        <w:rPr>
          <w:rFonts w:ascii="Calibri" w:hAnsi="Calibri" w:cs="Calibri"/>
          <w:b/>
          <w:bCs/>
          <w:sz w:val="24"/>
          <w:szCs w:val="24"/>
        </w:rPr>
      </w:pPr>
      <w:r w:rsidRPr="00E54995">
        <w:rPr>
          <w:rFonts w:ascii="Calibri" w:hAnsi="Calibri" w:cs="Calibri"/>
          <w:b/>
          <w:bCs/>
          <w:sz w:val="24"/>
          <w:szCs w:val="24"/>
        </w:rPr>
        <w:t>Quality Verification Protocols</w:t>
      </w:r>
    </w:p>
    <w:p w14:paraId="5DA117F6" w14:textId="77777777" w:rsidR="00CA32A1" w:rsidRPr="00A1241A" w:rsidRDefault="00CA32A1" w:rsidP="00CA32A1">
      <w:pPr>
        <w:numPr>
          <w:ilvl w:val="0"/>
          <w:numId w:val="42"/>
        </w:numPr>
        <w:spacing w:line="360" w:lineRule="auto"/>
        <w:rPr>
          <w:rFonts w:ascii="Calibri" w:hAnsi="Calibri" w:cs="Calibri"/>
          <w:sz w:val="24"/>
          <w:szCs w:val="24"/>
        </w:rPr>
      </w:pPr>
      <w:r w:rsidRPr="00A1241A">
        <w:rPr>
          <w:rFonts w:ascii="Calibri" w:hAnsi="Calibri" w:cs="Calibri"/>
          <w:b/>
          <w:bCs/>
          <w:sz w:val="24"/>
          <w:szCs w:val="24"/>
        </w:rPr>
        <w:t>Civil &amp; Structural Assurance:</w:t>
      </w:r>
      <w:r w:rsidRPr="00A1241A">
        <w:rPr>
          <w:rFonts w:ascii="Calibri" w:hAnsi="Calibri" w:cs="Calibri"/>
          <w:sz w:val="24"/>
          <w:szCs w:val="24"/>
        </w:rPr>
        <w:t xml:space="preserve"> Every concrete batch poured for lift shafts undergoes 28-day compressive strength cube testing. Structural steel welding undergoes non-destructive ultrasonic testing (NDT) prior to envelope enclosure.</w:t>
      </w:r>
    </w:p>
    <w:p w14:paraId="082122FE" w14:textId="77777777" w:rsidR="00CA32A1" w:rsidRPr="00A1241A" w:rsidRDefault="00CA32A1" w:rsidP="00CA32A1">
      <w:pPr>
        <w:numPr>
          <w:ilvl w:val="0"/>
          <w:numId w:val="42"/>
        </w:numPr>
        <w:spacing w:line="360" w:lineRule="auto"/>
        <w:rPr>
          <w:rFonts w:ascii="Calibri" w:hAnsi="Calibri" w:cs="Calibri"/>
          <w:sz w:val="24"/>
          <w:szCs w:val="24"/>
        </w:rPr>
      </w:pPr>
      <w:r w:rsidRPr="00A1241A">
        <w:rPr>
          <w:rFonts w:ascii="Calibri" w:hAnsi="Calibri" w:cs="Calibri"/>
          <w:sz w:val="24"/>
          <w:szCs w:val="24"/>
        </w:rPr>
        <w:t>Digital Systems &amp; Barrier Testing: Contactless barrier units undergo simulated stress testing requiring a 99.9% successful scan rate across 10,000 continuous transaction passes before deployment on live concourses.</w:t>
      </w:r>
    </w:p>
    <w:p w14:paraId="7A482FF4" w14:textId="5F987D99" w:rsidR="00CA32A1" w:rsidRPr="00A1241A" w:rsidRDefault="00CA32A1" w:rsidP="00CA32A1">
      <w:pPr>
        <w:numPr>
          <w:ilvl w:val="0"/>
          <w:numId w:val="42"/>
        </w:numPr>
        <w:spacing w:line="360" w:lineRule="auto"/>
        <w:rPr>
          <w:rFonts w:ascii="Calibri" w:hAnsi="Calibri" w:cs="Calibri"/>
          <w:sz w:val="24"/>
          <w:szCs w:val="24"/>
        </w:rPr>
      </w:pPr>
      <w:r w:rsidRPr="001645B5">
        <w:rPr>
          <w:rFonts w:ascii="Calibri" w:hAnsi="Calibri" w:cs="Calibri"/>
          <w:b/>
          <w:bCs/>
          <w:sz w:val="24"/>
          <w:szCs w:val="24"/>
        </w:rPr>
        <w:t>Environmental</w:t>
      </w:r>
      <w:r w:rsidRPr="00A1241A">
        <w:rPr>
          <w:rFonts w:ascii="Calibri" w:hAnsi="Calibri" w:cs="Calibri"/>
          <w:sz w:val="24"/>
          <w:szCs w:val="24"/>
        </w:rPr>
        <w:t xml:space="preserve">: The </w:t>
      </w:r>
      <w:r w:rsidR="001645B5" w:rsidRPr="00A1241A">
        <w:rPr>
          <w:rFonts w:ascii="Calibri" w:hAnsi="Calibri" w:cs="Calibri"/>
          <w:sz w:val="24"/>
          <w:szCs w:val="24"/>
        </w:rPr>
        <w:t>250-kW</w:t>
      </w:r>
      <w:r w:rsidRPr="00A1241A">
        <w:rPr>
          <w:rFonts w:ascii="Calibri" w:hAnsi="Calibri" w:cs="Calibri"/>
          <w:sz w:val="24"/>
          <w:szCs w:val="24"/>
        </w:rPr>
        <w:t xml:space="preserve"> rooftop solar PV installation undergoes grid-connection testing to verify peak output capacity, inverter efficiency, and automated BMS communication protocols.</w:t>
      </w:r>
    </w:p>
    <w:p w14:paraId="116C0644" w14:textId="77777777" w:rsidR="00CA32A1" w:rsidRPr="00A1241A" w:rsidRDefault="00CA32A1" w:rsidP="00CA32A1">
      <w:pPr>
        <w:spacing w:line="360" w:lineRule="auto"/>
        <w:rPr>
          <w:rFonts w:ascii="Calibri" w:hAnsi="Calibri" w:cs="Calibri"/>
          <w:b/>
          <w:bCs/>
          <w:sz w:val="24"/>
          <w:szCs w:val="24"/>
        </w:rPr>
      </w:pPr>
      <w:r w:rsidRPr="00A1241A">
        <w:rPr>
          <w:rFonts w:ascii="Calibri" w:hAnsi="Calibri" w:cs="Calibri"/>
          <w:b/>
          <w:bCs/>
          <w:sz w:val="24"/>
          <w:szCs w:val="24"/>
        </w:rPr>
        <w:t>1. Technical Commissioning Phase</w:t>
      </w:r>
    </w:p>
    <w:p w14:paraId="78391326" w14:textId="793514ED" w:rsidR="00CA32A1"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All integrated building systems</w:t>
      </w:r>
      <w:r w:rsidR="004331C8">
        <w:rPr>
          <w:rFonts w:ascii="Calibri" w:hAnsi="Calibri" w:cs="Calibri"/>
          <w:sz w:val="24"/>
          <w:szCs w:val="24"/>
        </w:rPr>
        <w:t xml:space="preserve"> </w:t>
      </w:r>
      <w:r w:rsidRPr="00A1241A">
        <w:rPr>
          <w:rFonts w:ascii="Calibri" w:hAnsi="Calibri" w:cs="Calibri"/>
          <w:sz w:val="24"/>
          <w:szCs w:val="24"/>
        </w:rPr>
        <w:t>including automated fire suppression, emergency lighting, passenger information displays, CCTV feeds, and ticket barrier networks</w:t>
      </w:r>
      <w:r w:rsidR="004331C8">
        <w:rPr>
          <w:rFonts w:ascii="Calibri" w:hAnsi="Calibri" w:cs="Calibri"/>
          <w:sz w:val="24"/>
          <w:szCs w:val="24"/>
        </w:rPr>
        <w:t xml:space="preserve"> </w:t>
      </w:r>
      <w:r w:rsidRPr="00A1241A">
        <w:rPr>
          <w:rFonts w:ascii="Calibri" w:hAnsi="Calibri" w:cs="Calibri"/>
          <w:sz w:val="24"/>
          <w:szCs w:val="24"/>
        </w:rPr>
        <w:t>undergo a 72-hour continuous stress test to verify stability.</w:t>
      </w:r>
    </w:p>
    <w:p w14:paraId="40A09EB4" w14:textId="77777777" w:rsidR="00CA32A1" w:rsidRPr="00A1241A" w:rsidRDefault="00CA32A1" w:rsidP="00CA32A1">
      <w:pPr>
        <w:spacing w:line="360" w:lineRule="auto"/>
        <w:rPr>
          <w:rFonts w:ascii="Calibri" w:hAnsi="Calibri" w:cs="Calibri"/>
          <w:b/>
          <w:bCs/>
          <w:sz w:val="24"/>
          <w:szCs w:val="24"/>
        </w:rPr>
      </w:pPr>
      <w:r w:rsidRPr="00A1241A">
        <w:rPr>
          <w:rFonts w:ascii="Calibri" w:hAnsi="Calibri" w:cs="Calibri"/>
          <w:b/>
          <w:bCs/>
          <w:sz w:val="24"/>
          <w:szCs w:val="24"/>
        </w:rPr>
        <w:t>2. Operational Readiness &amp; Training</w:t>
      </w:r>
    </w:p>
    <w:p w14:paraId="57BB7E74" w14:textId="72999793" w:rsidR="00A1241A" w:rsidRDefault="00CA32A1" w:rsidP="00CA32A1">
      <w:pPr>
        <w:spacing w:line="360" w:lineRule="auto"/>
        <w:rPr>
          <w:rFonts w:ascii="Calibri" w:hAnsi="Calibri" w:cs="Calibri"/>
          <w:sz w:val="24"/>
          <w:szCs w:val="24"/>
        </w:rPr>
      </w:pPr>
      <w:r w:rsidRPr="00A1241A">
        <w:rPr>
          <w:rFonts w:ascii="Calibri" w:hAnsi="Calibri" w:cs="Calibri"/>
          <w:sz w:val="24"/>
          <w:szCs w:val="24"/>
        </w:rPr>
        <w:t>Station operational staff, security teams, and maintenance personnel complete training modules covering BMS operations, manual ticket barrier overrides, lift emergency rescue protocols, and crowd evacuation routines.</w:t>
      </w:r>
    </w:p>
    <w:p w14:paraId="63648F55" w14:textId="77777777" w:rsidR="00A641F8" w:rsidRDefault="00A641F8" w:rsidP="00CA32A1">
      <w:pPr>
        <w:spacing w:line="360" w:lineRule="auto"/>
        <w:rPr>
          <w:rFonts w:ascii="Calibri" w:hAnsi="Calibri" w:cs="Calibri"/>
          <w:sz w:val="24"/>
          <w:szCs w:val="24"/>
        </w:rPr>
      </w:pPr>
    </w:p>
    <w:p w14:paraId="3D834CDD" w14:textId="77777777" w:rsidR="00A641F8" w:rsidRDefault="00A641F8" w:rsidP="00CA32A1">
      <w:pPr>
        <w:spacing w:line="360" w:lineRule="auto"/>
        <w:rPr>
          <w:rFonts w:ascii="Calibri" w:hAnsi="Calibri" w:cs="Calibri"/>
          <w:sz w:val="24"/>
          <w:szCs w:val="24"/>
        </w:rPr>
      </w:pPr>
    </w:p>
    <w:p w14:paraId="17AE4040" w14:textId="77777777" w:rsidR="003F599A" w:rsidRPr="00A1241A" w:rsidRDefault="003F599A" w:rsidP="00CA32A1">
      <w:pPr>
        <w:spacing w:line="360" w:lineRule="auto"/>
        <w:rPr>
          <w:rFonts w:ascii="Calibri" w:hAnsi="Calibri" w:cs="Calibri"/>
          <w:sz w:val="24"/>
          <w:szCs w:val="24"/>
        </w:rPr>
      </w:pPr>
    </w:p>
    <w:p w14:paraId="144B7902" w14:textId="77777777" w:rsidR="00CA32A1" w:rsidRPr="00A1241A" w:rsidRDefault="00CA32A1" w:rsidP="00CA32A1">
      <w:pPr>
        <w:spacing w:line="360" w:lineRule="auto"/>
        <w:rPr>
          <w:rFonts w:ascii="Calibri" w:hAnsi="Calibri" w:cs="Calibri"/>
          <w:b/>
          <w:bCs/>
          <w:sz w:val="24"/>
          <w:szCs w:val="24"/>
        </w:rPr>
      </w:pPr>
      <w:r w:rsidRPr="00A1241A">
        <w:rPr>
          <w:rFonts w:ascii="Calibri" w:hAnsi="Calibri" w:cs="Calibri"/>
          <w:b/>
          <w:bCs/>
          <w:sz w:val="24"/>
          <w:szCs w:val="24"/>
        </w:rPr>
        <w:lastRenderedPageBreak/>
        <w:t>3. Statutory Certification &amp; Public Opening</w:t>
      </w:r>
    </w:p>
    <w:p w14:paraId="7CB29975" w14:textId="63B4AEAB" w:rsidR="00E54995"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Independent safety inspectors and local authority building controls conduct final compliance reviews to issue statutory operating licenses, authorizing the public opening of the renovated terminal at Month 18</w:t>
      </w:r>
      <w:r w:rsidR="00E54995">
        <w:rPr>
          <w:rFonts w:ascii="Calibri" w:hAnsi="Calibri" w:cs="Calibri"/>
          <w:sz w:val="24"/>
          <w:szCs w:val="24"/>
        </w:rPr>
        <w:t>.</w:t>
      </w:r>
    </w:p>
    <w:p w14:paraId="4D530751" w14:textId="77777777" w:rsidR="00CA32A1" w:rsidRPr="00A1241A" w:rsidRDefault="00CA32A1" w:rsidP="00CA32A1">
      <w:pPr>
        <w:spacing w:line="360" w:lineRule="auto"/>
        <w:rPr>
          <w:rFonts w:ascii="Calibri" w:hAnsi="Calibri" w:cs="Calibri"/>
          <w:b/>
          <w:bCs/>
          <w:sz w:val="24"/>
          <w:szCs w:val="24"/>
        </w:rPr>
      </w:pPr>
      <w:r w:rsidRPr="00A1241A">
        <w:rPr>
          <w:rFonts w:ascii="Calibri" w:hAnsi="Calibri" w:cs="Calibri"/>
          <w:b/>
          <w:bCs/>
          <w:sz w:val="24"/>
          <w:szCs w:val="24"/>
        </w:rPr>
        <w:t>4. Post-Occupancy Evaluation (POE)</w:t>
      </w:r>
    </w:p>
    <w:p w14:paraId="054C9BE6" w14:textId="77777777" w:rsidR="00CA32A1" w:rsidRPr="00A1241A" w:rsidRDefault="00CA32A1" w:rsidP="00CA32A1">
      <w:pPr>
        <w:spacing w:line="360" w:lineRule="auto"/>
        <w:rPr>
          <w:rFonts w:ascii="Calibri" w:hAnsi="Calibri" w:cs="Calibri"/>
          <w:sz w:val="24"/>
          <w:szCs w:val="24"/>
        </w:rPr>
      </w:pPr>
      <w:r w:rsidRPr="00A1241A">
        <w:rPr>
          <w:rFonts w:ascii="Calibri" w:hAnsi="Calibri" w:cs="Calibri"/>
          <w:sz w:val="24"/>
          <w:szCs w:val="24"/>
        </w:rPr>
        <w:t>A formal Post-Occupancy Evaluation is conducted 6 months following handover to assess actual performance metrics against initial baseline targets:</w:t>
      </w:r>
    </w:p>
    <w:p w14:paraId="6705887D" w14:textId="77777777" w:rsidR="00CA32A1" w:rsidRPr="00A1241A" w:rsidRDefault="00CA32A1" w:rsidP="00CA32A1">
      <w:pPr>
        <w:numPr>
          <w:ilvl w:val="0"/>
          <w:numId w:val="43"/>
        </w:numPr>
        <w:spacing w:line="360" w:lineRule="auto"/>
        <w:rPr>
          <w:rFonts w:ascii="Calibri" w:hAnsi="Calibri" w:cs="Calibri"/>
          <w:sz w:val="24"/>
          <w:szCs w:val="24"/>
        </w:rPr>
      </w:pPr>
      <w:r w:rsidRPr="00A1241A">
        <w:rPr>
          <w:rFonts w:ascii="Calibri" w:hAnsi="Calibri" w:cs="Calibri"/>
          <w:sz w:val="24"/>
          <w:szCs w:val="24"/>
        </w:rPr>
        <w:t>Confirming the 35% increase in peak hourly passenger throughput capacity.</w:t>
      </w:r>
    </w:p>
    <w:p w14:paraId="5A521D9E" w14:textId="77777777" w:rsidR="00CA32A1" w:rsidRPr="00A1241A" w:rsidRDefault="00CA32A1" w:rsidP="00CA32A1">
      <w:pPr>
        <w:numPr>
          <w:ilvl w:val="0"/>
          <w:numId w:val="43"/>
        </w:numPr>
        <w:spacing w:line="360" w:lineRule="auto"/>
        <w:rPr>
          <w:rFonts w:ascii="Calibri" w:hAnsi="Calibri" w:cs="Calibri"/>
          <w:sz w:val="24"/>
          <w:szCs w:val="24"/>
        </w:rPr>
      </w:pPr>
      <w:r w:rsidRPr="00A1241A">
        <w:rPr>
          <w:rFonts w:ascii="Calibri" w:hAnsi="Calibri" w:cs="Calibri"/>
          <w:sz w:val="24"/>
          <w:szCs w:val="24"/>
        </w:rPr>
        <w:t>Auditing energy meters to confirm the 30% reduction in operational carbon emissions.</w:t>
      </w:r>
    </w:p>
    <w:p w14:paraId="4F7D378F" w14:textId="62476604" w:rsidR="001645B5" w:rsidRDefault="00CA32A1" w:rsidP="001645B5">
      <w:pPr>
        <w:numPr>
          <w:ilvl w:val="0"/>
          <w:numId w:val="43"/>
        </w:numPr>
        <w:spacing w:line="360" w:lineRule="auto"/>
        <w:rPr>
          <w:rFonts w:ascii="Calibri" w:hAnsi="Calibri" w:cs="Calibri"/>
          <w:sz w:val="24"/>
          <w:szCs w:val="24"/>
        </w:rPr>
      </w:pPr>
      <w:r w:rsidRPr="00A1241A">
        <w:rPr>
          <w:rFonts w:ascii="Calibri" w:hAnsi="Calibri" w:cs="Calibri"/>
          <w:sz w:val="24"/>
          <w:szCs w:val="24"/>
        </w:rPr>
        <w:t>Verifying 100% step-free accessibility compliance through customer satisfaction surveys and passenger usage</w:t>
      </w:r>
      <w:r w:rsidR="00A641F8">
        <w:rPr>
          <w:rFonts w:ascii="Calibri" w:hAnsi="Calibri" w:cs="Calibri"/>
          <w:sz w:val="24"/>
          <w:szCs w:val="24"/>
        </w:rPr>
        <w:t>.</w:t>
      </w:r>
    </w:p>
    <w:p w14:paraId="71534E35" w14:textId="77777777" w:rsidR="001645B5" w:rsidRDefault="001645B5" w:rsidP="001645B5">
      <w:pPr>
        <w:spacing w:line="360" w:lineRule="auto"/>
        <w:ind w:left="360"/>
        <w:rPr>
          <w:rFonts w:ascii="Calibri" w:hAnsi="Calibri" w:cs="Calibri"/>
          <w:sz w:val="24"/>
          <w:szCs w:val="24"/>
        </w:rPr>
      </w:pPr>
    </w:p>
    <w:p w14:paraId="1E26A2B6" w14:textId="77777777" w:rsidR="00A641F8" w:rsidRDefault="00A641F8" w:rsidP="001645B5">
      <w:pPr>
        <w:spacing w:line="360" w:lineRule="auto"/>
        <w:ind w:left="360"/>
        <w:rPr>
          <w:rFonts w:ascii="Calibri" w:hAnsi="Calibri" w:cs="Calibri"/>
          <w:sz w:val="24"/>
          <w:szCs w:val="24"/>
        </w:rPr>
      </w:pPr>
    </w:p>
    <w:p w14:paraId="3AD2DF53" w14:textId="77777777" w:rsidR="00A641F8" w:rsidRDefault="00A641F8" w:rsidP="001645B5">
      <w:pPr>
        <w:spacing w:line="360" w:lineRule="auto"/>
        <w:ind w:left="360"/>
        <w:rPr>
          <w:rFonts w:ascii="Calibri" w:hAnsi="Calibri" w:cs="Calibri"/>
          <w:sz w:val="24"/>
          <w:szCs w:val="24"/>
        </w:rPr>
      </w:pPr>
    </w:p>
    <w:p w14:paraId="711C5895" w14:textId="77777777" w:rsidR="00A641F8" w:rsidRDefault="00A641F8" w:rsidP="001645B5">
      <w:pPr>
        <w:spacing w:line="360" w:lineRule="auto"/>
        <w:ind w:left="360"/>
        <w:rPr>
          <w:rFonts w:ascii="Calibri" w:hAnsi="Calibri" w:cs="Calibri"/>
          <w:sz w:val="24"/>
          <w:szCs w:val="24"/>
        </w:rPr>
      </w:pPr>
    </w:p>
    <w:p w14:paraId="1A4CA2DE" w14:textId="77777777" w:rsidR="00A641F8" w:rsidRDefault="00A641F8" w:rsidP="001645B5">
      <w:pPr>
        <w:spacing w:line="360" w:lineRule="auto"/>
        <w:ind w:left="360"/>
        <w:rPr>
          <w:rFonts w:ascii="Calibri" w:hAnsi="Calibri" w:cs="Calibri"/>
          <w:sz w:val="24"/>
          <w:szCs w:val="24"/>
        </w:rPr>
      </w:pPr>
    </w:p>
    <w:p w14:paraId="69845751" w14:textId="77777777" w:rsidR="00A641F8" w:rsidRDefault="00A641F8" w:rsidP="001645B5">
      <w:pPr>
        <w:spacing w:line="360" w:lineRule="auto"/>
        <w:ind w:left="360"/>
        <w:rPr>
          <w:rFonts w:ascii="Calibri" w:hAnsi="Calibri" w:cs="Calibri"/>
          <w:sz w:val="24"/>
          <w:szCs w:val="24"/>
        </w:rPr>
      </w:pPr>
    </w:p>
    <w:p w14:paraId="1FA29174" w14:textId="77777777" w:rsidR="00A641F8" w:rsidRDefault="00A641F8" w:rsidP="001645B5">
      <w:pPr>
        <w:spacing w:line="360" w:lineRule="auto"/>
        <w:ind w:left="360"/>
        <w:rPr>
          <w:rFonts w:ascii="Calibri" w:hAnsi="Calibri" w:cs="Calibri"/>
          <w:sz w:val="24"/>
          <w:szCs w:val="24"/>
        </w:rPr>
      </w:pPr>
    </w:p>
    <w:p w14:paraId="7A30F2EA" w14:textId="77777777" w:rsidR="00A641F8" w:rsidRDefault="00A641F8" w:rsidP="001645B5">
      <w:pPr>
        <w:spacing w:line="360" w:lineRule="auto"/>
        <w:ind w:left="360"/>
        <w:rPr>
          <w:rFonts w:ascii="Calibri" w:hAnsi="Calibri" w:cs="Calibri"/>
          <w:sz w:val="24"/>
          <w:szCs w:val="24"/>
        </w:rPr>
      </w:pPr>
    </w:p>
    <w:p w14:paraId="40E0E481" w14:textId="77777777" w:rsidR="00A641F8" w:rsidRDefault="00A641F8" w:rsidP="001645B5">
      <w:pPr>
        <w:spacing w:line="360" w:lineRule="auto"/>
        <w:ind w:left="360"/>
        <w:rPr>
          <w:rFonts w:ascii="Calibri" w:hAnsi="Calibri" w:cs="Calibri"/>
          <w:sz w:val="24"/>
          <w:szCs w:val="24"/>
        </w:rPr>
      </w:pPr>
    </w:p>
    <w:p w14:paraId="4F0142AD" w14:textId="77777777" w:rsidR="00A641F8" w:rsidRDefault="00A641F8" w:rsidP="001645B5">
      <w:pPr>
        <w:spacing w:line="360" w:lineRule="auto"/>
        <w:ind w:left="360"/>
        <w:rPr>
          <w:rFonts w:ascii="Calibri" w:hAnsi="Calibri" w:cs="Calibri"/>
          <w:sz w:val="24"/>
          <w:szCs w:val="24"/>
        </w:rPr>
      </w:pPr>
    </w:p>
    <w:p w14:paraId="70B92AAE" w14:textId="77777777" w:rsidR="00A641F8" w:rsidRDefault="00A641F8" w:rsidP="001645B5">
      <w:pPr>
        <w:spacing w:line="360" w:lineRule="auto"/>
        <w:ind w:left="360"/>
        <w:rPr>
          <w:rFonts w:ascii="Calibri" w:hAnsi="Calibri" w:cs="Calibri"/>
          <w:sz w:val="24"/>
          <w:szCs w:val="24"/>
        </w:rPr>
      </w:pPr>
    </w:p>
    <w:p w14:paraId="4E8AAC04" w14:textId="77777777" w:rsidR="00A641F8" w:rsidRDefault="00A641F8" w:rsidP="001645B5">
      <w:pPr>
        <w:spacing w:line="360" w:lineRule="auto"/>
        <w:ind w:left="360"/>
        <w:rPr>
          <w:rFonts w:ascii="Calibri" w:hAnsi="Calibri" w:cs="Calibri"/>
          <w:sz w:val="24"/>
          <w:szCs w:val="24"/>
        </w:rPr>
      </w:pPr>
    </w:p>
    <w:p w14:paraId="3A859B4B" w14:textId="77777777" w:rsidR="00A641F8" w:rsidRDefault="00A641F8" w:rsidP="001645B5">
      <w:pPr>
        <w:spacing w:line="360" w:lineRule="auto"/>
        <w:ind w:left="720"/>
        <w:rPr>
          <w:rFonts w:ascii="Calibri" w:hAnsi="Calibri" w:cs="Calibri"/>
          <w:sz w:val="24"/>
          <w:szCs w:val="24"/>
        </w:rPr>
      </w:pPr>
    </w:p>
    <w:p w14:paraId="0442ADC7" w14:textId="71288510" w:rsidR="00CA32A1" w:rsidRPr="001645B5" w:rsidRDefault="00CA32A1" w:rsidP="00A641F8">
      <w:pPr>
        <w:pStyle w:val="Heading3"/>
        <w:rPr>
          <w:rFonts w:eastAsiaTheme="minorHAnsi"/>
        </w:rPr>
      </w:pPr>
      <w:bookmarkStart w:id="23" w:name="_Toc237895548"/>
      <w:r w:rsidRPr="001645B5">
        <w:rPr>
          <w:rFonts w:eastAsia="Times New Roman"/>
          <w:lang w:eastAsia="en-GB"/>
        </w:rPr>
        <w:lastRenderedPageBreak/>
        <w:t>Conclusion</w:t>
      </w:r>
      <w:bookmarkEnd w:id="23"/>
    </w:p>
    <w:p w14:paraId="0D114FB6" w14:textId="77777777" w:rsidR="00CA32A1" w:rsidRDefault="00CA32A1" w:rsidP="00E54995">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The Central Transport Hub Redevelopment Project provides a critical infrastructure upgrade designed to solve long-standing urban transport challenges, including capacity bottlenecks, poor multimodal integration, accessibility non-compliance, and high operational carbon footprints. By deploying modern civil engineering techniques alongside digital transport infrastructure, the project transforms an aging station into a low-carbon, accessible urban transport node capable of serving regional travel demands over the next 50 years.</w:t>
      </w:r>
    </w:p>
    <w:p w14:paraId="12DD3F53" w14:textId="77777777" w:rsidR="00E54995" w:rsidRPr="00A1241A" w:rsidRDefault="00E54995" w:rsidP="00E54995">
      <w:pPr>
        <w:pStyle w:val="ListParagraph"/>
        <w:spacing w:before="100" w:beforeAutospacing="1" w:after="100" w:afterAutospacing="1" w:line="360" w:lineRule="auto"/>
        <w:rPr>
          <w:rFonts w:ascii="Calibri" w:eastAsia="Times New Roman" w:hAnsi="Calibri" w:cs="Calibri"/>
          <w:sz w:val="24"/>
          <w:szCs w:val="24"/>
          <w:lang w:eastAsia="en-GB"/>
        </w:rPr>
      </w:pPr>
    </w:p>
    <w:p w14:paraId="6C2BB73B" w14:textId="77777777" w:rsidR="00CA32A1" w:rsidRDefault="00CA32A1" w:rsidP="00E54995">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Achieving this vision requires disciplined project management execution. By integrating the core principles of the APM Body of Knowledge (7th Edition), the PMI PMBOK Guide (7th Edition), and the UK Treasury Green Book, this Project Management Plan establishes a comprehensive baseline across all project domains.</w:t>
      </w:r>
    </w:p>
    <w:p w14:paraId="5AC2B158" w14:textId="77777777" w:rsidR="00E54995" w:rsidRPr="00A1241A" w:rsidRDefault="00E54995" w:rsidP="00E54995">
      <w:pPr>
        <w:pStyle w:val="ListParagraph"/>
        <w:spacing w:before="100" w:beforeAutospacing="1" w:after="100" w:afterAutospacing="1" w:line="360" w:lineRule="auto"/>
        <w:rPr>
          <w:rFonts w:ascii="Calibri" w:eastAsia="Times New Roman" w:hAnsi="Calibri" w:cs="Calibri"/>
          <w:sz w:val="24"/>
          <w:szCs w:val="24"/>
          <w:lang w:eastAsia="en-GB"/>
        </w:rPr>
      </w:pPr>
    </w:p>
    <w:p w14:paraId="64214286" w14:textId="77777777" w:rsidR="00CA32A1" w:rsidRDefault="00CA32A1" w:rsidP="00E54995">
      <w:pPr>
        <w:pStyle w:val="ListParagraph"/>
        <w:spacing w:before="100" w:beforeAutospacing="1" w:after="100" w:afterAutospacing="1" w:line="360" w:lineRule="auto"/>
        <w:rPr>
          <w:rFonts w:ascii="Calibri" w:eastAsia="Times New Roman" w:hAnsi="Calibri" w:cs="Calibri"/>
          <w:sz w:val="24"/>
          <w:szCs w:val="24"/>
          <w:lang w:eastAsia="en-GB"/>
        </w:rPr>
      </w:pPr>
      <w:r w:rsidRPr="00A1241A">
        <w:rPr>
          <w:rFonts w:ascii="Calibri" w:eastAsia="Times New Roman" w:hAnsi="Calibri" w:cs="Calibri"/>
          <w:sz w:val="24"/>
          <w:szCs w:val="24"/>
          <w:lang w:eastAsia="en-GB"/>
        </w:rPr>
        <w:t>Decomposing the £15,000,000 capital scope into a 3-level Work Breakdown Structure ensures clear accountability across work packages. The 18-month master schedule, governed by Critical Path Method (CPM) precedence logic, provides a structured roadmap that minimizes public travel disruptions. Furthermore, proactive stakeholder engagement frameworks, Just-In-Time (JIT) material staging logistics, rigorous quality control protocols, and continuous risk management strategies ensure the project is equipped to mitigate unforeseen subterranean, commercial, and technical challenges.</w:t>
      </w:r>
    </w:p>
    <w:p w14:paraId="57784309" w14:textId="77777777" w:rsidR="00CA32A1" w:rsidRDefault="00CA32A1" w:rsidP="00CA32A1">
      <w:pPr>
        <w:spacing w:line="360" w:lineRule="auto"/>
        <w:rPr>
          <w:rFonts w:ascii="Calibri" w:hAnsi="Calibri" w:cs="Calibri"/>
          <w:sz w:val="24"/>
          <w:szCs w:val="24"/>
        </w:rPr>
      </w:pPr>
    </w:p>
    <w:p w14:paraId="200294C7" w14:textId="77777777" w:rsidR="005E2CC5" w:rsidRDefault="005E2CC5" w:rsidP="00CA32A1">
      <w:pPr>
        <w:spacing w:line="360" w:lineRule="auto"/>
        <w:rPr>
          <w:rFonts w:ascii="Calibri" w:hAnsi="Calibri" w:cs="Calibri"/>
          <w:sz w:val="24"/>
          <w:szCs w:val="24"/>
        </w:rPr>
      </w:pPr>
    </w:p>
    <w:p w14:paraId="425C516E" w14:textId="77777777" w:rsidR="005E2CC5" w:rsidRDefault="005E2CC5" w:rsidP="00CA32A1">
      <w:pPr>
        <w:spacing w:line="360" w:lineRule="auto"/>
        <w:rPr>
          <w:rFonts w:ascii="Calibri" w:hAnsi="Calibri" w:cs="Calibri"/>
          <w:sz w:val="24"/>
          <w:szCs w:val="24"/>
        </w:rPr>
      </w:pPr>
    </w:p>
    <w:p w14:paraId="03354791" w14:textId="77777777" w:rsidR="005E2CC5" w:rsidRPr="00A1241A" w:rsidRDefault="005E2CC5" w:rsidP="00CA32A1">
      <w:pPr>
        <w:spacing w:line="360" w:lineRule="auto"/>
        <w:rPr>
          <w:rFonts w:ascii="Calibri" w:hAnsi="Calibri" w:cs="Calibri"/>
          <w:sz w:val="24"/>
          <w:szCs w:val="24"/>
        </w:rPr>
      </w:pPr>
    </w:p>
    <w:p w14:paraId="00B10966" w14:textId="77777777" w:rsidR="00CA32A1" w:rsidRPr="00A1241A" w:rsidRDefault="00CA32A1" w:rsidP="00CA32A1">
      <w:pPr>
        <w:spacing w:line="360" w:lineRule="auto"/>
        <w:rPr>
          <w:rFonts w:ascii="Calibri" w:hAnsi="Calibri" w:cs="Calibri"/>
          <w:sz w:val="24"/>
          <w:szCs w:val="24"/>
        </w:rPr>
      </w:pPr>
    </w:p>
    <w:p w14:paraId="34F3EEBE" w14:textId="22C23CE3" w:rsidR="00CA32A1" w:rsidRPr="00E54995" w:rsidRDefault="00CA32A1" w:rsidP="00A641F8">
      <w:pPr>
        <w:pStyle w:val="Heading3"/>
      </w:pPr>
      <w:bookmarkStart w:id="24" w:name="_Toc237895549"/>
      <w:r w:rsidRPr="00E54995">
        <w:lastRenderedPageBreak/>
        <w:t>References</w:t>
      </w:r>
      <w:bookmarkEnd w:id="24"/>
    </w:p>
    <w:p w14:paraId="0D1AC08D"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Association for Project Management (APM), 2019. </w:t>
      </w:r>
      <w:r w:rsidRPr="00A1241A">
        <w:rPr>
          <w:rFonts w:ascii="Calibri" w:hAnsi="Calibri" w:cs="Calibri"/>
          <w:i/>
          <w:iCs/>
          <w:sz w:val="24"/>
          <w:szCs w:val="24"/>
        </w:rPr>
        <w:t>APM Body of Knowledge</w:t>
      </w:r>
      <w:r w:rsidRPr="00A1241A">
        <w:rPr>
          <w:rFonts w:ascii="Calibri" w:hAnsi="Calibri" w:cs="Calibri"/>
          <w:sz w:val="24"/>
          <w:szCs w:val="24"/>
        </w:rPr>
        <w:t>. 7th ed. Princes Risborough: Association for Project Management.</w:t>
      </w:r>
    </w:p>
    <w:p w14:paraId="56598650"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BSI, 2015. </w:t>
      </w:r>
      <w:r w:rsidRPr="00A1241A">
        <w:rPr>
          <w:rFonts w:ascii="Calibri" w:hAnsi="Calibri" w:cs="Calibri"/>
          <w:i/>
          <w:iCs/>
          <w:sz w:val="24"/>
          <w:szCs w:val="24"/>
        </w:rPr>
        <w:t>BS EN ISO 9001:2015 Quality Management Systems – Requirements</w:t>
      </w:r>
      <w:r w:rsidRPr="00A1241A">
        <w:rPr>
          <w:rFonts w:ascii="Calibri" w:hAnsi="Calibri" w:cs="Calibri"/>
          <w:sz w:val="24"/>
          <w:szCs w:val="24"/>
        </w:rPr>
        <w:t>. London: British Standards Institution.</w:t>
      </w:r>
    </w:p>
    <w:p w14:paraId="43828188"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Burke, R., 2021. </w:t>
      </w:r>
      <w:r w:rsidRPr="00A1241A">
        <w:rPr>
          <w:rFonts w:ascii="Calibri" w:hAnsi="Calibri" w:cs="Calibri"/>
          <w:i/>
          <w:iCs/>
          <w:sz w:val="24"/>
          <w:szCs w:val="24"/>
        </w:rPr>
        <w:t>Project Management: Planning and Control Techniques</w:t>
      </w:r>
      <w:r w:rsidRPr="00A1241A">
        <w:rPr>
          <w:rFonts w:ascii="Calibri" w:hAnsi="Calibri" w:cs="Calibri"/>
          <w:sz w:val="24"/>
          <w:szCs w:val="24"/>
        </w:rPr>
        <w:t>. 6th ed. Chichester: John Wiley &amp; Sons.</w:t>
      </w:r>
    </w:p>
    <w:p w14:paraId="00B0096A"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Department for Transport (DfT), 2020. </w:t>
      </w:r>
      <w:r w:rsidRPr="00A1241A">
        <w:rPr>
          <w:rFonts w:ascii="Calibri" w:hAnsi="Calibri" w:cs="Calibri"/>
          <w:i/>
          <w:iCs/>
          <w:sz w:val="24"/>
          <w:szCs w:val="24"/>
        </w:rPr>
        <w:t>Decarbonising Transport: Setting the Challenge</w:t>
      </w:r>
      <w:r w:rsidRPr="00A1241A">
        <w:rPr>
          <w:rFonts w:ascii="Calibri" w:hAnsi="Calibri" w:cs="Calibri"/>
          <w:sz w:val="24"/>
          <w:szCs w:val="24"/>
        </w:rPr>
        <w:t>. London: HMSO.</w:t>
      </w:r>
    </w:p>
    <w:p w14:paraId="7C65D429"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HM Treasury, 2020. </w:t>
      </w:r>
      <w:r w:rsidRPr="00A1241A">
        <w:rPr>
          <w:rFonts w:ascii="Calibri" w:hAnsi="Calibri" w:cs="Calibri"/>
          <w:i/>
          <w:iCs/>
          <w:sz w:val="24"/>
          <w:szCs w:val="24"/>
        </w:rPr>
        <w:t>The Green Book: Central Government Guidance on Appraisal and Evaluation</w:t>
      </w:r>
      <w:r w:rsidRPr="00A1241A">
        <w:rPr>
          <w:rFonts w:ascii="Calibri" w:hAnsi="Calibri" w:cs="Calibri"/>
          <w:sz w:val="24"/>
          <w:szCs w:val="24"/>
        </w:rPr>
        <w:t>. London: Management and Budget Officer, HM Treasury.</w:t>
      </w:r>
    </w:p>
    <w:p w14:paraId="698932FD"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Kerzner, H., 2017. </w:t>
      </w:r>
      <w:r w:rsidRPr="00A1241A">
        <w:rPr>
          <w:rFonts w:ascii="Calibri" w:hAnsi="Calibri" w:cs="Calibri"/>
          <w:i/>
          <w:iCs/>
          <w:sz w:val="24"/>
          <w:szCs w:val="24"/>
        </w:rPr>
        <w:t>Project Management: A Systems Approach to Planning, Scheduling, and Controlling</w:t>
      </w:r>
      <w:r w:rsidRPr="00A1241A">
        <w:rPr>
          <w:rFonts w:ascii="Calibri" w:hAnsi="Calibri" w:cs="Calibri"/>
          <w:sz w:val="24"/>
          <w:szCs w:val="24"/>
        </w:rPr>
        <w:t>. 12th ed. Hoboken: John Wiley &amp; Sons.</w:t>
      </w:r>
    </w:p>
    <w:p w14:paraId="4F75F04C"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Lock, D., 2020. </w:t>
      </w:r>
      <w:r w:rsidRPr="00A1241A">
        <w:rPr>
          <w:rFonts w:ascii="Calibri" w:hAnsi="Calibri" w:cs="Calibri"/>
          <w:i/>
          <w:iCs/>
          <w:sz w:val="24"/>
          <w:szCs w:val="24"/>
        </w:rPr>
        <w:t>Project Management</w:t>
      </w:r>
      <w:r w:rsidRPr="00A1241A">
        <w:rPr>
          <w:rFonts w:ascii="Calibri" w:hAnsi="Calibri" w:cs="Calibri"/>
          <w:sz w:val="24"/>
          <w:szCs w:val="24"/>
        </w:rPr>
        <w:t>. 10th ed. London: Routledge.</w:t>
      </w:r>
    </w:p>
    <w:p w14:paraId="7A906C06"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Meredith, J.R., Shafer, S.M. and Mantel Jr, S.J., 2017. </w:t>
      </w:r>
      <w:r w:rsidRPr="00A1241A">
        <w:rPr>
          <w:rFonts w:ascii="Calibri" w:hAnsi="Calibri" w:cs="Calibri"/>
          <w:i/>
          <w:iCs/>
          <w:sz w:val="24"/>
          <w:szCs w:val="24"/>
        </w:rPr>
        <w:t>Project Management: A Strategic Managerial Approach</w:t>
      </w:r>
      <w:r w:rsidRPr="00A1241A">
        <w:rPr>
          <w:rFonts w:ascii="Calibri" w:hAnsi="Calibri" w:cs="Calibri"/>
          <w:sz w:val="24"/>
          <w:szCs w:val="24"/>
        </w:rPr>
        <w:t>. 10th ed. Hoboken: John Wiley &amp; Sons.</w:t>
      </w:r>
    </w:p>
    <w:p w14:paraId="118D08E9"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Nicholas, J.M. and Steyn, H., 2020. </w:t>
      </w:r>
      <w:r w:rsidRPr="00A1241A">
        <w:rPr>
          <w:rFonts w:ascii="Calibri" w:hAnsi="Calibri" w:cs="Calibri"/>
          <w:i/>
          <w:iCs/>
          <w:sz w:val="24"/>
          <w:szCs w:val="24"/>
        </w:rPr>
        <w:t>Project Management for Engineering, Business and Technology</w:t>
      </w:r>
      <w:r w:rsidRPr="00A1241A">
        <w:rPr>
          <w:rFonts w:ascii="Calibri" w:hAnsi="Calibri" w:cs="Calibri"/>
          <w:sz w:val="24"/>
          <w:szCs w:val="24"/>
        </w:rPr>
        <w:t>. 6th ed. London: Routledge.</w:t>
      </w:r>
    </w:p>
    <w:p w14:paraId="6A9B8751"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Pinto, J.K., 2019. </w:t>
      </w:r>
      <w:r w:rsidRPr="00A1241A">
        <w:rPr>
          <w:rFonts w:ascii="Calibri" w:hAnsi="Calibri" w:cs="Calibri"/>
          <w:i/>
          <w:iCs/>
          <w:sz w:val="24"/>
          <w:szCs w:val="24"/>
        </w:rPr>
        <w:t>Project Management: Achieving Competitive Advantage</w:t>
      </w:r>
      <w:r w:rsidRPr="00A1241A">
        <w:rPr>
          <w:rFonts w:ascii="Calibri" w:hAnsi="Calibri" w:cs="Calibri"/>
          <w:sz w:val="24"/>
          <w:szCs w:val="24"/>
        </w:rPr>
        <w:t>. 5th ed. Boston: Pearson.</w:t>
      </w:r>
    </w:p>
    <w:p w14:paraId="6BA322DD" w14:textId="77777777"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Project Management Institute (PMI), 2021. </w:t>
      </w:r>
      <w:r w:rsidRPr="00A1241A">
        <w:rPr>
          <w:rFonts w:ascii="Calibri" w:hAnsi="Calibri" w:cs="Calibri"/>
          <w:i/>
          <w:iCs/>
          <w:sz w:val="24"/>
          <w:szCs w:val="24"/>
        </w:rPr>
        <w:t>A Guide to the Project Management Body of Knowledge (PMBOK Guide)</w:t>
      </w:r>
      <w:r w:rsidRPr="00A1241A">
        <w:rPr>
          <w:rFonts w:ascii="Calibri" w:hAnsi="Calibri" w:cs="Calibri"/>
          <w:sz w:val="24"/>
          <w:szCs w:val="24"/>
        </w:rPr>
        <w:t>. 7th ed. Newtown Square: Project Management Institute.</w:t>
      </w:r>
    </w:p>
    <w:p w14:paraId="42955BF8" w14:textId="6F87BB55" w:rsidR="00CA32A1" w:rsidRPr="00A1241A" w:rsidRDefault="00CA32A1" w:rsidP="00A641F8">
      <w:pPr>
        <w:spacing w:line="360" w:lineRule="auto"/>
        <w:ind w:left="360"/>
        <w:rPr>
          <w:rFonts w:ascii="Calibri" w:hAnsi="Calibri" w:cs="Calibri"/>
          <w:sz w:val="24"/>
          <w:szCs w:val="24"/>
        </w:rPr>
      </w:pPr>
      <w:r w:rsidRPr="00A1241A">
        <w:rPr>
          <w:rFonts w:ascii="Calibri" w:hAnsi="Calibri" w:cs="Calibri"/>
          <w:sz w:val="24"/>
          <w:szCs w:val="24"/>
        </w:rPr>
        <w:t xml:space="preserve">Transport for London (TfL), 2021. </w:t>
      </w:r>
      <w:r w:rsidRPr="00A1241A">
        <w:rPr>
          <w:rFonts w:ascii="Calibri" w:hAnsi="Calibri" w:cs="Calibri"/>
          <w:i/>
          <w:iCs/>
          <w:sz w:val="24"/>
          <w:szCs w:val="24"/>
        </w:rPr>
        <w:t>Interchange Best Practice Guidelines</w:t>
      </w:r>
      <w:r w:rsidRPr="00A1241A">
        <w:rPr>
          <w:rFonts w:ascii="Calibri" w:hAnsi="Calibri" w:cs="Calibri"/>
          <w:sz w:val="24"/>
          <w:szCs w:val="24"/>
        </w:rPr>
        <w:t>. London: Transport for London.</w:t>
      </w:r>
    </w:p>
    <w:p w14:paraId="235E31C3" w14:textId="77777777" w:rsidR="00DD50D9" w:rsidRPr="00A1241A" w:rsidRDefault="00DD50D9" w:rsidP="00C133BA"/>
    <w:p w14:paraId="1551327E" w14:textId="77777777" w:rsidR="00DD50D9" w:rsidRPr="00A1241A" w:rsidRDefault="00DD50D9" w:rsidP="00C133BA"/>
    <w:p w14:paraId="212CD960" w14:textId="77777777" w:rsidR="00DD50D9" w:rsidRPr="00A1241A" w:rsidRDefault="00DD50D9" w:rsidP="00C133BA"/>
    <w:p w14:paraId="098C62C4" w14:textId="77777777" w:rsidR="00DD50D9" w:rsidRPr="00A1241A" w:rsidRDefault="00DD50D9" w:rsidP="00C133BA"/>
    <w:p w14:paraId="7AB6D4FB" w14:textId="77777777" w:rsidR="00DD50D9" w:rsidRPr="00A1241A" w:rsidRDefault="00DD50D9" w:rsidP="00C133BA"/>
    <w:p w14:paraId="00785DBB" w14:textId="77777777" w:rsidR="00DD50D9" w:rsidRPr="00A1241A" w:rsidRDefault="00DD50D9" w:rsidP="00C133BA"/>
    <w:p w14:paraId="24A70F60" w14:textId="77777777" w:rsidR="00DD50D9" w:rsidRPr="00A1241A" w:rsidRDefault="00DD50D9" w:rsidP="00C133BA"/>
    <w:p w14:paraId="4D1D421F" w14:textId="77777777" w:rsidR="00DD50D9" w:rsidRPr="00A1241A" w:rsidRDefault="00DD50D9" w:rsidP="00C133BA"/>
    <w:p w14:paraId="6EAAB896" w14:textId="77777777" w:rsidR="00DD50D9" w:rsidRPr="00A1241A" w:rsidRDefault="00DD50D9" w:rsidP="00C133BA"/>
    <w:p w14:paraId="6FB617AB" w14:textId="77777777" w:rsidR="00DD50D9" w:rsidRPr="00A1241A" w:rsidRDefault="00DD50D9" w:rsidP="00C133BA"/>
    <w:p w14:paraId="00F15B0C" w14:textId="77777777" w:rsidR="00DD50D9" w:rsidRPr="00A1241A" w:rsidRDefault="00DD50D9" w:rsidP="00C133BA"/>
    <w:p w14:paraId="348D2DEB" w14:textId="1C1215C1" w:rsidR="004F120A" w:rsidRPr="00A1241A" w:rsidRDefault="004F120A"/>
    <w:p w14:paraId="1CAC7F7F" w14:textId="670DAD01" w:rsidR="004F120A" w:rsidRPr="00A1241A" w:rsidRDefault="004F120A"/>
    <w:p w14:paraId="4ADDD66B" w14:textId="5093F318" w:rsidR="004F120A" w:rsidRPr="00A1241A" w:rsidRDefault="004F120A"/>
    <w:p w14:paraId="4E6367CD" w14:textId="5236358E" w:rsidR="004F120A" w:rsidRPr="00A1241A" w:rsidRDefault="004F120A"/>
    <w:p w14:paraId="55286C21" w14:textId="41898016" w:rsidR="004F120A" w:rsidRPr="00A1241A" w:rsidRDefault="004F120A"/>
    <w:sectPr w:rsidR="004F120A" w:rsidRPr="00A1241A" w:rsidSect="00C133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64DAF" w14:textId="77777777" w:rsidR="00137A8B" w:rsidRDefault="00137A8B" w:rsidP="00486AAC">
      <w:pPr>
        <w:spacing w:after="0" w:line="240" w:lineRule="auto"/>
      </w:pPr>
      <w:r>
        <w:separator/>
      </w:r>
    </w:p>
  </w:endnote>
  <w:endnote w:type="continuationSeparator" w:id="0">
    <w:p w14:paraId="73AE8439" w14:textId="77777777" w:rsidR="00137A8B" w:rsidRDefault="00137A8B" w:rsidP="00486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font>
  <w:font w:name="Aptos Display">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8CB0E" w14:textId="77777777" w:rsidR="00137A8B" w:rsidRDefault="00137A8B" w:rsidP="00486AAC">
      <w:pPr>
        <w:spacing w:after="0" w:line="240" w:lineRule="auto"/>
      </w:pPr>
      <w:r>
        <w:separator/>
      </w:r>
    </w:p>
  </w:footnote>
  <w:footnote w:type="continuationSeparator" w:id="0">
    <w:p w14:paraId="26C8F5D7" w14:textId="77777777" w:rsidR="00137A8B" w:rsidRDefault="00137A8B" w:rsidP="00486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33F"/>
    <w:multiLevelType w:val="multilevel"/>
    <w:tmpl w:val="F5681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93447"/>
    <w:multiLevelType w:val="multilevel"/>
    <w:tmpl w:val="90AEF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E4344"/>
    <w:multiLevelType w:val="multilevel"/>
    <w:tmpl w:val="9D4CE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60E5A"/>
    <w:multiLevelType w:val="multilevel"/>
    <w:tmpl w:val="6DE6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C72B82"/>
    <w:multiLevelType w:val="multilevel"/>
    <w:tmpl w:val="AAB45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27308"/>
    <w:multiLevelType w:val="multilevel"/>
    <w:tmpl w:val="8ED4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4F7ECE"/>
    <w:multiLevelType w:val="multilevel"/>
    <w:tmpl w:val="13562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F17000"/>
    <w:multiLevelType w:val="multilevel"/>
    <w:tmpl w:val="2306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B0E43"/>
    <w:multiLevelType w:val="multilevel"/>
    <w:tmpl w:val="CBEE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3C5A27"/>
    <w:multiLevelType w:val="multilevel"/>
    <w:tmpl w:val="885A6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E2843"/>
    <w:multiLevelType w:val="multilevel"/>
    <w:tmpl w:val="9980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9B6912"/>
    <w:multiLevelType w:val="multilevel"/>
    <w:tmpl w:val="6472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4848C9"/>
    <w:multiLevelType w:val="multilevel"/>
    <w:tmpl w:val="F1AA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843F58"/>
    <w:multiLevelType w:val="multilevel"/>
    <w:tmpl w:val="B0040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881FBD"/>
    <w:multiLevelType w:val="multilevel"/>
    <w:tmpl w:val="9572A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33305"/>
    <w:multiLevelType w:val="multilevel"/>
    <w:tmpl w:val="F9A4A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7E3D8B"/>
    <w:multiLevelType w:val="multilevel"/>
    <w:tmpl w:val="7E089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D812D6"/>
    <w:multiLevelType w:val="multilevel"/>
    <w:tmpl w:val="A01E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0E10CB"/>
    <w:multiLevelType w:val="multilevel"/>
    <w:tmpl w:val="C530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206D3A"/>
    <w:multiLevelType w:val="multilevel"/>
    <w:tmpl w:val="0FFC7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9C7A46"/>
    <w:multiLevelType w:val="multilevel"/>
    <w:tmpl w:val="4836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9D05CD"/>
    <w:multiLevelType w:val="multilevel"/>
    <w:tmpl w:val="8354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67333"/>
    <w:multiLevelType w:val="multilevel"/>
    <w:tmpl w:val="647C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3447A7"/>
    <w:multiLevelType w:val="multilevel"/>
    <w:tmpl w:val="4B66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864A11"/>
    <w:multiLevelType w:val="multilevel"/>
    <w:tmpl w:val="5D5E6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166F26"/>
    <w:multiLevelType w:val="multilevel"/>
    <w:tmpl w:val="B292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AC310A"/>
    <w:multiLevelType w:val="multilevel"/>
    <w:tmpl w:val="FBC68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0E6E03"/>
    <w:multiLevelType w:val="multilevel"/>
    <w:tmpl w:val="5F5CD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3C434E"/>
    <w:multiLevelType w:val="multilevel"/>
    <w:tmpl w:val="8722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064E4E"/>
    <w:multiLevelType w:val="multilevel"/>
    <w:tmpl w:val="75FC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4D0CEF"/>
    <w:multiLevelType w:val="multilevel"/>
    <w:tmpl w:val="981C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BB24F8"/>
    <w:multiLevelType w:val="multilevel"/>
    <w:tmpl w:val="F49A6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1DD2910"/>
    <w:multiLevelType w:val="multilevel"/>
    <w:tmpl w:val="FFB8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DB2358"/>
    <w:multiLevelType w:val="multilevel"/>
    <w:tmpl w:val="5FB6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894925"/>
    <w:multiLevelType w:val="multilevel"/>
    <w:tmpl w:val="88AE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CE2B91"/>
    <w:multiLevelType w:val="multilevel"/>
    <w:tmpl w:val="1E42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AA7D99"/>
    <w:multiLevelType w:val="multilevel"/>
    <w:tmpl w:val="31DC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883983"/>
    <w:multiLevelType w:val="multilevel"/>
    <w:tmpl w:val="060A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900C8B"/>
    <w:multiLevelType w:val="multilevel"/>
    <w:tmpl w:val="CC68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9E6578"/>
    <w:multiLevelType w:val="multilevel"/>
    <w:tmpl w:val="0422D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6A2F55"/>
    <w:multiLevelType w:val="multilevel"/>
    <w:tmpl w:val="12D4C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DCB1C8D"/>
    <w:multiLevelType w:val="multilevel"/>
    <w:tmpl w:val="0AF6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351BAC"/>
    <w:multiLevelType w:val="multilevel"/>
    <w:tmpl w:val="99225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066E88"/>
    <w:multiLevelType w:val="multilevel"/>
    <w:tmpl w:val="58F4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8679680">
    <w:abstractNumId w:val="33"/>
  </w:num>
  <w:num w:numId="2" w16cid:durableId="1872835132">
    <w:abstractNumId w:val="22"/>
  </w:num>
  <w:num w:numId="3" w16cid:durableId="544562689">
    <w:abstractNumId w:val="32"/>
  </w:num>
  <w:num w:numId="4" w16cid:durableId="1202476965">
    <w:abstractNumId w:val="13"/>
  </w:num>
  <w:num w:numId="5" w16cid:durableId="958268427">
    <w:abstractNumId w:val="15"/>
  </w:num>
  <w:num w:numId="6" w16cid:durableId="840894615">
    <w:abstractNumId w:val="21"/>
  </w:num>
  <w:num w:numId="7" w16cid:durableId="966349923">
    <w:abstractNumId w:val="18"/>
  </w:num>
  <w:num w:numId="8" w16cid:durableId="2005544503">
    <w:abstractNumId w:val="42"/>
  </w:num>
  <w:num w:numId="9" w16cid:durableId="1780291102">
    <w:abstractNumId w:val="0"/>
  </w:num>
  <w:num w:numId="10" w16cid:durableId="1636374546">
    <w:abstractNumId w:val="6"/>
  </w:num>
  <w:num w:numId="11" w16cid:durableId="1178888408">
    <w:abstractNumId w:val="41"/>
  </w:num>
  <w:num w:numId="12" w16cid:durableId="1644773770">
    <w:abstractNumId w:val="28"/>
  </w:num>
  <w:num w:numId="13" w16cid:durableId="466701070">
    <w:abstractNumId w:val="9"/>
  </w:num>
  <w:num w:numId="14" w16cid:durableId="1307390211">
    <w:abstractNumId w:val="7"/>
  </w:num>
  <w:num w:numId="15" w16cid:durableId="655032346">
    <w:abstractNumId w:val="3"/>
  </w:num>
  <w:num w:numId="16" w16cid:durableId="1856532422">
    <w:abstractNumId w:val="37"/>
  </w:num>
  <w:num w:numId="17" w16cid:durableId="700517213">
    <w:abstractNumId w:val="14"/>
  </w:num>
  <w:num w:numId="18" w16cid:durableId="248781664">
    <w:abstractNumId w:val="19"/>
  </w:num>
  <w:num w:numId="19" w16cid:durableId="2138141350">
    <w:abstractNumId w:val="27"/>
  </w:num>
  <w:num w:numId="20" w16cid:durableId="107627984">
    <w:abstractNumId w:val="12"/>
  </w:num>
  <w:num w:numId="21" w16cid:durableId="1500922214">
    <w:abstractNumId w:val="39"/>
  </w:num>
  <w:num w:numId="22" w16cid:durableId="1704208323">
    <w:abstractNumId w:val="5"/>
  </w:num>
  <w:num w:numId="23" w16cid:durableId="2119254105">
    <w:abstractNumId w:val="10"/>
  </w:num>
  <w:num w:numId="24" w16cid:durableId="2102333951">
    <w:abstractNumId w:val="35"/>
  </w:num>
  <w:num w:numId="25" w16cid:durableId="554392055">
    <w:abstractNumId w:val="43"/>
  </w:num>
  <w:num w:numId="26" w16cid:durableId="523204440">
    <w:abstractNumId w:val="17"/>
  </w:num>
  <w:num w:numId="27" w16cid:durableId="993335642">
    <w:abstractNumId w:val="11"/>
  </w:num>
  <w:num w:numId="28" w16cid:durableId="1840927767">
    <w:abstractNumId w:val="36"/>
  </w:num>
  <w:num w:numId="29" w16cid:durableId="1367173631">
    <w:abstractNumId w:val="25"/>
  </w:num>
  <w:num w:numId="30" w16cid:durableId="2091192654">
    <w:abstractNumId w:val="34"/>
  </w:num>
  <w:num w:numId="31" w16cid:durableId="252976797">
    <w:abstractNumId w:val="1"/>
  </w:num>
  <w:num w:numId="32" w16cid:durableId="577599214">
    <w:abstractNumId w:val="8"/>
  </w:num>
  <w:num w:numId="33" w16cid:durableId="2042591113">
    <w:abstractNumId w:val="26"/>
  </w:num>
  <w:num w:numId="34" w16cid:durableId="1480272225">
    <w:abstractNumId w:val="4"/>
  </w:num>
  <w:num w:numId="35" w16cid:durableId="771437622">
    <w:abstractNumId w:val="31"/>
  </w:num>
  <w:num w:numId="36" w16cid:durableId="1929388296">
    <w:abstractNumId w:val="38"/>
  </w:num>
  <w:num w:numId="37" w16cid:durableId="602761679">
    <w:abstractNumId w:val="24"/>
  </w:num>
  <w:num w:numId="38" w16cid:durableId="1764260944">
    <w:abstractNumId w:val="29"/>
  </w:num>
  <w:num w:numId="39" w16cid:durableId="1812671646">
    <w:abstractNumId w:val="2"/>
  </w:num>
  <w:num w:numId="40" w16cid:durableId="406348598">
    <w:abstractNumId w:val="30"/>
  </w:num>
  <w:num w:numId="41" w16cid:durableId="1891573289">
    <w:abstractNumId w:val="16"/>
  </w:num>
  <w:num w:numId="42" w16cid:durableId="721707148">
    <w:abstractNumId w:val="20"/>
  </w:num>
  <w:num w:numId="43" w16cid:durableId="198056083">
    <w:abstractNumId w:val="23"/>
  </w:num>
  <w:num w:numId="44" w16cid:durableId="2062897776">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9A1"/>
    <w:rsid w:val="00065076"/>
    <w:rsid w:val="00096DD4"/>
    <w:rsid w:val="00136B18"/>
    <w:rsid w:val="00137A8B"/>
    <w:rsid w:val="001645B5"/>
    <w:rsid w:val="00191510"/>
    <w:rsid w:val="00222E65"/>
    <w:rsid w:val="002B1B69"/>
    <w:rsid w:val="002C27FE"/>
    <w:rsid w:val="00352D95"/>
    <w:rsid w:val="003F599A"/>
    <w:rsid w:val="004331C8"/>
    <w:rsid w:val="0044636D"/>
    <w:rsid w:val="00486AAC"/>
    <w:rsid w:val="004F120A"/>
    <w:rsid w:val="00502827"/>
    <w:rsid w:val="005E2CC5"/>
    <w:rsid w:val="006E574C"/>
    <w:rsid w:val="00772D72"/>
    <w:rsid w:val="00792939"/>
    <w:rsid w:val="008229BB"/>
    <w:rsid w:val="00941939"/>
    <w:rsid w:val="009F057E"/>
    <w:rsid w:val="00A1241A"/>
    <w:rsid w:val="00A21E9A"/>
    <w:rsid w:val="00A523CE"/>
    <w:rsid w:val="00A641F8"/>
    <w:rsid w:val="00AE1934"/>
    <w:rsid w:val="00AE215A"/>
    <w:rsid w:val="00AE28BE"/>
    <w:rsid w:val="00B66624"/>
    <w:rsid w:val="00C133BA"/>
    <w:rsid w:val="00CA32A1"/>
    <w:rsid w:val="00D66C19"/>
    <w:rsid w:val="00D76402"/>
    <w:rsid w:val="00D86F9E"/>
    <w:rsid w:val="00DD50D9"/>
    <w:rsid w:val="00DE4FA2"/>
    <w:rsid w:val="00E54995"/>
    <w:rsid w:val="00EA7DD4"/>
    <w:rsid w:val="00EC1DB5"/>
    <w:rsid w:val="00F039A1"/>
    <w:rsid w:val="00F061A2"/>
    <w:rsid w:val="00F5175A"/>
    <w:rsid w:val="00FD3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A05E"/>
  <w15:chartTrackingRefBased/>
  <w15:docId w15:val="{DDE5B277-63F0-4CCF-9C4F-DE782BB45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3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3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3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3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9A1"/>
    <w:rPr>
      <w:rFonts w:eastAsiaTheme="majorEastAsia" w:cstheme="majorBidi"/>
      <w:color w:val="272727" w:themeColor="text1" w:themeTint="D8"/>
    </w:rPr>
  </w:style>
  <w:style w:type="paragraph" w:styleId="Title">
    <w:name w:val="Title"/>
    <w:basedOn w:val="Normal"/>
    <w:next w:val="Normal"/>
    <w:link w:val="TitleChar"/>
    <w:uiPriority w:val="10"/>
    <w:qFormat/>
    <w:rsid w:val="00F03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9A1"/>
    <w:pPr>
      <w:spacing w:before="160"/>
      <w:jc w:val="center"/>
    </w:pPr>
    <w:rPr>
      <w:i/>
      <w:iCs/>
      <w:color w:val="404040" w:themeColor="text1" w:themeTint="BF"/>
    </w:rPr>
  </w:style>
  <w:style w:type="character" w:customStyle="1" w:styleId="QuoteChar">
    <w:name w:val="Quote Char"/>
    <w:basedOn w:val="DefaultParagraphFont"/>
    <w:link w:val="Quote"/>
    <w:uiPriority w:val="29"/>
    <w:rsid w:val="00F039A1"/>
    <w:rPr>
      <w:i/>
      <w:iCs/>
      <w:color w:val="404040" w:themeColor="text1" w:themeTint="BF"/>
    </w:rPr>
  </w:style>
  <w:style w:type="paragraph" w:styleId="ListParagraph">
    <w:name w:val="List Paragraph"/>
    <w:basedOn w:val="Normal"/>
    <w:uiPriority w:val="34"/>
    <w:qFormat/>
    <w:rsid w:val="00F039A1"/>
    <w:pPr>
      <w:ind w:left="720"/>
      <w:contextualSpacing/>
    </w:pPr>
  </w:style>
  <w:style w:type="character" w:styleId="IntenseEmphasis">
    <w:name w:val="Intense Emphasis"/>
    <w:basedOn w:val="DefaultParagraphFont"/>
    <w:uiPriority w:val="21"/>
    <w:qFormat/>
    <w:rsid w:val="00F039A1"/>
    <w:rPr>
      <w:i/>
      <w:iCs/>
      <w:color w:val="0F4761" w:themeColor="accent1" w:themeShade="BF"/>
    </w:rPr>
  </w:style>
  <w:style w:type="paragraph" w:styleId="IntenseQuote">
    <w:name w:val="Intense Quote"/>
    <w:basedOn w:val="Normal"/>
    <w:next w:val="Normal"/>
    <w:link w:val="IntenseQuoteChar"/>
    <w:uiPriority w:val="30"/>
    <w:qFormat/>
    <w:rsid w:val="00F03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9A1"/>
    <w:rPr>
      <w:i/>
      <w:iCs/>
      <w:color w:val="0F4761" w:themeColor="accent1" w:themeShade="BF"/>
    </w:rPr>
  </w:style>
  <w:style w:type="character" w:styleId="IntenseReference">
    <w:name w:val="Intense Reference"/>
    <w:basedOn w:val="DefaultParagraphFont"/>
    <w:uiPriority w:val="32"/>
    <w:qFormat/>
    <w:rsid w:val="00F039A1"/>
    <w:rPr>
      <w:b/>
      <w:bCs/>
      <w:smallCaps/>
      <w:color w:val="0F4761" w:themeColor="accent1" w:themeShade="BF"/>
      <w:spacing w:val="5"/>
    </w:rPr>
  </w:style>
  <w:style w:type="paragraph" w:styleId="NoSpacing">
    <w:name w:val="No Spacing"/>
    <w:link w:val="NoSpacingChar"/>
    <w:uiPriority w:val="1"/>
    <w:qFormat/>
    <w:rsid w:val="00C133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33BA"/>
    <w:rPr>
      <w:rFonts w:eastAsiaTheme="minorEastAsia"/>
      <w:lang w:val="en-US"/>
    </w:rPr>
  </w:style>
  <w:style w:type="paragraph" w:styleId="Header">
    <w:name w:val="header"/>
    <w:basedOn w:val="Normal"/>
    <w:link w:val="HeaderChar"/>
    <w:uiPriority w:val="99"/>
    <w:unhideWhenUsed/>
    <w:rsid w:val="00486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AAC"/>
  </w:style>
  <w:style w:type="paragraph" w:styleId="Footer">
    <w:name w:val="footer"/>
    <w:basedOn w:val="Normal"/>
    <w:link w:val="FooterChar"/>
    <w:uiPriority w:val="99"/>
    <w:unhideWhenUsed/>
    <w:rsid w:val="00486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AAC"/>
  </w:style>
  <w:style w:type="paragraph" w:styleId="NormalWeb">
    <w:name w:val="Normal (Web)"/>
    <w:basedOn w:val="Normal"/>
    <w:uiPriority w:val="99"/>
    <w:semiHidden/>
    <w:unhideWhenUsed/>
    <w:rsid w:val="00AE19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66624"/>
    <w:pPr>
      <w:spacing w:before="240" w:after="0"/>
      <w:outlineLvl w:val="9"/>
    </w:pPr>
    <w:rPr>
      <w:sz w:val="32"/>
      <w:szCs w:val="32"/>
      <w:lang w:val="en-US"/>
    </w:rPr>
  </w:style>
  <w:style w:type="paragraph" w:styleId="TOC2">
    <w:name w:val="toc 2"/>
    <w:basedOn w:val="Normal"/>
    <w:next w:val="Normal"/>
    <w:autoRedefine/>
    <w:uiPriority w:val="39"/>
    <w:unhideWhenUsed/>
    <w:rsid w:val="00B666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66624"/>
    <w:pPr>
      <w:spacing w:after="100"/>
    </w:pPr>
    <w:rPr>
      <w:rFonts w:eastAsiaTheme="minorEastAsia" w:cs="Times New Roman"/>
      <w:lang w:val="en-US"/>
    </w:rPr>
  </w:style>
  <w:style w:type="paragraph" w:styleId="TOC3">
    <w:name w:val="toc 3"/>
    <w:basedOn w:val="Normal"/>
    <w:next w:val="Normal"/>
    <w:autoRedefine/>
    <w:uiPriority w:val="39"/>
    <w:unhideWhenUsed/>
    <w:rsid w:val="00B66624"/>
    <w:pPr>
      <w:spacing w:after="100"/>
      <w:ind w:left="440"/>
    </w:pPr>
    <w:rPr>
      <w:rFonts w:eastAsiaTheme="minorEastAsia" w:cs="Times New Roman"/>
      <w:lang w:val="en-US"/>
    </w:rPr>
  </w:style>
  <w:style w:type="character" w:styleId="Hyperlink">
    <w:name w:val="Hyperlink"/>
    <w:basedOn w:val="DefaultParagraphFont"/>
    <w:uiPriority w:val="99"/>
    <w:unhideWhenUsed/>
    <w:rsid w:val="00B666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938DC8D6B740329F2879626E46FA82"/>
        <w:category>
          <w:name w:val="General"/>
          <w:gallery w:val="placeholder"/>
        </w:category>
        <w:types>
          <w:type w:val="bbPlcHdr"/>
        </w:types>
        <w:behaviors>
          <w:behavior w:val="content"/>
        </w:behaviors>
        <w:guid w:val="{ECF16AF1-6D2C-456D-B865-E42796763C2D}"/>
      </w:docPartPr>
      <w:docPartBody>
        <w:p w:rsidR="00681CF4" w:rsidRDefault="001F3D8C" w:rsidP="001F3D8C">
          <w:pPr>
            <w:pStyle w:val="53938DC8D6B740329F2879626E46FA8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font>
  <w:font w:name="Aptos Display">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D8C"/>
    <w:rsid w:val="001F3D8C"/>
    <w:rsid w:val="005E5C6F"/>
    <w:rsid w:val="00681CF4"/>
    <w:rsid w:val="00772D72"/>
    <w:rsid w:val="00A523CE"/>
    <w:rsid w:val="00B21A08"/>
    <w:rsid w:val="00D76402"/>
    <w:rsid w:val="00EE2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938DC8D6B740329F2879626E46FA82">
    <w:name w:val="53938DC8D6B740329F2879626E46FA82"/>
    <w:rsid w:val="001F3D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930B57-4D08-4731-ADFA-9AA9A6017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1691</TotalTime>
  <Pages>24</Pages>
  <Words>3928</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A Project portfolio</vt:lpstr>
    </vt:vector>
  </TitlesOfParts>
  <Company/>
  <LinksUpToDate>false</LinksUpToDate>
  <CharactersWithSpaces>26269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portfolio</dc:title>
  <dc:subject/>
  <dc:creator>Mario Daniel Gramon (2416241)</dc:creator>
  <cp:keywords/>
  <dc:description/>
  <cp:lastModifiedBy>Mario Daniel Gramon (2416241)</cp:lastModifiedBy>
  <cp:revision>16</cp:revision>
  <dcterms:created xsi:type="dcterms:W3CDTF">2026-07-14T10:48:00Z</dcterms:created>
  <dcterms:modified xsi:type="dcterms:W3CDTF">2026-08-17T20:46:00Z</dcterms:modified>
</cp:coreProperties>
</file>