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1860D8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F648E">
              <w:rPr>
                <w:rFonts w:ascii="Times New Roman" w:hAnsi="Times New Roman" w:cs="Times New Roman"/>
                <w:b/>
                <w:color w:val="auto"/>
                <w:sz w:val="48"/>
              </w:rPr>
              <w:t>Elin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D9A7EB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F648E">
              <w:t xml:space="preserve"> </w:t>
            </w:r>
            <w:hyperlink r:id="rId11" w:history="1">
              <w:r w:rsidR="009F648E" w:rsidRPr="00C61CC9">
                <w:rPr>
                  <w:rStyle w:val="Hyperlink"/>
                  <w:rFonts w:ascii="Times New Roman" w:hAnsi="Times New Roman" w:cs="Times New Roman"/>
                  <w:b/>
                  <w:color w:val="auto"/>
                  <w:sz w:val="44"/>
                  <w:szCs w:val="22"/>
                  <w:u w:val="none"/>
                </w:rPr>
                <w:t>2421178@student.uwtsd.ac.uk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F7CFDCA" w:rsidR="0085230E" w:rsidRDefault="009F648E" w:rsidP="005D3F07">
            <w:pPr>
              <w:overflowPunct/>
              <w:autoSpaceDE/>
              <w:autoSpaceDN/>
              <w:adjustRightInd/>
              <w:ind w:right="-957"/>
              <w:textAlignment w:val="auto"/>
              <w:rPr>
                <w:rFonts w:ascii="Times New Roman" w:hAnsi="Times New Roman" w:cs="Times New Roman"/>
                <w:b/>
                <w:color w:val="auto"/>
                <w:sz w:val="48"/>
              </w:rPr>
            </w:pPr>
            <w:r w:rsidRPr="009F648E">
              <w:rPr>
                <w:rFonts w:ascii="Times New Roman" w:hAnsi="Times New Roman" w:cs="Times New Roman"/>
                <w:b/>
                <w:color w:val="auto"/>
                <w:sz w:val="48"/>
              </w:rPr>
              <w:t>2421178</w:t>
            </w:r>
          </w:p>
          <w:p w14:paraId="10AA6263" w14:textId="77777777" w:rsidR="009F648E" w:rsidRPr="005D3F07" w:rsidRDefault="009F648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8113DAD" w14:textId="77777777" w:rsidR="009F648E" w:rsidRDefault="009F648E" w:rsidP="00FF7EBB">
            <w:pPr>
              <w:jc w:val="both"/>
              <w:rPr>
                <w:sz w:val="24"/>
                <w:szCs w:val="24"/>
              </w:rPr>
            </w:pPr>
          </w:p>
          <w:p w14:paraId="460BCB7B" w14:textId="77777777" w:rsidR="009F648E" w:rsidRDefault="009F648E" w:rsidP="00FF7EBB">
            <w:pPr>
              <w:jc w:val="both"/>
              <w:rPr>
                <w:sz w:val="24"/>
                <w:szCs w:val="24"/>
              </w:rPr>
            </w:pPr>
          </w:p>
          <w:p w14:paraId="1285387B" w14:textId="2196629C" w:rsidR="009F648E" w:rsidRPr="009F648E" w:rsidRDefault="009F648E" w:rsidP="009F648E">
            <w:pPr>
              <w:rPr>
                <w:sz w:val="24"/>
                <w:szCs w:val="24"/>
              </w:rPr>
            </w:pPr>
            <w:r w:rsidRPr="009F648E">
              <w:rPr>
                <w:sz w:val="24"/>
                <w:szCs w:val="24"/>
              </w:rPr>
              <w:t xml:space="preserve">In the United Kingdom, individuals </w:t>
            </w:r>
            <w:bookmarkStart w:id="0" w:name="_Int_E966h9Kf"/>
            <w:r w:rsidRPr="009F648E">
              <w:rPr>
                <w:sz w:val="24"/>
                <w:szCs w:val="24"/>
              </w:rPr>
              <w:t>are recognised</w:t>
            </w:r>
            <w:bookmarkEnd w:id="0"/>
            <w:r w:rsidRPr="009F648E">
              <w:rPr>
                <w:sz w:val="24"/>
                <w:szCs w:val="24"/>
              </w:rPr>
              <w:t xml:space="preserve"> as adults upon reaching 18 years of age, granting them the inherent right to live without the threat of abuse or neglect. Age Concern (2024) shows ten distinct forms of abuse: physical, domestic, psychological, financial, neglect, self-neglect, sexual, discriminatory, organisational, and modern slavery. Article 3 of the Human Rights Act 1998 protects the right to freedom from torture and inhumane or degrading treatment, </w:t>
            </w:r>
            <w:r>
              <w:rPr>
                <w:sz w:val="24"/>
                <w:szCs w:val="24"/>
              </w:rPr>
              <w:t>being an</w:t>
            </w:r>
            <w:r w:rsidRPr="009F648E">
              <w:rPr>
                <w:sz w:val="24"/>
                <w:szCs w:val="24"/>
              </w:rPr>
              <w:t xml:space="preserve"> absolute right that cannot </w:t>
            </w:r>
            <w:bookmarkStart w:id="1" w:name="_Int_1JkUrNmh"/>
            <w:r w:rsidRPr="009F648E">
              <w:rPr>
                <w:sz w:val="24"/>
                <w:szCs w:val="24"/>
              </w:rPr>
              <w:t>be restricted</w:t>
            </w:r>
            <w:bookmarkEnd w:id="1"/>
            <w:r w:rsidRPr="009F648E">
              <w:rPr>
                <w:sz w:val="24"/>
                <w:szCs w:val="24"/>
              </w:rPr>
              <w:t xml:space="preserve"> (Equality and Human Rights Commission 2016). Within my organisation, the safeguarding of adults</w:t>
            </w:r>
            <w:r>
              <w:rPr>
                <w:sz w:val="24"/>
                <w:szCs w:val="24"/>
              </w:rPr>
              <w:t xml:space="preserve"> is</w:t>
            </w:r>
            <w:r w:rsidRPr="009F648E">
              <w:rPr>
                <w:sz w:val="24"/>
                <w:szCs w:val="24"/>
              </w:rPr>
              <w:t xml:space="preserve"> supported by internal policies that </w:t>
            </w:r>
            <w:r>
              <w:rPr>
                <w:sz w:val="24"/>
                <w:szCs w:val="24"/>
              </w:rPr>
              <w:t xml:space="preserve">align </w:t>
            </w:r>
            <w:r w:rsidRPr="009F648E">
              <w:rPr>
                <w:sz w:val="24"/>
                <w:szCs w:val="24"/>
              </w:rPr>
              <w:t xml:space="preserve">with national legislation. Staff members undergo mandatory training, designated safeguarding leads </w:t>
            </w:r>
            <w:bookmarkStart w:id="2" w:name="_Int_ywNJaKhK"/>
            <w:r w:rsidRPr="009F648E">
              <w:rPr>
                <w:sz w:val="24"/>
                <w:szCs w:val="24"/>
              </w:rPr>
              <w:t>are appointed</w:t>
            </w:r>
            <w:bookmarkEnd w:id="2"/>
            <w:r w:rsidRPr="009F648E">
              <w:rPr>
                <w:sz w:val="24"/>
                <w:szCs w:val="24"/>
              </w:rPr>
              <w:t xml:space="preserve">, and concerns </w:t>
            </w:r>
            <w:bookmarkStart w:id="3" w:name="_Int_Fc8Xfp4U"/>
            <w:r w:rsidRPr="009F648E">
              <w:rPr>
                <w:sz w:val="24"/>
                <w:szCs w:val="24"/>
              </w:rPr>
              <w:t>are escalated</w:t>
            </w:r>
            <w:bookmarkEnd w:id="3"/>
            <w:r w:rsidRPr="009F648E">
              <w:rPr>
                <w:sz w:val="24"/>
                <w:szCs w:val="24"/>
              </w:rPr>
              <w:t xml:space="preserve"> through established reporting protocols.</w:t>
            </w:r>
          </w:p>
          <w:p w14:paraId="1BD4804F" w14:textId="77777777" w:rsidR="009F648E" w:rsidRPr="009F648E" w:rsidRDefault="009F648E" w:rsidP="009F648E">
            <w:pPr>
              <w:rPr>
                <w:sz w:val="24"/>
                <w:szCs w:val="24"/>
              </w:rPr>
            </w:pPr>
          </w:p>
          <w:p w14:paraId="424B14F7" w14:textId="12142E73" w:rsidR="009F648E" w:rsidRPr="009F648E" w:rsidRDefault="009F648E" w:rsidP="009F648E">
            <w:pPr>
              <w:rPr>
                <w:sz w:val="24"/>
                <w:szCs w:val="24"/>
              </w:rPr>
            </w:pPr>
            <w:r w:rsidRPr="009F648E">
              <w:rPr>
                <w:sz w:val="24"/>
                <w:szCs w:val="24"/>
              </w:rPr>
              <w:t>The Social Services and Well-being (Wales) Act 2014</w:t>
            </w:r>
            <w:r>
              <w:rPr>
                <w:sz w:val="24"/>
                <w:szCs w:val="24"/>
              </w:rPr>
              <w:t xml:space="preserve"> (SSWBA)</w:t>
            </w:r>
            <w:r w:rsidRPr="009F648E">
              <w:rPr>
                <w:sz w:val="24"/>
                <w:szCs w:val="24"/>
              </w:rPr>
              <w:t xml:space="preserve"> serves as the fundamental legislation governing adult safeguarding in Wales. It advocates a strengths-based, person-centred approach, promoting independence and minimising reliance on services. The Act empowers individuals to take part in assessments and decisions about their care, with the aim of enhancing well-being and ensuring that their voices </w:t>
            </w:r>
            <w:bookmarkStart w:id="4" w:name="_Int_dNDLXUEB"/>
            <w:r w:rsidRPr="009F648E">
              <w:rPr>
                <w:sz w:val="24"/>
                <w:szCs w:val="24"/>
              </w:rPr>
              <w:t>are acknowledged</w:t>
            </w:r>
            <w:bookmarkEnd w:id="4"/>
            <w:r w:rsidRPr="009F648E">
              <w:rPr>
                <w:sz w:val="24"/>
                <w:szCs w:val="24"/>
              </w:rPr>
              <w:t>. Section 126 of the Act imposes a statutory obligation on local authorities and relevant partners to investigate any suspicions that an individual is an “adult at risk”, defined as a person experiencing or at risk of abuse or neglect, who has care and support needs and is unable to protect themselves. These investigations involve the individual and relevant agencies to find necessary protective measures (Welsh Government, 2024).</w:t>
            </w:r>
          </w:p>
          <w:p w14:paraId="55701F65" w14:textId="77777777" w:rsidR="009F648E" w:rsidRPr="009F648E" w:rsidRDefault="009F648E" w:rsidP="009F648E">
            <w:pPr>
              <w:rPr>
                <w:sz w:val="24"/>
                <w:szCs w:val="24"/>
              </w:rPr>
            </w:pPr>
          </w:p>
          <w:p w14:paraId="49715376" w14:textId="4884AAED" w:rsidR="009F648E" w:rsidRPr="009F648E" w:rsidRDefault="009F648E" w:rsidP="009F648E">
            <w:pPr>
              <w:rPr>
                <w:sz w:val="24"/>
                <w:szCs w:val="24"/>
              </w:rPr>
            </w:pPr>
            <w:r w:rsidRPr="009F648E">
              <w:rPr>
                <w:sz w:val="24"/>
                <w:szCs w:val="24"/>
              </w:rPr>
              <w:t xml:space="preserve">Part 7 of </w:t>
            </w:r>
            <w:r>
              <w:rPr>
                <w:sz w:val="24"/>
                <w:szCs w:val="24"/>
              </w:rPr>
              <w:t>SSWBA</w:t>
            </w:r>
            <w:r w:rsidRPr="009F648E">
              <w:rPr>
                <w:sz w:val="24"/>
                <w:szCs w:val="24"/>
              </w:rPr>
              <w:t xml:space="preserve"> 2014 introduced Adult Protection and Support Orders (APSOs), allowing practitioners to engage with adults at risk who may </w:t>
            </w:r>
            <w:bookmarkStart w:id="5" w:name="_Int_pIRkL0bA"/>
            <w:r w:rsidRPr="009F648E">
              <w:rPr>
                <w:sz w:val="24"/>
                <w:szCs w:val="24"/>
              </w:rPr>
              <w:t>be hindered</w:t>
            </w:r>
            <w:bookmarkEnd w:id="5"/>
            <w:r w:rsidRPr="009F648E">
              <w:rPr>
                <w:sz w:val="24"/>
                <w:szCs w:val="24"/>
              </w:rPr>
              <w:t xml:space="preserve"> from doing so due to coercion or threats. APSOs are issued by the court and </w:t>
            </w:r>
            <w:bookmarkStart w:id="6" w:name="_Int_4H5b4w1d"/>
            <w:r w:rsidRPr="009F648E">
              <w:rPr>
                <w:sz w:val="24"/>
                <w:szCs w:val="24"/>
              </w:rPr>
              <w:t>are only pursued</w:t>
            </w:r>
            <w:bookmarkEnd w:id="6"/>
            <w:r w:rsidRPr="009F648E">
              <w:rPr>
                <w:sz w:val="24"/>
                <w:szCs w:val="24"/>
              </w:rPr>
              <w:t xml:space="preserve"> when less intrusive </w:t>
            </w:r>
            <w:r w:rsidRPr="009F648E">
              <w:rPr>
                <w:sz w:val="24"/>
                <w:szCs w:val="24"/>
              </w:rPr>
              <w:lastRenderedPageBreak/>
              <w:t xml:space="preserve">interventions have proven ineffective. Section 134 of the Act presented Safeguarding Boards, which are multi-agency entities responsible for promoting the well-being of children and adults in need of care and support. These boards help collaboration among professionals and ensure that safeguarding practices </w:t>
            </w:r>
            <w:bookmarkStart w:id="7" w:name="_Int_DxNecn21"/>
            <w:r w:rsidRPr="009F648E">
              <w:rPr>
                <w:sz w:val="24"/>
                <w:szCs w:val="24"/>
              </w:rPr>
              <w:t>are consistently implemented</w:t>
            </w:r>
            <w:bookmarkEnd w:id="7"/>
            <w:r w:rsidRPr="009F648E">
              <w:rPr>
                <w:sz w:val="24"/>
                <w:szCs w:val="24"/>
              </w:rPr>
              <w:t xml:space="preserve"> across various regions. In North Wales, the Safeguarding Board has been operational since 2016, placing adult safeguarding on par with child protection. The North Wales Safeguarding Board provides guidance, training, and multi-agency coordination to ensure the consistency of safeguarding practices throughout the region. While local authorities must conduct inquiries if abuse or neglect </w:t>
            </w:r>
            <w:bookmarkStart w:id="8" w:name="_Int_0j8ddo6K"/>
            <w:r w:rsidRPr="009F648E">
              <w:rPr>
                <w:sz w:val="24"/>
                <w:szCs w:val="24"/>
              </w:rPr>
              <w:t>is suspected</w:t>
            </w:r>
            <w:bookmarkEnd w:id="8"/>
            <w:r w:rsidRPr="009F648E">
              <w:rPr>
                <w:sz w:val="24"/>
                <w:szCs w:val="24"/>
              </w:rPr>
              <w:t xml:space="preserve">, adults </w:t>
            </w:r>
            <w:bookmarkStart w:id="9" w:name="_Int_QoYLi9xP"/>
            <w:r w:rsidRPr="009F648E">
              <w:rPr>
                <w:sz w:val="24"/>
                <w:szCs w:val="24"/>
              </w:rPr>
              <w:t>retain</w:t>
            </w:r>
            <w:bookmarkEnd w:id="9"/>
            <w:r w:rsidRPr="009F648E">
              <w:rPr>
                <w:sz w:val="24"/>
                <w:szCs w:val="24"/>
              </w:rPr>
              <w:t xml:space="preserve"> the right to refuse support or investigation unless they </w:t>
            </w:r>
            <w:bookmarkStart w:id="10" w:name="_Int_jcWbV7eV"/>
            <w:r w:rsidRPr="009F648E">
              <w:rPr>
                <w:sz w:val="24"/>
                <w:szCs w:val="24"/>
              </w:rPr>
              <w:t>are considered</w:t>
            </w:r>
            <w:bookmarkEnd w:id="10"/>
            <w:r w:rsidRPr="009F648E">
              <w:rPr>
                <w:sz w:val="24"/>
                <w:szCs w:val="24"/>
              </w:rPr>
              <w:t xml:space="preserve"> to lack capacity. Consent is foundational to adult safeguarding. Adults have the autonomy to decide whether to engage with services, even in the presence of concerns. Referrals need consent unless the individual </w:t>
            </w:r>
            <w:bookmarkStart w:id="11" w:name="_Int_JrmTovPr"/>
            <w:r w:rsidRPr="009F648E">
              <w:rPr>
                <w:sz w:val="24"/>
                <w:szCs w:val="24"/>
              </w:rPr>
              <w:t>is assessed</w:t>
            </w:r>
            <w:bookmarkEnd w:id="11"/>
            <w:r w:rsidRPr="009F648E">
              <w:rPr>
                <w:sz w:val="24"/>
                <w:szCs w:val="24"/>
              </w:rPr>
              <w:t xml:space="preserve"> as lacking capacity.</w:t>
            </w:r>
          </w:p>
          <w:p w14:paraId="1B9BB3AE" w14:textId="77777777" w:rsidR="009F648E" w:rsidRPr="009F648E" w:rsidRDefault="009F648E" w:rsidP="009F648E">
            <w:pPr>
              <w:rPr>
                <w:sz w:val="24"/>
                <w:szCs w:val="24"/>
              </w:rPr>
            </w:pPr>
          </w:p>
          <w:p w14:paraId="3F48DD92" w14:textId="55AF782F" w:rsidR="009F648E" w:rsidRDefault="009F648E" w:rsidP="009F648E">
            <w:pPr>
              <w:rPr>
                <w:sz w:val="24"/>
                <w:szCs w:val="24"/>
              </w:rPr>
            </w:pPr>
            <w:r w:rsidRPr="009F648E">
              <w:rPr>
                <w:sz w:val="24"/>
                <w:szCs w:val="24"/>
              </w:rPr>
              <w:t xml:space="preserve">The Mental Capacity Act 2005 (applicable in England and Wales) provides legal framework for decision-making, supporting individuals in exercising their choices while safeguarding those who cannot. Capacity </w:t>
            </w:r>
            <w:bookmarkStart w:id="12" w:name="_Int_ep38rDlm"/>
            <w:r w:rsidRPr="009F648E">
              <w:rPr>
                <w:sz w:val="24"/>
                <w:szCs w:val="24"/>
              </w:rPr>
              <w:t>is assessed</w:t>
            </w:r>
            <w:bookmarkEnd w:id="12"/>
            <w:r w:rsidRPr="009F648E">
              <w:rPr>
                <w:sz w:val="24"/>
                <w:szCs w:val="24"/>
              </w:rPr>
              <w:t xml:space="preserve"> on a decision-specific basis</w:t>
            </w:r>
            <w:r>
              <w:rPr>
                <w:sz w:val="24"/>
                <w:szCs w:val="24"/>
              </w:rPr>
              <w:t>;</w:t>
            </w:r>
            <w:r w:rsidRPr="009F648E">
              <w:rPr>
                <w:sz w:val="24"/>
                <w:szCs w:val="24"/>
              </w:rPr>
              <w:t xml:space="preserve"> individual may have capacity in one area while lacking it in another. The Act ensures that decisions made on behalf of individuals who lack capacity are in their best interests and are the least restrictive choice. Article 8 of the (Human Rights Act 1998) safeguards the right to private and family life, reinforcing autonomy. Professionals are bound to respect an adult’s decision to decline support</w:t>
            </w:r>
            <w:r>
              <w:rPr>
                <w:sz w:val="24"/>
                <w:szCs w:val="24"/>
              </w:rPr>
              <w:t xml:space="preserve"> despite concerns h</w:t>
            </w:r>
            <w:r w:rsidRPr="009F648E">
              <w:rPr>
                <w:sz w:val="24"/>
                <w:szCs w:val="24"/>
              </w:rPr>
              <w:t xml:space="preserve">owever, when an individual lacks capacity, interventions may </w:t>
            </w:r>
            <w:bookmarkStart w:id="13" w:name="_Int_HsQP3L1l"/>
            <w:r w:rsidRPr="009F648E">
              <w:rPr>
                <w:sz w:val="24"/>
                <w:szCs w:val="24"/>
              </w:rPr>
              <w:t xml:space="preserve">be </w:t>
            </w:r>
            <w:bookmarkEnd w:id="13"/>
            <w:r>
              <w:rPr>
                <w:sz w:val="24"/>
                <w:szCs w:val="24"/>
              </w:rPr>
              <w:t>implemented</w:t>
            </w:r>
            <w:r w:rsidRPr="009F648E">
              <w:rPr>
                <w:sz w:val="24"/>
                <w:szCs w:val="24"/>
              </w:rPr>
              <w:t>.</w:t>
            </w:r>
          </w:p>
          <w:p w14:paraId="3F20745F" w14:textId="77777777" w:rsidR="009F648E" w:rsidRDefault="009F648E" w:rsidP="009F648E">
            <w:pPr>
              <w:rPr>
                <w:sz w:val="24"/>
                <w:szCs w:val="24"/>
              </w:rPr>
            </w:pPr>
          </w:p>
          <w:p w14:paraId="09B0B341" w14:textId="0FBDFD38" w:rsidR="009F648E" w:rsidRPr="009F648E" w:rsidRDefault="009F648E" w:rsidP="009F648E">
            <w:pPr>
              <w:rPr>
                <w:sz w:val="24"/>
                <w:szCs w:val="24"/>
              </w:rPr>
            </w:pPr>
            <w:r>
              <w:rPr>
                <w:sz w:val="24"/>
                <w:szCs w:val="24"/>
              </w:rPr>
              <w:t>Word Count – 550</w:t>
            </w:r>
          </w:p>
          <w:p w14:paraId="427ABAEC" w14:textId="77777777" w:rsidR="009F648E" w:rsidRDefault="009F648E"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0D811E10" w14:textId="77777777" w:rsidR="009F648E" w:rsidRPr="006108C9" w:rsidRDefault="009F648E" w:rsidP="009F648E">
            <w:pPr>
              <w:jc w:val="both"/>
              <w:rPr>
                <w:sz w:val="24"/>
                <w:szCs w:val="24"/>
              </w:rPr>
            </w:pPr>
          </w:p>
          <w:p w14:paraId="2D6AFB05" w14:textId="77777777" w:rsidR="009F648E" w:rsidRDefault="009F648E" w:rsidP="009F648E">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29E69223" w14:textId="77777777" w:rsidR="009F648E" w:rsidRPr="009F648E" w:rsidRDefault="009F648E" w:rsidP="00FC0334">
            <w:pPr>
              <w:jc w:val="both"/>
              <w:rPr>
                <w:b/>
                <w:bCs/>
                <w:sz w:val="24"/>
                <w:szCs w:val="24"/>
              </w:rPr>
            </w:pPr>
          </w:p>
          <w:p w14:paraId="4CABE426" w14:textId="77777777" w:rsidR="00FC0334" w:rsidRDefault="00FC0334" w:rsidP="00FC0334">
            <w:pPr>
              <w:jc w:val="both"/>
              <w:rPr>
                <w:sz w:val="24"/>
                <w:szCs w:val="24"/>
              </w:rPr>
            </w:pPr>
          </w:p>
          <w:p w14:paraId="49BB26E5" w14:textId="77777777" w:rsidR="009F648E" w:rsidRPr="009F648E" w:rsidRDefault="009F648E" w:rsidP="009F648E">
            <w:pPr>
              <w:rPr>
                <w:sz w:val="24"/>
                <w:szCs w:val="24"/>
              </w:rPr>
            </w:pPr>
            <w:r w:rsidRPr="009F648E">
              <w:rPr>
                <w:sz w:val="24"/>
                <w:szCs w:val="24"/>
              </w:rPr>
              <w:t xml:space="preserve">The primary distinction between child protection and adult safeguarding is consent. Local authorities have a legal obligation to protect children from harm, often intervening without consent when necessary. Adult safeguarding requires consent unless the individual lacks capacity or is in imminent danger. Part 3 of the Social Services and Well-being (Wales) Act 2014 asserts that adults </w:t>
            </w:r>
            <w:bookmarkStart w:id="14" w:name="_Int_f4krU2c1"/>
            <w:r w:rsidRPr="009F648E">
              <w:rPr>
                <w:sz w:val="24"/>
                <w:szCs w:val="24"/>
              </w:rPr>
              <w:t>are presumed</w:t>
            </w:r>
            <w:bookmarkEnd w:id="14"/>
            <w:r w:rsidRPr="009F648E">
              <w:rPr>
                <w:sz w:val="24"/>
                <w:szCs w:val="24"/>
              </w:rPr>
              <w:t xml:space="preserve"> to </w:t>
            </w:r>
            <w:bookmarkStart w:id="15" w:name="_Int_3ORzKSTV"/>
            <w:r w:rsidRPr="009F648E">
              <w:rPr>
                <w:sz w:val="24"/>
                <w:szCs w:val="24"/>
              </w:rPr>
              <w:t>be best positioned</w:t>
            </w:r>
            <w:bookmarkEnd w:id="15"/>
            <w:r w:rsidRPr="009F648E">
              <w:rPr>
                <w:sz w:val="24"/>
                <w:szCs w:val="24"/>
              </w:rPr>
              <w:t xml:space="preserve"> to assess their own well-being. While the wishes of children </w:t>
            </w:r>
            <w:bookmarkStart w:id="16" w:name="_Int_nb9I7sD1"/>
            <w:r w:rsidRPr="009F648E">
              <w:rPr>
                <w:sz w:val="24"/>
                <w:szCs w:val="24"/>
              </w:rPr>
              <w:t>are considered</w:t>
            </w:r>
            <w:bookmarkEnd w:id="16"/>
            <w:r w:rsidRPr="009F648E">
              <w:rPr>
                <w:sz w:val="24"/>
                <w:szCs w:val="24"/>
              </w:rPr>
              <w:t xml:space="preserve">, protective measures </w:t>
            </w:r>
            <w:bookmarkStart w:id="17" w:name="_Int_Eat4B1M4"/>
            <w:r w:rsidRPr="009F648E">
              <w:rPr>
                <w:sz w:val="24"/>
                <w:szCs w:val="24"/>
              </w:rPr>
              <w:t>are implemented</w:t>
            </w:r>
            <w:bookmarkEnd w:id="17"/>
            <w:r w:rsidRPr="009F648E">
              <w:rPr>
                <w:sz w:val="24"/>
                <w:szCs w:val="24"/>
              </w:rPr>
              <w:t xml:space="preserve"> regardless of their agreement when concerns arise.</w:t>
            </w:r>
          </w:p>
          <w:p w14:paraId="2BCFF968" w14:textId="77777777" w:rsidR="009F648E" w:rsidRPr="009F648E" w:rsidRDefault="009F648E" w:rsidP="009F648E">
            <w:pPr>
              <w:rPr>
                <w:sz w:val="24"/>
                <w:szCs w:val="24"/>
              </w:rPr>
            </w:pPr>
            <w:r w:rsidRPr="009F648E">
              <w:rPr>
                <w:sz w:val="24"/>
                <w:szCs w:val="24"/>
              </w:rPr>
              <w:t xml:space="preserve">In children's services, referrals and assessments ideally involve consent, but the absence of consent does not prevent intervention. If the necessary thresholds </w:t>
            </w:r>
            <w:bookmarkStart w:id="18" w:name="_Int_1G9Pq2BZ"/>
            <w:r w:rsidRPr="009F648E">
              <w:rPr>
                <w:sz w:val="24"/>
                <w:szCs w:val="24"/>
              </w:rPr>
              <w:t>are met</w:t>
            </w:r>
            <w:bookmarkEnd w:id="18"/>
            <w:r w:rsidRPr="009F648E">
              <w:rPr>
                <w:sz w:val="24"/>
                <w:szCs w:val="24"/>
              </w:rPr>
              <w:t xml:space="preserve">, processes can escalate to child protection plans, Public Law Outline procedures, or court action. The Local </w:t>
            </w:r>
            <w:r w:rsidRPr="009F648E">
              <w:rPr>
                <w:sz w:val="24"/>
                <w:szCs w:val="24"/>
              </w:rPr>
              <w:lastRenderedPageBreak/>
              <w:t xml:space="preserve">Authority’s duty of care under the same Act ensures that children </w:t>
            </w:r>
            <w:bookmarkStart w:id="19" w:name="_Int_nfXvbKfe"/>
            <w:r w:rsidRPr="009F648E">
              <w:rPr>
                <w:sz w:val="24"/>
                <w:szCs w:val="24"/>
              </w:rPr>
              <w:t>are protected</w:t>
            </w:r>
            <w:bookmarkEnd w:id="19"/>
            <w:r w:rsidRPr="009F648E">
              <w:rPr>
                <w:sz w:val="24"/>
                <w:szCs w:val="24"/>
              </w:rPr>
              <w:t xml:space="preserve"> even without parental consent. The capacity of children </w:t>
            </w:r>
            <w:bookmarkStart w:id="20" w:name="_Int_724k6Gsq"/>
            <w:r w:rsidRPr="009F648E">
              <w:rPr>
                <w:sz w:val="24"/>
                <w:szCs w:val="24"/>
              </w:rPr>
              <w:t>is evaluated</w:t>
            </w:r>
            <w:bookmarkEnd w:id="20"/>
            <w:r w:rsidRPr="009F648E">
              <w:rPr>
                <w:sz w:val="24"/>
                <w:szCs w:val="24"/>
              </w:rPr>
              <w:t xml:space="preserve"> using Gillick competence and Fraser guidelines (NSPCC, 1985), which help to balance the need to listen to children with the obligation to ensure their safety. Safeguarding children priorities protection over autonomy.</w:t>
            </w:r>
          </w:p>
          <w:p w14:paraId="649FD8EE" w14:textId="77777777" w:rsidR="009F648E" w:rsidRPr="009F648E" w:rsidRDefault="009F648E" w:rsidP="009F648E">
            <w:pPr>
              <w:rPr>
                <w:sz w:val="24"/>
                <w:szCs w:val="24"/>
              </w:rPr>
            </w:pPr>
          </w:p>
          <w:p w14:paraId="63520D9B" w14:textId="77777777" w:rsidR="009F648E" w:rsidRPr="009F648E" w:rsidRDefault="009F648E" w:rsidP="009F648E">
            <w:pPr>
              <w:rPr>
                <w:sz w:val="24"/>
                <w:szCs w:val="24"/>
              </w:rPr>
            </w:pPr>
            <w:r w:rsidRPr="009F648E">
              <w:rPr>
                <w:sz w:val="24"/>
                <w:szCs w:val="24"/>
              </w:rPr>
              <w:t xml:space="preserve">Adult safeguarding presents a more complex scenario. The Human Rights Act 1998 upholds an adult’s right to autonomy and family life. Adults </w:t>
            </w:r>
            <w:bookmarkStart w:id="21" w:name="_Int_bJuJOn8h"/>
            <w:r w:rsidRPr="009F648E">
              <w:rPr>
                <w:sz w:val="24"/>
                <w:szCs w:val="24"/>
              </w:rPr>
              <w:t>are presumed</w:t>
            </w:r>
            <w:bookmarkEnd w:id="21"/>
            <w:r w:rsidRPr="009F648E">
              <w:rPr>
                <w:sz w:val="24"/>
                <w:szCs w:val="24"/>
              </w:rPr>
              <w:t xml:space="preserve"> to have capacity unless assessed otherwise under the Mental Capacity Act 2005. Principle 2 of the Act stipulates that a person cannot </w:t>
            </w:r>
            <w:bookmarkStart w:id="22" w:name="_Int_ZwNfRqQ8"/>
            <w:r w:rsidRPr="009F648E">
              <w:rPr>
                <w:sz w:val="24"/>
                <w:szCs w:val="24"/>
              </w:rPr>
              <w:t>be considered</w:t>
            </w:r>
            <w:bookmarkEnd w:id="22"/>
            <w:r w:rsidRPr="009F648E">
              <w:rPr>
                <w:sz w:val="24"/>
                <w:szCs w:val="24"/>
              </w:rPr>
              <w:t xml:space="preserve"> incapable unless all supportive efforts have been exhausted (</w:t>
            </w:r>
            <w:proofErr w:type="spellStart"/>
            <w:r w:rsidRPr="009F648E">
              <w:rPr>
                <w:sz w:val="24"/>
                <w:szCs w:val="24"/>
              </w:rPr>
              <w:t>Huziej</w:t>
            </w:r>
            <w:proofErr w:type="spellEnd"/>
            <w:r w:rsidRPr="009F648E">
              <w:rPr>
                <w:sz w:val="24"/>
                <w:szCs w:val="24"/>
              </w:rPr>
              <w:t xml:space="preserve">, 2025). This can create dilemmas for professionals, especially when abuse </w:t>
            </w:r>
            <w:bookmarkStart w:id="23" w:name="_Int_v2seSoCY"/>
            <w:r w:rsidRPr="009F648E">
              <w:rPr>
                <w:sz w:val="24"/>
                <w:szCs w:val="24"/>
              </w:rPr>
              <w:t>is suspected</w:t>
            </w:r>
            <w:bookmarkEnd w:id="23"/>
            <w:r w:rsidRPr="009F648E">
              <w:rPr>
                <w:sz w:val="24"/>
                <w:szCs w:val="24"/>
              </w:rPr>
              <w:t xml:space="preserve"> but the adult refuses </w:t>
            </w:r>
            <w:bookmarkStart w:id="24" w:name="_Int_0U1mDP9d"/>
            <w:r w:rsidRPr="009F648E">
              <w:rPr>
                <w:sz w:val="24"/>
                <w:szCs w:val="24"/>
              </w:rPr>
              <w:t>assistance</w:t>
            </w:r>
            <w:bookmarkEnd w:id="24"/>
            <w:r w:rsidRPr="009F648E">
              <w:rPr>
                <w:sz w:val="24"/>
                <w:szCs w:val="24"/>
              </w:rPr>
              <w:t>.</w:t>
            </w:r>
          </w:p>
          <w:p w14:paraId="5DE0E9C5" w14:textId="77777777" w:rsidR="009F648E" w:rsidRPr="009F648E" w:rsidRDefault="009F648E" w:rsidP="009F648E">
            <w:pPr>
              <w:rPr>
                <w:sz w:val="24"/>
                <w:szCs w:val="24"/>
              </w:rPr>
            </w:pPr>
          </w:p>
          <w:p w14:paraId="18750B14" w14:textId="77777777" w:rsidR="009F648E" w:rsidRPr="009F648E" w:rsidRDefault="009F648E" w:rsidP="009F648E">
            <w:pPr>
              <w:rPr>
                <w:sz w:val="24"/>
                <w:szCs w:val="24"/>
              </w:rPr>
            </w:pPr>
            <w:r w:rsidRPr="009F648E">
              <w:rPr>
                <w:sz w:val="24"/>
                <w:szCs w:val="24"/>
              </w:rPr>
              <w:t xml:space="preserve">If a crime has occurred or the adult </w:t>
            </w:r>
            <w:bookmarkStart w:id="25" w:name="_Int_fHHIQMvj"/>
            <w:r w:rsidRPr="009F648E">
              <w:rPr>
                <w:sz w:val="24"/>
                <w:szCs w:val="24"/>
              </w:rPr>
              <w:t>is considered</w:t>
            </w:r>
            <w:bookmarkEnd w:id="25"/>
            <w:r w:rsidRPr="009F648E">
              <w:rPr>
                <w:sz w:val="24"/>
                <w:szCs w:val="24"/>
              </w:rPr>
              <w:t xml:space="preserve"> vulnerable, a best interest decision may </w:t>
            </w:r>
            <w:bookmarkStart w:id="26" w:name="_Int_GTpESNM2"/>
            <w:r w:rsidRPr="009F648E">
              <w:rPr>
                <w:sz w:val="24"/>
                <w:szCs w:val="24"/>
              </w:rPr>
              <w:t>be made</w:t>
            </w:r>
            <w:bookmarkEnd w:id="26"/>
            <w:r w:rsidRPr="009F648E">
              <w:rPr>
                <w:sz w:val="24"/>
                <w:szCs w:val="24"/>
              </w:rPr>
              <w:t>. Even in such cases, the individual’s wishes and feelings, both past and present, must be considered (NICE, 2020). When safety measures such as locked doors or coded exits are necessary, a Deprivation of Liberty may be authorised under the Mental Capacity Act. The original Deprivation of Liberty Safeguards (</w:t>
            </w:r>
            <w:proofErr w:type="spellStart"/>
            <w:r w:rsidRPr="009F648E">
              <w:rPr>
                <w:sz w:val="24"/>
                <w:szCs w:val="24"/>
              </w:rPr>
              <w:t>DoLS</w:t>
            </w:r>
            <w:proofErr w:type="spellEnd"/>
            <w:r w:rsidRPr="009F648E">
              <w:rPr>
                <w:sz w:val="24"/>
                <w:szCs w:val="24"/>
              </w:rPr>
              <w:t>) framework faced criticism for its complexity, leading to the establishment of Liberty Protection Safeguards (2019), which now encompass 16- and 17-year-olds.</w:t>
            </w:r>
          </w:p>
          <w:p w14:paraId="5D36AFF1" w14:textId="77777777" w:rsidR="009F648E" w:rsidRPr="009F648E" w:rsidRDefault="009F648E" w:rsidP="009F648E">
            <w:pPr>
              <w:rPr>
                <w:sz w:val="24"/>
                <w:szCs w:val="24"/>
              </w:rPr>
            </w:pPr>
          </w:p>
          <w:p w14:paraId="16089ACD" w14:textId="77777777" w:rsidR="009F648E" w:rsidRPr="009F648E" w:rsidRDefault="009F648E" w:rsidP="009F648E">
            <w:pPr>
              <w:rPr>
                <w:sz w:val="24"/>
                <w:szCs w:val="24"/>
              </w:rPr>
            </w:pPr>
            <w:r w:rsidRPr="009F648E">
              <w:rPr>
                <w:sz w:val="24"/>
                <w:szCs w:val="24"/>
              </w:rPr>
              <w:t xml:space="preserve">Despite the differences in approach, the Social Services and Well-being (Wales) Act 2014 showed Safeguarding Boards for both adults and children under Section 134. This placed adult safeguarding on a statutory basis, mirroring the structure used in children’s services. These boards help consistency and multi-agency collaboration, ensuring that safeguarding measures across age groups </w:t>
            </w:r>
            <w:bookmarkStart w:id="27" w:name="_Int_mvpZVQNy"/>
            <w:r w:rsidRPr="009F648E">
              <w:rPr>
                <w:sz w:val="24"/>
                <w:szCs w:val="24"/>
              </w:rPr>
              <w:t>are coordinated</w:t>
            </w:r>
            <w:bookmarkEnd w:id="27"/>
            <w:r w:rsidRPr="009F648E">
              <w:rPr>
                <w:sz w:val="24"/>
                <w:szCs w:val="24"/>
              </w:rPr>
              <w:t xml:space="preserve"> and effective (National Independent Safeguarding Board, 2019).</w:t>
            </w:r>
          </w:p>
          <w:p w14:paraId="632773AD" w14:textId="77777777" w:rsidR="009F648E" w:rsidRPr="009F648E" w:rsidRDefault="009F648E" w:rsidP="009F648E">
            <w:pPr>
              <w:rPr>
                <w:sz w:val="24"/>
                <w:szCs w:val="24"/>
              </w:rPr>
            </w:pPr>
          </w:p>
          <w:p w14:paraId="7B8D9F71" w14:textId="77777777" w:rsidR="009F648E" w:rsidRPr="009F648E" w:rsidRDefault="009F648E" w:rsidP="009F648E">
            <w:pPr>
              <w:rPr>
                <w:sz w:val="24"/>
                <w:szCs w:val="24"/>
              </w:rPr>
            </w:pPr>
            <w:r w:rsidRPr="009F648E">
              <w:rPr>
                <w:sz w:val="24"/>
                <w:szCs w:val="24"/>
              </w:rPr>
              <w:t>Understanding the legal and ethical distinctions between adult and child safeguarding has enhanced my confidence in adapting my approach based on the individual's age, capacity, and specific circumstances.</w:t>
            </w:r>
          </w:p>
          <w:p w14:paraId="795C6051" w14:textId="77777777" w:rsidR="00FC0334" w:rsidRDefault="00FC0334" w:rsidP="00FC0334">
            <w:pPr>
              <w:jc w:val="both"/>
              <w:rPr>
                <w:sz w:val="24"/>
                <w:szCs w:val="24"/>
              </w:rPr>
            </w:pPr>
          </w:p>
          <w:p w14:paraId="24E1C33C" w14:textId="1C2840C7" w:rsidR="009F648E" w:rsidRDefault="009F648E" w:rsidP="00FC0334">
            <w:pPr>
              <w:jc w:val="both"/>
              <w:rPr>
                <w:sz w:val="24"/>
                <w:szCs w:val="24"/>
              </w:rPr>
            </w:pPr>
            <w:r>
              <w:rPr>
                <w:sz w:val="24"/>
                <w:szCs w:val="24"/>
              </w:rPr>
              <w:t>Word Count - 431</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08760B3D" w14:textId="77777777" w:rsidR="00FC0334" w:rsidRPr="006108C9" w:rsidRDefault="00FC0334" w:rsidP="009F648E">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064F55" w14:textId="77777777" w:rsidR="007E4075" w:rsidRDefault="007E4075">
      <w:r>
        <w:separator/>
      </w:r>
    </w:p>
  </w:endnote>
  <w:endnote w:type="continuationSeparator" w:id="0">
    <w:p w14:paraId="0B2D12F6" w14:textId="77777777" w:rsidR="007E4075" w:rsidRDefault="007E40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A29D5" w14:textId="77777777" w:rsidR="007E4075" w:rsidRDefault="007E4075">
      <w:r>
        <w:separator/>
      </w:r>
    </w:p>
  </w:footnote>
  <w:footnote w:type="continuationSeparator" w:id="0">
    <w:p w14:paraId="218E152D" w14:textId="77777777" w:rsidR="007E4075" w:rsidRDefault="007E40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0027"/>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4075"/>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145"/>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48E"/>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4%32%31%31%37%38@%73%74%75%64%65n%74%2euw%74%73d%2eac%2e%75%6b"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1316</Words>
  <Characters>6900</Characters>
  <Application>Microsoft Office Word</Application>
  <DocSecurity>0</DocSecurity>
  <Lines>287</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Allington</cp:lastModifiedBy>
  <cp:revision>2</cp:revision>
  <cp:lastPrinted>2020-02-11T19:20:00Z</cp:lastPrinted>
  <dcterms:created xsi:type="dcterms:W3CDTF">2025-10-07T20:18:00Z</dcterms:created>
  <dcterms:modified xsi:type="dcterms:W3CDTF">2025-10-07T20:18:00Z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