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bookmarkStart w:id="0" w:name="__RefHeading___Toc82856599"/>
    <w:bookmarkEnd w:id="0"/>
    <w:p w14:paraId="6A47D6D3" w14:textId="07626314" w:rsidR="00B322E0" w:rsidRPr="00196C95" w:rsidRDefault="00B60486" w:rsidP="00196C95">
      <w:pPr>
        <w:rPr>
          <w:rFonts w:ascii="Arial" w:hAnsi="Arial" w:cs="Arial"/>
          <w:b/>
          <w:i/>
          <w:color w:val="auto"/>
          <w:sz w:val="88"/>
          <w:szCs w:val="88"/>
        </w:rPr>
      </w:pPr>
      <w:r>
        <w:fldChar w:fldCharType="begin"/>
      </w:r>
      <w:r>
        <w:instrText xml:space="preserve"> INCLUDEPICTURE "/Users/danielavoda/Library/Group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647FB235" wp14:editId="11E48116">
            <wp:extent cx="2674513" cy="1066800"/>
            <wp:effectExtent l="0" t="0" r="5715" b="0"/>
            <wp:docPr id="151921644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aR_aI3_KNC3hbIPtP-CyQQ_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9924" cy="1076936"/>
                    </a:xfrm>
                    <a:prstGeom prst="rect">
                      <a:avLst/>
                    </a:prstGeom>
                    <a:noFill/>
                    <a:ln>
                      <a:noFill/>
                    </a:ln>
                  </pic:spPr>
                </pic:pic>
              </a:graphicData>
            </a:graphic>
          </wp:inline>
        </w:drawing>
      </w:r>
      <w:r>
        <w:fldChar w:fldCharType="end"/>
      </w:r>
    </w:p>
    <w:p w14:paraId="610950A4" w14:textId="77777777" w:rsidR="00B322E0" w:rsidRPr="00196C95" w:rsidRDefault="00B322E0" w:rsidP="00196C95">
      <w:pPr>
        <w:jc w:val="center"/>
        <w:rPr>
          <w:rFonts w:ascii="Arial" w:hAnsi="Arial" w:cs="Arial"/>
          <w:b/>
          <w:i/>
          <w:color w:val="auto"/>
          <w:sz w:val="88"/>
          <w:szCs w:val="88"/>
        </w:rPr>
      </w:pPr>
    </w:p>
    <w:p w14:paraId="00F7E868" w14:textId="615EC4A9" w:rsidR="00B60486" w:rsidRDefault="00AE6D0E" w:rsidP="00B60486">
      <w:pPr>
        <w:pStyle w:val="Default"/>
        <w:rPr>
          <w:b/>
          <w:bCs/>
          <w:i/>
          <w:color w:val="auto"/>
          <w:sz w:val="56"/>
          <w:szCs w:val="72"/>
        </w:rPr>
      </w:pPr>
      <w:r w:rsidRPr="00196C95">
        <w:rPr>
          <w:b/>
          <w:bCs/>
          <w:i/>
          <w:color w:val="auto"/>
          <w:sz w:val="56"/>
          <w:szCs w:val="72"/>
        </w:rPr>
        <w:t>LCBB6023</w:t>
      </w:r>
      <w:r w:rsidR="00B60486">
        <w:rPr>
          <w:b/>
          <w:bCs/>
          <w:i/>
          <w:color w:val="auto"/>
          <w:sz w:val="56"/>
          <w:szCs w:val="72"/>
        </w:rPr>
        <w:t xml:space="preserve"> </w:t>
      </w:r>
      <w:r w:rsidRPr="00196C95">
        <w:rPr>
          <w:b/>
          <w:bCs/>
          <w:i/>
          <w:color w:val="auto"/>
          <w:sz w:val="56"/>
          <w:szCs w:val="72"/>
        </w:rPr>
        <w:t xml:space="preserve">International Business </w:t>
      </w:r>
      <w:r w:rsidR="00B60486">
        <w:rPr>
          <w:b/>
          <w:bCs/>
          <w:i/>
          <w:color w:val="auto"/>
          <w:sz w:val="56"/>
          <w:szCs w:val="72"/>
        </w:rPr>
        <w:t xml:space="preserve">       </w:t>
      </w:r>
    </w:p>
    <w:p w14:paraId="5F2C59C5" w14:textId="19A2BEDB" w:rsidR="00B60486" w:rsidRDefault="00B60486" w:rsidP="00B60486">
      <w:pPr>
        <w:pStyle w:val="Default"/>
        <w:rPr>
          <w:b/>
          <w:bCs/>
          <w:i/>
          <w:color w:val="auto"/>
          <w:sz w:val="56"/>
          <w:szCs w:val="72"/>
        </w:rPr>
      </w:pPr>
      <w:r>
        <w:rPr>
          <w:b/>
          <w:bCs/>
          <w:i/>
          <w:color w:val="auto"/>
          <w:sz w:val="56"/>
          <w:szCs w:val="72"/>
        </w:rPr>
        <w:t xml:space="preserve">               </w:t>
      </w:r>
      <w:r w:rsidR="00AE6D0E" w:rsidRPr="00196C95">
        <w:rPr>
          <w:b/>
          <w:bCs/>
          <w:i/>
          <w:color w:val="auto"/>
          <w:sz w:val="56"/>
          <w:szCs w:val="72"/>
        </w:rPr>
        <w:t>Communications</w:t>
      </w:r>
      <w:r w:rsidR="00AE6D0E" w:rsidRPr="00196C95">
        <w:rPr>
          <w:b/>
          <w:bCs/>
          <w:i/>
          <w:color w:val="auto"/>
          <w:sz w:val="56"/>
          <w:szCs w:val="72"/>
        </w:rPr>
        <w:cr/>
      </w:r>
    </w:p>
    <w:p w14:paraId="490DA111" w14:textId="2C19069E" w:rsidR="00B60486" w:rsidRDefault="00B60486" w:rsidP="00B60486">
      <w:pPr>
        <w:pStyle w:val="Default"/>
      </w:pPr>
      <w:r>
        <w:rPr>
          <w:b/>
          <w:bCs/>
          <w:i/>
          <w:iCs/>
          <w:color w:val="000000" w:themeColor="text1"/>
          <w:sz w:val="44"/>
          <w:szCs w:val="44"/>
        </w:rPr>
        <w:t xml:space="preserve">            </w:t>
      </w:r>
      <w:r w:rsidRPr="00235A47">
        <w:rPr>
          <w:b/>
          <w:bCs/>
          <w:i/>
          <w:iCs/>
          <w:color w:val="000000" w:themeColor="text1"/>
          <w:sz w:val="44"/>
          <w:szCs w:val="44"/>
        </w:rPr>
        <w:t>Module Leade</w:t>
      </w:r>
      <w:r>
        <w:rPr>
          <w:b/>
          <w:bCs/>
          <w:i/>
          <w:iCs/>
          <w:color w:val="000000" w:themeColor="text1"/>
          <w:sz w:val="44"/>
          <w:szCs w:val="44"/>
        </w:rPr>
        <w:t xml:space="preserve">r: Mr Afzal Munna </w:t>
      </w:r>
    </w:p>
    <w:p w14:paraId="7A2DA1D9" w14:textId="20BC17D3" w:rsidR="00B60486" w:rsidRPr="00235A47" w:rsidRDefault="00B60486" w:rsidP="00B60486">
      <w:pPr>
        <w:jc w:val="center"/>
        <w:rPr>
          <w:rFonts w:ascii="Arial" w:hAnsi="Arial" w:cs="Arial"/>
          <w:b/>
          <w:bCs/>
          <w:i/>
          <w:iCs/>
          <w:color w:val="000000" w:themeColor="text1"/>
          <w:sz w:val="44"/>
          <w:szCs w:val="44"/>
        </w:rPr>
      </w:pPr>
      <w:r w:rsidRPr="00235A47">
        <w:rPr>
          <w:rFonts w:ascii="Arial" w:hAnsi="Arial" w:cs="Arial"/>
          <w:b/>
          <w:bCs/>
          <w:i/>
          <w:iCs/>
          <w:color w:val="000000" w:themeColor="text1"/>
          <w:sz w:val="44"/>
          <w:szCs w:val="44"/>
        </w:rPr>
        <w:t xml:space="preserve">Student name: Daniela Voda </w:t>
      </w:r>
    </w:p>
    <w:p w14:paraId="3D678450" w14:textId="43A6FE23" w:rsidR="00793373" w:rsidRPr="00196C95" w:rsidRDefault="00B60486" w:rsidP="00B60486">
      <w:pPr>
        <w:jc w:val="center"/>
        <w:rPr>
          <w:rFonts w:ascii="Arial" w:hAnsi="Arial" w:cs="Arial"/>
          <w:b/>
          <w:i/>
          <w:color w:val="auto"/>
          <w:sz w:val="72"/>
          <w:szCs w:val="72"/>
        </w:rPr>
      </w:pPr>
      <w:r w:rsidRPr="00235A47">
        <w:rPr>
          <w:rFonts w:ascii="Arial" w:hAnsi="Arial" w:cs="Arial"/>
          <w:b/>
          <w:bCs/>
          <w:i/>
          <w:iCs/>
          <w:color w:val="000000" w:themeColor="text1"/>
          <w:sz w:val="44"/>
          <w:szCs w:val="44"/>
        </w:rPr>
        <w:t>Student Id:2246662</w:t>
      </w:r>
      <w:r w:rsidR="009C2D59" w:rsidRPr="00196C95">
        <w:rPr>
          <w:rFonts w:ascii="Arial" w:hAnsi="Arial" w:cs="Arial"/>
          <w:b/>
          <w:bCs/>
          <w:i/>
          <w:color w:val="auto"/>
          <w:sz w:val="72"/>
          <w:szCs w:val="72"/>
        </w:rPr>
        <w:t> </w:t>
      </w:r>
      <w:r w:rsidR="00B57A65" w:rsidRPr="00196C95">
        <w:rPr>
          <w:rFonts w:ascii="Arial" w:hAnsi="Arial" w:cs="Arial"/>
          <w:b/>
          <w:i/>
          <w:color w:val="auto"/>
          <w:sz w:val="72"/>
          <w:szCs w:val="72"/>
        </w:rPr>
        <w:t xml:space="preserve"> </w:t>
      </w:r>
    </w:p>
    <w:p w14:paraId="474BB7A5" w14:textId="77777777" w:rsidR="00793373" w:rsidRPr="00196C95" w:rsidRDefault="00793373" w:rsidP="00196C95">
      <w:pPr>
        <w:pStyle w:val="ContentsHeading"/>
        <w:pageBreakBefore/>
        <w:rPr>
          <w:rFonts w:ascii="Arial" w:hAnsi="Arial" w:cs="Arial"/>
          <w:color w:val="auto"/>
        </w:rPr>
      </w:pPr>
      <w:r w:rsidRPr="00196C95">
        <w:rPr>
          <w:rFonts w:ascii="Arial" w:hAnsi="Arial" w:cs="Arial"/>
          <w:color w:val="auto"/>
        </w:rPr>
        <w:lastRenderedPageBreak/>
        <w:t>Table of Contents</w:t>
      </w:r>
    </w:p>
    <w:p w14:paraId="3ED112D4" w14:textId="77777777" w:rsidR="002245BF" w:rsidRPr="00196C95" w:rsidRDefault="00793373" w:rsidP="00196C95">
      <w:pPr>
        <w:pStyle w:val="TOC1"/>
        <w:rPr>
          <w:rFonts w:ascii="Arial" w:eastAsia="Times New Roman" w:hAnsi="Arial" w:cs="Arial"/>
          <w:noProof/>
          <w:color w:val="auto"/>
          <w:sz w:val="22"/>
          <w:lang w:eastAsia="en-GB"/>
        </w:rPr>
      </w:pPr>
      <w:r w:rsidRPr="00196C95">
        <w:rPr>
          <w:rFonts w:ascii="Arial" w:hAnsi="Arial" w:cs="Arial"/>
          <w:color w:val="auto"/>
        </w:rPr>
        <w:fldChar w:fldCharType="begin"/>
      </w:r>
      <w:r w:rsidRPr="00196C95">
        <w:rPr>
          <w:rFonts w:ascii="Arial" w:hAnsi="Arial" w:cs="Arial"/>
          <w:color w:val="auto"/>
        </w:rPr>
        <w:instrText xml:space="preserve"> TOC \f \o "1-9" \o "1-9" </w:instrText>
      </w:r>
      <w:r w:rsidRPr="00196C95">
        <w:rPr>
          <w:rFonts w:ascii="Arial" w:hAnsi="Arial" w:cs="Arial"/>
          <w:color w:val="auto"/>
        </w:rPr>
        <w:fldChar w:fldCharType="separate"/>
      </w:r>
      <w:r w:rsidR="002245BF" w:rsidRPr="00196C95">
        <w:rPr>
          <w:rFonts w:ascii="Arial" w:hAnsi="Arial" w:cs="Arial"/>
          <w:noProof/>
        </w:rPr>
        <w:t>Introduction</w:t>
      </w:r>
      <w:r w:rsidR="002245BF" w:rsidRPr="00196C95">
        <w:rPr>
          <w:rFonts w:ascii="Arial" w:hAnsi="Arial" w:cs="Arial"/>
          <w:noProof/>
        </w:rPr>
        <w:tab/>
      </w:r>
      <w:r w:rsidR="002245BF" w:rsidRPr="00196C95">
        <w:rPr>
          <w:rFonts w:ascii="Arial" w:hAnsi="Arial" w:cs="Arial"/>
          <w:noProof/>
        </w:rPr>
        <w:fldChar w:fldCharType="begin"/>
      </w:r>
      <w:r w:rsidR="002245BF" w:rsidRPr="00196C95">
        <w:rPr>
          <w:rFonts w:ascii="Arial" w:hAnsi="Arial" w:cs="Arial"/>
          <w:noProof/>
        </w:rPr>
        <w:instrText xml:space="preserve"> PAGEREF _Toc215667792 \h </w:instrText>
      </w:r>
      <w:r w:rsidR="002245BF" w:rsidRPr="00196C95">
        <w:rPr>
          <w:rFonts w:ascii="Arial" w:hAnsi="Arial" w:cs="Arial"/>
          <w:noProof/>
        </w:rPr>
      </w:r>
      <w:r w:rsidR="002245BF" w:rsidRPr="00196C95">
        <w:rPr>
          <w:rFonts w:ascii="Arial" w:hAnsi="Arial" w:cs="Arial"/>
          <w:noProof/>
        </w:rPr>
        <w:fldChar w:fldCharType="separate"/>
      </w:r>
      <w:r w:rsidR="002245BF" w:rsidRPr="00196C95">
        <w:rPr>
          <w:rFonts w:ascii="Arial" w:hAnsi="Arial" w:cs="Arial"/>
          <w:noProof/>
        </w:rPr>
        <w:t>3</w:t>
      </w:r>
      <w:r w:rsidR="002245BF" w:rsidRPr="00196C95">
        <w:rPr>
          <w:rFonts w:ascii="Arial" w:hAnsi="Arial" w:cs="Arial"/>
          <w:noProof/>
        </w:rPr>
        <w:fldChar w:fldCharType="end"/>
      </w:r>
    </w:p>
    <w:p w14:paraId="75CC1957" w14:textId="77777777" w:rsidR="002245BF" w:rsidRPr="00196C95" w:rsidRDefault="002245BF" w:rsidP="00196C95">
      <w:pPr>
        <w:pStyle w:val="TOC1"/>
        <w:rPr>
          <w:rFonts w:ascii="Arial" w:eastAsia="Times New Roman" w:hAnsi="Arial" w:cs="Arial"/>
          <w:noProof/>
          <w:color w:val="auto"/>
          <w:sz w:val="22"/>
          <w:lang w:eastAsia="en-GB"/>
        </w:rPr>
      </w:pPr>
      <w:r w:rsidRPr="00196C95">
        <w:rPr>
          <w:rFonts w:ascii="Arial" w:hAnsi="Arial" w:cs="Arial"/>
          <w:noProof/>
        </w:rPr>
        <w:t>Literature Review</w:t>
      </w:r>
      <w:r w:rsidRPr="00196C95">
        <w:rPr>
          <w:rFonts w:ascii="Arial" w:hAnsi="Arial" w:cs="Arial"/>
          <w:noProof/>
        </w:rPr>
        <w:tab/>
      </w:r>
      <w:r w:rsidRPr="00196C95">
        <w:rPr>
          <w:rFonts w:ascii="Arial" w:hAnsi="Arial" w:cs="Arial"/>
          <w:noProof/>
        </w:rPr>
        <w:fldChar w:fldCharType="begin"/>
      </w:r>
      <w:r w:rsidRPr="00196C95">
        <w:rPr>
          <w:rFonts w:ascii="Arial" w:hAnsi="Arial" w:cs="Arial"/>
          <w:noProof/>
        </w:rPr>
        <w:instrText xml:space="preserve"> PAGEREF _Toc215667793 \h </w:instrText>
      </w:r>
      <w:r w:rsidRPr="00196C95">
        <w:rPr>
          <w:rFonts w:ascii="Arial" w:hAnsi="Arial" w:cs="Arial"/>
          <w:noProof/>
        </w:rPr>
      </w:r>
      <w:r w:rsidRPr="00196C95">
        <w:rPr>
          <w:rFonts w:ascii="Arial" w:hAnsi="Arial" w:cs="Arial"/>
          <w:noProof/>
        </w:rPr>
        <w:fldChar w:fldCharType="separate"/>
      </w:r>
      <w:r w:rsidRPr="00196C95">
        <w:rPr>
          <w:rFonts w:ascii="Arial" w:hAnsi="Arial" w:cs="Arial"/>
          <w:noProof/>
        </w:rPr>
        <w:t>3</w:t>
      </w:r>
      <w:r w:rsidRPr="00196C95">
        <w:rPr>
          <w:rFonts w:ascii="Arial" w:hAnsi="Arial" w:cs="Arial"/>
          <w:noProof/>
        </w:rPr>
        <w:fldChar w:fldCharType="end"/>
      </w:r>
    </w:p>
    <w:p w14:paraId="31F52601" w14:textId="77777777" w:rsidR="002245BF" w:rsidRPr="00196C95" w:rsidRDefault="002245BF" w:rsidP="00196C95">
      <w:pPr>
        <w:pStyle w:val="TOC1"/>
        <w:rPr>
          <w:rFonts w:ascii="Arial" w:eastAsia="Times New Roman" w:hAnsi="Arial" w:cs="Arial"/>
          <w:noProof/>
          <w:color w:val="auto"/>
          <w:sz w:val="22"/>
          <w:lang w:eastAsia="en-GB"/>
        </w:rPr>
      </w:pPr>
      <w:r w:rsidRPr="00196C95">
        <w:rPr>
          <w:rFonts w:ascii="Arial" w:hAnsi="Arial" w:cs="Arial"/>
          <w:noProof/>
        </w:rPr>
        <w:t>Main Analysis</w:t>
      </w:r>
      <w:r w:rsidRPr="00196C95">
        <w:rPr>
          <w:rFonts w:ascii="Arial" w:hAnsi="Arial" w:cs="Arial"/>
          <w:noProof/>
        </w:rPr>
        <w:tab/>
      </w:r>
      <w:r w:rsidRPr="00196C95">
        <w:rPr>
          <w:rFonts w:ascii="Arial" w:hAnsi="Arial" w:cs="Arial"/>
          <w:noProof/>
        </w:rPr>
        <w:fldChar w:fldCharType="begin"/>
      </w:r>
      <w:r w:rsidRPr="00196C95">
        <w:rPr>
          <w:rFonts w:ascii="Arial" w:hAnsi="Arial" w:cs="Arial"/>
          <w:noProof/>
        </w:rPr>
        <w:instrText xml:space="preserve"> PAGEREF _Toc215667794 \h </w:instrText>
      </w:r>
      <w:r w:rsidRPr="00196C95">
        <w:rPr>
          <w:rFonts w:ascii="Arial" w:hAnsi="Arial" w:cs="Arial"/>
          <w:noProof/>
        </w:rPr>
      </w:r>
      <w:r w:rsidRPr="00196C95">
        <w:rPr>
          <w:rFonts w:ascii="Arial" w:hAnsi="Arial" w:cs="Arial"/>
          <w:noProof/>
        </w:rPr>
        <w:fldChar w:fldCharType="separate"/>
      </w:r>
      <w:r w:rsidRPr="00196C95">
        <w:rPr>
          <w:rFonts w:ascii="Arial" w:hAnsi="Arial" w:cs="Arial"/>
          <w:noProof/>
        </w:rPr>
        <w:t>5</w:t>
      </w:r>
      <w:r w:rsidRPr="00196C95">
        <w:rPr>
          <w:rFonts w:ascii="Arial" w:hAnsi="Arial" w:cs="Arial"/>
          <w:noProof/>
        </w:rPr>
        <w:fldChar w:fldCharType="end"/>
      </w:r>
    </w:p>
    <w:p w14:paraId="24BFB088" w14:textId="77777777" w:rsidR="002245BF" w:rsidRPr="00196C95" w:rsidRDefault="002245BF" w:rsidP="00196C95">
      <w:pPr>
        <w:pStyle w:val="TOC1"/>
        <w:rPr>
          <w:rFonts w:ascii="Arial" w:eastAsia="Times New Roman" w:hAnsi="Arial" w:cs="Arial"/>
          <w:noProof/>
          <w:color w:val="auto"/>
          <w:sz w:val="22"/>
          <w:lang w:eastAsia="en-GB"/>
        </w:rPr>
      </w:pPr>
      <w:r w:rsidRPr="00196C95">
        <w:rPr>
          <w:rFonts w:ascii="Arial" w:hAnsi="Arial" w:cs="Arial"/>
          <w:noProof/>
        </w:rPr>
        <w:t>Conclusion</w:t>
      </w:r>
      <w:r w:rsidRPr="00196C95">
        <w:rPr>
          <w:rFonts w:ascii="Arial" w:hAnsi="Arial" w:cs="Arial"/>
          <w:noProof/>
        </w:rPr>
        <w:tab/>
      </w:r>
      <w:r w:rsidRPr="00196C95">
        <w:rPr>
          <w:rFonts w:ascii="Arial" w:hAnsi="Arial" w:cs="Arial"/>
          <w:noProof/>
        </w:rPr>
        <w:fldChar w:fldCharType="begin"/>
      </w:r>
      <w:r w:rsidRPr="00196C95">
        <w:rPr>
          <w:rFonts w:ascii="Arial" w:hAnsi="Arial" w:cs="Arial"/>
          <w:noProof/>
        </w:rPr>
        <w:instrText xml:space="preserve"> PAGEREF _Toc215667795 \h </w:instrText>
      </w:r>
      <w:r w:rsidRPr="00196C95">
        <w:rPr>
          <w:rFonts w:ascii="Arial" w:hAnsi="Arial" w:cs="Arial"/>
          <w:noProof/>
        </w:rPr>
      </w:r>
      <w:r w:rsidRPr="00196C95">
        <w:rPr>
          <w:rFonts w:ascii="Arial" w:hAnsi="Arial" w:cs="Arial"/>
          <w:noProof/>
        </w:rPr>
        <w:fldChar w:fldCharType="separate"/>
      </w:r>
      <w:r w:rsidRPr="00196C95">
        <w:rPr>
          <w:rFonts w:ascii="Arial" w:hAnsi="Arial" w:cs="Arial"/>
          <w:noProof/>
        </w:rPr>
        <w:t>8</w:t>
      </w:r>
      <w:r w:rsidRPr="00196C95">
        <w:rPr>
          <w:rFonts w:ascii="Arial" w:hAnsi="Arial" w:cs="Arial"/>
          <w:noProof/>
        </w:rPr>
        <w:fldChar w:fldCharType="end"/>
      </w:r>
    </w:p>
    <w:p w14:paraId="68E425C6" w14:textId="77777777" w:rsidR="002245BF" w:rsidRPr="00196C95" w:rsidRDefault="002245BF" w:rsidP="00196C95">
      <w:pPr>
        <w:pStyle w:val="TOC1"/>
        <w:rPr>
          <w:rFonts w:ascii="Arial" w:eastAsia="Times New Roman" w:hAnsi="Arial" w:cs="Arial"/>
          <w:noProof/>
          <w:color w:val="auto"/>
          <w:sz w:val="22"/>
          <w:lang w:eastAsia="en-GB"/>
        </w:rPr>
      </w:pPr>
      <w:r w:rsidRPr="00196C95">
        <w:rPr>
          <w:rFonts w:ascii="Arial" w:hAnsi="Arial" w:cs="Arial"/>
          <w:noProof/>
        </w:rPr>
        <w:t>REFERENCES</w:t>
      </w:r>
      <w:r w:rsidRPr="00196C95">
        <w:rPr>
          <w:rFonts w:ascii="Arial" w:hAnsi="Arial" w:cs="Arial"/>
          <w:noProof/>
        </w:rPr>
        <w:tab/>
      </w:r>
      <w:r w:rsidRPr="00196C95">
        <w:rPr>
          <w:rFonts w:ascii="Arial" w:hAnsi="Arial" w:cs="Arial"/>
          <w:noProof/>
        </w:rPr>
        <w:fldChar w:fldCharType="begin"/>
      </w:r>
      <w:r w:rsidRPr="00196C95">
        <w:rPr>
          <w:rFonts w:ascii="Arial" w:hAnsi="Arial" w:cs="Arial"/>
          <w:noProof/>
        </w:rPr>
        <w:instrText xml:space="preserve"> PAGEREF _Toc215667796 \h </w:instrText>
      </w:r>
      <w:r w:rsidRPr="00196C95">
        <w:rPr>
          <w:rFonts w:ascii="Arial" w:hAnsi="Arial" w:cs="Arial"/>
          <w:noProof/>
        </w:rPr>
      </w:r>
      <w:r w:rsidRPr="00196C95">
        <w:rPr>
          <w:rFonts w:ascii="Arial" w:hAnsi="Arial" w:cs="Arial"/>
          <w:noProof/>
        </w:rPr>
        <w:fldChar w:fldCharType="separate"/>
      </w:r>
      <w:r w:rsidRPr="00196C95">
        <w:rPr>
          <w:rFonts w:ascii="Arial" w:hAnsi="Arial" w:cs="Arial"/>
          <w:noProof/>
        </w:rPr>
        <w:t>9</w:t>
      </w:r>
      <w:r w:rsidRPr="00196C95">
        <w:rPr>
          <w:rFonts w:ascii="Arial" w:hAnsi="Arial" w:cs="Arial"/>
          <w:noProof/>
        </w:rPr>
        <w:fldChar w:fldCharType="end"/>
      </w:r>
    </w:p>
    <w:p w14:paraId="138A0B01" w14:textId="77777777" w:rsidR="005901D0" w:rsidRPr="00196C95" w:rsidRDefault="00793373" w:rsidP="00196C95">
      <w:pPr>
        <w:pStyle w:val="TOC1"/>
        <w:rPr>
          <w:rFonts w:ascii="Arial" w:hAnsi="Arial" w:cs="Arial"/>
          <w:color w:val="auto"/>
          <w:szCs w:val="24"/>
        </w:rPr>
      </w:pPr>
      <w:r w:rsidRPr="00196C95">
        <w:rPr>
          <w:rFonts w:ascii="Arial" w:hAnsi="Arial" w:cs="Arial"/>
          <w:color w:val="auto"/>
        </w:rPr>
        <w:fldChar w:fldCharType="end"/>
      </w:r>
    </w:p>
    <w:p w14:paraId="31D4D252" w14:textId="77777777" w:rsidR="00793373" w:rsidRPr="00196C95" w:rsidRDefault="00793373" w:rsidP="00196C95">
      <w:pPr>
        <w:rPr>
          <w:rFonts w:ascii="Arial" w:hAnsi="Arial" w:cs="Arial"/>
          <w:color w:val="auto"/>
          <w:szCs w:val="24"/>
        </w:rPr>
      </w:pPr>
    </w:p>
    <w:p w14:paraId="4C956D07" w14:textId="77777777" w:rsidR="00FA3835" w:rsidRPr="00196C95" w:rsidRDefault="00FA3835" w:rsidP="00196C95">
      <w:pPr>
        <w:rPr>
          <w:rFonts w:ascii="Arial" w:hAnsi="Arial" w:cs="Arial"/>
          <w:color w:val="auto"/>
          <w:szCs w:val="24"/>
        </w:rPr>
      </w:pPr>
    </w:p>
    <w:p w14:paraId="1B848C33" w14:textId="77777777" w:rsidR="00FA3835" w:rsidRPr="00196C95" w:rsidRDefault="00FA3835" w:rsidP="00196C95">
      <w:pPr>
        <w:rPr>
          <w:rFonts w:ascii="Arial" w:hAnsi="Arial" w:cs="Arial"/>
          <w:color w:val="auto"/>
          <w:szCs w:val="24"/>
        </w:rPr>
      </w:pPr>
    </w:p>
    <w:p w14:paraId="47032E29" w14:textId="77777777" w:rsidR="00A654E6" w:rsidRPr="00196C95" w:rsidRDefault="006407FE" w:rsidP="00196C95">
      <w:pPr>
        <w:pStyle w:val="Heading1"/>
        <w:rPr>
          <w:rFonts w:ascii="Arial" w:hAnsi="Arial" w:cs="Arial"/>
        </w:rPr>
      </w:pPr>
      <w:r w:rsidRPr="00196C95">
        <w:rPr>
          <w:rFonts w:ascii="Arial" w:hAnsi="Arial" w:cs="Arial"/>
        </w:rPr>
        <w:br w:type="page"/>
      </w:r>
      <w:bookmarkStart w:id="1" w:name="_Toc215667792"/>
      <w:r w:rsidR="000C2DC0" w:rsidRPr="00196C95">
        <w:rPr>
          <w:rFonts w:ascii="Arial" w:hAnsi="Arial" w:cs="Arial"/>
        </w:rPr>
        <w:lastRenderedPageBreak/>
        <w:t>Introduction</w:t>
      </w:r>
      <w:bookmarkEnd w:id="1"/>
    </w:p>
    <w:p w14:paraId="600EA61F" w14:textId="77777777" w:rsidR="009B6260" w:rsidRPr="00196C95" w:rsidRDefault="003A4903" w:rsidP="00196C95">
      <w:pPr>
        <w:rPr>
          <w:rFonts w:ascii="Arial" w:hAnsi="Arial" w:cs="Arial"/>
        </w:rPr>
      </w:pPr>
      <w:r w:rsidRPr="00196C95">
        <w:rPr>
          <w:rFonts w:ascii="Arial" w:hAnsi="Arial" w:cs="Arial"/>
        </w:rPr>
        <w:t xml:space="preserve">Cross cultural communication and negotiation are crucial in business today and should be done properly between companies like Coca-Cola that can be found in over 200 countries. </w:t>
      </w:r>
      <w:r w:rsidR="009B6260" w:rsidRPr="00196C95">
        <w:rPr>
          <w:rFonts w:ascii="Arial" w:hAnsi="Arial" w:cs="Arial"/>
        </w:rPr>
        <w:t>Every one of these markets has their cultural expectations, practices and norms in business. The challenge that faces Coca-Cola in managing these differences is the ability to negotiate with its stakeholders such as distributors, governments, and retailers which have direct effects in its international performance.</w:t>
      </w:r>
    </w:p>
    <w:p w14:paraId="2D07DB30" w14:textId="77777777" w:rsidR="009B6260" w:rsidRPr="00196C95" w:rsidRDefault="009B6260" w:rsidP="00196C95">
      <w:pPr>
        <w:ind w:firstLine="720"/>
        <w:rPr>
          <w:rFonts w:ascii="Arial" w:hAnsi="Arial" w:cs="Arial"/>
        </w:rPr>
      </w:pPr>
      <w:r w:rsidRPr="00196C95">
        <w:rPr>
          <w:rFonts w:ascii="Arial" w:hAnsi="Arial" w:cs="Arial"/>
        </w:rPr>
        <w:t>This essay critically examines how cultural differences may be relevant to the strategies that Coca-Cola employs as regards negotiation specifically between the practices in the United States and in China. Cultural aspects like individualism/collectivism, power distance, and communication style are aspects that will be studied and how they have affected Coca-Cola negotiation strategy in the two markets. The research question is as following: How might cultural differences impact negotiation processes of Coca-Cola, and how might the company modify the strategy of overcoming such challenges?</w:t>
      </w:r>
    </w:p>
    <w:p w14:paraId="217097CE" w14:textId="77777777" w:rsidR="003D05A0" w:rsidRPr="00196C95" w:rsidRDefault="009B6260" w:rsidP="00196C95">
      <w:pPr>
        <w:ind w:firstLine="432"/>
        <w:rPr>
          <w:rFonts w:ascii="Arial" w:hAnsi="Arial" w:cs="Arial"/>
        </w:rPr>
      </w:pPr>
      <w:r w:rsidRPr="00196C95">
        <w:rPr>
          <w:rFonts w:ascii="Arial" w:hAnsi="Arial" w:cs="Arial"/>
        </w:rPr>
        <w:t xml:space="preserve">The essay structure will entail an overview of intercultural communication and negotiation theory, and an evaluation of the Coca-Cola negotiating strategies in different cultures. In the conclusion, these strategies will be critically </w:t>
      </w:r>
      <w:r w:rsidR="008F2D31" w:rsidRPr="00196C95">
        <w:rPr>
          <w:rFonts w:ascii="Arial" w:hAnsi="Arial" w:cs="Arial"/>
        </w:rPr>
        <w:t>analysed</w:t>
      </w:r>
      <w:r w:rsidRPr="00196C95">
        <w:rPr>
          <w:rFonts w:ascii="Arial" w:hAnsi="Arial" w:cs="Arial"/>
        </w:rPr>
        <w:t xml:space="preserve"> and recommendations made on improving them.</w:t>
      </w:r>
    </w:p>
    <w:p w14:paraId="777C8BBB" w14:textId="77777777" w:rsidR="00784EBE" w:rsidRPr="00196C95" w:rsidRDefault="000C2DC0" w:rsidP="00196C95">
      <w:pPr>
        <w:pStyle w:val="Heading1"/>
        <w:rPr>
          <w:rFonts w:ascii="Arial" w:hAnsi="Arial" w:cs="Arial"/>
        </w:rPr>
      </w:pPr>
      <w:bookmarkStart w:id="2" w:name="_Toc215667793"/>
      <w:r w:rsidRPr="00196C95">
        <w:rPr>
          <w:rFonts w:ascii="Arial" w:hAnsi="Arial" w:cs="Arial"/>
        </w:rPr>
        <w:t>Literature Review</w:t>
      </w:r>
      <w:bookmarkEnd w:id="2"/>
    </w:p>
    <w:p w14:paraId="0009733B" w14:textId="77777777" w:rsidR="004613F4" w:rsidRPr="00196C95" w:rsidRDefault="004613F4" w:rsidP="00196C95">
      <w:pPr>
        <w:rPr>
          <w:rFonts w:ascii="Arial" w:hAnsi="Arial" w:cs="Arial"/>
        </w:rPr>
      </w:pPr>
      <w:r w:rsidRPr="00196C95">
        <w:rPr>
          <w:rFonts w:ascii="Arial" w:hAnsi="Arial" w:cs="Arial"/>
          <w:b/>
        </w:rPr>
        <w:t>Intercultural Communication Theories</w:t>
      </w:r>
    </w:p>
    <w:p w14:paraId="0596604D" w14:textId="77777777" w:rsidR="00830C8D" w:rsidRPr="00196C95" w:rsidRDefault="00A1253D" w:rsidP="00196C95">
      <w:pPr>
        <w:rPr>
          <w:rFonts w:ascii="Arial" w:hAnsi="Arial" w:cs="Arial"/>
        </w:rPr>
      </w:pPr>
      <w:r w:rsidRPr="00196C95">
        <w:rPr>
          <w:rFonts w:ascii="Arial" w:hAnsi="Arial" w:cs="Arial"/>
        </w:rPr>
        <w:t>Various</w:t>
      </w:r>
      <w:r w:rsidR="004613F4" w:rsidRPr="00196C95">
        <w:rPr>
          <w:rFonts w:ascii="Arial" w:hAnsi="Arial" w:cs="Arial"/>
        </w:rPr>
        <w:t xml:space="preserve"> communication theories underpin effective cross-cultural negotiation. Hofstede Cultural Dimensions is one of the most powerful frameworks that specify the most important cultural distinctions: individualism vs. collective, power distance, and uncertainty avoidance (Deresky, 2017). Such dimensions can be used to explain the diverse negotiation style of individuals with diverse cultural orientations. To clarify, negotiators are more protean in individualistic cultures, such as the U.S., and more collectivist in collectivist cultures, such as China </w:t>
      </w:r>
      <w:r w:rsidR="00830C8D" w:rsidRPr="00196C95">
        <w:rPr>
          <w:rFonts w:ascii="Arial" w:hAnsi="Arial" w:cs="Arial"/>
        </w:rPr>
        <w:t>(Steers, Osland and Szkudlarek, 2023).</w:t>
      </w:r>
    </w:p>
    <w:p w14:paraId="74F9107C" w14:textId="77777777" w:rsidR="004613F4" w:rsidRPr="00196C95" w:rsidRDefault="004613F4" w:rsidP="00196C95">
      <w:pPr>
        <w:ind w:firstLine="720"/>
        <w:rPr>
          <w:rFonts w:ascii="Arial" w:hAnsi="Arial" w:cs="Arial"/>
        </w:rPr>
      </w:pPr>
      <w:r w:rsidRPr="00196C95">
        <w:rPr>
          <w:rFonts w:ascii="Arial" w:hAnsi="Arial" w:cs="Arial"/>
        </w:rPr>
        <w:t>High-Context vs. Low-Context Communication by Hall is another critical theory. INC cultures, like East Asia, focus on non-verbal communication, indirect speech, and mutual understanding, which makes the negotiation process slower and relationship-</w:t>
      </w:r>
      <w:r w:rsidRPr="00196C95">
        <w:rPr>
          <w:rFonts w:ascii="Arial" w:hAnsi="Arial" w:cs="Arial"/>
        </w:rPr>
        <w:lastRenderedPageBreak/>
        <w:t>oriented (Szkudlarek et al., 2020). Conversely, low-context cultures, including the U.S., value directness, clarity and efficiency in communication, resulting in less direct and quicker negotiations (Gutiérrez, 2007).</w:t>
      </w:r>
    </w:p>
    <w:p w14:paraId="11FA5A7B" w14:textId="77777777" w:rsidR="004613F4" w:rsidRPr="00196C95" w:rsidRDefault="004613F4" w:rsidP="00196C95">
      <w:pPr>
        <w:rPr>
          <w:rFonts w:ascii="Arial" w:hAnsi="Arial" w:cs="Arial"/>
          <w:b/>
        </w:rPr>
      </w:pPr>
      <w:r w:rsidRPr="00196C95">
        <w:rPr>
          <w:rFonts w:ascii="Arial" w:hAnsi="Arial" w:cs="Arial"/>
          <w:b/>
        </w:rPr>
        <w:t>Negotiation Theories</w:t>
      </w:r>
    </w:p>
    <w:p w14:paraId="4C6DE4A5" w14:textId="77777777" w:rsidR="004613F4" w:rsidRPr="00196C95" w:rsidRDefault="004613F4" w:rsidP="00196C95">
      <w:pPr>
        <w:rPr>
          <w:rFonts w:ascii="Arial" w:hAnsi="Arial" w:cs="Arial"/>
        </w:rPr>
      </w:pPr>
      <w:r w:rsidRPr="00196C95">
        <w:rPr>
          <w:rFonts w:ascii="Arial" w:hAnsi="Arial" w:cs="Arial"/>
        </w:rPr>
        <w:t>When making cross-cultural negotiations, it is important to know the integrative vs. distributive negotiation models. Unlike distributive negotiation where one party gains at the expense of the other, integrative negotiation aims to reach win-win results when both sides come together to conclude mutually beneficial results (Deresky, 2017). Coca-Cola usually uses integrative negotiation strategies in international joint ventures especially on collaborative markets such as Asia where long-term relationship is the focus.</w:t>
      </w:r>
    </w:p>
    <w:p w14:paraId="2EE95E1E" w14:textId="77777777" w:rsidR="004613F4" w:rsidRPr="00196C95" w:rsidRDefault="004613F4" w:rsidP="00196C95">
      <w:pPr>
        <w:ind w:firstLine="720"/>
        <w:rPr>
          <w:rFonts w:ascii="Arial" w:hAnsi="Arial" w:cs="Arial"/>
        </w:rPr>
      </w:pPr>
      <w:r w:rsidRPr="00196C95">
        <w:rPr>
          <w:rFonts w:ascii="Arial" w:hAnsi="Arial" w:cs="Arial"/>
        </w:rPr>
        <w:t>The Thomas-Kilmann Conflict Mode Instrument (TKI) is another useful tool in conflict management styles. The TKI model consists of five styles: competing, accommodating, avoiding, collaborating, and compromising. Style depends on the cultural background- American negotiators may prefer competing or collaborating style negotiation, whereas Chinese negotiators may avoid or accommodate to save face and harmony (Saha, 2018).</w:t>
      </w:r>
    </w:p>
    <w:p w14:paraId="49CC6603" w14:textId="77777777" w:rsidR="004613F4" w:rsidRPr="00196C95" w:rsidRDefault="004613F4" w:rsidP="00196C95">
      <w:pPr>
        <w:ind w:firstLine="720"/>
        <w:rPr>
          <w:rFonts w:ascii="Arial" w:hAnsi="Arial" w:cs="Arial"/>
        </w:rPr>
      </w:pPr>
      <w:r w:rsidRPr="00196C95">
        <w:rPr>
          <w:rFonts w:ascii="Arial" w:hAnsi="Arial" w:cs="Arial"/>
        </w:rPr>
        <w:t>Lastly, BATNA (Best Alternative to a Negotiated Agreement) is something necessary in negotiations. BATNA assists negotiators in realizing their options in the event that an agreement is not reached giving them bargaining power in negotiation processes. The international scope of Coca-Cola frequently implies that it can find powerful substitutes to its negotiation with local distributors, retailers, and partners (Ajala and Heywood, 2021).</w:t>
      </w:r>
    </w:p>
    <w:p w14:paraId="41725503" w14:textId="77777777" w:rsidR="004613F4" w:rsidRPr="00196C95" w:rsidRDefault="004613F4" w:rsidP="00196C95">
      <w:pPr>
        <w:rPr>
          <w:rFonts w:ascii="Arial" w:hAnsi="Arial" w:cs="Arial"/>
          <w:b/>
        </w:rPr>
      </w:pPr>
      <w:r w:rsidRPr="00196C95">
        <w:rPr>
          <w:rFonts w:ascii="Arial" w:hAnsi="Arial" w:cs="Arial"/>
          <w:b/>
        </w:rPr>
        <w:t>Communication in Multinational Organisations</w:t>
      </w:r>
    </w:p>
    <w:p w14:paraId="5A341859" w14:textId="77777777" w:rsidR="004613F4" w:rsidRPr="00196C95" w:rsidRDefault="004613F4" w:rsidP="00196C95">
      <w:pPr>
        <w:rPr>
          <w:rFonts w:ascii="Arial" w:hAnsi="Arial" w:cs="Arial"/>
        </w:rPr>
      </w:pPr>
      <w:r w:rsidRPr="00196C95">
        <w:rPr>
          <w:rFonts w:ascii="Arial" w:hAnsi="Arial" w:cs="Arial"/>
        </w:rPr>
        <w:t>Cross-cultural negotiation is also determined by the knowledge of how language, values, and cultural expectations influence the behavior of communication</w:t>
      </w:r>
      <w:r w:rsidR="00D022B4" w:rsidRPr="00196C95">
        <w:rPr>
          <w:rFonts w:ascii="Arial" w:hAnsi="Arial" w:cs="Arial"/>
        </w:rPr>
        <w:t xml:space="preserve"> (Koh and Maguire, 2009)</w:t>
      </w:r>
      <w:r w:rsidRPr="00196C95">
        <w:rPr>
          <w:rFonts w:ascii="Arial" w:hAnsi="Arial" w:cs="Arial"/>
        </w:rPr>
        <w:t xml:space="preserve">. Such a multinational company like Coca-Cola constantly faces a challenge in aligning global corporate policies and local negotiation norms. Confusions are common when multinational companies believe that communication styles, values, and expectations are cross-cultural </w:t>
      </w:r>
      <w:r w:rsidR="00E07D5E" w:rsidRPr="00196C95">
        <w:rPr>
          <w:rFonts w:ascii="Arial" w:hAnsi="Arial" w:cs="Arial"/>
        </w:rPr>
        <w:t xml:space="preserve">(Pratiwi and Pratama, 2023). </w:t>
      </w:r>
      <w:r w:rsidRPr="00196C95">
        <w:rPr>
          <w:rFonts w:ascii="Arial" w:hAnsi="Arial" w:cs="Arial"/>
        </w:rPr>
        <w:t>The fact that Coca-Cola can tailor its negotiation plans to the cultural demands of each market has played a major role in its success all over the world.</w:t>
      </w:r>
    </w:p>
    <w:p w14:paraId="1B96FA62" w14:textId="77777777" w:rsidR="004613F4" w:rsidRPr="00196C95" w:rsidRDefault="004613F4" w:rsidP="00196C95">
      <w:pPr>
        <w:rPr>
          <w:rFonts w:ascii="Arial" w:hAnsi="Arial" w:cs="Arial"/>
          <w:b/>
        </w:rPr>
      </w:pPr>
      <w:r w:rsidRPr="00196C95">
        <w:rPr>
          <w:rFonts w:ascii="Arial" w:hAnsi="Arial" w:cs="Arial"/>
          <w:b/>
        </w:rPr>
        <w:lastRenderedPageBreak/>
        <w:t>Relevance to Coca-Cola</w:t>
      </w:r>
    </w:p>
    <w:p w14:paraId="0A10323C" w14:textId="77777777" w:rsidR="00F17CBC" w:rsidRPr="00196C95" w:rsidRDefault="004613F4" w:rsidP="00196C95">
      <w:pPr>
        <w:rPr>
          <w:rFonts w:ascii="Arial" w:hAnsi="Arial" w:cs="Arial"/>
        </w:rPr>
      </w:pPr>
      <w:r w:rsidRPr="00196C95">
        <w:rPr>
          <w:rFonts w:ascii="Arial" w:hAnsi="Arial" w:cs="Arial"/>
        </w:rPr>
        <w:t>Coca-Cola business consists of numerous cultural contexts and, therefore, cultural adaptation is critical in negotiations. An example of this is the negotiations that the company goes into with the partners in China and in the U.S. where there is a great difference in the negotiating style, decision making processes, and communication. Such cultural differences enable Coca-Cola to ensure that its practices align with the expectations of local people by ensuring successful negotiations and healthy business relationships (Wang et al., 2022).</w:t>
      </w:r>
    </w:p>
    <w:p w14:paraId="2A63D6DA" w14:textId="77777777" w:rsidR="000824D7" w:rsidRPr="00196C95" w:rsidRDefault="000C2DC0" w:rsidP="00196C95">
      <w:pPr>
        <w:pStyle w:val="Heading1"/>
        <w:rPr>
          <w:rFonts w:ascii="Arial" w:hAnsi="Arial" w:cs="Arial"/>
        </w:rPr>
      </w:pPr>
      <w:bookmarkStart w:id="3" w:name="_Toc215667794"/>
      <w:r w:rsidRPr="00196C95">
        <w:rPr>
          <w:rFonts w:ascii="Arial" w:hAnsi="Arial" w:cs="Arial"/>
        </w:rPr>
        <w:t>Main Analysis</w:t>
      </w:r>
      <w:bookmarkEnd w:id="3"/>
    </w:p>
    <w:p w14:paraId="533645BB" w14:textId="77777777" w:rsidR="00FD14D4" w:rsidRPr="00196C95" w:rsidRDefault="00FD14D4" w:rsidP="00196C95">
      <w:pPr>
        <w:rPr>
          <w:rFonts w:ascii="Arial" w:hAnsi="Arial" w:cs="Arial"/>
          <w:b/>
        </w:rPr>
      </w:pPr>
      <w:r w:rsidRPr="00196C95">
        <w:rPr>
          <w:rFonts w:ascii="Arial" w:hAnsi="Arial" w:cs="Arial"/>
          <w:b/>
        </w:rPr>
        <w:t>Coca-Cola’s International Operations</w:t>
      </w:r>
    </w:p>
    <w:p w14:paraId="641DFD49" w14:textId="77777777" w:rsidR="00FD14D4" w:rsidRPr="00196C95" w:rsidRDefault="00FD14D4" w:rsidP="00196C95">
      <w:pPr>
        <w:rPr>
          <w:rFonts w:ascii="Arial" w:hAnsi="Arial" w:cs="Arial"/>
        </w:rPr>
      </w:pPr>
      <w:r w:rsidRPr="00196C95">
        <w:rPr>
          <w:rFonts w:ascii="Arial" w:hAnsi="Arial" w:cs="Arial"/>
        </w:rPr>
        <w:t>As a company with operations in more than 200 countries, co-cultural negotiation helps Coca-Cola adopt a competitive advantage in the international market. The corporation has to adjust to the local circumstances but still retain the brand image. Effective negotiations with stakeholders including bottling partners, suppliers, and government agencies are crucial to growth of operations and expansion into new markets. The cultural differences influence the Coca-Cola negotiation tactics greatly, in a wide area such as the U.S, China and India. Knowledge of local cultural beliefs, communication patte</w:t>
      </w:r>
      <w:r w:rsidR="0019516A" w:rsidRPr="00196C95">
        <w:rPr>
          <w:rFonts w:ascii="Arial" w:hAnsi="Arial" w:cs="Arial"/>
        </w:rPr>
        <w:t>rns and regulatory</w:t>
      </w:r>
      <w:r w:rsidRPr="00196C95">
        <w:rPr>
          <w:rFonts w:ascii="Arial" w:hAnsi="Arial" w:cs="Arial"/>
        </w:rPr>
        <w:t xml:space="preserve"> environment enables Coca-Cola to foster good relationships and negotiate complicated deals with its partners to achieve success in the international markets in the long run.</w:t>
      </w:r>
    </w:p>
    <w:p w14:paraId="6D8AB800" w14:textId="77777777" w:rsidR="00FD14D4" w:rsidRPr="00196C95" w:rsidRDefault="00FD14D4" w:rsidP="00196C95">
      <w:pPr>
        <w:rPr>
          <w:rFonts w:ascii="Arial" w:hAnsi="Arial" w:cs="Arial"/>
          <w:b/>
        </w:rPr>
      </w:pPr>
      <w:r w:rsidRPr="00196C95">
        <w:rPr>
          <w:rFonts w:ascii="Arial" w:hAnsi="Arial" w:cs="Arial"/>
          <w:b/>
        </w:rPr>
        <w:t>Impact of Cultural Differences on Negotiation</w:t>
      </w:r>
    </w:p>
    <w:p w14:paraId="7DC1DA12" w14:textId="77777777" w:rsidR="00FD14D4" w:rsidRPr="00196C95" w:rsidRDefault="00FD14D4" w:rsidP="00196C95">
      <w:pPr>
        <w:rPr>
          <w:rFonts w:ascii="Arial" w:hAnsi="Arial" w:cs="Arial"/>
        </w:rPr>
      </w:pPr>
      <w:r w:rsidRPr="00196C95">
        <w:rPr>
          <w:rFonts w:ascii="Arial" w:hAnsi="Arial" w:cs="Arial"/>
        </w:rPr>
        <w:t xml:space="preserve">The cultural differences have a significant impact on negotiations at Coca-Cola, particularly those in countries such as China and the United States which have visibly different cultures. The Hofstede model states that the U.S. is a low-power distance society that is highly individualistic. Negotiators in these societies would believe in direct communication, efficiency, and personal objectives </w:t>
      </w:r>
      <w:r w:rsidR="00830C8D" w:rsidRPr="00196C95">
        <w:rPr>
          <w:rFonts w:ascii="Arial" w:hAnsi="Arial" w:cs="Arial"/>
        </w:rPr>
        <w:t xml:space="preserve">(Steers, Osland and Szkudlarek, 2023). </w:t>
      </w:r>
      <w:r w:rsidRPr="00196C95">
        <w:rPr>
          <w:rFonts w:ascii="Arial" w:hAnsi="Arial" w:cs="Arial"/>
        </w:rPr>
        <w:t>Americans often concentrate on making short and clear deals, they talk assertively to represent their interests. This direct style is considered to be effective and outcome-oriented.</w:t>
      </w:r>
    </w:p>
    <w:p w14:paraId="10D7F155" w14:textId="1FEACDE5" w:rsidR="00FD14D4" w:rsidRPr="00196C95" w:rsidRDefault="00FD14D4" w:rsidP="00196C95">
      <w:pPr>
        <w:ind w:firstLine="720"/>
        <w:rPr>
          <w:rFonts w:ascii="Arial" w:hAnsi="Arial" w:cs="Arial"/>
        </w:rPr>
      </w:pPr>
      <w:r w:rsidRPr="00196C95">
        <w:rPr>
          <w:rFonts w:ascii="Arial" w:hAnsi="Arial" w:cs="Arial"/>
        </w:rPr>
        <w:t xml:space="preserve">Conversely, China is a </w:t>
      </w:r>
      <w:r w:rsidR="00196C95" w:rsidRPr="00196C95">
        <w:rPr>
          <w:rFonts w:ascii="Arial" w:hAnsi="Arial" w:cs="Arial"/>
        </w:rPr>
        <w:t>high-power</w:t>
      </w:r>
      <w:r w:rsidRPr="00196C95">
        <w:rPr>
          <w:rFonts w:ascii="Arial" w:hAnsi="Arial" w:cs="Arial"/>
        </w:rPr>
        <w:t xml:space="preserve"> distance society in which hierarchies rank very highly. The negotiations in this situation involve a more collectivist view, where the </w:t>
      </w:r>
      <w:r w:rsidRPr="00196C95">
        <w:rPr>
          <w:rFonts w:ascii="Arial" w:hAnsi="Arial" w:cs="Arial"/>
        </w:rPr>
        <w:lastRenderedPageBreak/>
        <w:t>primary focus is on relationships and group harmony rather than individual goals (Szkudlarek et al., 2020). The negotiations at Coca-Cola in China require a change of its typical direct style. Rather, it must focus on guanxi (relationship networks), gaining trust and ultimately appreciating the power making decision-makers. It is a strategy that would slow down and complicate negotiations but would be paramount in developing long-term Chinese relationships.</w:t>
      </w:r>
    </w:p>
    <w:p w14:paraId="4752090B" w14:textId="77777777" w:rsidR="00FD14D4" w:rsidRPr="00196C95" w:rsidRDefault="00FD14D4" w:rsidP="00196C95">
      <w:pPr>
        <w:ind w:firstLine="720"/>
        <w:rPr>
          <w:rFonts w:ascii="Arial" w:hAnsi="Arial" w:cs="Arial"/>
        </w:rPr>
      </w:pPr>
      <w:r w:rsidRPr="00196C95">
        <w:rPr>
          <w:rFonts w:ascii="Arial" w:hAnsi="Arial" w:cs="Arial"/>
        </w:rPr>
        <w:t>Cultural misunderstanding occurs when low-context culture negotiators such as the U.S. fail to understand the indirect communication style of the high-context culture such as China. As an example, American negotiators could view Chinese unwillingness or indecisiveness in making choices as indecisiveness, but in China, it is an attempt to prevent conflict as well as promote unity. Such discrepancies may impose difficulties when negotiating, which may result in possible delays or miscommunications (Szkudlarek et al., 2020).</w:t>
      </w:r>
    </w:p>
    <w:p w14:paraId="3131C98F" w14:textId="77777777" w:rsidR="00FD14D4" w:rsidRPr="00196C95" w:rsidRDefault="00FD14D4" w:rsidP="00196C95">
      <w:pPr>
        <w:rPr>
          <w:rFonts w:ascii="Arial" w:hAnsi="Arial" w:cs="Arial"/>
          <w:b/>
        </w:rPr>
      </w:pPr>
      <w:r w:rsidRPr="00196C95">
        <w:rPr>
          <w:rFonts w:ascii="Arial" w:hAnsi="Arial" w:cs="Arial"/>
          <w:b/>
        </w:rPr>
        <w:t>Case Examples and Evidence</w:t>
      </w:r>
    </w:p>
    <w:p w14:paraId="5E0E2F44" w14:textId="77777777" w:rsidR="00FD14D4" w:rsidRPr="00196C95" w:rsidRDefault="00FD14D4" w:rsidP="00196C95">
      <w:pPr>
        <w:rPr>
          <w:rFonts w:ascii="Arial" w:hAnsi="Arial" w:cs="Arial"/>
        </w:rPr>
      </w:pPr>
      <w:r w:rsidRPr="00196C95">
        <w:rPr>
          <w:rFonts w:ascii="Arial" w:hAnsi="Arial" w:cs="Arial"/>
        </w:rPr>
        <w:t>Another prominent instance of cross-cultural negotiation issues by Coca-Cola was its unsuccessful takeover of Huiyuan Juice in 2009. The Chinese government blocked the deal worth 2.4 billion on grounds that the local drink market would suffer foreign control. Although Coca-Cola tried so much, the cultural and political factors, such as the unwillingness of the government to permit foreign companies to dominate major sectors of the economy, contributed to the failure of the acquisition. This case highlights the need to be aware of the cultural and political environment in which negotiations will occur. Coca-Cola had missed an opportunity because it had not studied the Chinese market sufficiently to understand that it is sensitive to external influence (Hong and Luo, 2024).</w:t>
      </w:r>
    </w:p>
    <w:p w14:paraId="61382602" w14:textId="422B3A79" w:rsidR="00FE2725" w:rsidRPr="00196C95" w:rsidRDefault="00FE2725" w:rsidP="00196C95">
      <w:pPr>
        <w:ind w:firstLine="720"/>
        <w:rPr>
          <w:rFonts w:ascii="Arial" w:hAnsi="Arial" w:cs="Arial"/>
        </w:rPr>
      </w:pPr>
      <w:r w:rsidRPr="00196C95">
        <w:rPr>
          <w:rFonts w:ascii="Arial" w:hAnsi="Arial" w:cs="Arial"/>
        </w:rPr>
        <w:t xml:space="preserve">The other example is the Coca-Cola and Indian bottler negotiation. India is a country, where negotiation is appreciated and much attention is paid to personal relations and trust. This fact meant that Coca-Cola </w:t>
      </w:r>
      <w:r w:rsidR="00196C95" w:rsidRPr="00196C95">
        <w:rPr>
          <w:rFonts w:ascii="Arial" w:hAnsi="Arial" w:cs="Arial"/>
        </w:rPr>
        <w:t>could</w:t>
      </w:r>
      <w:r w:rsidRPr="00196C95">
        <w:rPr>
          <w:rFonts w:ascii="Arial" w:hAnsi="Arial" w:cs="Arial"/>
        </w:rPr>
        <w:t xml:space="preserve"> cater to these cultural demands to negotiate partnerships and overcome the Indian market. Coca-Cola rallied brokers who would successfully negotiate and overcome the cultural issues and establish lasting relationships with the local associates (Ajala and Heywood, 2021). This was to establish a respect between both parties on the deal and break the cultural barrier that led to a successful expansion of the Coca-Cola in India.</w:t>
      </w:r>
    </w:p>
    <w:p w14:paraId="4217008E" w14:textId="77777777" w:rsidR="00FD14D4" w:rsidRPr="00196C95" w:rsidRDefault="00FD14D4" w:rsidP="00196C95">
      <w:pPr>
        <w:rPr>
          <w:rFonts w:ascii="Arial" w:hAnsi="Arial" w:cs="Arial"/>
          <w:b/>
        </w:rPr>
      </w:pPr>
      <w:r w:rsidRPr="00196C95">
        <w:rPr>
          <w:rFonts w:ascii="Arial" w:hAnsi="Arial" w:cs="Arial"/>
          <w:b/>
        </w:rPr>
        <w:lastRenderedPageBreak/>
        <w:t>Coca-Cola’s Strategic Responses</w:t>
      </w:r>
    </w:p>
    <w:p w14:paraId="077D1BA9" w14:textId="77777777" w:rsidR="007F79F4" w:rsidRPr="00196C95" w:rsidRDefault="007F79F4" w:rsidP="00196C95">
      <w:pPr>
        <w:ind w:firstLine="720"/>
        <w:rPr>
          <w:rFonts w:ascii="Arial" w:hAnsi="Arial" w:cs="Arial"/>
        </w:rPr>
      </w:pPr>
      <w:r w:rsidRPr="00196C95">
        <w:rPr>
          <w:rFonts w:ascii="Arial" w:hAnsi="Arial" w:cs="Arial"/>
        </w:rPr>
        <w:t>Coca-Cola has a variety of strategic reactions to these challenges in the areas of localization and cultural adaptation. The option of employing local negotiators, aware of the cultural norms and business practices of the specified markets, is one of the most crucial ones (Sood, 2021). With the hiring of culturally competent negotiators and administrators, Coca-Cola can provide a personalized negotiation experience in a way at which its approach accounts the needs and expectations of the land. This has been of paramount importance in high context cultures where trust and relationship building is seen as a significant part of negotiation success.</w:t>
      </w:r>
    </w:p>
    <w:p w14:paraId="659ACE3A" w14:textId="77777777" w:rsidR="007F79F4" w:rsidRPr="00196C95" w:rsidRDefault="007F79F4" w:rsidP="00196C95">
      <w:pPr>
        <w:ind w:firstLine="720"/>
        <w:rPr>
          <w:rFonts w:ascii="Arial" w:hAnsi="Arial" w:cs="Arial"/>
        </w:rPr>
      </w:pPr>
      <w:r w:rsidRPr="00196C95">
        <w:rPr>
          <w:rFonts w:ascii="Arial" w:hAnsi="Arial" w:cs="Arial"/>
        </w:rPr>
        <w:t>Another strategy used by Coca-Cola is Cultural Intelligence (CQ) training that trains leaders on cross cultural negotiation. The programs will help build the required skills to facilitate the negotiation in multi-cultural settings and provide leaders with skills and tools to act in a multicultural environment (Steers, Osland and Szkudlarek, 2023). These programs have played significant roles in enabling managers in Coca-Cola to learn and embrace local communication trends, power and decision making.</w:t>
      </w:r>
    </w:p>
    <w:p w14:paraId="7EE66ADF" w14:textId="77777777" w:rsidR="00FD14D4" w:rsidRPr="00196C95" w:rsidRDefault="007F79F4" w:rsidP="00196C95">
      <w:pPr>
        <w:ind w:firstLine="720"/>
        <w:rPr>
          <w:rFonts w:ascii="Arial" w:hAnsi="Arial" w:cs="Arial"/>
        </w:rPr>
      </w:pPr>
      <w:r w:rsidRPr="00196C95">
        <w:rPr>
          <w:rFonts w:ascii="Arial" w:hAnsi="Arial" w:cs="Arial"/>
        </w:rPr>
        <w:t xml:space="preserve">The second strategic response is the idea of the long-term relationships on which Coca-Cola has been focusing. It is especially required in high culture such as China where people attach great importance to personal relations and trust in negotiations. </w:t>
      </w:r>
      <w:r w:rsidR="00FD14D4" w:rsidRPr="00196C95">
        <w:rPr>
          <w:rFonts w:ascii="Arial" w:hAnsi="Arial" w:cs="Arial"/>
        </w:rPr>
        <w:t>Enduring relationships have enabled Coca-Cola to penetrate markets with greater ease than competitors who seek to gain favors with local interests and ensures that the company continues to enjoy a cordial relationship with its partners who are considered important (Wang et al., 2022). Coca-Cola also uses intermediaries in markets where the negotiation process involves a more indirect and formal process. These mediators assist in traversing local power structures and in making sure that negotiations are smooth in accordance with the local cultural context.</w:t>
      </w:r>
    </w:p>
    <w:p w14:paraId="689EEB1D" w14:textId="77777777" w:rsidR="00FD14D4" w:rsidRPr="00196C95" w:rsidRDefault="00FD14D4" w:rsidP="00196C95">
      <w:pPr>
        <w:rPr>
          <w:rFonts w:ascii="Arial" w:hAnsi="Arial" w:cs="Arial"/>
          <w:b/>
        </w:rPr>
      </w:pPr>
      <w:r w:rsidRPr="00196C95">
        <w:rPr>
          <w:rFonts w:ascii="Arial" w:hAnsi="Arial" w:cs="Arial"/>
          <w:b/>
        </w:rPr>
        <w:t>Critical Evaluation of Effectiveness</w:t>
      </w:r>
    </w:p>
    <w:p w14:paraId="33AEAC59" w14:textId="77777777" w:rsidR="00FD14D4" w:rsidRPr="00196C95" w:rsidRDefault="00FD14D4" w:rsidP="00196C95">
      <w:pPr>
        <w:rPr>
          <w:rFonts w:ascii="Arial" w:hAnsi="Arial" w:cs="Arial"/>
        </w:rPr>
      </w:pPr>
      <w:r w:rsidRPr="00196C95">
        <w:rPr>
          <w:rFonts w:ascii="Arial" w:hAnsi="Arial" w:cs="Arial"/>
        </w:rPr>
        <w:t>The cross-cultural negotiation strategies of Coca-Cola have paid off in most situations. The firm has been able to traverse cultural shocks and establish an effective business relationship in the international market through localization, cultural intelligence training and relationship-building strategies. Local cultural flexibility has enabled the company to be competitive in foreign cultures.</w:t>
      </w:r>
    </w:p>
    <w:p w14:paraId="4F16B2FD" w14:textId="487AEA4E" w:rsidR="00FD14D4" w:rsidRPr="00196C95" w:rsidRDefault="00FD14D4" w:rsidP="00196C95">
      <w:pPr>
        <w:ind w:firstLine="432"/>
        <w:rPr>
          <w:rFonts w:ascii="Arial" w:hAnsi="Arial" w:cs="Arial"/>
        </w:rPr>
      </w:pPr>
      <w:r w:rsidRPr="00196C95">
        <w:rPr>
          <w:rFonts w:ascii="Arial" w:hAnsi="Arial" w:cs="Arial"/>
        </w:rPr>
        <w:lastRenderedPageBreak/>
        <w:t xml:space="preserve">These strategies have </w:t>
      </w:r>
      <w:r w:rsidR="00196C95" w:rsidRPr="00196C95">
        <w:rPr>
          <w:rFonts w:ascii="Arial" w:hAnsi="Arial" w:cs="Arial"/>
        </w:rPr>
        <w:t>limitations,</w:t>
      </w:r>
      <w:r w:rsidRPr="00196C95">
        <w:rPr>
          <w:rFonts w:ascii="Arial" w:hAnsi="Arial" w:cs="Arial"/>
        </w:rPr>
        <w:t xml:space="preserve"> however. The Huiyuan Juice deal </w:t>
      </w:r>
      <w:r w:rsidR="00E50455" w:rsidRPr="00196C95">
        <w:rPr>
          <w:rFonts w:ascii="Arial" w:hAnsi="Arial" w:cs="Arial"/>
        </w:rPr>
        <w:t>reminds</w:t>
      </w:r>
      <w:r w:rsidRPr="00196C95">
        <w:rPr>
          <w:rFonts w:ascii="Arial" w:hAnsi="Arial" w:cs="Arial"/>
        </w:rPr>
        <w:t xml:space="preserve"> that Coca-Cola </w:t>
      </w:r>
      <w:r w:rsidR="003B5239" w:rsidRPr="00196C95">
        <w:rPr>
          <w:rFonts w:ascii="Arial" w:hAnsi="Arial" w:cs="Arial"/>
        </w:rPr>
        <w:t>must</w:t>
      </w:r>
      <w:r w:rsidRPr="00196C95">
        <w:rPr>
          <w:rFonts w:ascii="Arial" w:hAnsi="Arial" w:cs="Arial"/>
        </w:rPr>
        <w:t xml:space="preserve"> be attentive to cultural and political aspects when negotiating in new markets </w:t>
      </w:r>
      <w:r w:rsidR="00B80607" w:rsidRPr="00196C95">
        <w:rPr>
          <w:rFonts w:ascii="Arial" w:hAnsi="Arial" w:cs="Arial"/>
        </w:rPr>
        <w:t>(Adekunle, Olanipekun and Sheriff, 2025).</w:t>
      </w:r>
      <w:r w:rsidRPr="00196C95">
        <w:rPr>
          <w:rFonts w:ascii="Arial" w:hAnsi="Arial" w:cs="Arial"/>
        </w:rPr>
        <w:t xml:space="preserve"> </w:t>
      </w:r>
      <w:r w:rsidR="0068592A" w:rsidRPr="00196C95">
        <w:rPr>
          <w:rFonts w:ascii="Arial" w:hAnsi="Arial" w:cs="Arial"/>
        </w:rPr>
        <w:t>In this case, Coca-Cola underestimated the subtext of Chinese government that led to failure of the deal. This signifies that there must be sensitivity to culture; there should be a brisk awareness of political and regulatory environment that Coca-Cola would be taking in to.</w:t>
      </w:r>
    </w:p>
    <w:p w14:paraId="34DD79E3" w14:textId="273FE57E" w:rsidR="00F44147" w:rsidRPr="00196C95" w:rsidRDefault="00FD14D4" w:rsidP="00196C95">
      <w:pPr>
        <w:ind w:firstLine="432"/>
        <w:rPr>
          <w:rFonts w:ascii="Arial" w:hAnsi="Arial" w:cs="Arial"/>
        </w:rPr>
      </w:pPr>
      <w:r w:rsidRPr="00196C95">
        <w:rPr>
          <w:rFonts w:ascii="Arial" w:hAnsi="Arial" w:cs="Arial"/>
        </w:rPr>
        <w:t xml:space="preserve">Coca-Cola needs to invest more in relation building before negotiation in order to enhance its negotiation results. This would include making sure that the local managers have a solid understanding of the cultural and political subtleties of their markets, before the actual negotiations take place. </w:t>
      </w:r>
      <w:r w:rsidR="00196C95" w:rsidRPr="00196C95">
        <w:rPr>
          <w:rFonts w:ascii="Arial" w:hAnsi="Arial" w:cs="Arial"/>
        </w:rPr>
        <w:t>Also,</w:t>
      </w:r>
      <w:r w:rsidRPr="00196C95">
        <w:rPr>
          <w:rFonts w:ascii="Arial" w:hAnsi="Arial" w:cs="Arial"/>
        </w:rPr>
        <w:t xml:space="preserve"> Coca-Cola must keep perfecting its culturally adaptive negotiation teams. In the changing world markets, the firm needs to make sure that its negotiators are conversant with both macro-level cultural forces and micro-level interpersonal interaction factors that shape the result of the negotiation process.</w:t>
      </w:r>
    </w:p>
    <w:p w14:paraId="2F99DB79" w14:textId="77777777" w:rsidR="000C2DC0" w:rsidRPr="00196C95" w:rsidRDefault="000C2DC0" w:rsidP="00196C95">
      <w:pPr>
        <w:pStyle w:val="Heading1"/>
        <w:rPr>
          <w:rFonts w:ascii="Arial" w:hAnsi="Arial" w:cs="Arial"/>
        </w:rPr>
      </w:pPr>
      <w:bookmarkStart w:id="4" w:name="_Toc215667795"/>
      <w:r w:rsidRPr="00196C95">
        <w:rPr>
          <w:rFonts w:ascii="Arial" w:hAnsi="Arial" w:cs="Arial"/>
        </w:rPr>
        <w:t>Conclusion</w:t>
      </w:r>
      <w:bookmarkEnd w:id="4"/>
    </w:p>
    <w:p w14:paraId="3C857AE9" w14:textId="77777777" w:rsidR="00EE2C04" w:rsidRPr="00196C95" w:rsidRDefault="00EE2C04" w:rsidP="00196C95">
      <w:pPr>
        <w:rPr>
          <w:rFonts w:ascii="Arial" w:hAnsi="Arial" w:cs="Arial"/>
        </w:rPr>
      </w:pPr>
      <w:r w:rsidRPr="00196C95">
        <w:rPr>
          <w:rFonts w:ascii="Arial" w:hAnsi="Arial" w:cs="Arial"/>
        </w:rPr>
        <w:t xml:space="preserve">Coca-Cola has experienced a massive effect on its alternative approach to international business by cultural differences, which affect its negotiation strategies. Coca-Cola has been able to remain at the top of the world due to communication and negotiation strategies being modified to the local cultural standards. Nevertheless, the problems remain especially in the markets where cultural requirements are significantly different as opposed to those in </w:t>
      </w:r>
      <w:r w:rsidR="0097751B" w:rsidRPr="00196C95">
        <w:rPr>
          <w:rFonts w:ascii="Arial" w:hAnsi="Arial" w:cs="Arial"/>
        </w:rPr>
        <w:t>the Western world like the U.S.</w:t>
      </w:r>
    </w:p>
    <w:p w14:paraId="67C92132" w14:textId="7E1474FA" w:rsidR="00EE2C04" w:rsidRPr="00196C95" w:rsidRDefault="00EE2C04" w:rsidP="00196C95">
      <w:pPr>
        <w:ind w:firstLine="720"/>
        <w:rPr>
          <w:rFonts w:ascii="Arial" w:hAnsi="Arial" w:cs="Arial"/>
        </w:rPr>
      </w:pPr>
      <w:r w:rsidRPr="00196C95">
        <w:rPr>
          <w:rFonts w:ascii="Arial" w:hAnsi="Arial" w:cs="Arial"/>
        </w:rPr>
        <w:t xml:space="preserve">In order to achieve greater success in various markets, Coca-Cola needs to reinforce its cultural intelligence initiatives in an effort to equip its leadership and negotiation units with the nuances of </w:t>
      </w:r>
      <w:r w:rsidR="00196C95" w:rsidRPr="00196C95">
        <w:rPr>
          <w:rFonts w:ascii="Arial" w:hAnsi="Arial" w:cs="Arial"/>
        </w:rPr>
        <w:t>cross-cultural</w:t>
      </w:r>
      <w:r w:rsidRPr="00196C95">
        <w:rPr>
          <w:rFonts w:ascii="Arial" w:hAnsi="Arial" w:cs="Arial"/>
        </w:rPr>
        <w:t xml:space="preserve"> communication. Furthermore, building more effective pre-negotiation relationships within the culturally diverse markets will help Coca-Cola prevent miscommunication and ensure a successful business in the long run.</w:t>
      </w:r>
    </w:p>
    <w:p w14:paraId="2A0B723A" w14:textId="77777777" w:rsidR="00EE2C04" w:rsidRPr="00196C95" w:rsidRDefault="00EE2C04" w:rsidP="00196C95">
      <w:pPr>
        <w:ind w:firstLine="432"/>
        <w:rPr>
          <w:rFonts w:ascii="Arial" w:hAnsi="Arial" w:cs="Arial"/>
        </w:rPr>
      </w:pPr>
      <w:r w:rsidRPr="00196C95">
        <w:rPr>
          <w:rFonts w:ascii="Arial" w:hAnsi="Arial" w:cs="Arial"/>
        </w:rPr>
        <w:t>One of the factors that have helped Coca-Cola to remain a global leader in the beverage market is its capacity to adjust the negotiation strategies to suit the cultural requirements of the different markets where it operates. Through the constant revision of these strategies and emphasizing on the development of effective relationships, Coca-Cola can find it easy to engage in successful negotiations with partners, suppliers, and governments globally by doing so.</w:t>
      </w:r>
    </w:p>
    <w:p w14:paraId="1429E69A" w14:textId="77777777" w:rsidR="000D5F91" w:rsidRPr="00196C95" w:rsidRDefault="00E61475" w:rsidP="00196C95">
      <w:pPr>
        <w:pStyle w:val="Heading1"/>
        <w:spacing w:before="0"/>
        <w:rPr>
          <w:rFonts w:ascii="Arial" w:hAnsi="Arial" w:cs="Arial"/>
        </w:rPr>
      </w:pPr>
      <w:r w:rsidRPr="00196C95">
        <w:rPr>
          <w:rFonts w:ascii="Arial" w:hAnsi="Arial" w:cs="Arial"/>
        </w:rPr>
        <w:br w:type="page"/>
      </w:r>
      <w:bookmarkStart w:id="5" w:name="_Toc215667796"/>
      <w:r w:rsidR="0082293E" w:rsidRPr="00196C95">
        <w:rPr>
          <w:rFonts w:ascii="Arial" w:hAnsi="Arial" w:cs="Arial"/>
        </w:rPr>
        <w:lastRenderedPageBreak/>
        <w:t>REFERENCES</w:t>
      </w:r>
      <w:bookmarkEnd w:id="5"/>
      <w:r w:rsidR="0082293E" w:rsidRPr="00196C95">
        <w:rPr>
          <w:rFonts w:ascii="Arial" w:hAnsi="Arial" w:cs="Arial"/>
        </w:rPr>
        <w:t xml:space="preserve"> </w:t>
      </w:r>
    </w:p>
    <w:p w14:paraId="26805905" w14:textId="77777777" w:rsidR="00DD203E" w:rsidRPr="00196C95" w:rsidRDefault="00DD203E" w:rsidP="00196C95">
      <w:pPr>
        <w:numPr>
          <w:ilvl w:val="0"/>
          <w:numId w:val="1"/>
        </w:numPr>
        <w:suppressAutoHyphens w:val="0"/>
        <w:rPr>
          <w:rFonts w:ascii="Arial" w:eastAsia="Times New Roman" w:hAnsi="Arial" w:cs="Arial"/>
          <w:color w:val="auto"/>
          <w:szCs w:val="24"/>
          <w:lang w:eastAsia="en-GB"/>
        </w:rPr>
      </w:pPr>
      <w:r w:rsidRPr="00196C95">
        <w:rPr>
          <w:rFonts w:ascii="Arial" w:eastAsia="Times New Roman" w:hAnsi="Arial" w:cs="Arial"/>
          <w:color w:val="auto"/>
          <w:szCs w:val="24"/>
          <w:lang w:eastAsia="en-GB"/>
        </w:rPr>
        <w:t xml:space="preserve">Adekunle, O.M., Olanipekun, L.O. and Sheriff, A.A. (2025). Critical Assessment of Diversity Management Strategies in Coca-Cola Company, Nigeria. ResearchGate, [online] 4(1), pp.1–24. Available at: </w:t>
      </w:r>
      <w:hyperlink r:id="rId9" w:history="1">
        <w:r w:rsidRPr="00196C95">
          <w:rPr>
            <w:rStyle w:val="Hyperlink"/>
            <w:rFonts w:ascii="Arial" w:eastAsia="Times New Roman" w:hAnsi="Arial" w:cs="Arial"/>
            <w:szCs w:val="24"/>
            <w:lang w:eastAsia="en-GB"/>
          </w:rPr>
          <w:t>https://www.researchgate.net/publication/391015867_Critical_Assessment_of_Diversity_Management_Strategies_in_Coca-Cola_Company_Nigeria</w:t>
        </w:r>
      </w:hyperlink>
      <w:r w:rsidRPr="00196C95">
        <w:rPr>
          <w:rFonts w:ascii="Arial" w:eastAsia="Times New Roman" w:hAnsi="Arial" w:cs="Arial"/>
          <w:color w:val="auto"/>
          <w:szCs w:val="24"/>
          <w:lang w:eastAsia="en-GB"/>
        </w:rPr>
        <w:t>.</w:t>
      </w:r>
    </w:p>
    <w:p w14:paraId="24E3DBB3" w14:textId="77777777" w:rsidR="00085233" w:rsidRPr="00196C95" w:rsidRDefault="00085233" w:rsidP="00196C95">
      <w:pPr>
        <w:numPr>
          <w:ilvl w:val="0"/>
          <w:numId w:val="1"/>
        </w:numPr>
        <w:suppressAutoHyphens w:val="0"/>
        <w:rPr>
          <w:rFonts w:ascii="Arial" w:eastAsia="Times New Roman" w:hAnsi="Arial" w:cs="Arial"/>
          <w:color w:val="auto"/>
          <w:szCs w:val="24"/>
          <w:lang w:eastAsia="en-GB"/>
        </w:rPr>
      </w:pPr>
      <w:r w:rsidRPr="00196C95">
        <w:rPr>
          <w:rFonts w:ascii="Arial" w:eastAsia="Times New Roman" w:hAnsi="Arial" w:cs="Arial"/>
          <w:color w:val="auto"/>
          <w:szCs w:val="24"/>
          <w:lang w:eastAsia="en-GB"/>
        </w:rPr>
        <w:t xml:space="preserve">Ajala, O. and Heywood, R. (2021). </w:t>
      </w:r>
      <w:r w:rsidRPr="00196C95">
        <w:rPr>
          <w:rFonts w:ascii="Arial" w:eastAsia="Times New Roman" w:hAnsi="Arial" w:cs="Arial"/>
          <w:i/>
          <w:iCs/>
          <w:color w:val="auto"/>
          <w:szCs w:val="24"/>
          <w:lang w:eastAsia="en-GB"/>
        </w:rPr>
        <w:t>AN EXAMINATION OF THE USE OF CULTURE BY COCA-COLA IN ITS GLOBAL MARKETING</w:t>
      </w:r>
      <w:r w:rsidRPr="00196C95">
        <w:rPr>
          <w:rFonts w:ascii="Arial" w:eastAsia="Times New Roman" w:hAnsi="Arial" w:cs="Arial"/>
          <w:color w:val="auto"/>
          <w:szCs w:val="24"/>
          <w:lang w:eastAsia="en-GB"/>
        </w:rPr>
        <w:t xml:space="preserve">. [online] Available at: </w:t>
      </w:r>
      <w:hyperlink r:id="rId10" w:history="1">
        <w:r w:rsidRPr="00196C95">
          <w:rPr>
            <w:rStyle w:val="Hyperlink"/>
            <w:rFonts w:ascii="Arial" w:eastAsia="Times New Roman" w:hAnsi="Arial" w:cs="Arial"/>
            <w:szCs w:val="24"/>
            <w:lang w:eastAsia="en-GB"/>
          </w:rPr>
          <w:t>https://norma.ncirl.ie/5509/1/oladayoidowuajala.pdf</w:t>
        </w:r>
      </w:hyperlink>
      <w:r w:rsidRPr="00196C95">
        <w:rPr>
          <w:rFonts w:ascii="Arial" w:eastAsia="Times New Roman" w:hAnsi="Arial" w:cs="Arial"/>
          <w:color w:val="auto"/>
          <w:szCs w:val="24"/>
          <w:lang w:eastAsia="en-GB"/>
        </w:rPr>
        <w:t xml:space="preserve">. </w:t>
      </w:r>
    </w:p>
    <w:p w14:paraId="5470356C" w14:textId="77777777" w:rsidR="00085233" w:rsidRPr="00196C95" w:rsidRDefault="00085233" w:rsidP="00196C95">
      <w:pPr>
        <w:numPr>
          <w:ilvl w:val="0"/>
          <w:numId w:val="1"/>
        </w:numPr>
        <w:shd w:val="clear" w:color="auto" w:fill="FCFDFE"/>
        <w:suppressAutoHyphens w:val="0"/>
        <w:rPr>
          <w:rFonts w:ascii="Arial" w:eastAsia="Times New Roman" w:hAnsi="Arial" w:cs="Arial"/>
          <w:szCs w:val="24"/>
          <w:lang w:eastAsia="en-GB"/>
        </w:rPr>
      </w:pPr>
      <w:r w:rsidRPr="00196C95">
        <w:rPr>
          <w:rFonts w:ascii="Arial" w:eastAsia="Times New Roman" w:hAnsi="Arial" w:cs="Arial"/>
          <w:szCs w:val="24"/>
          <w:lang w:eastAsia="en-GB"/>
        </w:rPr>
        <w:t>Deresky, H. (2017). </w:t>
      </w:r>
      <w:r w:rsidRPr="00196C95">
        <w:rPr>
          <w:rFonts w:ascii="Arial" w:eastAsia="Times New Roman" w:hAnsi="Arial" w:cs="Arial"/>
          <w:i/>
          <w:iCs/>
          <w:szCs w:val="24"/>
          <w:lang w:eastAsia="en-GB"/>
        </w:rPr>
        <w:t>International management: Managing across borders and cultures: Text and cases</w:t>
      </w:r>
      <w:r w:rsidRPr="00196C95">
        <w:rPr>
          <w:rFonts w:ascii="Arial" w:eastAsia="Times New Roman" w:hAnsi="Arial" w:cs="Arial"/>
          <w:szCs w:val="24"/>
          <w:lang w:eastAsia="en-GB"/>
        </w:rPr>
        <w:t>. 9th ed. Boston: Pearson.</w:t>
      </w:r>
    </w:p>
    <w:p w14:paraId="6FBE5071" w14:textId="77777777" w:rsidR="00085233" w:rsidRPr="00196C95" w:rsidRDefault="00085233" w:rsidP="00196C95">
      <w:pPr>
        <w:numPr>
          <w:ilvl w:val="0"/>
          <w:numId w:val="1"/>
        </w:numPr>
        <w:shd w:val="clear" w:color="auto" w:fill="FCFDFE"/>
        <w:suppressAutoHyphens w:val="0"/>
        <w:rPr>
          <w:rFonts w:ascii="Arial" w:eastAsia="Times New Roman" w:hAnsi="Arial" w:cs="Arial"/>
          <w:szCs w:val="24"/>
          <w:lang w:eastAsia="en-GB"/>
        </w:rPr>
      </w:pPr>
      <w:r w:rsidRPr="00196C95">
        <w:rPr>
          <w:rFonts w:ascii="Arial" w:eastAsia="Times New Roman" w:hAnsi="Arial" w:cs="Arial"/>
          <w:szCs w:val="24"/>
          <w:lang w:eastAsia="en-GB"/>
        </w:rPr>
        <w:t>Gutiérrez, J. (2007). </w:t>
      </w:r>
      <w:r w:rsidRPr="00196C95">
        <w:rPr>
          <w:rFonts w:ascii="Arial" w:eastAsia="Times New Roman" w:hAnsi="Arial" w:cs="Arial"/>
          <w:i/>
          <w:iCs/>
          <w:szCs w:val="24"/>
          <w:lang w:eastAsia="en-GB"/>
        </w:rPr>
        <w:t>Business data communications and networking: A research perspective</w:t>
      </w:r>
      <w:r w:rsidRPr="00196C95">
        <w:rPr>
          <w:rFonts w:ascii="Arial" w:eastAsia="Times New Roman" w:hAnsi="Arial" w:cs="Arial"/>
          <w:szCs w:val="24"/>
          <w:lang w:eastAsia="en-GB"/>
        </w:rPr>
        <w:t>. Hershey: Idea Group Publishing.</w:t>
      </w:r>
    </w:p>
    <w:p w14:paraId="7320E194" w14:textId="77777777" w:rsidR="00085233" w:rsidRPr="00196C95" w:rsidRDefault="00085233" w:rsidP="00196C95">
      <w:pPr>
        <w:numPr>
          <w:ilvl w:val="0"/>
          <w:numId w:val="1"/>
        </w:numPr>
        <w:suppressAutoHyphens w:val="0"/>
        <w:rPr>
          <w:rFonts w:ascii="Arial" w:eastAsia="Times New Roman" w:hAnsi="Arial" w:cs="Arial"/>
          <w:color w:val="auto"/>
          <w:szCs w:val="24"/>
          <w:lang w:eastAsia="en-GB"/>
        </w:rPr>
      </w:pPr>
      <w:r w:rsidRPr="00196C95">
        <w:rPr>
          <w:rFonts w:ascii="Arial" w:eastAsia="Times New Roman" w:hAnsi="Arial" w:cs="Arial"/>
          <w:color w:val="auto"/>
          <w:szCs w:val="24"/>
          <w:lang w:eastAsia="en-GB"/>
        </w:rPr>
        <w:t xml:space="preserve">Hong, P. and Luo, K. (2024). Coca-Cola’s Global Marketing Strategy: A Go-Stop Signal Framework Analysis. </w:t>
      </w:r>
      <w:r w:rsidRPr="00196C95">
        <w:rPr>
          <w:rFonts w:ascii="Arial" w:eastAsia="Times New Roman" w:hAnsi="Arial" w:cs="Arial"/>
          <w:i/>
          <w:iCs/>
          <w:color w:val="auto"/>
          <w:szCs w:val="24"/>
          <w:lang w:eastAsia="en-GB"/>
        </w:rPr>
        <w:t>Advances in Economics Management and Political Sciences</w:t>
      </w:r>
      <w:r w:rsidRPr="00196C95">
        <w:rPr>
          <w:rFonts w:ascii="Arial" w:eastAsia="Times New Roman" w:hAnsi="Arial" w:cs="Arial"/>
          <w:color w:val="auto"/>
          <w:szCs w:val="24"/>
          <w:lang w:eastAsia="en-GB"/>
        </w:rPr>
        <w:t xml:space="preserve">, 136(1), pp.159–163. doi: </w:t>
      </w:r>
      <w:hyperlink r:id="rId11" w:history="1">
        <w:r w:rsidRPr="00196C95">
          <w:rPr>
            <w:rStyle w:val="Hyperlink"/>
            <w:rFonts w:ascii="Arial" w:eastAsia="Times New Roman" w:hAnsi="Arial" w:cs="Arial"/>
            <w:szCs w:val="24"/>
            <w:lang w:eastAsia="en-GB"/>
          </w:rPr>
          <w:t>https://doi.org/10.54254/2754-1169/2024.18694</w:t>
        </w:r>
      </w:hyperlink>
      <w:r w:rsidRPr="00196C95">
        <w:rPr>
          <w:rFonts w:ascii="Arial" w:eastAsia="Times New Roman" w:hAnsi="Arial" w:cs="Arial"/>
          <w:color w:val="auto"/>
          <w:szCs w:val="24"/>
          <w:lang w:eastAsia="en-GB"/>
        </w:rPr>
        <w:t xml:space="preserve">. </w:t>
      </w:r>
    </w:p>
    <w:p w14:paraId="4F7AE593" w14:textId="77777777" w:rsidR="00085233" w:rsidRPr="00196C95" w:rsidRDefault="00085233" w:rsidP="00196C95">
      <w:pPr>
        <w:numPr>
          <w:ilvl w:val="0"/>
          <w:numId w:val="1"/>
        </w:numPr>
        <w:shd w:val="clear" w:color="auto" w:fill="FCFDFE"/>
        <w:suppressAutoHyphens w:val="0"/>
        <w:rPr>
          <w:rFonts w:ascii="Arial" w:eastAsia="Times New Roman" w:hAnsi="Arial" w:cs="Arial"/>
          <w:szCs w:val="24"/>
          <w:lang w:eastAsia="en-GB"/>
        </w:rPr>
      </w:pPr>
      <w:r w:rsidRPr="00196C95">
        <w:rPr>
          <w:rFonts w:ascii="Arial" w:eastAsia="Times New Roman" w:hAnsi="Arial" w:cs="Arial"/>
          <w:szCs w:val="24"/>
          <w:lang w:eastAsia="en-GB"/>
        </w:rPr>
        <w:t>Koh, S.C.L. and Maguire, S. (2009). </w:t>
      </w:r>
      <w:r w:rsidRPr="00196C95">
        <w:rPr>
          <w:rFonts w:ascii="Arial" w:eastAsia="Times New Roman" w:hAnsi="Arial" w:cs="Arial"/>
          <w:i/>
          <w:iCs/>
          <w:szCs w:val="24"/>
          <w:lang w:eastAsia="en-GB"/>
        </w:rPr>
        <w:t>Information and communication technologies management in turbulent business environments</w:t>
      </w:r>
      <w:r w:rsidRPr="00196C95">
        <w:rPr>
          <w:rFonts w:ascii="Arial" w:eastAsia="Times New Roman" w:hAnsi="Arial" w:cs="Arial"/>
          <w:szCs w:val="24"/>
          <w:lang w:eastAsia="en-GB"/>
        </w:rPr>
        <w:t>. Hershey: Information Science Reference.</w:t>
      </w:r>
    </w:p>
    <w:p w14:paraId="38C60727" w14:textId="77777777" w:rsidR="00E07D5E" w:rsidRPr="00196C95" w:rsidRDefault="00E07D5E" w:rsidP="00196C95">
      <w:pPr>
        <w:numPr>
          <w:ilvl w:val="0"/>
          <w:numId w:val="1"/>
        </w:numPr>
        <w:shd w:val="clear" w:color="auto" w:fill="FCFDFE"/>
        <w:suppressAutoHyphens w:val="0"/>
        <w:rPr>
          <w:rFonts w:ascii="Arial" w:eastAsia="Times New Roman" w:hAnsi="Arial" w:cs="Arial"/>
          <w:szCs w:val="24"/>
          <w:lang w:eastAsia="en-GB"/>
        </w:rPr>
      </w:pPr>
      <w:r w:rsidRPr="00196C95">
        <w:rPr>
          <w:rFonts w:ascii="Arial" w:eastAsia="Times New Roman" w:hAnsi="Arial" w:cs="Arial"/>
          <w:color w:val="auto"/>
          <w:szCs w:val="24"/>
          <w:lang w:eastAsia="en-GB"/>
        </w:rPr>
        <w:t xml:space="preserve">Pratiwi, S.N. and Pratama, A.P. (2023). Strategies for Facilitating Successful Intercultural Communication in Indonesian Multinational Companies. International Research Journal of Economics and Management Studies IRJEMS, [online] 2(4). Available at: </w:t>
      </w:r>
      <w:hyperlink r:id="rId12" w:history="1">
        <w:r w:rsidRPr="00196C95">
          <w:rPr>
            <w:rStyle w:val="Hyperlink"/>
            <w:rFonts w:ascii="Arial" w:eastAsia="Times New Roman" w:hAnsi="Arial" w:cs="Arial"/>
            <w:szCs w:val="24"/>
            <w:lang w:eastAsia="en-GB"/>
          </w:rPr>
          <w:t>https://irjems.org/irjems-v2i4p167.html</w:t>
        </w:r>
      </w:hyperlink>
      <w:r w:rsidRPr="00196C95">
        <w:rPr>
          <w:rFonts w:ascii="Arial" w:eastAsia="Times New Roman" w:hAnsi="Arial" w:cs="Arial"/>
          <w:color w:val="auto"/>
          <w:szCs w:val="24"/>
          <w:lang w:eastAsia="en-GB"/>
        </w:rPr>
        <w:t>.</w:t>
      </w:r>
    </w:p>
    <w:p w14:paraId="200D3956" w14:textId="77777777" w:rsidR="00085233" w:rsidRPr="00196C95" w:rsidRDefault="00085233" w:rsidP="00196C95">
      <w:pPr>
        <w:numPr>
          <w:ilvl w:val="0"/>
          <w:numId w:val="1"/>
        </w:numPr>
        <w:shd w:val="clear" w:color="auto" w:fill="FCFDFE"/>
        <w:suppressAutoHyphens w:val="0"/>
        <w:rPr>
          <w:rFonts w:ascii="Arial" w:eastAsia="Times New Roman" w:hAnsi="Arial" w:cs="Arial"/>
          <w:szCs w:val="24"/>
          <w:lang w:eastAsia="en-GB"/>
        </w:rPr>
      </w:pPr>
      <w:r w:rsidRPr="00196C95">
        <w:rPr>
          <w:rFonts w:ascii="Arial" w:eastAsia="Times New Roman" w:hAnsi="Arial" w:cs="Arial"/>
          <w:szCs w:val="24"/>
          <w:lang w:eastAsia="en-GB"/>
        </w:rPr>
        <w:t>Saha, D. (2018). </w:t>
      </w:r>
      <w:r w:rsidRPr="00196C95">
        <w:rPr>
          <w:rFonts w:ascii="Arial" w:eastAsia="Times New Roman" w:hAnsi="Arial" w:cs="Arial"/>
          <w:i/>
          <w:iCs/>
          <w:szCs w:val="24"/>
          <w:lang w:eastAsia="en-GB"/>
        </w:rPr>
        <w:t>Advances in data communications and networking for digital business transformation</w:t>
      </w:r>
      <w:r w:rsidRPr="00196C95">
        <w:rPr>
          <w:rFonts w:ascii="Arial" w:eastAsia="Times New Roman" w:hAnsi="Arial" w:cs="Arial"/>
          <w:szCs w:val="24"/>
          <w:lang w:eastAsia="en-GB"/>
        </w:rPr>
        <w:t>. Hershey: IGI Global.</w:t>
      </w:r>
    </w:p>
    <w:p w14:paraId="365D6DBC" w14:textId="77777777" w:rsidR="00085233" w:rsidRPr="00196C95" w:rsidRDefault="00085233" w:rsidP="00196C95">
      <w:pPr>
        <w:numPr>
          <w:ilvl w:val="0"/>
          <w:numId w:val="1"/>
        </w:numPr>
        <w:suppressAutoHyphens w:val="0"/>
        <w:rPr>
          <w:rFonts w:ascii="Arial" w:eastAsia="Times New Roman" w:hAnsi="Arial" w:cs="Arial"/>
          <w:color w:val="auto"/>
          <w:szCs w:val="24"/>
          <w:lang w:eastAsia="en-GB"/>
        </w:rPr>
      </w:pPr>
      <w:r w:rsidRPr="00196C95">
        <w:rPr>
          <w:rFonts w:ascii="Arial" w:eastAsia="Times New Roman" w:hAnsi="Arial" w:cs="Arial"/>
          <w:color w:val="auto"/>
          <w:szCs w:val="24"/>
          <w:lang w:eastAsia="en-GB"/>
        </w:rPr>
        <w:t xml:space="preserve">Sood, H. (2021). A Study on Cross -Cultural Management Strategies Followed by MNCs across the Globe. </w:t>
      </w:r>
      <w:r w:rsidRPr="00196C95">
        <w:rPr>
          <w:rFonts w:ascii="Arial" w:eastAsia="Times New Roman" w:hAnsi="Arial" w:cs="Arial"/>
          <w:i/>
          <w:iCs/>
          <w:color w:val="auto"/>
          <w:szCs w:val="24"/>
          <w:lang w:eastAsia="en-GB"/>
        </w:rPr>
        <w:t>International Journal of Research Publication and Reviews Journal homepage: www.ijrpr.com</w:t>
      </w:r>
      <w:r w:rsidRPr="00196C95">
        <w:rPr>
          <w:rFonts w:ascii="Arial" w:eastAsia="Times New Roman" w:hAnsi="Arial" w:cs="Arial"/>
          <w:color w:val="auto"/>
          <w:szCs w:val="24"/>
          <w:lang w:eastAsia="en-GB"/>
        </w:rPr>
        <w:t xml:space="preserve">, [online] 2(8), pp.1247–1261. Available at: </w:t>
      </w:r>
      <w:hyperlink r:id="rId13" w:history="1">
        <w:r w:rsidRPr="00196C95">
          <w:rPr>
            <w:rStyle w:val="Hyperlink"/>
            <w:rFonts w:ascii="Arial" w:eastAsia="Times New Roman" w:hAnsi="Arial" w:cs="Arial"/>
            <w:szCs w:val="24"/>
            <w:lang w:eastAsia="en-GB"/>
          </w:rPr>
          <w:t>https://www.ijrpr.com/uploads/V2ISSUE8/IJRPR1129.pdf</w:t>
        </w:r>
      </w:hyperlink>
      <w:r w:rsidRPr="00196C95">
        <w:rPr>
          <w:rFonts w:ascii="Arial" w:eastAsia="Times New Roman" w:hAnsi="Arial" w:cs="Arial"/>
          <w:color w:val="auto"/>
          <w:szCs w:val="24"/>
          <w:lang w:eastAsia="en-GB"/>
        </w:rPr>
        <w:t xml:space="preserve">. </w:t>
      </w:r>
    </w:p>
    <w:p w14:paraId="3947A8CD" w14:textId="77777777" w:rsidR="00085233" w:rsidRPr="00196C95" w:rsidRDefault="00085233" w:rsidP="00196C95">
      <w:pPr>
        <w:numPr>
          <w:ilvl w:val="0"/>
          <w:numId w:val="1"/>
        </w:numPr>
        <w:suppressAutoHyphens w:val="0"/>
        <w:rPr>
          <w:rFonts w:ascii="Arial" w:eastAsia="Times New Roman" w:hAnsi="Arial" w:cs="Arial"/>
          <w:color w:val="auto"/>
          <w:szCs w:val="24"/>
          <w:lang w:eastAsia="en-GB"/>
        </w:rPr>
      </w:pPr>
      <w:r w:rsidRPr="00196C95">
        <w:rPr>
          <w:rFonts w:ascii="Arial" w:eastAsia="Times New Roman" w:hAnsi="Arial" w:cs="Arial"/>
          <w:color w:val="auto"/>
          <w:szCs w:val="24"/>
          <w:lang w:eastAsia="en-GB"/>
        </w:rPr>
        <w:t xml:space="preserve">Steers, R.M., Osland, J.S. and Szkudlarek, B. (2023). </w:t>
      </w:r>
      <w:r w:rsidRPr="00196C95">
        <w:rPr>
          <w:rFonts w:ascii="Arial" w:eastAsia="Times New Roman" w:hAnsi="Arial" w:cs="Arial"/>
          <w:i/>
          <w:iCs/>
          <w:color w:val="auto"/>
          <w:szCs w:val="24"/>
          <w:lang w:eastAsia="en-GB"/>
        </w:rPr>
        <w:t>Management Across Cultures: Challenges, Strategies, and Skills</w:t>
      </w:r>
      <w:r w:rsidRPr="00196C95">
        <w:rPr>
          <w:rFonts w:ascii="Arial" w:eastAsia="Times New Roman" w:hAnsi="Arial" w:cs="Arial"/>
          <w:color w:val="auto"/>
          <w:szCs w:val="24"/>
          <w:lang w:eastAsia="en-GB"/>
        </w:rPr>
        <w:t xml:space="preserve">. [online] Higher Education from Cambridge </w:t>
      </w:r>
      <w:r w:rsidRPr="00196C95">
        <w:rPr>
          <w:rFonts w:ascii="Arial" w:eastAsia="Times New Roman" w:hAnsi="Arial" w:cs="Arial"/>
          <w:color w:val="auto"/>
          <w:szCs w:val="24"/>
          <w:lang w:eastAsia="en-GB"/>
        </w:rPr>
        <w:lastRenderedPageBreak/>
        <w:t xml:space="preserve">University Press. Available at: </w:t>
      </w:r>
      <w:hyperlink r:id="rId14" w:history="1">
        <w:r w:rsidRPr="00196C95">
          <w:rPr>
            <w:rStyle w:val="Hyperlink"/>
            <w:rFonts w:ascii="Arial" w:eastAsia="Times New Roman" w:hAnsi="Arial" w:cs="Arial"/>
            <w:szCs w:val="24"/>
            <w:lang w:eastAsia="en-GB"/>
          </w:rPr>
          <w:t>https://www.cambridge.org/highereducation/books/management-across-cultures/BB7FBBF5BC5B441AE0F3D3EA3817BB7A</w:t>
        </w:r>
      </w:hyperlink>
      <w:r w:rsidRPr="00196C95">
        <w:rPr>
          <w:rFonts w:ascii="Arial" w:eastAsia="Times New Roman" w:hAnsi="Arial" w:cs="Arial"/>
          <w:color w:val="auto"/>
          <w:szCs w:val="24"/>
          <w:lang w:eastAsia="en-GB"/>
        </w:rPr>
        <w:t xml:space="preserve">. </w:t>
      </w:r>
    </w:p>
    <w:p w14:paraId="0D23A2B5" w14:textId="77777777" w:rsidR="00085233" w:rsidRPr="00196C95" w:rsidRDefault="00085233" w:rsidP="00196C95">
      <w:pPr>
        <w:numPr>
          <w:ilvl w:val="0"/>
          <w:numId w:val="1"/>
        </w:numPr>
        <w:suppressAutoHyphens w:val="0"/>
        <w:rPr>
          <w:rFonts w:ascii="Arial" w:eastAsia="Times New Roman" w:hAnsi="Arial" w:cs="Arial"/>
          <w:color w:val="auto"/>
          <w:szCs w:val="24"/>
          <w:lang w:eastAsia="en-GB"/>
        </w:rPr>
      </w:pPr>
      <w:r w:rsidRPr="00196C95">
        <w:rPr>
          <w:rFonts w:ascii="Arial" w:eastAsia="Times New Roman" w:hAnsi="Arial" w:cs="Arial"/>
          <w:color w:val="auto"/>
          <w:szCs w:val="24"/>
          <w:lang w:eastAsia="en-GB"/>
        </w:rPr>
        <w:t xml:space="preserve">Szkudlarek, B., Osland, J.S., Nardon, L. and Zander, L. (2020). Communication and culture in international business – Moving the field forward. </w:t>
      </w:r>
      <w:r w:rsidRPr="00196C95">
        <w:rPr>
          <w:rFonts w:ascii="Arial" w:eastAsia="Times New Roman" w:hAnsi="Arial" w:cs="Arial"/>
          <w:i/>
          <w:iCs/>
          <w:color w:val="auto"/>
          <w:szCs w:val="24"/>
          <w:lang w:eastAsia="en-GB"/>
        </w:rPr>
        <w:t>Journal of World Business</w:t>
      </w:r>
      <w:r w:rsidRPr="00196C95">
        <w:rPr>
          <w:rFonts w:ascii="Arial" w:eastAsia="Times New Roman" w:hAnsi="Arial" w:cs="Arial"/>
          <w:color w:val="auto"/>
          <w:szCs w:val="24"/>
          <w:lang w:eastAsia="en-GB"/>
        </w:rPr>
        <w:t xml:space="preserve">, [online] 55(6). Available at: </w:t>
      </w:r>
      <w:hyperlink r:id="rId15" w:history="1">
        <w:r w:rsidRPr="00196C95">
          <w:rPr>
            <w:rStyle w:val="Hyperlink"/>
            <w:rFonts w:ascii="Arial" w:eastAsia="Times New Roman" w:hAnsi="Arial" w:cs="Arial"/>
            <w:szCs w:val="24"/>
            <w:lang w:eastAsia="en-GB"/>
          </w:rPr>
          <w:t>https://www.sciencedirect.com/science/article/pii/S1090951620300547</w:t>
        </w:r>
      </w:hyperlink>
      <w:r w:rsidRPr="00196C95">
        <w:rPr>
          <w:rFonts w:ascii="Arial" w:eastAsia="Times New Roman" w:hAnsi="Arial" w:cs="Arial"/>
          <w:color w:val="auto"/>
          <w:szCs w:val="24"/>
          <w:lang w:eastAsia="en-GB"/>
        </w:rPr>
        <w:t xml:space="preserve">. </w:t>
      </w:r>
    </w:p>
    <w:p w14:paraId="2B25B240" w14:textId="77777777" w:rsidR="00085233" w:rsidRPr="00196C95" w:rsidRDefault="00085233" w:rsidP="00196C95">
      <w:pPr>
        <w:numPr>
          <w:ilvl w:val="0"/>
          <w:numId w:val="1"/>
        </w:numPr>
        <w:suppressAutoHyphens w:val="0"/>
        <w:rPr>
          <w:rFonts w:ascii="Arial" w:eastAsia="Times New Roman" w:hAnsi="Arial" w:cs="Arial"/>
          <w:color w:val="auto"/>
          <w:szCs w:val="24"/>
          <w:lang w:eastAsia="en-GB"/>
        </w:rPr>
      </w:pPr>
      <w:r w:rsidRPr="00196C95">
        <w:rPr>
          <w:rFonts w:ascii="Arial" w:eastAsia="Times New Roman" w:hAnsi="Arial" w:cs="Arial"/>
          <w:color w:val="auto"/>
          <w:szCs w:val="24"/>
          <w:lang w:eastAsia="en-GB"/>
        </w:rPr>
        <w:t xml:space="preserve">Wang, H., Xi, X., Yang, W. and Zhang, X. (2022). </w:t>
      </w:r>
      <w:r w:rsidRPr="00196C95">
        <w:rPr>
          <w:rFonts w:ascii="Arial" w:eastAsia="Times New Roman" w:hAnsi="Arial" w:cs="Arial"/>
          <w:i/>
          <w:iCs/>
          <w:color w:val="auto"/>
          <w:szCs w:val="24"/>
          <w:lang w:eastAsia="en-GB"/>
        </w:rPr>
        <w:t>COFCO and Coca-Cola Company’s Cooperation Business Negotiation and Business Strategy Research</w:t>
      </w:r>
      <w:r w:rsidRPr="00196C95">
        <w:rPr>
          <w:rFonts w:ascii="Arial" w:eastAsia="Times New Roman" w:hAnsi="Arial" w:cs="Arial"/>
          <w:color w:val="auto"/>
          <w:szCs w:val="24"/>
          <w:lang w:eastAsia="en-GB"/>
        </w:rPr>
        <w:t xml:space="preserve">. [online] www.atlantis-press.com. doi: </w:t>
      </w:r>
      <w:hyperlink r:id="rId16" w:history="1">
        <w:r w:rsidRPr="00196C95">
          <w:rPr>
            <w:rStyle w:val="Hyperlink"/>
            <w:rFonts w:ascii="Arial" w:eastAsia="Times New Roman" w:hAnsi="Arial" w:cs="Arial"/>
            <w:szCs w:val="24"/>
            <w:lang w:eastAsia="en-GB"/>
          </w:rPr>
          <w:t>https://doi.org/10.2991/978-2-494069-31-2_162</w:t>
        </w:r>
      </w:hyperlink>
      <w:r w:rsidRPr="00196C95">
        <w:rPr>
          <w:rFonts w:ascii="Arial" w:eastAsia="Times New Roman" w:hAnsi="Arial" w:cs="Arial"/>
          <w:color w:val="auto"/>
          <w:szCs w:val="24"/>
          <w:lang w:eastAsia="en-GB"/>
        </w:rPr>
        <w:t xml:space="preserve">. </w:t>
      </w:r>
    </w:p>
    <w:p w14:paraId="60341970" w14:textId="77777777" w:rsidR="002A7F4E" w:rsidRPr="00196C95" w:rsidRDefault="002A7F4E" w:rsidP="00196C95">
      <w:pPr>
        <w:numPr>
          <w:ilvl w:val="0"/>
          <w:numId w:val="1"/>
        </w:numPr>
        <w:shd w:val="clear" w:color="auto" w:fill="FCFDFE"/>
        <w:suppressAutoHyphens w:val="0"/>
        <w:rPr>
          <w:rFonts w:ascii="Arial" w:eastAsia="Times New Roman" w:hAnsi="Arial" w:cs="Arial"/>
          <w:szCs w:val="24"/>
          <w:lang w:eastAsia="en-GB"/>
        </w:rPr>
      </w:pPr>
    </w:p>
    <w:p w14:paraId="49C0D5DF" w14:textId="77777777" w:rsidR="00F10C64" w:rsidRPr="00196C95" w:rsidRDefault="00F10C64" w:rsidP="00196C95">
      <w:pPr>
        <w:ind w:left="720" w:hanging="720"/>
        <w:rPr>
          <w:rFonts w:ascii="Arial" w:hAnsi="Arial" w:cs="Arial"/>
          <w:color w:val="auto"/>
          <w:szCs w:val="24"/>
          <w:shd w:val="clear" w:color="auto" w:fill="FFFFFF"/>
        </w:rPr>
      </w:pPr>
    </w:p>
    <w:p w14:paraId="05D9B357" w14:textId="77777777" w:rsidR="007D1B17" w:rsidRPr="00196C95" w:rsidRDefault="007D1B17" w:rsidP="00196C95">
      <w:pPr>
        <w:rPr>
          <w:rFonts w:ascii="Arial" w:hAnsi="Arial" w:cs="Arial"/>
          <w:color w:val="auto"/>
          <w:szCs w:val="24"/>
          <w:shd w:val="clear" w:color="auto" w:fill="FFFFFF"/>
        </w:rPr>
      </w:pPr>
    </w:p>
    <w:p w14:paraId="0BC1D698" w14:textId="77777777" w:rsidR="007D1B17" w:rsidRPr="00196C95" w:rsidRDefault="007D1B17" w:rsidP="00196C95">
      <w:pPr>
        <w:ind w:left="720" w:hanging="720"/>
        <w:rPr>
          <w:rFonts w:ascii="Arial" w:hAnsi="Arial" w:cs="Arial"/>
          <w:color w:val="auto"/>
          <w:szCs w:val="24"/>
          <w:shd w:val="clear" w:color="auto" w:fill="FFFFFF"/>
        </w:rPr>
      </w:pPr>
    </w:p>
    <w:p w14:paraId="26522B5C" w14:textId="77777777" w:rsidR="009561AE" w:rsidRPr="00196C95" w:rsidRDefault="009561AE" w:rsidP="00196C95">
      <w:pPr>
        <w:ind w:left="720" w:hanging="720"/>
        <w:rPr>
          <w:rFonts w:ascii="Arial" w:hAnsi="Arial" w:cs="Arial"/>
          <w:color w:val="auto"/>
          <w:szCs w:val="24"/>
          <w:shd w:val="clear" w:color="auto" w:fill="FFFFFF"/>
        </w:rPr>
      </w:pPr>
    </w:p>
    <w:p w14:paraId="39562D5B" w14:textId="77777777" w:rsidR="0093725C" w:rsidRPr="00196C95" w:rsidRDefault="0093725C" w:rsidP="00196C95">
      <w:pPr>
        <w:rPr>
          <w:rFonts w:ascii="Arial" w:hAnsi="Arial" w:cs="Arial"/>
        </w:rPr>
      </w:pPr>
    </w:p>
    <w:p w14:paraId="3A16DA18" w14:textId="77777777" w:rsidR="0074789A" w:rsidRPr="00196C95" w:rsidRDefault="0074789A" w:rsidP="00196C95">
      <w:pPr>
        <w:rPr>
          <w:rFonts w:ascii="Arial" w:hAnsi="Arial" w:cs="Arial"/>
        </w:rPr>
      </w:pPr>
    </w:p>
    <w:sectPr w:rsidR="0074789A" w:rsidRPr="00196C95" w:rsidSect="00196C95">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FFE81" w14:textId="77777777" w:rsidR="006B2AB1" w:rsidRDefault="006B2AB1" w:rsidP="00A87747">
      <w:pPr>
        <w:spacing w:line="240" w:lineRule="auto"/>
      </w:pPr>
      <w:r>
        <w:separator/>
      </w:r>
    </w:p>
  </w:endnote>
  <w:endnote w:type="continuationSeparator" w:id="0">
    <w:p w14:paraId="49CA2C29" w14:textId="77777777" w:rsidR="006B2AB1" w:rsidRDefault="006B2AB1"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altName w:val="Yu Gothic"/>
    <w:panose1 w:val="020B0604020202020204"/>
    <w:charset w:val="80"/>
    <w:family w:val="auto"/>
    <w:pitch w:val="variable"/>
  </w:font>
  <w:font w:name="OpenSymbol">
    <w:altName w:val="MS Gothic"/>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altName w:val="Yu Gothic"/>
    <w:panose1 w:val="020B0604020202020204"/>
    <w:charset w:val="80"/>
    <w:family w:val="modern"/>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ECCE3F" w14:textId="77777777" w:rsidR="00B60486" w:rsidRDefault="00B604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18E42A" w14:textId="77777777" w:rsidR="00A87747" w:rsidRDefault="00A87747">
    <w:pPr>
      <w:pStyle w:val="Footer"/>
      <w:jc w:val="center"/>
    </w:pPr>
    <w:r>
      <w:fldChar w:fldCharType="begin"/>
    </w:r>
    <w:r>
      <w:instrText xml:space="preserve"> PAGE   \* MERGEFORMAT </w:instrText>
    </w:r>
    <w:r>
      <w:fldChar w:fldCharType="separate"/>
    </w:r>
    <w:r w:rsidR="0068592A">
      <w:rPr>
        <w:noProof/>
      </w:rPr>
      <w:t>8</w:t>
    </w:r>
    <w:r>
      <w:rPr>
        <w:noProof/>
      </w:rPr>
      <w:fldChar w:fldCharType="end"/>
    </w:r>
  </w:p>
  <w:p w14:paraId="39F5EBAF"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E7C0A2" w14:textId="77777777" w:rsidR="00B60486" w:rsidRDefault="00B60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29215" w14:textId="77777777" w:rsidR="006B2AB1" w:rsidRDefault="006B2AB1" w:rsidP="00A87747">
      <w:pPr>
        <w:spacing w:line="240" w:lineRule="auto"/>
      </w:pPr>
      <w:r>
        <w:separator/>
      </w:r>
    </w:p>
  </w:footnote>
  <w:footnote w:type="continuationSeparator" w:id="0">
    <w:p w14:paraId="068A72C5" w14:textId="77777777" w:rsidR="006B2AB1" w:rsidRDefault="006B2AB1"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92E587" w14:textId="77777777" w:rsidR="00B60486" w:rsidRDefault="00B604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9FAB5" w14:textId="77777777" w:rsidR="00B60486" w:rsidRDefault="00B604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A7F30A" w14:textId="77777777" w:rsidR="00B60486" w:rsidRDefault="00B604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9206951">
    <w:abstractNumId w:val="0"/>
  </w:num>
  <w:num w:numId="2" w16cid:durableId="770010219">
    <w:abstractNumId w:val="1"/>
  </w:num>
  <w:num w:numId="3" w16cid:durableId="327175851">
    <w:abstractNumId w:val="10"/>
  </w:num>
  <w:num w:numId="4" w16cid:durableId="1151213053">
    <w:abstractNumId w:val="24"/>
  </w:num>
  <w:num w:numId="5" w16cid:durableId="472715766">
    <w:abstractNumId w:val="9"/>
  </w:num>
  <w:num w:numId="6" w16cid:durableId="966013876">
    <w:abstractNumId w:val="23"/>
  </w:num>
  <w:num w:numId="7" w16cid:durableId="751007080">
    <w:abstractNumId w:val="27"/>
  </w:num>
  <w:num w:numId="8" w16cid:durableId="1953628374">
    <w:abstractNumId w:val="19"/>
  </w:num>
  <w:num w:numId="9" w16cid:durableId="1294600340">
    <w:abstractNumId w:val="6"/>
  </w:num>
  <w:num w:numId="10" w16cid:durableId="1097561711">
    <w:abstractNumId w:val="16"/>
  </w:num>
  <w:num w:numId="11" w16cid:durableId="1328165172">
    <w:abstractNumId w:val="20"/>
  </w:num>
  <w:num w:numId="12" w16cid:durableId="1283804567">
    <w:abstractNumId w:val="11"/>
  </w:num>
  <w:num w:numId="13" w16cid:durableId="1602450501">
    <w:abstractNumId w:val="4"/>
  </w:num>
  <w:num w:numId="14" w16cid:durableId="1457990465">
    <w:abstractNumId w:val="17"/>
  </w:num>
  <w:num w:numId="15" w16cid:durableId="666977642">
    <w:abstractNumId w:val="5"/>
  </w:num>
  <w:num w:numId="16" w16cid:durableId="980040961">
    <w:abstractNumId w:val="22"/>
  </w:num>
  <w:num w:numId="17" w16cid:durableId="84377529">
    <w:abstractNumId w:val="3"/>
  </w:num>
  <w:num w:numId="18" w16cid:durableId="954403198">
    <w:abstractNumId w:val="18"/>
  </w:num>
  <w:num w:numId="19" w16cid:durableId="1575235153">
    <w:abstractNumId w:val="2"/>
  </w:num>
  <w:num w:numId="20" w16cid:durableId="480535563">
    <w:abstractNumId w:val="26"/>
  </w:num>
  <w:num w:numId="21" w16cid:durableId="1241476353">
    <w:abstractNumId w:val="13"/>
  </w:num>
  <w:num w:numId="22" w16cid:durableId="249313282">
    <w:abstractNumId w:val="12"/>
  </w:num>
  <w:num w:numId="23" w16cid:durableId="1776779012">
    <w:abstractNumId w:val="25"/>
  </w:num>
  <w:num w:numId="24" w16cid:durableId="39719448">
    <w:abstractNumId w:val="28"/>
  </w:num>
  <w:num w:numId="25" w16cid:durableId="1288124277">
    <w:abstractNumId w:val="7"/>
  </w:num>
  <w:num w:numId="26" w16cid:durableId="1142652489">
    <w:abstractNumId w:val="15"/>
  </w:num>
  <w:num w:numId="27" w16cid:durableId="203031778">
    <w:abstractNumId w:val="14"/>
  </w:num>
  <w:num w:numId="28" w16cid:durableId="155003867">
    <w:abstractNumId w:val="21"/>
  </w:num>
  <w:num w:numId="29" w16cid:durableId="10299875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rAfOzWGUsAAAA"/>
  </w:docVars>
  <w:rsids>
    <w:rsidRoot w:val="008D09FF"/>
    <w:rsid w:val="000143B4"/>
    <w:rsid w:val="000157F7"/>
    <w:rsid w:val="000169FC"/>
    <w:rsid w:val="00026F62"/>
    <w:rsid w:val="0003210E"/>
    <w:rsid w:val="00033E1E"/>
    <w:rsid w:val="00043DD1"/>
    <w:rsid w:val="00044E03"/>
    <w:rsid w:val="00051B13"/>
    <w:rsid w:val="0005499F"/>
    <w:rsid w:val="00077B6D"/>
    <w:rsid w:val="000824D7"/>
    <w:rsid w:val="00085233"/>
    <w:rsid w:val="0009752E"/>
    <w:rsid w:val="000A0300"/>
    <w:rsid w:val="000A2736"/>
    <w:rsid w:val="000A693F"/>
    <w:rsid w:val="000B55F1"/>
    <w:rsid w:val="000B7C25"/>
    <w:rsid w:val="000C2337"/>
    <w:rsid w:val="000C2DC0"/>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760F0"/>
    <w:rsid w:val="0019516A"/>
    <w:rsid w:val="001959E7"/>
    <w:rsid w:val="00196C95"/>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245BF"/>
    <w:rsid w:val="0024274A"/>
    <w:rsid w:val="00245957"/>
    <w:rsid w:val="00245FD9"/>
    <w:rsid w:val="0024714F"/>
    <w:rsid w:val="00251842"/>
    <w:rsid w:val="00255300"/>
    <w:rsid w:val="00267D0D"/>
    <w:rsid w:val="00273F83"/>
    <w:rsid w:val="002923C2"/>
    <w:rsid w:val="0029461D"/>
    <w:rsid w:val="002A218E"/>
    <w:rsid w:val="002A7633"/>
    <w:rsid w:val="002A7F4E"/>
    <w:rsid w:val="002B1C88"/>
    <w:rsid w:val="002B6D16"/>
    <w:rsid w:val="002C58C6"/>
    <w:rsid w:val="002C5976"/>
    <w:rsid w:val="002C5AFE"/>
    <w:rsid w:val="002C5DF6"/>
    <w:rsid w:val="002D5608"/>
    <w:rsid w:val="002E2445"/>
    <w:rsid w:val="002F3715"/>
    <w:rsid w:val="002F4C8F"/>
    <w:rsid w:val="00306373"/>
    <w:rsid w:val="003229B1"/>
    <w:rsid w:val="003347F4"/>
    <w:rsid w:val="003407C3"/>
    <w:rsid w:val="00341EB5"/>
    <w:rsid w:val="00341F1F"/>
    <w:rsid w:val="00352949"/>
    <w:rsid w:val="00354A83"/>
    <w:rsid w:val="003559FD"/>
    <w:rsid w:val="00355AA6"/>
    <w:rsid w:val="0035740A"/>
    <w:rsid w:val="00363625"/>
    <w:rsid w:val="0036390F"/>
    <w:rsid w:val="003644F3"/>
    <w:rsid w:val="00371215"/>
    <w:rsid w:val="0037352A"/>
    <w:rsid w:val="00377720"/>
    <w:rsid w:val="00380505"/>
    <w:rsid w:val="00390787"/>
    <w:rsid w:val="003915E6"/>
    <w:rsid w:val="003A21CE"/>
    <w:rsid w:val="003A4903"/>
    <w:rsid w:val="003B2223"/>
    <w:rsid w:val="003B5239"/>
    <w:rsid w:val="003D05A0"/>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23E0"/>
    <w:rsid w:val="00454D5E"/>
    <w:rsid w:val="00455304"/>
    <w:rsid w:val="00460545"/>
    <w:rsid w:val="004613F4"/>
    <w:rsid w:val="0046208D"/>
    <w:rsid w:val="0047293C"/>
    <w:rsid w:val="00480840"/>
    <w:rsid w:val="004836C4"/>
    <w:rsid w:val="0049537E"/>
    <w:rsid w:val="00496C57"/>
    <w:rsid w:val="004A17F2"/>
    <w:rsid w:val="004A42D9"/>
    <w:rsid w:val="004A6F78"/>
    <w:rsid w:val="004A78C8"/>
    <w:rsid w:val="004B2DC1"/>
    <w:rsid w:val="004B6253"/>
    <w:rsid w:val="004B637E"/>
    <w:rsid w:val="004C6604"/>
    <w:rsid w:val="004D5B16"/>
    <w:rsid w:val="004D5BFC"/>
    <w:rsid w:val="004E44CC"/>
    <w:rsid w:val="004F372C"/>
    <w:rsid w:val="004F4DDA"/>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8592A"/>
    <w:rsid w:val="006948E8"/>
    <w:rsid w:val="00697727"/>
    <w:rsid w:val="006A724A"/>
    <w:rsid w:val="006B2AB1"/>
    <w:rsid w:val="006B65D2"/>
    <w:rsid w:val="006C51DB"/>
    <w:rsid w:val="006C5469"/>
    <w:rsid w:val="006C5728"/>
    <w:rsid w:val="006D07E0"/>
    <w:rsid w:val="006D6837"/>
    <w:rsid w:val="006D7C5E"/>
    <w:rsid w:val="006E177F"/>
    <w:rsid w:val="006F422F"/>
    <w:rsid w:val="00705F33"/>
    <w:rsid w:val="007130F3"/>
    <w:rsid w:val="00720A6F"/>
    <w:rsid w:val="0072548E"/>
    <w:rsid w:val="00732B9B"/>
    <w:rsid w:val="00736E60"/>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7F79F4"/>
    <w:rsid w:val="00814EE5"/>
    <w:rsid w:val="0082293E"/>
    <w:rsid w:val="0083045C"/>
    <w:rsid w:val="0083094A"/>
    <w:rsid w:val="008309B1"/>
    <w:rsid w:val="00830C8D"/>
    <w:rsid w:val="00831ABD"/>
    <w:rsid w:val="00841350"/>
    <w:rsid w:val="00853117"/>
    <w:rsid w:val="008645D9"/>
    <w:rsid w:val="0087207B"/>
    <w:rsid w:val="00872FDC"/>
    <w:rsid w:val="00884801"/>
    <w:rsid w:val="008934D6"/>
    <w:rsid w:val="008A4FEE"/>
    <w:rsid w:val="008A5AAC"/>
    <w:rsid w:val="008B1D5E"/>
    <w:rsid w:val="008B6785"/>
    <w:rsid w:val="008B7C67"/>
    <w:rsid w:val="008C4464"/>
    <w:rsid w:val="008C5894"/>
    <w:rsid w:val="008D09FF"/>
    <w:rsid w:val="008E6B1D"/>
    <w:rsid w:val="008F29E6"/>
    <w:rsid w:val="008F2D31"/>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7751B"/>
    <w:rsid w:val="009812B8"/>
    <w:rsid w:val="00982038"/>
    <w:rsid w:val="00991B22"/>
    <w:rsid w:val="00993BA5"/>
    <w:rsid w:val="009A205A"/>
    <w:rsid w:val="009A2AD5"/>
    <w:rsid w:val="009B08FC"/>
    <w:rsid w:val="009B0B1B"/>
    <w:rsid w:val="009B2391"/>
    <w:rsid w:val="009B53D8"/>
    <w:rsid w:val="009B6260"/>
    <w:rsid w:val="009C2D59"/>
    <w:rsid w:val="009D18F1"/>
    <w:rsid w:val="009D1961"/>
    <w:rsid w:val="009D507B"/>
    <w:rsid w:val="009D5260"/>
    <w:rsid w:val="009D7AE7"/>
    <w:rsid w:val="009E0198"/>
    <w:rsid w:val="009E22EF"/>
    <w:rsid w:val="009E31A5"/>
    <w:rsid w:val="009F0254"/>
    <w:rsid w:val="00A008EC"/>
    <w:rsid w:val="00A0522A"/>
    <w:rsid w:val="00A06682"/>
    <w:rsid w:val="00A1253D"/>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938"/>
    <w:rsid w:val="00AD7F58"/>
    <w:rsid w:val="00AE6BC8"/>
    <w:rsid w:val="00AE6D0E"/>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043C"/>
    <w:rsid w:val="00B313E9"/>
    <w:rsid w:val="00B31E9D"/>
    <w:rsid w:val="00B322E0"/>
    <w:rsid w:val="00B34CA4"/>
    <w:rsid w:val="00B462F2"/>
    <w:rsid w:val="00B465CF"/>
    <w:rsid w:val="00B46E41"/>
    <w:rsid w:val="00B51613"/>
    <w:rsid w:val="00B56352"/>
    <w:rsid w:val="00B57A65"/>
    <w:rsid w:val="00B60486"/>
    <w:rsid w:val="00B61DB0"/>
    <w:rsid w:val="00B61FED"/>
    <w:rsid w:val="00B671A3"/>
    <w:rsid w:val="00B7065F"/>
    <w:rsid w:val="00B71230"/>
    <w:rsid w:val="00B74848"/>
    <w:rsid w:val="00B80607"/>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687C"/>
    <w:rsid w:val="00C8743A"/>
    <w:rsid w:val="00C919FB"/>
    <w:rsid w:val="00CA59F2"/>
    <w:rsid w:val="00CC3413"/>
    <w:rsid w:val="00CC671B"/>
    <w:rsid w:val="00CD2539"/>
    <w:rsid w:val="00CE4E4E"/>
    <w:rsid w:val="00CE5BDB"/>
    <w:rsid w:val="00CF15D8"/>
    <w:rsid w:val="00CF5F42"/>
    <w:rsid w:val="00D022B4"/>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203E"/>
    <w:rsid w:val="00DD45E3"/>
    <w:rsid w:val="00DD6A76"/>
    <w:rsid w:val="00DE0958"/>
    <w:rsid w:val="00DE64C4"/>
    <w:rsid w:val="00DF037E"/>
    <w:rsid w:val="00DF2060"/>
    <w:rsid w:val="00DF6304"/>
    <w:rsid w:val="00E000B9"/>
    <w:rsid w:val="00E039C5"/>
    <w:rsid w:val="00E03A4B"/>
    <w:rsid w:val="00E07D5E"/>
    <w:rsid w:val="00E27145"/>
    <w:rsid w:val="00E3140F"/>
    <w:rsid w:val="00E315EE"/>
    <w:rsid w:val="00E37264"/>
    <w:rsid w:val="00E41AB6"/>
    <w:rsid w:val="00E50455"/>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2C04"/>
    <w:rsid w:val="00EE58F1"/>
    <w:rsid w:val="00EE61CD"/>
    <w:rsid w:val="00EF0350"/>
    <w:rsid w:val="00EF12B7"/>
    <w:rsid w:val="00F052F3"/>
    <w:rsid w:val="00F05440"/>
    <w:rsid w:val="00F10C64"/>
    <w:rsid w:val="00F16569"/>
    <w:rsid w:val="00F17CBC"/>
    <w:rsid w:val="00F31831"/>
    <w:rsid w:val="00F320B3"/>
    <w:rsid w:val="00F35020"/>
    <w:rsid w:val="00F42555"/>
    <w:rsid w:val="00F44147"/>
    <w:rsid w:val="00F52B0E"/>
    <w:rsid w:val="00F71CCB"/>
    <w:rsid w:val="00FA1905"/>
    <w:rsid w:val="00FA3835"/>
    <w:rsid w:val="00FB012C"/>
    <w:rsid w:val="00FB44DD"/>
    <w:rsid w:val="00FB5913"/>
    <w:rsid w:val="00FB636C"/>
    <w:rsid w:val="00FD08F7"/>
    <w:rsid w:val="00FD14D4"/>
    <w:rsid w:val="00FE007F"/>
    <w:rsid w:val="00FE1106"/>
    <w:rsid w:val="00FE22D5"/>
    <w:rsid w:val="00FE2725"/>
    <w:rsid w:val="00FE2AD0"/>
    <w:rsid w:val="00FE3A7A"/>
    <w:rsid w:val="00FE3D58"/>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4E87240F"/>
  <w15:chartTrackingRefBased/>
  <w15:docId w15:val="{825957A1-0415-4EEC-A01F-72A1428D6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44872271">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389722953">
      <w:bodyDiv w:val="1"/>
      <w:marLeft w:val="0"/>
      <w:marRight w:val="0"/>
      <w:marTop w:val="0"/>
      <w:marBottom w:val="0"/>
      <w:divBdr>
        <w:top w:val="none" w:sz="0" w:space="0" w:color="auto"/>
        <w:left w:val="none" w:sz="0" w:space="0" w:color="auto"/>
        <w:bottom w:val="none" w:sz="0" w:space="0" w:color="auto"/>
        <w:right w:val="none" w:sz="0" w:space="0" w:color="auto"/>
      </w:divBdr>
      <w:divsChild>
        <w:div w:id="1399742413">
          <w:marLeft w:val="0"/>
          <w:marRight w:val="0"/>
          <w:marTop w:val="0"/>
          <w:marBottom w:val="0"/>
          <w:divBdr>
            <w:top w:val="none" w:sz="0" w:space="0" w:color="auto"/>
            <w:left w:val="none" w:sz="0" w:space="0" w:color="auto"/>
            <w:bottom w:val="none" w:sz="0" w:space="0" w:color="auto"/>
            <w:right w:val="none" w:sz="0" w:space="0" w:color="auto"/>
          </w:divBdr>
        </w:div>
      </w:divsChild>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jrpr.com/uploads/V2ISSUE8/IJRPR1129.pdf"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irjems.org/irjems-v2i4p167.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2991/978-2-494069-31-2_162"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254/2754-1169/2024.1869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pii/S1090951620300547" TargetMode="External"/><Relationship Id="rId23" Type="http://schemas.openxmlformats.org/officeDocument/2006/relationships/fontTable" Target="fontTable.xml"/><Relationship Id="rId10" Type="http://schemas.openxmlformats.org/officeDocument/2006/relationships/hyperlink" Target="https://norma.ncirl.ie/5509/1/oladayoidowuajala.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391015867_Critical_Assessment_of_Diversity_Management_Strategies_in_Coca-Cola_Company_Nigeria" TargetMode="External"/><Relationship Id="rId14" Type="http://schemas.openxmlformats.org/officeDocument/2006/relationships/hyperlink" Target="https://www.cambridge.org/highereducation/books/management-across-cultures/BB7FBBF5BC5B441AE0F3D3EA3817BB7A"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89B16-5253-4BF5-A583-12B98430D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2728</Words>
  <Characters>15551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18243</CharactersWithSpaces>
  <SharedDoc>false</SharedDoc>
  <HLinks>
    <vt:vector size="48" baseType="variant">
      <vt:variant>
        <vt:i4>6881352</vt:i4>
      </vt:variant>
      <vt:variant>
        <vt:i4>39</vt:i4>
      </vt:variant>
      <vt:variant>
        <vt:i4>0</vt:i4>
      </vt:variant>
      <vt:variant>
        <vt:i4>5</vt:i4>
      </vt:variant>
      <vt:variant>
        <vt:lpwstr>https://doi.org/10.2991/978-2-494069-31-2_162</vt:lpwstr>
      </vt:variant>
      <vt:variant>
        <vt:lpwstr/>
      </vt:variant>
      <vt:variant>
        <vt:i4>6750329</vt:i4>
      </vt:variant>
      <vt:variant>
        <vt:i4>36</vt:i4>
      </vt:variant>
      <vt:variant>
        <vt:i4>0</vt:i4>
      </vt:variant>
      <vt:variant>
        <vt:i4>5</vt:i4>
      </vt:variant>
      <vt:variant>
        <vt:lpwstr>https://www.sciencedirect.com/science/article/pii/S1090951620300547</vt:lpwstr>
      </vt:variant>
      <vt:variant>
        <vt:lpwstr/>
      </vt:variant>
      <vt:variant>
        <vt:i4>3276905</vt:i4>
      </vt:variant>
      <vt:variant>
        <vt:i4>33</vt:i4>
      </vt:variant>
      <vt:variant>
        <vt:i4>0</vt:i4>
      </vt:variant>
      <vt:variant>
        <vt:i4>5</vt:i4>
      </vt:variant>
      <vt:variant>
        <vt:lpwstr>https://www.cambridge.org/highereducation/books/management-across-cultures/BB7FBBF5BC5B441AE0F3D3EA3817BB7A</vt:lpwstr>
      </vt:variant>
      <vt:variant>
        <vt:lpwstr/>
      </vt:variant>
      <vt:variant>
        <vt:i4>1245273</vt:i4>
      </vt:variant>
      <vt:variant>
        <vt:i4>30</vt:i4>
      </vt:variant>
      <vt:variant>
        <vt:i4>0</vt:i4>
      </vt:variant>
      <vt:variant>
        <vt:i4>5</vt:i4>
      </vt:variant>
      <vt:variant>
        <vt:lpwstr>https://www.ijrpr.com/uploads/V2ISSUE8/IJRPR1129.pdf</vt:lpwstr>
      </vt:variant>
      <vt:variant>
        <vt:lpwstr/>
      </vt:variant>
      <vt:variant>
        <vt:i4>3866682</vt:i4>
      </vt:variant>
      <vt:variant>
        <vt:i4>27</vt:i4>
      </vt:variant>
      <vt:variant>
        <vt:i4>0</vt:i4>
      </vt:variant>
      <vt:variant>
        <vt:i4>5</vt:i4>
      </vt:variant>
      <vt:variant>
        <vt:lpwstr>https://irjems.org/irjems-v2i4p167.html</vt:lpwstr>
      </vt:variant>
      <vt:variant>
        <vt:lpwstr/>
      </vt:variant>
      <vt:variant>
        <vt:i4>196700</vt:i4>
      </vt:variant>
      <vt:variant>
        <vt:i4>24</vt:i4>
      </vt:variant>
      <vt:variant>
        <vt:i4>0</vt:i4>
      </vt:variant>
      <vt:variant>
        <vt:i4>5</vt:i4>
      </vt:variant>
      <vt:variant>
        <vt:lpwstr>https://doi.org/10.54254/2754-1169/2024.18694</vt:lpwstr>
      </vt:variant>
      <vt:variant>
        <vt:lpwstr/>
      </vt:variant>
      <vt:variant>
        <vt:i4>2883631</vt:i4>
      </vt:variant>
      <vt:variant>
        <vt:i4>21</vt:i4>
      </vt:variant>
      <vt:variant>
        <vt:i4>0</vt:i4>
      </vt:variant>
      <vt:variant>
        <vt:i4>5</vt:i4>
      </vt:variant>
      <vt:variant>
        <vt:lpwstr>https://norma.ncirl.ie/5509/1/oladayoidowuajala.pdf</vt:lpwstr>
      </vt:variant>
      <vt:variant>
        <vt:lpwstr/>
      </vt:variant>
      <vt:variant>
        <vt:i4>3997820</vt:i4>
      </vt:variant>
      <vt:variant>
        <vt:i4>18</vt:i4>
      </vt:variant>
      <vt:variant>
        <vt:i4>0</vt:i4>
      </vt:variant>
      <vt:variant>
        <vt:i4>5</vt:i4>
      </vt:variant>
      <vt:variant>
        <vt:lpwstr>https://www.researchgate.net/publication/391015867_Critical_Assessment_of_Diversity_Management_Strategies_in_Coca-Cola_Company_Nigeria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dc:creator>
  <cp:keywords/>
  <cp:lastModifiedBy>Dana Voda</cp:lastModifiedBy>
  <cp:revision>3</cp:revision>
  <cp:lastPrinted>1900-01-01T00:00:00Z</cp:lastPrinted>
  <dcterms:created xsi:type="dcterms:W3CDTF">2025-12-05T11:54:00Z</dcterms:created>
  <dcterms:modified xsi:type="dcterms:W3CDTF">2025-12-15T17:40:00Z</dcterms:modified>
</cp:coreProperties>
</file>