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DA5D3" w14:textId="4D20E014" w:rsidR="005B0478" w:rsidRPr="008C4A3B" w:rsidRDefault="008C4A3B">
      <w:pPr>
        <w:rPr>
          <w:b/>
          <w:bCs/>
          <w:u w:val="single"/>
        </w:rPr>
      </w:pPr>
      <w:r w:rsidRPr="008C4A3B">
        <w:rPr>
          <w:b/>
          <w:bCs/>
          <w:u w:val="single"/>
        </w:rPr>
        <w:t>Analysis of Results</w:t>
      </w:r>
    </w:p>
    <w:p w14:paraId="01413EE1" w14:textId="3F15E886" w:rsidR="008C4A3B" w:rsidRDefault="008C4A3B"/>
    <w:p w14:paraId="46862BA8" w14:textId="24459C35" w:rsidR="008C4A3B" w:rsidRDefault="008C4A3B"/>
    <w:p w14:paraId="1D865E5E" w14:textId="098D0046" w:rsidR="008C4A3B" w:rsidRDefault="008C4A3B">
      <w:r>
        <w:t xml:space="preserve">This chapter presents an analysis of the data obtained from </w:t>
      </w:r>
      <w:r w:rsidR="00166D12">
        <w:t>two methods of data collection, in line with the mixed method approach of utilising both quantitative and qualitative data. Through the us</w:t>
      </w:r>
      <w:r w:rsidR="002720D7">
        <w:t>e</w:t>
      </w:r>
      <w:r w:rsidR="00166D12">
        <w:t xml:space="preserve"> of an</w:t>
      </w:r>
      <w:r w:rsidR="00854BC6">
        <w:t xml:space="preserve"> online digital survey,</w:t>
      </w:r>
      <w:r w:rsidR="00166D12">
        <w:t xml:space="preserve"> with over </w:t>
      </w:r>
      <w:r w:rsidR="002F1759">
        <w:t>(n=</w:t>
      </w:r>
      <w:r w:rsidR="002720D7">
        <w:t>131</w:t>
      </w:r>
      <w:r w:rsidR="002F1759">
        <w:t>)</w:t>
      </w:r>
      <w:r w:rsidR="002720D7">
        <w:t xml:space="preserve"> respondents, quantitative data has been obtained</w:t>
      </w:r>
      <w:r w:rsidR="006C05DE">
        <w:t>.</w:t>
      </w:r>
      <w:r w:rsidR="00DF472D">
        <w:t xml:space="preserve"> The survey has been shared online through the social media site “Twitter”, with the help of a former Police Officer who possesses a large followership of current and retired Police officers. </w:t>
      </w:r>
      <w:r w:rsidR="006C05DE">
        <w:t xml:space="preserve">Of the (n=131) respondents, n=95 </w:t>
      </w:r>
      <w:proofErr w:type="gramStart"/>
      <w:r w:rsidR="006C05DE">
        <w:t>are</w:t>
      </w:r>
      <w:proofErr w:type="gramEnd"/>
      <w:r w:rsidR="006C05DE">
        <w:t xml:space="preserve"> Male, with (n=29) being Female, (n=91) are current serving Police officers, whilst (n=28) are retired, former Police officers.</w:t>
      </w:r>
      <w:r w:rsidR="002720D7">
        <w:t xml:space="preserve"> </w:t>
      </w:r>
      <w:r w:rsidR="006C05DE">
        <w:t>I</w:t>
      </w:r>
      <w:r w:rsidR="002720D7">
        <w:t>n addition</w:t>
      </w:r>
      <w:r w:rsidR="006C05DE">
        <w:t xml:space="preserve"> to quantitative data,</w:t>
      </w:r>
      <w:r w:rsidR="002720D7">
        <w:t xml:space="preserve"> an interview with a serving Police officer</w:t>
      </w:r>
      <w:r w:rsidR="00854BC6">
        <w:t xml:space="preserve"> </w:t>
      </w:r>
      <w:r w:rsidR="006C05DE">
        <w:t xml:space="preserve">has been conducted, </w:t>
      </w:r>
      <w:r w:rsidR="00854BC6">
        <w:t xml:space="preserve">which aims to </w:t>
      </w:r>
      <w:r w:rsidR="002720D7">
        <w:t xml:space="preserve">collect quantitative data. Through the use of both methods, a blend of data has been obtained with an objective of </w:t>
      </w:r>
      <w:r w:rsidR="00854BC6">
        <w:t>answer</w:t>
      </w:r>
      <w:r w:rsidR="002720D7">
        <w:t>ing</w:t>
      </w:r>
      <w:r w:rsidR="00854BC6">
        <w:t xml:space="preserve"> the objectives set out in Chapter 1. The primary objective of the survey is to clarify the general understanding of </w:t>
      </w:r>
      <w:r w:rsidR="00166D12">
        <w:t>p</w:t>
      </w:r>
      <w:r w:rsidR="00854BC6">
        <w:t>ost-</w:t>
      </w:r>
      <w:r w:rsidR="00166D12">
        <w:t>t</w:t>
      </w:r>
      <w:r w:rsidR="00854BC6">
        <w:t xml:space="preserve">raumatic </w:t>
      </w:r>
      <w:r w:rsidR="00166D12">
        <w:t>s</w:t>
      </w:r>
      <w:r w:rsidR="00854BC6">
        <w:t xml:space="preserve">tress </w:t>
      </w:r>
      <w:r w:rsidR="00166D12">
        <w:t>d</w:t>
      </w:r>
      <w:r w:rsidR="00854BC6">
        <w:t>isorder amongst serving and retired Police officers. The hope of this objective is to re-affir</w:t>
      </w:r>
      <w:r w:rsidR="00166D12">
        <w:t xml:space="preserve">m whether awareness of post-traumatic stress disorder is sufficient, potentially exposing deficiencies in force occupational health and general welfare of staff. Additionally, </w:t>
      </w:r>
      <w:r w:rsidR="00FD2511">
        <w:t xml:space="preserve">a further objective is to establish the general attitude of serving and retired Police officers towards people/colleagues suffering with mental health disorders, in addition to indicating whether a stigmatisation culture exists; specifically in relation to seeking help for mental health. This in key in understanding whether the topic of mental health is “taboo” within a Policing capacity, and whether this is having a direct effect on post-traumatic stress disorders. Lastly, the final objective is to establish whether the help/support offered by Police Forces throughout the UK is a proportionate response to remedy the issue. </w:t>
      </w:r>
    </w:p>
    <w:p w14:paraId="50DE743F" w14:textId="50347210" w:rsidR="00085F02" w:rsidRDefault="00085F02"/>
    <w:p w14:paraId="07089E0B" w14:textId="4242B52A" w:rsidR="00E7671B" w:rsidRDefault="00E7671B">
      <w:r>
        <w:t xml:space="preserve">The survey was completed in line with ethical considerations and guidelines, adjacent to UWTSD Policy. All participants were informed prior to the survey of the confidentiality standards that the data is subjected to, additionally, all participants were assured that </w:t>
      </w:r>
      <w:r w:rsidR="00127718">
        <w:t xml:space="preserve">the survey is entirely anonymous, with strictly no personal information shared. ‘Anonymity’ in this instance is defined by Saunders et al (2014) as all information that is hidden from everyone except the primary research team. An idealised view of this, is the participants will never be able to be traceable from the data presented about them. </w:t>
      </w:r>
    </w:p>
    <w:p w14:paraId="066B342E" w14:textId="59BD71D9" w:rsidR="00085F02" w:rsidRDefault="00085F02"/>
    <w:p w14:paraId="25EDE72A" w14:textId="3C8E55AF" w:rsidR="002F1759" w:rsidRDefault="00CC7C89">
      <w:r>
        <w:t xml:space="preserve">It is stated by </w:t>
      </w:r>
      <w:r w:rsidR="002F1759" w:rsidRPr="002F1759">
        <w:t xml:space="preserve">Berthold, M. and Hand, D.J </w:t>
      </w:r>
      <w:r w:rsidR="002F1759">
        <w:t>(</w:t>
      </w:r>
      <w:r w:rsidR="002F1759" w:rsidRPr="002F1759">
        <w:t>2003</w:t>
      </w:r>
      <w:r w:rsidR="002F1759">
        <w:t>)</w:t>
      </w:r>
      <w:r>
        <w:t xml:space="preserve"> that the modern world is entirely data driven, with the importance of effective data analysis arising from the saturation of data. Furthermore, the data, numerical or otherwise, must be analysed and processed in order to convert it into information that effectively informs, instructs, </w:t>
      </w:r>
      <w:r w:rsidR="002F1759">
        <w:t>answers,</w:t>
      </w:r>
      <w:r>
        <w:t xml:space="preserve"> or otherwise aids understanding/decision making.</w:t>
      </w:r>
      <w:r w:rsidR="002F1759">
        <w:t xml:space="preserve"> It is through the collection and effective analysis of data, that I wish to transform numerical values into information that effectively achieves the above objectives. </w:t>
      </w:r>
    </w:p>
    <w:p w14:paraId="4A3BFC07" w14:textId="639FE992" w:rsidR="002F1759" w:rsidRDefault="002F1759"/>
    <w:p w14:paraId="08D080A0" w14:textId="5BA75E56" w:rsidR="002F1759" w:rsidRDefault="002F1759"/>
    <w:p w14:paraId="3EDAF07E" w14:textId="414B8165" w:rsidR="002F1759" w:rsidRDefault="008709FB">
      <w:pPr>
        <w:rPr>
          <w:b/>
          <w:bCs/>
          <w:u w:val="single"/>
        </w:rPr>
      </w:pPr>
      <w:r>
        <w:rPr>
          <w:b/>
          <w:bCs/>
          <w:u w:val="single"/>
        </w:rPr>
        <w:t>Awareness of PTSD</w:t>
      </w:r>
    </w:p>
    <w:p w14:paraId="08AFC47B" w14:textId="5A114C6B" w:rsidR="008709FB" w:rsidRDefault="008709FB">
      <w:pPr>
        <w:rPr>
          <w:b/>
          <w:bCs/>
          <w:u w:val="single"/>
        </w:rPr>
      </w:pPr>
    </w:p>
    <w:p w14:paraId="64AD8560" w14:textId="5EDEFE91" w:rsidR="008709FB" w:rsidRPr="008709FB" w:rsidRDefault="008709FB">
      <w:r>
        <w:t>Below</w:t>
      </w:r>
      <w:r w:rsidR="00E7671B">
        <w:t>, figure 1</w:t>
      </w:r>
      <w:r>
        <w:t xml:space="preserve"> is a pie chart </w:t>
      </w:r>
      <w:r w:rsidR="00A54670">
        <w:t>representing the</w:t>
      </w:r>
      <w:r w:rsidR="00E7671B">
        <w:t xml:space="preserve"> awareness of PTSD amongst Police officers, </w:t>
      </w:r>
      <w:proofErr w:type="gramStart"/>
      <w:r w:rsidR="00E7671B">
        <w:t>retired</w:t>
      </w:r>
      <w:proofErr w:type="gramEnd"/>
      <w:r w:rsidR="00E7671B">
        <w:t xml:space="preserve"> and serving.</w:t>
      </w:r>
    </w:p>
    <w:p w14:paraId="444AB3C1" w14:textId="55D52B63" w:rsidR="002F1759" w:rsidRDefault="00E7671B">
      <w:r>
        <w:rPr>
          <w:noProof/>
        </w:rPr>
        <w:lastRenderedPageBreak/>
        <w:drawing>
          <wp:inline distT="0" distB="0" distL="0" distR="0" wp14:anchorId="6DEE4FB3" wp14:editId="7E6E7315">
            <wp:extent cx="5727700" cy="2915920"/>
            <wp:effectExtent l="0" t="0" r="0" b="508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700" cy="2915920"/>
                    </a:xfrm>
                    <a:prstGeom prst="rect">
                      <a:avLst/>
                    </a:prstGeom>
                  </pic:spPr>
                </pic:pic>
              </a:graphicData>
            </a:graphic>
          </wp:inline>
        </w:drawing>
      </w:r>
    </w:p>
    <w:p w14:paraId="7E35C0A3" w14:textId="125368DA" w:rsidR="002F1759" w:rsidRPr="00E7671B" w:rsidRDefault="00E7671B">
      <w:pPr>
        <w:rPr>
          <w:i/>
          <w:iCs/>
        </w:rPr>
      </w:pPr>
      <w:r w:rsidRPr="00E7671B">
        <w:rPr>
          <w:i/>
          <w:iCs/>
        </w:rPr>
        <w:t xml:space="preserve">Figure 1 – awareness of PTSD amongst Police Officers, serving and retired. </w:t>
      </w:r>
    </w:p>
    <w:p w14:paraId="0C644455" w14:textId="7D9E3549" w:rsidR="002F1759" w:rsidRDefault="002F1759"/>
    <w:p w14:paraId="396F2B81" w14:textId="78E4C29C" w:rsidR="002F1759" w:rsidRDefault="002F1759"/>
    <w:p w14:paraId="7B0AD733" w14:textId="69EEBB88" w:rsidR="002F1759" w:rsidRDefault="002F1759"/>
    <w:p w14:paraId="6E56F0C9" w14:textId="56D51FC7" w:rsidR="002F1759" w:rsidRDefault="00E7671B">
      <w:r>
        <w:t>Of the n=131 participants, 99% of those are aware of post-traumatic stress disorder. This represents a large proportion of the participants. Additionally, it is paramount to invest</w:t>
      </w:r>
      <w:r w:rsidR="00127718">
        <w:t xml:space="preserve">igate the understanding of post-traumatic stress disorder amongst colleagues. In regard to this, all </w:t>
      </w:r>
      <w:r w:rsidR="00B66582">
        <w:t>participants were requested to score their understanding on a scale of 1-10 (the value of ‘10’ being fully understood, and the value of ‘1’ being no understanding at all). The below table represents the ‘mean’ of each response.</w:t>
      </w:r>
    </w:p>
    <w:p w14:paraId="49287FBF" w14:textId="340D1579" w:rsidR="00B66582" w:rsidRDefault="00B66582"/>
    <w:p w14:paraId="74FDA2B6" w14:textId="77777777" w:rsidR="003D5613" w:rsidRDefault="003D5613"/>
    <w:p w14:paraId="38D92CAC" w14:textId="7E93A6A9" w:rsidR="00B66582" w:rsidRDefault="00B66582"/>
    <w:tbl>
      <w:tblPr>
        <w:tblStyle w:val="TableGrid"/>
        <w:tblW w:w="0" w:type="auto"/>
        <w:tblLook w:val="04A0" w:firstRow="1" w:lastRow="0" w:firstColumn="1" w:lastColumn="0" w:noHBand="0" w:noVBand="1"/>
      </w:tblPr>
      <w:tblGrid>
        <w:gridCol w:w="1759"/>
        <w:gridCol w:w="2647"/>
        <w:gridCol w:w="2352"/>
      </w:tblGrid>
      <w:tr w:rsidR="006C05DE" w14:paraId="3B9057A8" w14:textId="77777777" w:rsidTr="006C05DE">
        <w:trPr>
          <w:trHeight w:val="485"/>
        </w:trPr>
        <w:tc>
          <w:tcPr>
            <w:tcW w:w="1759" w:type="dxa"/>
          </w:tcPr>
          <w:p w14:paraId="721631D6" w14:textId="72EF9045" w:rsidR="006C05DE" w:rsidRDefault="006C05DE">
            <w:r>
              <w:t>Range of 1-10</w:t>
            </w:r>
          </w:p>
        </w:tc>
        <w:tc>
          <w:tcPr>
            <w:tcW w:w="2647" w:type="dxa"/>
          </w:tcPr>
          <w:p w14:paraId="5882C432" w14:textId="1FCE15A8" w:rsidR="006C05DE" w:rsidRDefault="006C05DE">
            <w:r>
              <w:t>Number of responses</w:t>
            </w:r>
          </w:p>
        </w:tc>
        <w:tc>
          <w:tcPr>
            <w:tcW w:w="2352" w:type="dxa"/>
          </w:tcPr>
          <w:p w14:paraId="2BAD89E8" w14:textId="7CEE808E" w:rsidR="006C05DE" w:rsidRDefault="006C05DE">
            <w:r>
              <w:t>Mean</w:t>
            </w:r>
          </w:p>
        </w:tc>
      </w:tr>
      <w:tr w:rsidR="006C05DE" w14:paraId="3E55FC8D" w14:textId="77777777" w:rsidTr="006C05DE">
        <w:trPr>
          <w:trHeight w:val="519"/>
        </w:trPr>
        <w:tc>
          <w:tcPr>
            <w:tcW w:w="1759" w:type="dxa"/>
          </w:tcPr>
          <w:p w14:paraId="2B7FA1B9" w14:textId="301AF1D7" w:rsidR="006C05DE" w:rsidRDefault="006C05DE">
            <w:r>
              <w:t>1</w:t>
            </w:r>
          </w:p>
        </w:tc>
        <w:tc>
          <w:tcPr>
            <w:tcW w:w="2647" w:type="dxa"/>
          </w:tcPr>
          <w:p w14:paraId="5A6BF9F1" w14:textId="127BC8BF" w:rsidR="006C05DE" w:rsidRDefault="006C05DE">
            <w:r>
              <w:t>3</w:t>
            </w:r>
          </w:p>
        </w:tc>
        <w:tc>
          <w:tcPr>
            <w:tcW w:w="2352" w:type="dxa"/>
          </w:tcPr>
          <w:p w14:paraId="7B60742E" w14:textId="48B4D65F" w:rsidR="006C05DE" w:rsidRDefault="006C05DE">
            <w:r>
              <w:t>0.3</w:t>
            </w:r>
          </w:p>
        </w:tc>
      </w:tr>
      <w:tr w:rsidR="006C05DE" w14:paraId="65558C55" w14:textId="77777777" w:rsidTr="006C05DE">
        <w:trPr>
          <w:trHeight w:val="485"/>
        </w:trPr>
        <w:tc>
          <w:tcPr>
            <w:tcW w:w="1759" w:type="dxa"/>
          </w:tcPr>
          <w:p w14:paraId="03C6802C" w14:textId="14BC8C84" w:rsidR="006C05DE" w:rsidRDefault="006C05DE">
            <w:r>
              <w:t>2</w:t>
            </w:r>
          </w:p>
        </w:tc>
        <w:tc>
          <w:tcPr>
            <w:tcW w:w="2647" w:type="dxa"/>
          </w:tcPr>
          <w:p w14:paraId="712FCE61" w14:textId="31D0F1A6" w:rsidR="006C05DE" w:rsidRDefault="006C05DE">
            <w:r>
              <w:t>3</w:t>
            </w:r>
          </w:p>
        </w:tc>
        <w:tc>
          <w:tcPr>
            <w:tcW w:w="2352" w:type="dxa"/>
          </w:tcPr>
          <w:p w14:paraId="520D5A7F" w14:textId="39627044" w:rsidR="006C05DE" w:rsidRDefault="006C05DE">
            <w:r>
              <w:t>0.3</w:t>
            </w:r>
          </w:p>
        </w:tc>
      </w:tr>
      <w:tr w:rsidR="006C05DE" w14:paraId="11E5E451" w14:textId="77777777" w:rsidTr="006C05DE">
        <w:trPr>
          <w:trHeight w:val="519"/>
        </w:trPr>
        <w:tc>
          <w:tcPr>
            <w:tcW w:w="1759" w:type="dxa"/>
          </w:tcPr>
          <w:p w14:paraId="1DF57CB0" w14:textId="20675B67" w:rsidR="006C05DE" w:rsidRDefault="006C05DE">
            <w:r>
              <w:t>3</w:t>
            </w:r>
          </w:p>
        </w:tc>
        <w:tc>
          <w:tcPr>
            <w:tcW w:w="2647" w:type="dxa"/>
          </w:tcPr>
          <w:p w14:paraId="6DBD1D50" w14:textId="37D348DE" w:rsidR="006C05DE" w:rsidRDefault="006C05DE">
            <w:r>
              <w:t>8</w:t>
            </w:r>
          </w:p>
        </w:tc>
        <w:tc>
          <w:tcPr>
            <w:tcW w:w="2352" w:type="dxa"/>
          </w:tcPr>
          <w:p w14:paraId="0B1A7ACE" w14:textId="5570A7A3" w:rsidR="006C05DE" w:rsidRDefault="006C05DE">
            <w:r>
              <w:t>0.8</w:t>
            </w:r>
          </w:p>
        </w:tc>
      </w:tr>
      <w:tr w:rsidR="006C05DE" w14:paraId="6DDFE402" w14:textId="77777777" w:rsidTr="006C05DE">
        <w:trPr>
          <w:trHeight w:val="485"/>
        </w:trPr>
        <w:tc>
          <w:tcPr>
            <w:tcW w:w="1759" w:type="dxa"/>
          </w:tcPr>
          <w:p w14:paraId="3B74A2BC" w14:textId="382A41C8" w:rsidR="006C05DE" w:rsidRDefault="006C05DE">
            <w:r>
              <w:t>4</w:t>
            </w:r>
          </w:p>
        </w:tc>
        <w:tc>
          <w:tcPr>
            <w:tcW w:w="2647" w:type="dxa"/>
          </w:tcPr>
          <w:p w14:paraId="0493DFB1" w14:textId="3F9F4524" w:rsidR="006C05DE" w:rsidRDefault="006C05DE">
            <w:r>
              <w:t>9</w:t>
            </w:r>
          </w:p>
        </w:tc>
        <w:tc>
          <w:tcPr>
            <w:tcW w:w="2352" w:type="dxa"/>
          </w:tcPr>
          <w:p w14:paraId="37F9312A" w14:textId="0210E9F6" w:rsidR="006C05DE" w:rsidRDefault="006C05DE">
            <w:r>
              <w:t>0.9</w:t>
            </w:r>
          </w:p>
        </w:tc>
      </w:tr>
      <w:tr w:rsidR="006C05DE" w14:paraId="149FAE85" w14:textId="77777777" w:rsidTr="006C05DE">
        <w:trPr>
          <w:trHeight w:val="519"/>
        </w:trPr>
        <w:tc>
          <w:tcPr>
            <w:tcW w:w="1759" w:type="dxa"/>
          </w:tcPr>
          <w:p w14:paraId="413B1311" w14:textId="482A5472" w:rsidR="006C05DE" w:rsidRDefault="006C05DE">
            <w:r>
              <w:t>5</w:t>
            </w:r>
          </w:p>
        </w:tc>
        <w:tc>
          <w:tcPr>
            <w:tcW w:w="2647" w:type="dxa"/>
          </w:tcPr>
          <w:p w14:paraId="12575436" w14:textId="283CBBFD" w:rsidR="006C05DE" w:rsidRDefault="006C05DE">
            <w:r>
              <w:t>24</w:t>
            </w:r>
          </w:p>
        </w:tc>
        <w:tc>
          <w:tcPr>
            <w:tcW w:w="2352" w:type="dxa"/>
          </w:tcPr>
          <w:p w14:paraId="3B4657B6" w14:textId="150ECFD3" w:rsidR="006C05DE" w:rsidRDefault="006C05DE">
            <w:r>
              <w:t>2.4</w:t>
            </w:r>
          </w:p>
        </w:tc>
      </w:tr>
      <w:tr w:rsidR="006C05DE" w14:paraId="3FC8DC77" w14:textId="77777777" w:rsidTr="006C05DE">
        <w:trPr>
          <w:trHeight w:val="485"/>
        </w:trPr>
        <w:tc>
          <w:tcPr>
            <w:tcW w:w="1759" w:type="dxa"/>
          </w:tcPr>
          <w:p w14:paraId="4CF6F025" w14:textId="1AF67B7F" w:rsidR="006C05DE" w:rsidRDefault="006C05DE">
            <w:r>
              <w:t>6</w:t>
            </w:r>
          </w:p>
        </w:tc>
        <w:tc>
          <w:tcPr>
            <w:tcW w:w="2647" w:type="dxa"/>
          </w:tcPr>
          <w:p w14:paraId="38678E63" w14:textId="758A011B" w:rsidR="006C05DE" w:rsidRDefault="006C05DE">
            <w:r>
              <w:t>20</w:t>
            </w:r>
          </w:p>
        </w:tc>
        <w:tc>
          <w:tcPr>
            <w:tcW w:w="2352" w:type="dxa"/>
          </w:tcPr>
          <w:p w14:paraId="77CE48B9" w14:textId="136FA1B0" w:rsidR="006C05DE" w:rsidRDefault="006C05DE">
            <w:r>
              <w:t>2.0</w:t>
            </w:r>
          </w:p>
        </w:tc>
      </w:tr>
      <w:tr w:rsidR="006C05DE" w14:paraId="0D7A5E46" w14:textId="77777777" w:rsidTr="006C05DE">
        <w:trPr>
          <w:trHeight w:val="519"/>
        </w:trPr>
        <w:tc>
          <w:tcPr>
            <w:tcW w:w="1759" w:type="dxa"/>
          </w:tcPr>
          <w:p w14:paraId="17BE936E" w14:textId="7CEC880E" w:rsidR="006C05DE" w:rsidRDefault="006C05DE">
            <w:r>
              <w:t>7</w:t>
            </w:r>
          </w:p>
        </w:tc>
        <w:tc>
          <w:tcPr>
            <w:tcW w:w="2647" w:type="dxa"/>
          </w:tcPr>
          <w:p w14:paraId="052AA068" w14:textId="5F21F7AC" w:rsidR="006C05DE" w:rsidRDefault="006C05DE">
            <w:r>
              <w:t>22</w:t>
            </w:r>
          </w:p>
        </w:tc>
        <w:tc>
          <w:tcPr>
            <w:tcW w:w="2352" w:type="dxa"/>
          </w:tcPr>
          <w:p w14:paraId="4F586729" w14:textId="75E8037C" w:rsidR="006C05DE" w:rsidRDefault="006C05DE">
            <w:r>
              <w:t>2.2</w:t>
            </w:r>
          </w:p>
        </w:tc>
      </w:tr>
      <w:tr w:rsidR="006C05DE" w14:paraId="212E8DCE" w14:textId="77777777" w:rsidTr="006C05DE">
        <w:trPr>
          <w:trHeight w:val="485"/>
        </w:trPr>
        <w:tc>
          <w:tcPr>
            <w:tcW w:w="1759" w:type="dxa"/>
          </w:tcPr>
          <w:p w14:paraId="2A7F56C2" w14:textId="192C87E2" w:rsidR="006C05DE" w:rsidRDefault="006C05DE">
            <w:r>
              <w:t>8</w:t>
            </w:r>
          </w:p>
        </w:tc>
        <w:tc>
          <w:tcPr>
            <w:tcW w:w="2647" w:type="dxa"/>
          </w:tcPr>
          <w:p w14:paraId="72301436" w14:textId="429C68AD" w:rsidR="006C05DE" w:rsidRDefault="006C05DE">
            <w:r>
              <w:t>19</w:t>
            </w:r>
          </w:p>
        </w:tc>
        <w:tc>
          <w:tcPr>
            <w:tcW w:w="2352" w:type="dxa"/>
          </w:tcPr>
          <w:p w14:paraId="39843D40" w14:textId="4D53DE92" w:rsidR="006C05DE" w:rsidRDefault="006C05DE">
            <w:r>
              <w:t>1.9</w:t>
            </w:r>
          </w:p>
        </w:tc>
      </w:tr>
      <w:tr w:rsidR="006C05DE" w14:paraId="2EB563F6" w14:textId="77777777" w:rsidTr="006C05DE">
        <w:trPr>
          <w:trHeight w:val="519"/>
        </w:trPr>
        <w:tc>
          <w:tcPr>
            <w:tcW w:w="1759" w:type="dxa"/>
          </w:tcPr>
          <w:p w14:paraId="1202CB3D" w14:textId="5C65BA3F" w:rsidR="006C05DE" w:rsidRDefault="006C05DE">
            <w:r>
              <w:t>9</w:t>
            </w:r>
          </w:p>
        </w:tc>
        <w:tc>
          <w:tcPr>
            <w:tcW w:w="2647" w:type="dxa"/>
          </w:tcPr>
          <w:p w14:paraId="103BADDE" w14:textId="05689728" w:rsidR="006C05DE" w:rsidRDefault="006C05DE">
            <w:r>
              <w:t>6</w:t>
            </w:r>
          </w:p>
        </w:tc>
        <w:tc>
          <w:tcPr>
            <w:tcW w:w="2352" w:type="dxa"/>
          </w:tcPr>
          <w:p w14:paraId="5C89D4CB" w14:textId="54367E08" w:rsidR="006C05DE" w:rsidRDefault="006C05DE">
            <w:r>
              <w:t>0.6</w:t>
            </w:r>
          </w:p>
        </w:tc>
      </w:tr>
      <w:tr w:rsidR="006C05DE" w14:paraId="5DDBBDEA" w14:textId="77777777" w:rsidTr="006C05DE">
        <w:trPr>
          <w:trHeight w:val="485"/>
        </w:trPr>
        <w:tc>
          <w:tcPr>
            <w:tcW w:w="1759" w:type="dxa"/>
          </w:tcPr>
          <w:p w14:paraId="7FC8A3A3" w14:textId="318D8DC8" w:rsidR="006C05DE" w:rsidRDefault="006C05DE">
            <w:r>
              <w:t>10</w:t>
            </w:r>
          </w:p>
        </w:tc>
        <w:tc>
          <w:tcPr>
            <w:tcW w:w="2647" w:type="dxa"/>
          </w:tcPr>
          <w:p w14:paraId="4F3AAB29" w14:textId="58A942B5" w:rsidR="006C05DE" w:rsidRDefault="006C05DE">
            <w:r>
              <w:t>10</w:t>
            </w:r>
          </w:p>
        </w:tc>
        <w:tc>
          <w:tcPr>
            <w:tcW w:w="2352" w:type="dxa"/>
          </w:tcPr>
          <w:p w14:paraId="18C522FB" w14:textId="1E76844D" w:rsidR="006C05DE" w:rsidRDefault="006C05DE">
            <w:r>
              <w:t>1.0</w:t>
            </w:r>
          </w:p>
        </w:tc>
      </w:tr>
    </w:tbl>
    <w:p w14:paraId="016D9BFB" w14:textId="402EEA64" w:rsidR="00B66582" w:rsidRDefault="006C05DE">
      <w:pPr>
        <w:rPr>
          <w:i/>
          <w:iCs/>
        </w:rPr>
      </w:pPr>
      <w:r w:rsidRPr="006C05DE">
        <w:rPr>
          <w:i/>
          <w:iCs/>
        </w:rPr>
        <w:lastRenderedPageBreak/>
        <w:t>Figure 2 – table representing the range of understanding of PTSD amongst serving and retired Police officers.</w:t>
      </w:r>
    </w:p>
    <w:p w14:paraId="62E2DB8A" w14:textId="77777777" w:rsidR="003D5613" w:rsidRDefault="003D5613">
      <w:pPr>
        <w:rPr>
          <w:i/>
          <w:iCs/>
        </w:rPr>
      </w:pPr>
    </w:p>
    <w:p w14:paraId="319E985A" w14:textId="2C47725D" w:rsidR="006C05DE" w:rsidRDefault="006C05DE">
      <w:pPr>
        <w:rPr>
          <w:i/>
          <w:iCs/>
        </w:rPr>
      </w:pPr>
    </w:p>
    <w:p w14:paraId="1C4CE900" w14:textId="7CFB1B3C" w:rsidR="00DF472D" w:rsidRDefault="006C05DE">
      <w:r>
        <w:t xml:space="preserve">As shown in the table, the highest mean of all the responses is 5/10 understanding, with a mean of ‘2.4’ of all the respondents. This begins to represent a trend with over 99% of respondents </w:t>
      </w:r>
      <w:r w:rsidR="00DF472D">
        <w:t xml:space="preserve">being aware </w:t>
      </w:r>
      <w:r>
        <w:t xml:space="preserve">of PTSD, whilst </w:t>
      </w:r>
      <w:r w:rsidR="00DF472D" w:rsidRPr="00DF472D">
        <w:rPr>
          <w:i/>
          <w:iCs/>
        </w:rPr>
        <w:t>on average</w:t>
      </w:r>
      <w:r w:rsidR="00DF472D">
        <w:t xml:space="preserve">, each respondent only has a 50% confidence of knowledge of the illness. </w:t>
      </w:r>
    </w:p>
    <w:p w14:paraId="4850C7AE" w14:textId="5E0933DA" w:rsidR="00DF472D" w:rsidRDefault="00DF472D"/>
    <w:p w14:paraId="221723A4" w14:textId="77777777" w:rsidR="00DF472D" w:rsidRDefault="00DF472D"/>
    <w:p w14:paraId="2C596818" w14:textId="77777777" w:rsidR="00DF472D" w:rsidRDefault="00DF472D"/>
    <w:p w14:paraId="4BFB2011" w14:textId="7AFE36A2" w:rsidR="006C05DE" w:rsidRDefault="00DF472D">
      <w:r>
        <w:t xml:space="preserve"> </w:t>
      </w:r>
      <w:r>
        <w:rPr>
          <w:noProof/>
        </w:rPr>
        <w:drawing>
          <wp:inline distT="0" distB="0" distL="0" distR="0" wp14:anchorId="0582DF24" wp14:editId="386303C4">
            <wp:extent cx="5727700" cy="2915920"/>
            <wp:effectExtent l="0" t="0" r="0" b="508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2915920"/>
                    </a:xfrm>
                    <a:prstGeom prst="rect">
                      <a:avLst/>
                    </a:prstGeom>
                  </pic:spPr>
                </pic:pic>
              </a:graphicData>
            </a:graphic>
          </wp:inline>
        </w:drawing>
      </w:r>
    </w:p>
    <w:p w14:paraId="161D0608" w14:textId="66B9DD13" w:rsidR="002F1759" w:rsidRPr="00DF472D" w:rsidRDefault="00DF472D">
      <w:pPr>
        <w:rPr>
          <w:i/>
          <w:iCs/>
        </w:rPr>
      </w:pPr>
      <w:r w:rsidRPr="00DF472D">
        <w:rPr>
          <w:i/>
          <w:iCs/>
        </w:rPr>
        <w:t>Figure 3 – How frequently are you expose to traumatic incidents whilst in work?</w:t>
      </w:r>
    </w:p>
    <w:p w14:paraId="474999D2" w14:textId="036321F5" w:rsidR="002F1759" w:rsidRDefault="002F1759"/>
    <w:p w14:paraId="336A5DB9" w14:textId="129A5502" w:rsidR="00DF472D" w:rsidRDefault="00DF472D"/>
    <w:p w14:paraId="24CC4388" w14:textId="1AE1CCF0" w:rsidR="00DF472D" w:rsidRDefault="00DF472D">
      <w:r>
        <w:t xml:space="preserve">The above ‘pie-chart’ displays the percentages of all respondents, which provides data in relation to the exposure of traumatic incidents upon Police officers. What can be understood from this pie chart, is of the n=131 respondents, over 37% claim to have experienced 4+ traumatic incidents over a 6-month period. This can be further understood as 37% of Police officers experiencing </w:t>
      </w:r>
      <w:r w:rsidRPr="00DF472D">
        <w:rPr>
          <w:i/>
          <w:iCs/>
        </w:rPr>
        <w:t>just shy</w:t>
      </w:r>
      <w:r>
        <w:t xml:space="preserve"> of 1 traumatic incident per month. Of the</w:t>
      </w:r>
      <w:r w:rsidR="003D5613">
        <w:t xml:space="preserve">se respondents, 77% felt as if they were not given enough time to process these traumatic incidents. </w:t>
      </w:r>
    </w:p>
    <w:p w14:paraId="637FD9CE" w14:textId="3AD3A863" w:rsidR="003D5613" w:rsidRDefault="003D5613"/>
    <w:p w14:paraId="64EFB960" w14:textId="5BA788CA" w:rsidR="003D5613" w:rsidRDefault="003D5613"/>
    <w:p w14:paraId="4537A352" w14:textId="0C3414B9" w:rsidR="003D5613" w:rsidRDefault="003D5613">
      <w:r>
        <w:t xml:space="preserve">Of the n=131 respondents, the following symptoms were reported. </w:t>
      </w:r>
    </w:p>
    <w:p w14:paraId="450BC1D7" w14:textId="6F183DA1" w:rsidR="003D5613" w:rsidRDefault="003D5613"/>
    <w:p w14:paraId="1001323E" w14:textId="763C5DCF" w:rsidR="003D5613" w:rsidRDefault="003D5613">
      <w:r>
        <w:rPr>
          <w:noProof/>
        </w:rPr>
        <w:lastRenderedPageBreak/>
        <w:drawing>
          <wp:inline distT="0" distB="0" distL="0" distR="0" wp14:anchorId="04E7B860" wp14:editId="3C3E75E0">
            <wp:extent cx="5727700" cy="2915920"/>
            <wp:effectExtent l="0" t="0" r="0" b="508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915920"/>
                    </a:xfrm>
                    <a:prstGeom prst="rect">
                      <a:avLst/>
                    </a:prstGeom>
                  </pic:spPr>
                </pic:pic>
              </a:graphicData>
            </a:graphic>
          </wp:inline>
        </w:drawing>
      </w:r>
    </w:p>
    <w:p w14:paraId="03803564" w14:textId="6A8D0B70" w:rsidR="002F1759" w:rsidRPr="003D5613" w:rsidRDefault="003D5613">
      <w:pPr>
        <w:rPr>
          <w:i/>
          <w:iCs/>
        </w:rPr>
      </w:pPr>
      <w:r>
        <w:t xml:space="preserve">Figure 4 – </w:t>
      </w:r>
      <w:r w:rsidRPr="003D5613">
        <w:rPr>
          <w:i/>
          <w:iCs/>
        </w:rPr>
        <w:t>symptoms of respondents exposed to traumatic incidents</w:t>
      </w:r>
    </w:p>
    <w:p w14:paraId="7F91FC70" w14:textId="3FFCB8D4" w:rsidR="002F1759" w:rsidRDefault="002F1759"/>
    <w:p w14:paraId="5D4B817E" w14:textId="34B3AEDE" w:rsidR="003D5613" w:rsidRDefault="003D5613"/>
    <w:p w14:paraId="6C484A4B" w14:textId="41582591" w:rsidR="003D5613" w:rsidRDefault="003D5613">
      <w:r>
        <w:t xml:space="preserve">Only n=21 of the respondents experienced zero symptoms, with over 90% of serving and retired Police officers reporting ‘PTSD’ like symptoms. In addition to these symptoms, 74% of the respondents felt as if the trauma experienced in work has had a direct effect on their mental health. </w:t>
      </w:r>
    </w:p>
    <w:p w14:paraId="6DA5F27B" w14:textId="12544B7A" w:rsidR="003D5613" w:rsidRDefault="003D5613"/>
    <w:p w14:paraId="46E04549" w14:textId="24CEE3AD" w:rsidR="003D5613" w:rsidRDefault="003D5613"/>
    <w:p w14:paraId="30013BBD" w14:textId="10066C6B" w:rsidR="003D5613" w:rsidRPr="003D5613" w:rsidRDefault="003D5613">
      <w:pPr>
        <w:rPr>
          <w:b/>
          <w:bCs/>
          <w:u w:val="single"/>
        </w:rPr>
      </w:pPr>
      <w:r w:rsidRPr="003D5613">
        <w:rPr>
          <w:b/>
          <w:bCs/>
          <w:u w:val="single"/>
        </w:rPr>
        <w:t>Views of Police Officers towards PTSD, and the solution offered by Forces.</w:t>
      </w:r>
    </w:p>
    <w:p w14:paraId="2FDA07D5" w14:textId="5A6B4068" w:rsidR="003D5613" w:rsidRDefault="003D5613"/>
    <w:p w14:paraId="5F92C14D" w14:textId="1C0E99EA" w:rsidR="003D5613" w:rsidRDefault="003D5613"/>
    <w:p w14:paraId="773371E8" w14:textId="1E27B595" w:rsidR="003D5613" w:rsidRDefault="003D5613">
      <w:r>
        <w:t xml:space="preserve">Of the respondents, 66.3% felt as if they knew where they could access help for PTSD related issues, with 23% confirming that they have accessed help for these issues through the organisation of the Police. </w:t>
      </w:r>
      <w:r w:rsidR="001A6C9B">
        <w:t>The below pie-chart</w:t>
      </w:r>
      <w:r>
        <w:t xml:space="preserve"> displays the numerical value of the </w:t>
      </w:r>
      <w:r w:rsidR="001A6C9B">
        <w:t>respondents who feel that the help offered by Police forces is sufficient to remedy the issue.</w:t>
      </w:r>
    </w:p>
    <w:p w14:paraId="7E42D077" w14:textId="746DE945" w:rsidR="001A6C9B" w:rsidRDefault="001A6C9B"/>
    <w:p w14:paraId="379AFB98" w14:textId="4FB2D60D" w:rsidR="001A6C9B" w:rsidRDefault="001A6C9B"/>
    <w:p w14:paraId="1ACA96C7" w14:textId="4F6D141D" w:rsidR="001A6C9B" w:rsidRDefault="001A6C9B">
      <w:r>
        <w:rPr>
          <w:noProof/>
        </w:rPr>
        <w:lastRenderedPageBreak/>
        <w:drawing>
          <wp:inline distT="0" distB="0" distL="0" distR="0" wp14:anchorId="26A98177" wp14:editId="4A6F8E5A">
            <wp:extent cx="5727700" cy="2866390"/>
            <wp:effectExtent l="0" t="0" r="0" b="381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866390"/>
                    </a:xfrm>
                    <a:prstGeom prst="rect">
                      <a:avLst/>
                    </a:prstGeom>
                  </pic:spPr>
                </pic:pic>
              </a:graphicData>
            </a:graphic>
          </wp:inline>
        </w:drawing>
      </w:r>
    </w:p>
    <w:p w14:paraId="2BA70B18" w14:textId="3660D378" w:rsidR="001A6C9B" w:rsidRDefault="001A6C9B">
      <w:pPr>
        <w:rPr>
          <w:i/>
          <w:iCs/>
        </w:rPr>
      </w:pPr>
      <w:r w:rsidRPr="001A6C9B">
        <w:rPr>
          <w:i/>
          <w:iCs/>
        </w:rPr>
        <w:t>Figure 5 – Is the help out there sufficient</w:t>
      </w:r>
    </w:p>
    <w:p w14:paraId="3B9D680E" w14:textId="20ADA32D" w:rsidR="001A6C9B" w:rsidRDefault="001A6C9B">
      <w:pPr>
        <w:rPr>
          <w:i/>
          <w:iCs/>
        </w:rPr>
      </w:pPr>
    </w:p>
    <w:p w14:paraId="4B72B9F4" w14:textId="0B549538" w:rsidR="001A6C9B" w:rsidRDefault="001A6C9B"/>
    <w:p w14:paraId="46ED3513" w14:textId="14787228" w:rsidR="001A6C9B" w:rsidRDefault="001A6C9B">
      <w:r>
        <w:t xml:space="preserve">This represents a value of 71% of all respondents feeling that the help offered to remedy and negate the effects of PTSD is not sufficient. Additionally, of these, only 50% felt as if they would be supported by their organisation, in the event of a diagnosis of PTSD. In relation to the stigmatisation of seeking help for mental health related issues, 71% of respondents felt as if there was a taboo/stigmatisation present. In relation to the culture present within the role, 28% of respondents reported feeling less trustful towards a colleague, operationally, if they were suffering with a mental illness, however, only 6% reported having a change of opinion of a colleague; if suffering with mental health/PTSD. </w:t>
      </w:r>
    </w:p>
    <w:p w14:paraId="6BC03734" w14:textId="4812BB74" w:rsidR="001A6C9B" w:rsidRDefault="001A6C9B"/>
    <w:p w14:paraId="11AE2AD5" w14:textId="61ADF11D" w:rsidR="001A6C9B" w:rsidRDefault="001A6C9B"/>
    <w:p w14:paraId="6907C72A" w14:textId="7E728C83" w:rsidR="001A6C9B" w:rsidRPr="001A6C9B" w:rsidRDefault="001A6C9B">
      <w:pPr>
        <w:rPr>
          <w:b/>
          <w:bCs/>
          <w:u w:val="single"/>
        </w:rPr>
      </w:pPr>
      <w:r w:rsidRPr="001A6C9B">
        <w:rPr>
          <w:b/>
          <w:bCs/>
          <w:u w:val="single"/>
        </w:rPr>
        <w:t>Interview with a serving Police officer.</w:t>
      </w:r>
    </w:p>
    <w:p w14:paraId="567533E6" w14:textId="0B8574BB" w:rsidR="002F1759" w:rsidRDefault="002F1759"/>
    <w:p w14:paraId="19DBD638" w14:textId="21B5E33C" w:rsidR="001A6C9B" w:rsidRDefault="001A6C9B"/>
    <w:p w14:paraId="59DB33CF" w14:textId="0EC79BA5" w:rsidR="001A6C9B" w:rsidRDefault="001A6C9B">
      <w:r>
        <w:t xml:space="preserve">In line with the mixed method approach, through the interview of a serving Police officer, the collation of qualitative data has been obtained. This data will be analysed thematically, </w:t>
      </w:r>
      <w:r w:rsidR="00180CDF">
        <w:t xml:space="preserve">this is described by </w:t>
      </w:r>
      <w:proofErr w:type="spellStart"/>
      <w:r w:rsidR="00180CDF" w:rsidRPr="00180CDF">
        <w:t>Sgier</w:t>
      </w:r>
      <w:proofErr w:type="spellEnd"/>
      <w:r w:rsidR="00180CDF" w:rsidRPr="00180CDF">
        <w:t xml:space="preserve">, L. </w:t>
      </w:r>
      <w:r w:rsidR="00180CDF">
        <w:t>(</w:t>
      </w:r>
      <w:r w:rsidR="00180CDF" w:rsidRPr="00180CDF">
        <w:t>2012</w:t>
      </w:r>
      <w:r w:rsidR="00180CDF">
        <w:t>) as a</w:t>
      </w:r>
      <w:r w:rsidR="00180CDF" w:rsidRPr="00180CDF">
        <w:t xml:space="preserve"> type of analysis </w:t>
      </w:r>
      <w:r w:rsidR="00180CDF">
        <w:t xml:space="preserve">that </w:t>
      </w:r>
      <w:r w:rsidR="00180CDF" w:rsidRPr="00180CDF">
        <w:t>looks mainly at what the data say</w:t>
      </w:r>
      <w:r w:rsidR="00180CDF">
        <w:t>s</w:t>
      </w:r>
      <w:r w:rsidR="00180CDF" w:rsidRPr="00180CDF">
        <w:t xml:space="preserve"> and aims at identifying patterns within the data</w:t>
      </w:r>
      <w:r w:rsidR="00180CDF">
        <w:t xml:space="preserve">. The officer interviewed is a male and has over 4 </w:t>
      </w:r>
      <w:proofErr w:type="spellStart"/>
      <w:r w:rsidR="00180CDF">
        <w:t>year’s worth</w:t>
      </w:r>
      <w:proofErr w:type="spellEnd"/>
      <w:r w:rsidR="00180CDF">
        <w:t xml:space="preserve"> of experience within the role of ‘response officer’. The recurring theme throughout the interview was how the officer felt under-pressure, with the role under-resourced as it is. Additionally, he re-collected feeling unsupported whilst experiencing several traumatic incidents, which continued to remain with him to this day. The officer went into detail regarding an incident of a “hanging” he attended, of which he suffered significant symptoms of PTSD. He reported to receiving “TRIM” counselling within the organisation, however, did not feel as if this service offered was sufficient to remedy the issue of PTSD. Furthermore, he detailed how he felt as if he was in fact suffering with post-traumatic stress disorder, despite it being undiagnosed. </w:t>
      </w:r>
      <w:r w:rsidR="001C7241">
        <w:t xml:space="preserve">Furthermore, the officer reported to resorting to develop his own resilience in order to cope with what he described as PTSD like symptoms. He reported to going out for ‘coffee’ and long walks, as a method of coping with the issues he faced. The recurring theme throughout this interview indicated towards the officer having significantly ‘low’ trust within the organisation to effectively assist with his PTSD symptoms and felt that as a result his overall job prospects were low. Additionally, he felt as if a clear </w:t>
      </w:r>
      <w:r w:rsidR="001C7241">
        <w:lastRenderedPageBreak/>
        <w:t>culture existed within the Police, and that he would be viewed as ‘weak’ if he was to seek support for his mental health. Overall, what he made poignant, was that PTSD is an epidemic within the Police forces, the nature and frequency of the traumatic incidents faced were a direct aggressor of this illness, whilst the organisation were not effectively recognising or treating the disorder.</w:t>
      </w:r>
    </w:p>
    <w:p w14:paraId="7AB021D0" w14:textId="520E1B34" w:rsidR="002F1759" w:rsidRDefault="002F1759"/>
    <w:p w14:paraId="02367070" w14:textId="7D84244B" w:rsidR="002F1759" w:rsidRDefault="002F1759"/>
    <w:p w14:paraId="12B69CF1" w14:textId="02AF94A2" w:rsidR="002F1759" w:rsidRDefault="002F1759"/>
    <w:p w14:paraId="06B34994" w14:textId="77777777" w:rsidR="00127718" w:rsidRDefault="00127718"/>
    <w:p w14:paraId="3DC8080E" w14:textId="77777777" w:rsidR="00127718" w:rsidRDefault="00127718"/>
    <w:p w14:paraId="4D5E6057" w14:textId="77777777" w:rsidR="00127718" w:rsidRDefault="00127718"/>
    <w:p w14:paraId="597B23B4" w14:textId="77777777" w:rsidR="00127718" w:rsidRDefault="00127718"/>
    <w:p w14:paraId="29D20631" w14:textId="77777777" w:rsidR="00127718" w:rsidRDefault="00127718"/>
    <w:p w14:paraId="4E8BEE75" w14:textId="77777777" w:rsidR="00127718" w:rsidRDefault="00127718"/>
    <w:p w14:paraId="051DEFD1" w14:textId="77777777" w:rsidR="00127718" w:rsidRDefault="00127718"/>
    <w:p w14:paraId="70C904BA" w14:textId="77777777" w:rsidR="00127718" w:rsidRDefault="00127718"/>
    <w:p w14:paraId="79EBBB6F" w14:textId="77777777" w:rsidR="00127718" w:rsidRDefault="00127718"/>
    <w:p w14:paraId="2388B49E" w14:textId="77777777" w:rsidR="00127718" w:rsidRDefault="00127718"/>
    <w:p w14:paraId="01E37D3E" w14:textId="77777777" w:rsidR="00127718" w:rsidRDefault="00127718"/>
    <w:p w14:paraId="67791E9D" w14:textId="77777777" w:rsidR="00127718" w:rsidRDefault="00127718"/>
    <w:p w14:paraId="6A0903DA" w14:textId="77777777" w:rsidR="00127718" w:rsidRDefault="00127718"/>
    <w:p w14:paraId="70388CFF" w14:textId="77777777" w:rsidR="001A6C9B" w:rsidRDefault="001A6C9B"/>
    <w:p w14:paraId="2619035E" w14:textId="77777777" w:rsidR="001C7241" w:rsidRDefault="001C7241"/>
    <w:p w14:paraId="0FFCB8D9" w14:textId="77777777" w:rsidR="001C7241" w:rsidRDefault="001C7241"/>
    <w:p w14:paraId="182C0E9E" w14:textId="77777777" w:rsidR="001C7241" w:rsidRDefault="001C7241"/>
    <w:p w14:paraId="53442202" w14:textId="77777777" w:rsidR="001C7241" w:rsidRDefault="001C7241"/>
    <w:p w14:paraId="6F5C7E61" w14:textId="77777777" w:rsidR="001C7241" w:rsidRDefault="001C7241"/>
    <w:p w14:paraId="41989C26" w14:textId="77777777" w:rsidR="001C7241" w:rsidRDefault="001C7241"/>
    <w:p w14:paraId="3FB3BB6F" w14:textId="77777777" w:rsidR="001C7241" w:rsidRDefault="001C7241"/>
    <w:p w14:paraId="10FEC92E" w14:textId="77777777" w:rsidR="001C7241" w:rsidRDefault="001C7241"/>
    <w:p w14:paraId="459470B1" w14:textId="77777777" w:rsidR="001C7241" w:rsidRDefault="001C7241"/>
    <w:p w14:paraId="1A183887" w14:textId="77777777" w:rsidR="001C7241" w:rsidRDefault="001C7241"/>
    <w:p w14:paraId="00C4229D" w14:textId="77777777" w:rsidR="001C7241" w:rsidRDefault="001C7241"/>
    <w:p w14:paraId="1A52160C" w14:textId="77777777" w:rsidR="001C7241" w:rsidRDefault="001C7241"/>
    <w:p w14:paraId="442795FC" w14:textId="77777777" w:rsidR="001C7241" w:rsidRDefault="001C7241"/>
    <w:p w14:paraId="6685B1C6" w14:textId="77777777" w:rsidR="001C7241" w:rsidRDefault="001C7241"/>
    <w:p w14:paraId="0D72450C" w14:textId="77777777" w:rsidR="001C7241" w:rsidRDefault="001C7241"/>
    <w:p w14:paraId="003B8DA8" w14:textId="77777777" w:rsidR="001C7241" w:rsidRDefault="001C7241"/>
    <w:p w14:paraId="6DD57ABA" w14:textId="77777777" w:rsidR="001C7241" w:rsidRDefault="001C7241"/>
    <w:p w14:paraId="67BAAF70" w14:textId="77777777" w:rsidR="001C7241" w:rsidRDefault="001C7241"/>
    <w:p w14:paraId="35157B68" w14:textId="77777777" w:rsidR="001C7241" w:rsidRDefault="001C7241"/>
    <w:p w14:paraId="7CCA7DFB" w14:textId="77777777" w:rsidR="001C7241" w:rsidRDefault="001C7241"/>
    <w:p w14:paraId="3B03A1DE" w14:textId="77777777" w:rsidR="001C7241" w:rsidRDefault="001C7241"/>
    <w:p w14:paraId="77978A3B" w14:textId="77777777" w:rsidR="001C7241" w:rsidRDefault="001C7241"/>
    <w:p w14:paraId="6DCD2919" w14:textId="77777777" w:rsidR="001C7241" w:rsidRDefault="001C7241"/>
    <w:p w14:paraId="2BF92EDC" w14:textId="77777777" w:rsidR="001C7241" w:rsidRDefault="001C7241"/>
    <w:p w14:paraId="13654412" w14:textId="77777777" w:rsidR="001C7241" w:rsidRDefault="001C7241"/>
    <w:p w14:paraId="764B7169" w14:textId="77777777" w:rsidR="001C7241" w:rsidRDefault="001C7241"/>
    <w:p w14:paraId="1943C24A" w14:textId="77777777" w:rsidR="001C7241" w:rsidRDefault="001C7241"/>
    <w:p w14:paraId="5F234356" w14:textId="77777777" w:rsidR="001C7241" w:rsidRDefault="001C7241"/>
    <w:p w14:paraId="24E5BE7B" w14:textId="5B1F699B" w:rsidR="002F1759" w:rsidRDefault="002F1759">
      <w:r>
        <w:lastRenderedPageBreak/>
        <w:t>References:</w:t>
      </w:r>
    </w:p>
    <w:p w14:paraId="4FD08061" w14:textId="0CD9F37D" w:rsidR="002F1759" w:rsidRDefault="002F1759"/>
    <w:p w14:paraId="205ECB9E" w14:textId="76E5C398" w:rsidR="002F1759" w:rsidRDefault="002F1759" w:rsidP="002F1759">
      <w:pPr>
        <w:pStyle w:val="ListParagraph"/>
        <w:numPr>
          <w:ilvl w:val="0"/>
          <w:numId w:val="1"/>
        </w:numPr>
      </w:pPr>
      <w:r w:rsidRPr="002F1759">
        <w:t xml:space="preserve">Berthold, </w:t>
      </w:r>
      <w:proofErr w:type="gramStart"/>
      <w:r w:rsidRPr="002F1759">
        <w:t>M.</w:t>
      </w:r>
      <w:proofErr w:type="gramEnd"/>
      <w:r w:rsidRPr="002F1759">
        <w:t xml:space="preserve"> and Hand, D.J., 2003. Intelligent data analysis (Vol. 2). Berlin: Springer.</w:t>
      </w:r>
    </w:p>
    <w:p w14:paraId="7BFDF3CB" w14:textId="77777777" w:rsidR="00127718" w:rsidRDefault="00127718" w:rsidP="00127718">
      <w:pPr>
        <w:pStyle w:val="ListParagraph"/>
        <w:numPr>
          <w:ilvl w:val="0"/>
          <w:numId w:val="1"/>
        </w:numPr>
      </w:pPr>
      <w:r w:rsidRPr="00127718">
        <w:rPr>
          <w:rFonts w:ascii="Open Sans" w:hAnsi="Open Sans" w:cs="Open Sans"/>
          <w:color w:val="000000"/>
          <w:sz w:val="20"/>
          <w:szCs w:val="20"/>
          <w:shd w:val="clear" w:color="auto" w:fill="FFFFFF"/>
        </w:rPr>
        <w:t>Saunders, B., Kitzinger, J. and Kitzinger, C., 2014. Anonymising interview data: challenges and compromise in practice.</w:t>
      </w:r>
      <w:r w:rsidRPr="00127718">
        <w:rPr>
          <w:rStyle w:val="apple-converted-space"/>
          <w:rFonts w:ascii="Open Sans" w:hAnsi="Open Sans" w:cs="Open Sans"/>
          <w:color w:val="000000"/>
          <w:sz w:val="20"/>
          <w:szCs w:val="20"/>
          <w:shd w:val="clear" w:color="auto" w:fill="FFFFFF"/>
        </w:rPr>
        <w:t> </w:t>
      </w:r>
      <w:r w:rsidRPr="00127718">
        <w:rPr>
          <w:rFonts w:ascii="Open Sans" w:hAnsi="Open Sans" w:cs="Open Sans"/>
          <w:i/>
          <w:iCs/>
          <w:color w:val="000000"/>
          <w:sz w:val="20"/>
          <w:szCs w:val="20"/>
        </w:rPr>
        <w:t>Qualitative Research</w:t>
      </w:r>
      <w:r w:rsidRPr="00127718">
        <w:rPr>
          <w:rFonts w:ascii="Open Sans" w:hAnsi="Open Sans" w:cs="Open Sans"/>
          <w:color w:val="000000"/>
          <w:sz w:val="20"/>
          <w:szCs w:val="20"/>
          <w:shd w:val="clear" w:color="auto" w:fill="FFFFFF"/>
        </w:rPr>
        <w:t>, 15(5), pp.616-632.</w:t>
      </w:r>
    </w:p>
    <w:p w14:paraId="72AF326C" w14:textId="77777777" w:rsidR="00180CDF" w:rsidRDefault="00180CDF" w:rsidP="00180CDF">
      <w:pPr>
        <w:pStyle w:val="ListParagraph"/>
        <w:numPr>
          <w:ilvl w:val="0"/>
          <w:numId w:val="1"/>
        </w:numPr>
      </w:pPr>
      <w:proofErr w:type="spellStart"/>
      <w:r w:rsidRPr="00180CDF">
        <w:rPr>
          <w:rFonts w:ascii="Arial" w:hAnsi="Arial" w:cs="Arial"/>
          <w:color w:val="222222"/>
          <w:sz w:val="20"/>
          <w:szCs w:val="20"/>
          <w:shd w:val="clear" w:color="auto" w:fill="FFFFFF"/>
        </w:rPr>
        <w:t>Sgier</w:t>
      </w:r>
      <w:proofErr w:type="spellEnd"/>
      <w:r w:rsidRPr="00180CDF">
        <w:rPr>
          <w:rFonts w:ascii="Arial" w:hAnsi="Arial" w:cs="Arial"/>
          <w:color w:val="222222"/>
          <w:sz w:val="20"/>
          <w:szCs w:val="20"/>
          <w:shd w:val="clear" w:color="auto" w:fill="FFFFFF"/>
        </w:rPr>
        <w:t>, L., 2012. Qualitative data analysis.</w:t>
      </w:r>
      <w:r w:rsidRPr="00180CDF">
        <w:rPr>
          <w:rStyle w:val="apple-converted-space"/>
          <w:rFonts w:ascii="Arial" w:hAnsi="Arial" w:cs="Arial"/>
          <w:color w:val="222222"/>
          <w:sz w:val="20"/>
          <w:szCs w:val="20"/>
          <w:shd w:val="clear" w:color="auto" w:fill="FFFFFF"/>
        </w:rPr>
        <w:t> </w:t>
      </w:r>
      <w:r w:rsidRPr="00180CDF">
        <w:rPr>
          <w:rFonts w:ascii="Arial" w:hAnsi="Arial" w:cs="Arial"/>
          <w:i/>
          <w:iCs/>
          <w:color w:val="222222"/>
          <w:sz w:val="20"/>
          <w:szCs w:val="20"/>
        </w:rPr>
        <w:t xml:space="preserve">An </w:t>
      </w:r>
      <w:proofErr w:type="spellStart"/>
      <w:r w:rsidRPr="00180CDF">
        <w:rPr>
          <w:rFonts w:ascii="Arial" w:hAnsi="Arial" w:cs="Arial"/>
          <w:i/>
          <w:iCs/>
          <w:color w:val="222222"/>
          <w:sz w:val="20"/>
          <w:szCs w:val="20"/>
        </w:rPr>
        <w:t>Initiat</w:t>
      </w:r>
      <w:proofErr w:type="spellEnd"/>
      <w:r w:rsidRPr="00180CDF">
        <w:rPr>
          <w:rFonts w:ascii="Arial" w:hAnsi="Arial" w:cs="Arial"/>
          <w:i/>
          <w:iCs/>
          <w:color w:val="222222"/>
          <w:sz w:val="20"/>
          <w:szCs w:val="20"/>
        </w:rPr>
        <w:t xml:space="preserve">. </w:t>
      </w:r>
      <w:proofErr w:type="spellStart"/>
      <w:r w:rsidRPr="00180CDF">
        <w:rPr>
          <w:rFonts w:ascii="Arial" w:hAnsi="Arial" w:cs="Arial"/>
          <w:i/>
          <w:iCs/>
          <w:color w:val="222222"/>
          <w:sz w:val="20"/>
          <w:szCs w:val="20"/>
        </w:rPr>
        <w:t>Gebert</w:t>
      </w:r>
      <w:proofErr w:type="spellEnd"/>
      <w:r w:rsidRPr="00180CDF">
        <w:rPr>
          <w:rFonts w:ascii="Arial" w:hAnsi="Arial" w:cs="Arial"/>
          <w:i/>
          <w:iCs/>
          <w:color w:val="222222"/>
          <w:sz w:val="20"/>
          <w:szCs w:val="20"/>
        </w:rPr>
        <w:t xml:space="preserve"> </w:t>
      </w:r>
      <w:proofErr w:type="spellStart"/>
      <w:r w:rsidRPr="00180CDF">
        <w:rPr>
          <w:rFonts w:ascii="Arial" w:hAnsi="Arial" w:cs="Arial"/>
          <w:i/>
          <w:iCs/>
          <w:color w:val="222222"/>
          <w:sz w:val="20"/>
          <w:szCs w:val="20"/>
        </w:rPr>
        <w:t>Ruf</w:t>
      </w:r>
      <w:proofErr w:type="spellEnd"/>
      <w:r w:rsidRPr="00180CDF">
        <w:rPr>
          <w:rFonts w:ascii="Arial" w:hAnsi="Arial" w:cs="Arial"/>
          <w:i/>
          <w:iCs/>
          <w:color w:val="222222"/>
          <w:sz w:val="20"/>
          <w:szCs w:val="20"/>
        </w:rPr>
        <w:t xml:space="preserve"> </w:t>
      </w:r>
      <w:proofErr w:type="spellStart"/>
      <w:r w:rsidRPr="00180CDF">
        <w:rPr>
          <w:rFonts w:ascii="Arial" w:hAnsi="Arial" w:cs="Arial"/>
          <w:i/>
          <w:iCs/>
          <w:color w:val="222222"/>
          <w:sz w:val="20"/>
          <w:szCs w:val="20"/>
        </w:rPr>
        <w:t>Stift</w:t>
      </w:r>
      <w:proofErr w:type="spellEnd"/>
      <w:r w:rsidRPr="00180CDF">
        <w:rPr>
          <w:rFonts w:ascii="Arial" w:hAnsi="Arial" w:cs="Arial"/>
          <w:color w:val="222222"/>
          <w:sz w:val="20"/>
          <w:szCs w:val="20"/>
          <w:shd w:val="clear" w:color="auto" w:fill="FFFFFF"/>
        </w:rPr>
        <w:t>,</w:t>
      </w:r>
      <w:r w:rsidRPr="00180CDF">
        <w:rPr>
          <w:rStyle w:val="apple-converted-space"/>
          <w:rFonts w:ascii="Arial" w:hAnsi="Arial" w:cs="Arial"/>
          <w:color w:val="222222"/>
          <w:sz w:val="20"/>
          <w:szCs w:val="20"/>
          <w:shd w:val="clear" w:color="auto" w:fill="FFFFFF"/>
        </w:rPr>
        <w:t> </w:t>
      </w:r>
      <w:r w:rsidRPr="00180CDF">
        <w:rPr>
          <w:rFonts w:ascii="Arial" w:hAnsi="Arial" w:cs="Arial"/>
          <w:i/>
          <w:iCs/>
          <w:color w:val="222222"/>
          <w:sz w:val="20"/>
          <w:szCs w:val="20"/>
        </w:rPr>
        <w:t>19</w:t>
      </w:r>
      <w:r w:rsidRPr="00180CDF">
        <w:rPr>
          <w:rFonts w:ascii="Arial" w:hAnsi="Arial" w:cs="Arial"/>
          <w:color w:val="222222"/>
          <w:sz w:val="20"/>
          <w:szCs w:val="20"/>
          <w:shd w:val="clear" w:color="auto" w:fill="FFFFFF"/>
        </w:rPr>
        <w:t>, pp.19-21.</w:t>
      </w:r>
    </w:p>
    <w:p w14:paraId="678D92A8" w14:textId="77777777" w:rsidR="00127718" w:rsidRDefault="00127718" w:rsidP="002F1759">
      <w:pPr>
        <w:pStyle w:val="ListParagraph"/>
        <w:numPr>
          <w:ilvl w:val="0"/>
          <w:numId w:val="1"/>
        </w:numPr>
      </w:pPr>
    </w:p>
    <w:sectPr w:rsidR="00127718" w:rsidSect="0076552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51C97"/>
    <w:multiLevelType w:val="hybridMultilevel"/>
    <w:tmpl w:val="30DE0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A3B"/>
    <w:rsid w:val="00085F02"/>
    <w:rsid w:val="00127718"/>
    <w:rsid w:val="00166D12"/>
    <w:rsid w:val="00180CDF"/>
    <w:rsid w:val="001A6C9B"/>
    <w:rsid w:val="001C7241"/>
    <w:rsid w:val="002720D7"/>
    <w:rsid w:val="002F1759"/>
    <w:rsid w:val="002F55BC"/>
    <w:rsid w:val="003D5613"/>
    <w:rsid w:val="004F4F11"/>
    <w:rsid w:val="005B0478"/>
    <w:rsid w:val="006C05DE"/>
    <w:rsid w:val="00765527"/>
    <w:rsid w:val="00854BC6"/>
    <w:rsid w:val="008709FB"/>
    <w:rsid w:val="008C4A3B"/>
    <w:rsid w:val="00A54670"/>
    <w:rsid w:val="00B66582"/>
    <w:rsid w:val="00CC7C89"/>
    <w:rsid w:val="00DF472D"/>
    <w:rsid w:val="00E7671B"/>
    <w:rsid w:val="00FD2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66D212"/>
  <w15:chartTrackingRefBased/>
  <w15:docId w15:val="{733E38CE-B4CA-884F-B8FA-19387851D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71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1759"/>
    <w:pPr>
      <w:ind w:left="720"/>
      <w:contextualSpacing/>
    </w:pPr>
  </w:style>
  <w:style w:type="character" w:customStyle="1" w:styleId="apple-converted-space">
    <w:name w:val="apple-converted-space"/>
    <w:basedOn w:val="DefaultParagraphFont"/>
    <w:rsid w:val="00127718"/>
  </w:style>
  <w:style w:type="table" w:styleId="TableGrid">
    <w:name w:val="Table Grid"/>
    <w:basedOn w:val="TableNormal"/>
    <w:uiPriority w:val="39"/>
    <w:rsid w:val="006C05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517050">
      <w:bodyDiv w:val="1"/>
      <w:marLeft w:val="0"/>
      <w:marRight w:val="0"/>
      <w:marTop w:val="0"/>
      <w:marBottom w:val="0"/>
      <w:divBdr>
        <w:top w:val="none" w:sz="0" w:space="0" w:color="auto"/>
        <w:left w:val="none" w:sz="0" w:space="0" w:color="auto"/>
        <w:bottom w:val="none" w:sz="0" w:space="0" w:color="auto"/>
        <w:right w:val="none" w:sz="0" w:space="0" w:color="auto"/>
      </w:divBdr>
    </w:div>
    <w:div w:id="980959119">
      <w:bodyDiv w:val="1"/>
      <w:marLeft w:val="0"/>
      <w:marRight w:val="0"/>
      <w:marTop w:val="0"/>
      <w:marBottom w:val="0"/>
      <w:divBdr>
        <w:top w:val="none" w:sz="0" w:space="0" w:color="auto"/>
        <w:left w:val="none" w:sz="0" w:space="0" w:color="auto"/>
        <w:bottom w:val="none" w:sz="0" w:space="0" w:color="auto"/>
        <w:right w:val="none" w:sz="0" w:space="0" w:color="auto"/>
      </w:divBdr>
    </w:div>
    <w:div w:id="1412702034">
      <w:bodyDiv w:val="1"/>
      <w:marLeft w:val="0"/>
      <w:marRight w:val="0"/>
      <w:marTop w:val="0"/>
      <w:marBottom w:val="0"/>
      <w:divBdr>
        <w:top w:val="none" w:sz="0" w:space="0" w:color="auto"/>
        <w:left w:val="none" w:sz="0" w:space="0" w:color="auto"/>
        <w:bottom w:val="none" w:sz="0" w:space="0" w:color="auto"/>
        <w:right w:val="none" w:sz="0" w:space="0" w:color="auto"/>
      </w:divBdr>
      <w:divsChild>
        <w:div w:id="303505182">
          <w:marLeft w:val="0"/>
          <w:marRight w:val="0"/>
          <w:marTop w:val="0"/>
          <w:marBottom w:val="0"/>
          <w:divBdr>
            <w:top w:val="none" w:sz="0" w:space="0" w:color="auto"/>
            <w:left w:val="none" w:sz="0" w:space="0" w:color="auto"/>
            <w:bottom w:val="none" w:sz="0" w:space="0" w:color="auto"/>
            <w:right w:val="none" w:sz="0" w:space="0" w:color="auto"/>
          </w:divBdr>
          <w:divsChild>
            <w:div w:id="375353602">
              <w:marLeft w:val="0"/>
              <w:marRight w:val="0"/>
              <w:marTop w:val="0"/>
              <w:marBottom w:val="0"/>
              <w:divBdr>
                <w:top w:val="none" w:sz="0" w:space="0" w:color="auto"/>
                <w:left w:val="none" w:sz="0" w:space="0" w:color="auto"/>
                <w:bottom w:val="none" w:sz="0" w:space="0" w:color="auto"/>
                <w:right w:val="none" w:sz="0" w:space="0" w:color="auto"/>
              </w:divBdr>
              <w:divsChild>
                <w:div w:id="18252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923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2233</TotalTime>
  <Pages>7</Pages>
  <Words>1367</Words>
  <Characters>7792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Anthony Churchill (1816532)</dc:creator>
  <cp:keywords/>
  <dc:description/>
  <cp:lastModifiedBy>Joseph Anthony Churchill (1816532)</cp:lastModifiedBy>
  <cp:revision>4</cp:revision>
  <dcterms:created xsi:type="dcterms:W3CDTF">2021-10-02T19:18:00Z</dcterms:created>
  <dcterms:modified xsi:type="dcterms:W3CDTF">2021-10-04T14:50:00Z</dcterms:modified>
</cp:coreProperties>
</file>