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F59D3D" w14:textId="77777777" w:rsidR="004D218D" w:rsidRPr="004D218D" w:rsidRDefault="004D218D" w:rsidP="004D218D">
      <w:pPr>
        <w:rPr>
          <w:b/>
          <w:bCs/>
        </w:rPr>
      </w:pPr>
      <w:r w:rsidRPr="004D218D">
        <w:rPr>
          <w:b/>
          <w:bCs/>
        </w:rPr>
        <w:t>Applied Social and Educational Research (ECYW5007)</w:t>
      </w:r>
    </w:p>
    <w:p w14:paraId="1221EC1F" w14:textId="20847617" w:rsidR="004D218D" w:rsidRPr="00C6757B" w:rsidRDefault="004D218D" w:rsidP="004D218D">
      <w:pPr>
        <w:rPr>
          <w:b/>
          <w:bCs/>
        </w:rPr>
      </w:pPr>
      <w:r>
        <w:t>Part 1 word count: 2</w:t>
      </w:r>
      <w:r w:rsidR="001123F4">
        <w:t>124</w:t>
      </w:r>
      <w:r>
        <w:br/>
        <w:t>Part 2 word count: 19</w:t>
      </w:r>
      <w:r w:rsidR="00593746">
        <w:t>50</w:t>
      </w:r>
      <w:r>
        <w:br/>
        <w:t>Total word count: 4,</w:t>
      </w:r>
      <w:r w:rsidR="00593746">
        <w:t>073</w:t>
      </w:r>
      <w:r>
        <w:br/>
      </w:r>
      <w:r>
        <w:br/>
        <w:t>Page 2 – 9: Part 1</w:t>
      </w:r>
      <w:r>
        <w:br/>
        <w:t>Page 10 – 16: Part 2</w:t>
      </w:r>
      <w:r>
        <w:br/>
        <w:t>Page 16: Reference List</w:t>
      </w:r>
      <w:r>
        <w:br/>
        <w:t xml:space="preserve">Page 17: Appendix </w:t>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br/>
      </w:r>
      <w:r>
        <w:lastRenderedPageBreak/>
        <w:br/>
      </w:r>
      <w:r w:rsidRPr="00C6757B">
        <w:rPr>
          <w:b/>
          <w:bCs/>
        </w:rPr>
        <w:t>Part 1 – Critical Evaluation of a Journal Article</w:t>
      </w:r>
    </w:p>
    <w:p w14:paraId="3A6C0E85" w14:textId="77777777" w:rsidR="004D218D" w:rsidRPr="00C6757B" w:rsidRDefault="004D218D" w:rsidP="004D218D">
      <w:pPr>
        <w:rPr>
          <w:b/>
          <w:bCs/>
        </w:rPr>
      </w:pPr>
      <w:r w:rsidRPr="00C6757B">
        <w:rPr>
          <w:b/>
          <w:bCs/>
        </w:rPr>
        <w:t>Article Identification and Summary</w:t>
      </w:r>
    </w:p>
    <w:p w14:paraId="5E75D311" w14:textId="77777777" w:rsidR="004D218D" w:rsidRPr="00C6757B" w:rsidRDefault="004D218D" w:rsidP="004D218D">
      <w:r w:rsidRPr="00C6757B">
        <w:t>The article under review is:</w:t>
      </w:r>
    </w:p>
    <w:p w14:paraId="692F0957" w14:textId="77777777" w:rsidR="004D218D" w:rsidRPr="00C6757B" w:rsidRDefault="004D218D" w:rsidP="004D218D">
      <w:r w:rsidRPr="00C6757B">
        <w:t xml:space="preserve">Williams, S. and Richardson, R. (2024) </w:t>
      </w:r>
      <w:r w:rsidRPr="00C6757B">
        <w:rPr>
          <w:i/>
          <w:iCs/>
        </w:rPr>
        <w:t>What Do JNC Youth Workers Conceive of as ‘Professional Maturity’ in Youth Work Practice</w:t>
      </w:r>
      <w:r w:rsidRPr="00C6757B">
        <w:t>, Journal of Applied Youth Studies, 7, pp. 157–176.</w:t>
      </w:r>
    </w:p>
    <w:p w14:paraId="4C864A76" w14:textId="156BCB94" w:rsidR="004D218D" w:rsidRPr="00DB67A7" w:rsidRDefault="004D218D" w:rsidP="004D218D">
      <w:r w:rsidRPr="00C6757B">
        <w:t>This study looks at how youth workers in the UK understand the idea of “professional maturity” and whether it affects how they work. It fills a gap in research, as professionalism and maturity are usually studied separately rather than together. The authors</w:t>
      </w:r>
      <w:r w:rsidR="00003F68">
        <w:t>’</w:t>
      </w:r>
      <w:r w:rsidRPr="00C6757B">
        <w:t xml:space="preserve"> focus on workers’ personal experiences and how they see things at a particular point in time.</w:t>
      </w:r>
      <w:r>
        <w:br/>
      </w:r>
      <w:r>
        <w:br/>
      </w:r>
      <w:r w:rsidRPr="00C6757B">
        <w:t xml:space="preserve">The study utilised an online questionnaire (n=51) and a follow-up semi-structured interview (n=5), targeting JNC-qualified youth workers. Thematic analysis generated six key themes: qualification, professional transference, attributes, values, beyond self, and chameleon. The findings suggest that professional maturity is not a fixed </w:t>
      </w:r>
      <w:proofErr w:type="gramStart"/>
      <w:r w:rsidRPr="00C6757B">
        <w:t>state</w:t>
      </w:r>
      <w:proofErr w:type="gramEnd"/>
      <w:r w:rsidRPr="00C6757B">
        <w:t xml:space="preserve"> but an evolving process shaped by experience, relationships, and context. Importantly, the study highlights a lack of shared language and consistency in defining professional maturity within youth work.</w:t>
      </w:r>
      <w:r>
        <w:br/>
      </w:r>
      <w:r>
        <w:br/>
      </w:r>
      <w:r w:rsidRPr="00DB67A7">
        <w:t>This article makes a valuable contribution to understanding professional identity in youth work, particularly by addressing an under-researched concept. However, there are significant weaknesses in the study’s sampling strategy, conceptual clarity, and depth of critical analysis, which limit the generalisability and theoretical robustness of its conclusions.</w:t>
      </w:r>
      <w:r>
        <w:br/>
      </w:r>
      <w:r>
        <w:br/>
      </w:r>
      <w:r w:rsidRPr="00DB67A7">
        <w:rPr>
          <w:b/>
          <w:bCs/>
        </w:rPr>
        <w:t>Research Aim</w:t>
      </w:r>
      <w:r>
        <w:rPr>
          <w:b/>
          <w:bCs/>
        </w:rPr>
        <w:br/>
      </w:r>
      <w:r w:rsidRPr="00DB67A7">
        <w:t>The research aim—to explore what JNC youth workers conceive as “professional maturity”—is clearly stated and consistently maintained throughout the article. The authors justify the study by identifying a gap in the literature, noting that professionalism and maturity have rarely been examined together.</w:t>
      </w:r>
    </w:p>
    <w:p w14:paraId="56E3745F" w14:textId="77777777" w:rsidR="004D218D" w:rsidRPr="00DB67A7" w:rsidRDefault="004D218D" w:rsidP="004D218D">
      <w:r w:rsidRPr="00DB67A7">
        <w:t>However, while the aim is clear, it is arguably too broad and exploratory. The lack of a clearly defined research question reduces focus and makes it difficult to evaluate the success of the study. According to Cohen, Manion and Morrison (2018), strong research should have clearly operationalised concepts and focused questions. In this case, “professional maturity” remains loosely defined throughout, which weakens analytical precision.</w:t>
      </w:r>
    </w:p>
    <w:p w14:paraId="2BB151E2" w14:textId="77777777" w:rsidR="004D218D" w:rsidRPr="00DB67A7" w:rsidRDefault="004D218D" w:rsidP="004D218D">
      <w:pPr>
        <w:rPr>
          <w:b/>
          <w:bCs/>
        </w:rPr>
      </w:pPr>
      <w:r>
        <w:lastRenderedPageBreak/>
        <w:br/>
      </w:r>
      <w:r w:rsidRPr="00DB67A7">
        <w:rPr>
          <w:b/>
          <w:bCs/>
        </w:rPr>
        <w:t>Evaluation of Literature Review</w:t>
      </w:r>
    </w:p>
    <w:p w14:paraId="4C9F2371" w14:textId="77777777" w:rsidR="004D218D" w:rsidRPr="007965F8" w:rsidRDefault="004D218D" w:rsidP="004D218D">
      <w:r w:rsidRPr="007965F8">
        <w:t xml:space="preserve">The literature review demonstrates reasonable breadth, drawing on research related to professionalism, maturity, and youth work. It incorporates key debates around social construction, power, and professional identity, referencing authors such as Bradford (2007) and </w:t>
      </w:r>
      <w:proofErr w:type="spellStart"/>
      <w:r w:rsidRPr="007965F8">
        <w:t>Batsleer</w:t>
      </w:r>
      <w:proofErr w:type="spellEnd"/>
      <w:r w:rsidRPr="007965F8">
        <w:t xml:space="preserve"> (2013). However, there are several limitations. There is a lack of depth, as the review tends to describe rather than critically analyse existing literature. There is also limited integration of theory; while phenomenology is mentioned, there is minimal engagement with theoretical frameworks that could underpin the study, such as identity theory or professionalisation theory. In addition, the structure is somewhat fragmented, with the literature appearing disjointed and moving between concepts without a strong logical progression.</w:t>
      </w:r>
    </w:p>
    <w:p w14:paraId="101F85D0" w14:textId="77777777" w:rsidR="004D218D" w:rsidRPr="007965F8" w:rsidRDefault="004D218D" w:rsidP="004D218D">
      <w:r w:rsidRPr="007965F8">
        <w:t>Denscombe (2021) emphasises that literature reviews should provide a clear rationale leading directly to the research question. In this article, the connection between the reviewed literature and the study’s design is not always explicit. Additionally, although the article acknowledges that “professional maturity” is under-researched, it relies heavily on adjacent fields such as nursing and teaching, which may not fully translate to youth work contexts.</w:t>
      </w:r>
    </w:p>
    <w:p w14:paraId="245D3549" w14:textId="77777777" w:rsidR="004D218D" w:rsidRPr="007965F8" w:rsidRDefault="004D218D" w:rsidP="004D218D">
      <w:r w:rsidRPr="007965F8">
        <w:t>The article identifies a lack of shared language around professional values. However, this claim can be challenged, as national frameworks do exist, such as Youth Work in Wales: Principles and Purposes, which clearly outline core values including voluntary participation, inclusion, and rights-based practice (Youth Work in Wales Review Group, 2022).</w:t>
      </w:r>
    </w:p>
    <w:p w14:paraId="26D1F841" w14:textId="77777777" w:rsidR="004D218D" w:rsidRPr="00DB67A7" w:rsidRDefault="004D218D" w:rsidP="004D218D">
      <w:r>
        <w:br/>
      </w:r>
      <w:r w:rsidRPr="00DB67A7">
        <w:rPr>
          <w:b/>
          <w:bCs/>
        </w:rPr>
        <w:t>Methodology</w:t>
      </w:r>
      <w:r>
        <w:rPr>
          <w:b/>
          <w:bCs/>
        </w:rPr>
        <w:br/>
      </w:r>
      <w:r w:rsidRPr="00DB67A7">
        <w:t>The study adopts a qualitative phenomenological approach, which is appropriate given its aim to explore subjective experiences and meanings. Phenomenology is particularly suited to understanding how individuals interpret their professional identities (Bell and Waters, 2018).</w:t>
      </w:r>
    </w:p>
    <w:p w14:paraId="50A2E9FD" w14:textId="152F7093" w:rsidR="004D218D" w:rsidRPr="00DB67A7" w:rsidRDefault="004D218D" w:rsidP="004D218D">
      <w:r w:rsidRPr="007965F8">
        <w:t>The use of both questionnaires and semi-structured interviews provides methodological triangulation, which strengthens the study. However, there are notable issues, including the use of questionnaires in a phenomenological approach, as open-ended questionnaires may limit depth compared to interviews because they rely on participants’ written responses without the opportunity for probing, and a lack of methodological justification, as the authors do not fully explain why this combination of methods was chosen over other qualitative approaches.</w:t>
      </w:r>
      <w:r>
        <w:br/>
      </w:r>
      <w:r>
        <w:br/>
      </w:r>
      <w:r>
        <w:br/>
      </w:r>
      <w:r>
        <w:lastRenderedPageBreak/>
        <w:br/>
      </w:r>
      <w:r w:rsidRPr="007965F8">
        <w:t>The findings emphasise a wide range of skills and attributes required for ‘professional maturity’. However, this appears inconsistent with established frameworks such as the National Occupational Standards, which clearly define core competencies including relationship building, safeguarding and reflective practice (CLD Standards Council, 2019). While the Standards present these competencies as structured, measurable and professionally agreed benchmarks, the article portrays professional maturity as fluid, subjective and lacking a shared definition. This creates a tension between a formalised understanding of professional competence and the article’s suggestion that professional maturity is individually constructed and context dependent. As a result, the study risks overlooking the extent to which professional expectations in youth work are already standardised within national frameworks.</w:t>
      </w:r>
      <w:r>
        <w:br/>
      </w:r>
      <w:r>
        <w:br/>
      </w:r>
      <w:r w:rsidRPr="00A12EF6">
        <w:t>The researchers acknowledge their positionality as experienced youth workers; however, the implications of this are not fully explored. According to BERA (2024), researchers must critically reflect on how their roles, relationships and prior assumptions may influence both data collection and interpretation. While the authors state that they attempted to minimise bias, greater transparency regarding reflexivity would strengthen the study’s methodological rigour.</w:t>
      </w:r>
      <w:r>
        <w:br/>
      </w:r>
      <w:r>
        <w:br/>
      </w:r>
      <w:r w:rsidRPr="00DB67A7">
        <w:rPr>
          <w:b/>
          <w:bCs/>
        </w:rPr>
        <w:t>Participants</w:t>
      </w:r>
      <w:r>
        <w:rPr>
          <w:b/>
          <w:bCs/>
        </w:rPr>
        <w:br/>
      </w:r>
      <w:r w:rsidRPr="007965F8">
        <w:t>The study included 56 participants, primarily JNC-qualified youth workers in the UK. While this sample size is reasonable for qualitative research, several limitations affect its credibility, including sampling bias, as most participants held level 6 or 7 qualifications, limiting the representation of lower-qualified practitioners</w:t>
      </w:r>
      <w:r w:rsidR="00003F68">
        <w:t>. There is also</w:t>
      </w:r>
      <w:r w:rsidRPr="007965F8">
        <w:t xml:space="preserve"> self-selection bias, as participants were recruited through professional networks, which may favour more engaged or confident practitioners; and a lack of diversity data, with limited discussion of demographics such as age, ethnicity, or years of experience.</w:t>
      </w:r>
      <w:r w:rsidR="00517379">
        <w:t xml:space="preserve"> </w:t>
      </w:r>
      <w:r w:rsidRPr="00DB67A7">
        <w:t>Cohen et al. (2018) highlight that sampling strategies should ensure representativeness where possible. In this case, the sample is skewed, reducing the transferability of findings.</w:t>
      </w:r>
      <w:r w:rsidR="001123F4">
        <w:t xml:space="preserve"> </w:t>
      </w:r>
      <w:r w:rsidRPr="001123F4">
        <w:t>The British Educational Research Association (BERA) (2024) emphasises the importance of respecting participants’ autonomy and voice</w:t>
      </w:r>
      <w:r w:rsidR="001123F4" w:rsidRPr="001123F4">
        <w:t xml:space="preserve"> although </w:t>
      </w:r>
      <w:r w:rsidRPr="001123F4">
        <w:t>the article provides limited detail on how participants were actively involved</w:t>
      </w:r>
      <w:r w:rsidRPr="00A12EF6">
        <w:t xml:space="preserve"> beyond data collection</w:t>
      </w:r>
      <w:r w:rsidR="001123F4">
        <w:t>.</w:t>
      </w:r>
    </w:p>
    <w:p w14:paraId="14F770B2" w14:textId="77777777" w:rsidR="004D218D" w:rsidRPr="00DB67A7" w:rsidRDefault="004D218D" w:rsidP="004D218D">
      <w:pPr>
        <w:rPr>
          <w:b/>
          <w:bCs/>
        </w:rPr>
      </w:pPr>
      <w:r>
        <w:br/>
      </w:r>
      <w:r w:rsidRPr="00DB67A7">
        <w:rPr>
          <w:b/>
          <w:bCs/>
        </w:rPr>
        <w:t>Data Collection Methods</w:t>
      </w:r>
    </w:p>
    <w:p w14:paraId="04D3640A" w14:textId="628EA898" w:rsidR="004D218D" w:rsidRPr="00DB67A7" w:rsidRDefault="004D218D" w:rsidP="004D218D">
      <w:r w:rsidRPr="007965F8">
        <w:t xml:space="preserve">The use of online questionnaires and semi-structured interviews was a practical and contextually appropriate choice, particularly during the COVID-19 pandemic, when face-to-face data collection was often restricted (Denscombe, 2021). The authors also attempted to reduce bias by using open-ended questions, enabling participants to </w:t>
      </w:r>
      <w:r w:rsidRPr="007965F8">
        <w:lastRenderedPageBreak/>
        <w:t xml:space="preserve">express their views in their own words rather than being constrained by predefined response options, which is consistent with qualitative research principles aimed at capturing lived experiences (Creswell &amp; </w:t>
      </w:r>
      <w:proofErr w:type="spellStart"/>
      <w:r w:rsidRPr="007965F8">
        <w:t>Poth</w:t>
      </w:r>
      <w:proofErr w:type="spellEnd"/>
      <w:r w:rsidRPr="007965F8">
        <w:t xml:space="preserve">, 2018). This approach offered several strengths, including increased accessibility and a wider reach, as online methods allow participants from different geographical locations to take part without the need for travel, thereby broadening participation (Bryman, 2016). It also provided flexibility for participants, who could complete questionnaires or participate in interviews at times </w:t>
      </w:r>
      <w:r w:rsidRPr="001123F4">
        <w:t>convenient to them, potentially improving response rates and the depth of engagement</w:t>
      </w:r>
      <w:r w:rsidR="001123F4" w:rsidRPr="001123F4">
        <w:t xml:space="preserve"> </w:t>
      </w:r>
      <w:r w:rsidRPr="001123F4">
        <w:t>(Denzin, 1978).</w:t>
      </w:r>
      <w:r>
        <w:br/>
      </w:r>
      <w:r>
        <w:br/>
      </w:r>
      <w:r w:rsidRPr="007965F8">
        <w:t xml:space="preserve">However, there are several limitations to this approach. One key issue relates to the use of questionnaires, as </w:t>
      </w:r>
      <w:proofErr w:type="spellStart"/>
      <w:r w:rsidRPr="007965F8">
        <w:t>Einola</w:t>
      </w:r>
      <w:proofErr w:type="spellEnd"/>
      <w:r w:rsidRPr="007965F8">
        <w:t xml:space="preserve"> and Alvesson (2020) argue that questionnaires often assume a shared understanding of concepts, which may not hold true when exploring abstract ideas such as “professional maturity,” potentially leading to inconsistent or superficial responses. In addition, the use of group interview dynamics may have influenced participants’ contributions, as individuals can be affected by the presence or opinions of others, potentially limiting the authenticity of responses or discouraging dissenting views (Kitzinger, 1995). Furthermore, there is a lack of methodological transparency, as the article does not provide sufficient detail regarding the specific questions asked or the interview procedures followed, making it difficult to fully assess the rigour and reliability of the data collection process (Denscombe, 2021).</w:t>
      </w:r>
      <w:r w:rsidR="00517379">
        <w:t xml:space="preserve"> </w:t>
      </w:r>
      <w:r w:rsidRPr="00DB67A7">
        <w:t>Overall, while the methods are appropriate, their implementation lacks transparency and depth.</w:t>
      </w:r>
    </w:p>
    <w:p w14:paraId="3CB17CEB" w14:textId="30937560" w:rsidR="004D218D" w:rsidRDefault="004D218D" w:rsidP="004D218D">
      <w:r>
        <w:rPr>
          <w:b/>
          <w:bCs/>
        </w:rPr>
        <w:br/>
      </w:r>
      <w:r w:rsidRPr="00DB67A7">
        <w:rPr>
          <w:b/>
          <w:bCs/>
        </w:rPr>
        <w:t>Data Analysis</w:t>
      </w:r>
      <w:r>
        <w:rPr>
          <w:b/>
          <w:bCs/>
        </w:rPr>
        <w:br/>
      </w:r>
      <w:r w:rsidRPr="007965F8">
        <w:t xml:space="preserve">The study uses thematic analysis, which is an appropriate method for analysing qualitative data and allows for the systematic identification, organisation, and interpretation of patterns within participants’ responses (Braun &amp; Clarke, 2006). The identification of six themes provides a clear and structured framework for understanding the findings and helps to organise complex data into meaningful categories. However, the analysis raises several concerns, including a lack of transparency, as the process of coding and theme development is not clearly explained, making it difficult to assess the rigour of the analytical procedure (Nowell et al., 2017). There is also limited evidence presented to support the themes, with few direct quotations from participants, which weakens the credibility of the findings and reduces the reader’s ability to evaluate the connection between the data and the interpretations (Creswell &amp; </w:t>
      </w:r>
      <w:proofErr w:type="spellStart"/>
      <w:r w:rsidRPr="007965F8">
        <w:t>Poth</w:t>
      </w:r>
      <w:proofErr w:type="spellEnd"/>
      <w:r w:rsidRPr="007965F8">
        <w:t>, 2018). Additionally, there is the potential for researcher bias; although the authors claim to minimise this, their insider position within the field may have influenced how the data were interpreted, which is a recognised challenge in qualitative research and requires careful reflexivity (Berger, 2015)</w:t>
      </w:r>
      <w:r w:rsidR="00517379">
        <w:t xml:space="preserve">. </w:t>
      </w:r>
      <w:r w:rsidRPr="00DB67A7">
        <w:t xml:space="preserve">Clarke et al. (2015) stress the </w:t>
      </w:r>
      <w:r w:rsidRPr="00DB67A7">
        <w:lastRenderedPageBreak/>
        <w:t>importance of transparency in thematic analysis. Without detailed explanation, it is difficult to assess the rigour of the analysis.</w:t>
      </w:r>
    </w:p>
    <w:p w14:paraId="192AE9FD" w14:textId="77777777" w:rsidR="00517379" w:rsidRPr="007965F8" w:rsidRDefault="00517379" w:rsidP="004D218D">
      <w:pPr>
        <w:rPr>
          <w:b/>
          <w:bCs/>
        </w:rPr>
      </w:pPr>
    </w:p>
    <w:p w14:paraId="00122070" w14:textId="77777777" w:rsidR="004D218D" w:rsidRPr="00DB67A7" w:rsidRDefault="004D218D" w:rsidP="004D218D">
      <w:pPr>
        <w:rPr>
          <w:b/>
          <w:bCs/>
        </w:rPr>
      </w:pPr>
      <w:r w:rsidRPr="00DB67A7">
        <w:rPr>
          <w:b/>
          <w:bCs/>
        </w:rPr>
        <w:t>Ethical Considerations</w:t>
      </w:r>
    </w:p>
    <w:p w14:paraId="52730CBA" w14:textId="520BEBEE" w:rsidR="004D218D" w:rsidRDefault="004D218D" w:rsidP="004D218D">
      <w:r w:rsidRPr="007965F8">
        <w:t xml:space="preserve">The study demonstrates a clear awareness of ethical issues, as ethical approval was obtained, informed consent was secured from all participants, and individuals were appropriately debriefed following their involvement in the research. In addition, support was offered to participants if needed, indicating consideration of their wellbeing throughout the research process. These practices reflect key ethical principles in social research, including respect for persons, protection from harm, and the right to withdraw, and align with established guidelines </w:t>
      </w:r>
      <w:r w:rsidR="000F661F">
        <w:t xml:space="preserve">as </w:t>
      </w:r>
      <w:r w:rsidRPr="007965F8">
        <w:t>outlined by Alderson and Morrow (2011) as well as the British Educational Research Association (2024), which emphasise the importance of safeguarding participants and maintaining integrity in educational research.</w:t>
      </w:r>
      <w:r>
        <w:br/>
      </w:r>
      <w:r>
        <w:br/>
      </w:r>
      <w:r w:rsidRPr="007965F8">
        <w:t>However, some areas are underdeveloped, particularly in relation to power dynamics, as there is limited discussion of the relationships between researchers and participants and how these may influence the research process or responses. There is also insufficient detail regarding confidentiality, with no clear explanation of data storage procedures or how anonymity was ensured, which are key components of ethical research practice (Denscombe, 2021). In addition, there is minimal consideration of online research ethics, including potential digital risks such as data security, privacy, and the implications of conducting research in virtual environments (British Educational Research Association, 2024). While basic ethical standards are met, deeper critical engagement with these issues is lacking. Furthermore, the article pays limited attention to participation and rights-based practice, despite these being central to contemporary youth work policy. Current Welsh guidance emphasises that young people must be actively involved in decision-making and service design, reinforcing the importance of participatory approaches within youth work (Welsh Government, 2024).</w:t>
      </w:r>
    </w:p>
    <w:p w14:paraId="0E51846F" w14:textId="77777777" w:rsidR="001123F4" w:rsidRDefault="001123F4" w:rsidP="004D218D">
      <w:pPr>
        <w:rPr>
          <w:highlight w:val="cyan"/>
        </w:rPr>
      </w:pPr>
    </w:p>
    <w:p w14:paraId="2B109469" w14:textId="68525EB4" w:rsidR="004D218D" w:rsidRPr="00DB67A7" w:rsidRDefault="004D218D" w:rsidP="004D218D">
      <w:pPr>
        <w:rPr>
          <w:b/>
          <w:bCs/>
        </w:rPr>
      </w:pPr>
      <w:r w:rsidRPr="00DB67A7">
        <w:rPr>
          <w:b/>
          <w:bCs/>
        </w:rPr>
        <w:t>Relevance and Implications for Practice</w:t>
      </w:r>
    </w:p>
    <w:p w14:paraId="731C71E1" w14:textId="77777777" w:rsidR="008C4A67" w:rsidRDefault="004D218D" w:rsidP="004D218D">
      <w:r w:rsidRPr="007965F8">
        <w:t xml:space="preserve">The study has clear relevance for youth work practice, as it highlights the importance of reflective practice and ongoing professional development in supporting practitioners to continually improve their skills and understanding (Schön, 1983). It also emphasises the role of supervision and mentoring, which are widely recognised as essential mechanisms for professional learning, support, and accountability within youth work settings (Davys &amp; Beddoe, 2010). In addition, the study identifies inconsistencies in </w:t>
      </w:r>
      <w:r w:rsidRPr="007965F8">
        <w:lastRenderedPageBreak/>
        <w:t>professional values and language, suggesting a need for greater clarity and shared understanding across the sector to strengthen professional identity and practice.</w:t>
      </w:r>
    </w:p>
    <w:p w14:paraId="2C796488" w14:textId="5AFAF320" w:rsidR="004D218D" w:rsidRPr="00DB67A7" w:rsidRDefault="004D218D" w:rsidP="004D218D">
      <w:r w:rsidRPr="00DB67A7">
        <w:t>These insights are valuable for training and professional development in youth work.</w:t>
      </w:r>
      <w:r w:rsidR="00517379">
        <w:t xml:space="preserve"> </w:t>
      </w:r>
      <w:r w:rsidRPr="00DB67A7">
        <w:t>However, practical implications are not fully developed. The article suggests that the model could be used in supervision but does not provide detailed guidance on implementation.</w:t>
      </w:r>
    </w:p>
    <w:p w14:paraId="481272EC" w14:textId="77777777" w:rsidR="004D218D" w:rsidRPr="00DB67A7" w:rsidRDefault="004D218D" w:rsidP="004D218D">
      <w:r w:rsidRPr="00DB67A7">
        <w:t>In real-world contexts, the findings could inform:</w:t>
      </w:r>
    </w:p>
    <w:p w14:paraId="06CFA673" w14:textId="77777777" w:rsidR="004D218D" w:rsidRPr="00DB67A7" w:rsidRDefault="004D218D" w:rsidP="00F04F4C">
      <w:pPr>
        <w:pStyle w:val="ListParagraph"/>
        <w:numPr>
          <w:ilvl w:val="0"/>
          <w:numId w:val="4"/>
        </w:numPr>
      </w:pPr>
      <w:r w:rsidRPr="00DB67A7">
        <w:t xml:space="preserve">Curriculum design in youth work education </w:t>
      </w:r>
    </w:p>
    <w:p w14:paraId="67312DAA" w14:textId="77777777" w:rsidR="004D218D" w:rsidRPr="00DB67A7" w:rsidRDefault="004D218D" w:rsidP="00F04F4C">
      <w:pPr>
        <w:pStyle w:val="ListParagraph"/>
        <w:numPr>
          <w:ilvl w:val="0"/>
          <w:numId w:val="4"/>
        </w:numPr>
      </w:pPr>
      <w:r w:rsidRPr="00DB67A7">
        <w:t xml:space="preserve">Professional standards development </w:t>
      </w:r>
    </w:p>
    <w:p w14:paraId="4CE5918C" w14:textId="77777777" w:rsidR="00F04F4C" w:rsidRDefault="004D218D" w:rsidP="00F04F4C">
      <w:pPr>
        <w:pStyle w:val="ListParagraph"/>
        <w:numPr>
          <w:ilvl w:val="0"/>
          <w:numId w:val="4"/>
        </w:numPr>
      </w:pPr>
      <w:r w:rsidRPr="00DB67A7">
        <w:t>Reflective practice frameworks</w:t>
      </w:r>
    </w:p>
    <w:p w14:paraId="0A5A5D7E" w14:textId="77777777" w:rsidR="00F04F4C" w:rsidRDefault="00F04F4C" w:rsidP="00F04F4C">
      <w:pPr>
        <w:pStyle w:val="ListParagraph"/>
      </w:pPr>
    </w:p>
    <w:p w14:paraId="14FF98A7" w14:textId="77777777" w:rsidR="004D218D" w:rsidRPr="00DB67A7" w:rsidRDefault="004D218D" w:rsidP="004D218D">
      <w:pPr>
        <w:rPr>
          <w:b/>
          <w:bCs/>
        </w:rPr>
      </w:pPr>
      <w:r w:rsidRPr="00DB67A7">
        <w:rPr>
          <w:b/>
          <w:bCs/>
        </w:rPr>
        <w:t>Structure and Academic Writing Style</w:t>
      </w:r>
    </w:p>
    <w:p w14:paraId="2C900BB2" w14:textId="5B219516" w:rsidR="004D218D" w:rsidRPr="00DB67A7" w:rsidRDefault="004D218D" w:rsidP="004D218D">
      <w:pPr>
        <w:rPr>
          <w:b/>
          <w:bCs/>
        </w:rPr>
      </w:pPr>
      <w:r w:rsidRPr="00197E83">
        <w:t xml:space="preserve">The article is generally well-structured, with clear sections and a logical progression that makes it easy to follow, and the writing is accessible and appropriate for an academic audience. It demonstrates several strengths, including clear organisation, a consistent focus on the research </w:t>
      </w:r>
      <w:proofErr w:type="gramStart"/>
      <w:r w:rsidRPr="00197E83">
        <w:t>aim</w:t>
      </w:r>
      <w:proofErr w:type="gramEnd"/>
      <w:r w:rsidRPr="00197E83">
        <w:t xml:space="preserve"> throughout, and the effective use of subheadings to guide the reader through different sections of the paper. However, there are also some limitations, such as repetition in certain sections, which can reduce the overall impact of the argument, as well as a lack of critical depth, with the discussion often remaining at a descriptive level rather than engaging in deeper analysis. Additionally, there is an over-reliance on descriptive language, which further limits the development of a more critical and evaluative perspective. As Bell and Waters (2018) emphasise, criticality is a key component of strong academic writing, and this is somewhat limited within the article.</w:t>
      </w:r>
      <w:r>
        <w:rPr>
          <w:b/>
          <w:bCs/>
        </w:rPr>
        <w:br/>
      </w:r>
      <w:r>
        <w:rPr>
          <w:b/>
          <w:bCs/>
        </w:rPr>
        <w:br/>
      </w:r>
      <w:r w:rsidRPr="00DB67A7">
        <w:rPr>
          <w:b/>
          <w:bCs/>
        </w:rPr>
        <w:t>Conclusion</w:t>
      </w:r>
    </w:p>
    <w:p w14:paraId="2D1D7B04" w14:textId="559983DC" w:rsidR="004D218D" w:rsidRPr="00197E83" w:rsidRDefault="004D218D" w:rsidP="004D218D">
      <w:r w:rsidRPr="00197E83">
        <w:t>Overall, this article provides a useful exploratory insight into the concept of professional maturity in youth work. Its strengths lie in addressing an under-researched topic, adopting an appropriate phenomenological approach to explore lived experiences, and generating a practical conceptual model that can inform understanding within the field. However, significant limitations reduce its overall impact, including weak sampling and limited representativeness, a lack of analytical depth and methodological transparency, and the absence of a clearly defined core concept, as “professional maturity” remains insufficiently conceptualised. These issues reflect broader concerns in qualitative research regarding rigour and clarity (Denscombe, 2021). As a result, while the article makes a valuable contribution to ongoing discussion, it should be used cautiously as evidence for informing practice or policy.</w:t>
      </w:r>
    </w:p>
    <w:p w14:paraId="6EDCE1B4" w14:textId="77777777" w:rsidR="001123F4" w:rsidRDefault="004D218D" w:rsidP="004D218D">
      <w:r>
        <w:lastRenderedPageBreak/>
        <w:br/>
      </w:r>
      <w:r>
        <w:br/>
      </w:r>
      <w:r>
        <w:br/>
      </w:r>
      <w:r>
        <w:br/>
      </w:r>
      <w:r>
        <w:br/>
      </w:r>
      <w:r>
        <w:br/>
      </w:r>
      <w:r>
        <w:br/>
      </w:r>
      <w:r>
        <w:br/>
      </w:r>
      <w:r>
        <w:br/>
      </w:r>
      <w:r>
        <w:br/>
      </w:r>
      <w:r>
        <w:br/>
      </w:r>
      <w:r>
        <w:br/>
      </w:r>
      <w:r>
        <w:br/>
      </w:r>
      <w:r>
        <w:br/>
      </w:r>
      <w:r>
        <w:br/>
      </w:r>
      <w:r>
        <w:br/>
      </w:r>
      <w:r>
        <w:br/>
      </w:r>
      <w:r>
        <w:br/>
      </w:r>
      <w:r>
        <w:br/>
      </w:r>
      <w:r>
        <w:br/>
      </w:r>
      <w:r>
        <w:br/>
      </w:r>
    </w:p>
    <w:p w14:paraId="620C4F47" w14:textId="77777777" w:rsidR="001123F4" w:rsidRDefault="001123F4" w:rsidP="004D218D"/>
    <w:p w14:paraId="74521056" w14:textId="77777777" w:rsidR="001123F4" w:rsidRDefault="001123F4" w:rsidP="004D218D"/>
    <w:p w14:paraId="24E354AF" w14:textId="77777777" w:rsidR="001123F4" w:rsidRDefault="001123F4" w:rsidP="004D218D"/>
    <w:p w14:paraId="3990D27D" w14:textId="77777777" w:rsidR="001123F4" w:rsidRDefault="001123F4" w:rsidP="004D218D"/>
    <w:p w14:paraId="6D7B7950" w14:textId="77777777" w:rsidR="001123F4" w:rsidRDefault="001123F4" w:rsidP="004D218D"/>
    <w:p w14:paraId="111EFB46" w14:textId="77777777" w:rsidR="009F38AE" w:rsidRDefault="009F38AE" w:rsidP="004D218D"/>
    <w:p w14:paraId="7D1B4DE2" w14:textId="77777777" w:rsidR="009F38AE" w:rsidRDefault="009F38AE" w:rsidP="004D218D"/>
    <w:p w14:paraId="469D8E99" w14:textId="77777777" w:rsidR="009F38AE" w:rsidRDefault="009F38AE" w:rsidP="004D218D"/>
    <w:p w14:paraId="7CFCE0B8" w14:textId="77777777" w:rsidR="009F38AE" w:rsidRDefault="009F38AE" w:rsidP="004D218D"/>
    <w:p w14:paraId="749DAD1A" w14:textId="77777777" w:rsidR="009F38AE" w:rsidRDefault="009F38AE" w:rsidP="004D218D"/>
    <w:p w14:paraId="0C3CA0D5" w14:textId="77777777" w:rsidR="001123F4" w:rsidRDefault="001123F4" w:rsidP="004D218D"/>
    <w:p w14:paraId="42998FE8" w14:textId="34E9E681" w:rsidR="004D218D" w:rsidRPr="00717F7C" w:rsidRDefault="004D218D" w:rsidP="004D218D">
      <w:pPr>
        <w:rPr>
          <w:b/>
          <w:bCs/>
        </w:rPr>
      </w:pPr>
      <w:r>
        <w:br/>
      </w:r>
      <w:r>
        <w:br/>
      </w:r>
      <w:r>
        <w:lastRenderedPageBreak/>
        <w:br/>
      </w:r>
      <w:r w:rsidRPr="00717F7C">
        <w:rPr>
          <w:b/>
          <w:bCs/>
        </w:rPr>
        <w:t>Part 2:</w:t>
      </w:r>
      <w:r>
        <w:t xml:space="preserve"> </w:t>
      </w:r>
      <w:r w:rsidRPr="00717F7C">
        <w:rPr>
          <w:b/>
          <w:bCs/>
        </w:rPr>
        <w:t>Research Ethics and Reflection Portfolio: Teenage Pregnancy</w:t>
      </w:r>
    </w:p>
    <w:p w14:paraId="18327EB1" w14:textId="77777777" w:rsidR="004D218D" w:rsidRPr="00717F7C" w:rsidRDefault="004D218D" w:rsidP="004D218D">
      <w:pPr>
        <w:rPr>
          <w:b/>
          <w:bCs/>
        </w:rPr>
      </w:pPr>
      <w:r w:rsidRPr="00717F7C">
        <w:rPr>
          <w:b/>
          <w:bCs/>
        </w:rPr>
        <w:t>Introduction and Research Focus</w:t>
      </w:r>
    </w:p>
    <w:p w14:paraId="643303BF" w14:textId="61A195C1" w:rsidR="004D218D" w:rsidRPr="00717F7C" w:rsidRDefault="004D218D" w:rsidP="004D218D">
      <w:r w:rsidRPr="00717F7C">
        <w:t>This proposed research project focuses on teenage pregnancy in the United Kingdom, examining the social, educational and emotional experiences of young people who become parents during adolescence. Teenage pregnancy remains a significant social issue despite declining rates, as it is often associated with inequalities in education, health outcomes and socio-economic opportunities</w:t>
      </w:r>
      <w:r w:rsidR="00F04F4C">
        <w:t xml:space="preserve"> </w:t>
      </w:r>
      <w:r w:rsidR="00593746" w:rsidRPr="00593746">
        <w:t>(Office for National Statistics, 2023)</w:t>
      </w:r>
      <w:r w:rsidRPr="00717F7C">
        <w:t xml:space="preserve">. Within youth work and community practice, understanding the lived experiences of young parents is essential </w:t>
      </w:r>
      <w:proofErr w:type="gramStart"/>
      <w:r w:rsidRPr="00717F7C">
        <w:t>in order to</w:t>
      </w:r>
      <w:proofErr w:type="gramEnd"/>
      <w:r w:rsidRPr="00717F7C">
        <w:t xml:space="preserve"> provide effective support and promote positive outcomes.</w:t>
      </w:r>
    </w:p>
    <w:p w14:paraId="1423A01D" w14:textId="77777777" w:rsidR="004D218D" w:rsidRPr="00717F7C" w:rsidRDefault="004D218D" w:rsidP="004D218D">
      <w:r w:rsidRPr="00717F7C">
        <w:t>The aim of this research is to explore the factors contributing to teenage pregnancy, while also investigating how young people experience pregnancy and early parenthood. In addition, the study seeks to examine how support systems, such as family, education providers and youth services, influence the wellbeing and future opportunities of teenage parents. The research will be conducted within a youth or community setting and will involve participants aged between 15 and 19 who are either currently pregnant or have experienced early parenthood.</w:t>
      </w:r>
    </w:p>
    <w:p w14:paraId="35C23753" w14:textId="77777777" w:rsidR="004D218D" w:rsidRPr="00717F7C" w:rsidRDefault="004D218D" w:rsidP="004D218D">
      <w:pPr>
        <w:rPr>
          <w:b/>
          <w:bCs/>
        </w:rPr>
      </w:pPr>
      <w:r w:rsidRPr="00717F7C">
        <w:t>This project aligns with the aims of the Applied Social and Educational Research module, which emphasises the development of ethical, reflective and methodologically sound research within real-world contexts. The focus on teenage pregnancy is particularly relevant to youth work practice, as it requires an understanding of both structural inequalities and individual experiences.</w:t>
      </w:r>
      <w:r>
        <w:br/>
      </w:r>
      <w:r>
        <w:br/>
      </w:r>
      <w:r w:rsidRPr="00717F7C">
        <w:rPr>
          <w:b/>
          <w:bCs/>
        </w:rPr>
        <w:t>Ethical Principles Underpinning the Research</w:t>
      </w:r>
    </w:p>
    <w:p w14:paraId="76D14D3B" w14:textId="7CDFD2EE" w:rsidR="004D218D" w:rsidRPr="00717F7C" w:rsidRDefault="004D218D" w:rsidP="004D218D">
      <w:r w:rsidRPr="00717F7C">
        <w:t>The research will be guided by core ethical principles that underpin all social research involving human participants. These include respect for persons, beneficence, justice and integrity. Respect for persons requires that participants are treated with dignity and that their autonomy is recognised, particularly when working with young people who may be considered vulnerable. Beneficence involves minimising harm and ensuring that participation in the research does not negatively impact individuals. Justice relates to fairness in recruitment and participation, ensuring that no group is unfairly excluded or burdened. Integrity requires honesty, transparency and accountability throughout the research process.</w:t>
      </w:r>
    </w:p>
    <w:p w14:paraId="568CC7B8" w14:textId="77777777" w:rsidR="004D218D" w:rsidRPr="00717F7C" w:rsidRDefault="004D218D" w:rsidP="004D218D">
      <w:r w:rsidRPr="00717F7C">
        <w:t xml:space="preserve">These principles are reflected in established ethical frameworks such as the British Educational Research Association (BERA, 2024), which emphasises the importance of safeguarding participants and maintaining professional standards. When conducting research on sensitive topics such as teenage pregnancy, these principles become </w:t>
      </w:r>
      <w:r w:rsidRPr="00717F7C">
        <w:lastRenderedPageBreak/>
        <w:t>particularly important, as participants may be sharing personal and potentially distressing experiences.</w:t>
      </w:r>
      <w:r>
        <w:t xml:space="preserve">         </w:t>
      </w:r>
    </w:p>
    <w:p w14:paraId="71D6BE46" w14:textId="77777777" w:rsidR="004D218D" w:rsidRPr="00717F7C" w:rsidRDefault="004D218D" w:rsidP="004D218D">
      <w:pPr>
        <w:rPr>
          <w:b/>
          <w:bCs/>
        </w:rPr>
      </w:pPr>
      <w:r w:rsidRPr="00717F7C">
        <w:rPr>
          <w:b/>
          <w:bCs/>
        </w:rPr>
        <w:t>Informed Consent and Assent</w:t>
      </w:r>
    </w:p>
    <w:p w14:paraId="564E7ADD" w14:textId="77777777" w:rsidR="004D218D" w:rsidRPr="00717F7C" w:rsidRDefault="004D218D" w:rsidP="004D218D">
      <w:r w:rsidRPr="00717F7C">
        <w:t>Informed consent is a fundamental aspect of ethical research practice and ensures that participants understand the purpose, procedures and potential risks of the study before agreeing to take part. In this research, participants will be provided with a detailed information sheet outlining the aims of the study, what participation involves, and how their data will be used. This information will be presented in clear, accessible language to ensure comprehension.</w:t>
      </w:r>
    </w:p>
    <w:p w14:paraId="1BCC5ECF" w14:textId="77777777" w:rsidR="004D218D" w:rsidRPr="00717F7C" w:rsidRDefault="004D218D" w:rsidP="004D218D">
      <w:r w:rsidRPr="00717F7C">
        <w:t>Participants will be informed that their involvement is entirely voluntary and that they have the right to withdraw at any stage without consequence. For participants under the age of 18, additional considerations will be required. In line with ethical guidance for research with children and young people, parental or guardian consent may be obtained alongside the young person’s assent (Alderson and Morrow, 2011). However, it is also important to consider the young person’s right to confidentiality and autonomy, particularly in cases where involving parents may not be appropriate.</w:t>
      </w:r>
    </w:p>
    <w:p w14:paraId="0A5DDB9B" w14:textId="77777777" w:rsidR="004D218D" w:rsidRPr="00717F7C" w:rsidRDefault="004D218D" w:rsidP="004D218D">
      <w:r w:rsidRPr="00717F7C">
        <w:t>The process of obtaining consent will be ongoing rather than a one-time event, allowing participants to revisit their decision throughout the research. This approach reflects good ethical practice and ensures that participants remain comfortable and informed throughout their involvement</w:t>
      </w:r>
    </w:p>
    <w:p w14:paraId="4DBE89D2" w14:textId="77777777" w:rsidR="004D218D" w:rsidRPr="00717F7C" w:rsidRDefault="004D218D" w:rsidP="004D218D">
      <w:pPr>
        <w:rPr>
          <w:b/>
          <w:bCs/>
        </w:rPr>
      </w:pPr>
      <w:r w:rsidRPr="00717F7C">
        <w:rPr>
          <w:b/>
          <w:bCs/>
        </w:rPr>
        <w:t>Confidentiality and Data Protection</w:t>
      </w:r>
    </w:p>
    <w:p w14:paraId="21BA2631" w14:textId="77777777" w:rsidR="004D218D" w:rsidRPr="00717F7C" w:rsidRDefault="004D218D" w:rsidP="004D218D">
      <w:r w:rsidRPr="00717F7C">
        <w:t>Confidentiality is a key ethical consideration, particularly when dealing with sensitive topics such as teenage pregnancy. In this research, all participants will be assured that their identities will remain confidential. Pseudonyms will be used in all transcripts, reports and publications, and any identifying details will be removed to prevent recognition.</w:t>
      </w:r>
    </w:p>
    <w:p w14:paraId="7D57E4AA" w14:textId="77777777" w:rsidR="004D218D" w:rsidRPr="00717F7C" w:rsidRDefault="004D218D" w:rsidP="004D218D">
      <w:r w:rsidRPr="00717F7C">
        <w:t>Data protection will be managed in accordance with the General Data Protection Regulation (GDPR). All data will be stored securely on password-protected devices, and access will be limited to the researcher and their academic supervisor. Audio recordings and transcripts will be encrypted and stored securely, and data will be retained only for the duration required by institutional guidelines before being safely destroyed.</w:t>
      </w:r>
    </w:p>
    <w:p w14:paraId="2FEC36CF" w14:textId="77777777" w:rsidR="004D218D" w:rsidRPr="00717F7C" w:rsidRDefault="004D218D" w:rsidP="004D218D">
      <w:r w:rsidRPr="00717F7C">
        <w:t>Participants will also be informed about who will have access to their data and how it will be used. This transparency is essential in building trust and ensuring that participants feel confident in sharing their experiences.</w:t>
      </w:r>
    </w:p>
    <w:p w14:paraId="13FF7027" w14:textId="77777777" w:rsidR="004D218D" w:rsidRPr="00717F7C" w:rsidRDefault="004D218D" w:rsidP="004D218D">
      <w:pPr>
        <w:rPr>
          <w:b/>
          <w:bCs/>
        </w:rPr>
      </w:pPr>
      <w:r>
        <w:br/>
      </w:r>
      <w:r>
        <w:br/>
      </w:r>
      <w:r>
        <w:lastRenderedPageBreak/>
        <w:br/>
      </w:r>
      <w:r>
        <w:br/>
      </w:r>
      <w:r w:rsidRPr="00717F7C">
        <w:rPr>
          <w:b/>
          <w:bCs/>
        </w:rPr>
        <w:t>Risks to Participants and Risk Management</w:t>
      </w:r>
    </w:p>
    <w:p w14:paraId="497E508C" w14:textId="561B4D3B" w:rsidR="004D218D" w:rsidRPr="00717F7C" w:rsidRDefault="004D218D" w:rsidP="004D218D">
      <w:r w:rsidRPr="00717F7C">
        <w:t>Research on teenage pregnancy carries potential risks for participants, particularly in relation to emotional wellbeing. Discussing personal experiences may evoke feelings of distress, anxiety or discomfort</w:t>
      </w:r>
      <w:r w:rsidR="004B16EC">
        <w:t xml:space="preserve"> </w:t>
      </w:r>
      <w:r w:rsidR="00593746" w:rsidRPr="00593746">
        <w:t>(British Psychological Society, 2021).</w:t>
      </w:r>
      <w:r w:rsidRPr="004B16EC">
        <w:rPr>
          <w:color w:val="FF0000"/>
        </w:rPr>
        <w:t xml:space="preserve"> </w:t>
      </w:r>
      <w:r w:rsidRPr="00717F7C">
        <w:t>There is also a risk of social or reputational harm if confidentiality is breached, particularly in small communities where individuals may be identifiable.</w:t>
      </w:r>
    </w:p>
    <w:p w14:paraId="0DE4F689" w14:textId="77777777" w:rsidR="004D218D" w:rsidRPr="00717F7C" w:rsidRDefault="004D218D" w:rsidP="004D218D">
      <w:r w:rsidRPr="00717F7C">
        <w:t>To minimise these risks, several strategies will be implemented. Interviews will be conducted in a safe and supportive environment, either in person or online, depending on participant preference. Participants will be reminded that they can decline to answer any questions and may withdraw from the study at any time. In addition, information about support services, such as counselling or youth support organisations, will be provided if needed.</w:t>
      </w:r>
    </w:p>
    <w:p w14:paraId="23D299EC" w14:textId="77777777" w:rsidR="004D218D" w:rsidRPr="00717F7C" w:rsidRDefault="004D218D" w:rsidP="004D218D">
      <w:r w:rsidRPr="00717F7C">
        <w:t>Safeguarding is another critical consideration. If a participant discloses information indicating that they or someone else is at risk of harm, the researcher has a duty to act in accordance with safeguarding procedures. This may involve reporting the concern to appropriate authorities while ensuring that the participant is supported throughout the process.</w:t>
      </w:r>
    </w:p>
    <w:p w14:paraId="6167B665" w14:textId="77777777" w:rsidR="004D218D" w:rsidRPr="00717F7C" w:rsidRDefault="004D218D" w:rsidP="004D218D">
      <w:pPr>
        <w:rPr>
          <w:b/>
          <w:bCs/>
        </w:rPr>
      </w:pPr>
      <w:r>
        <w:br/>
      </w:r>
      <w:r w:rsidRPr="00717F7C">
        <w:rPr>
          <w:b/>
          <w:bCs/>
        </w:rPr>
        <w:t>Risks to the Researcher</w:t>
      </w:r>
    </w:p>
    <w:p w14:paraId="62CD1B5A" w14:textId="77777777" w:rsidR="004D218D" w:rsidRPr="00717F7C" w:rsidRDefault="004D218D" w:rsidP="004D218D">
      <w:r w:rsidRPr="00717F7C">
        <w:t>In addition to risks faced by participants, it is important to consider the potential impact on the researcher. Engaging with sensitive topics such as teenage pregnancy may lead to emotional strain, particularly if participants share difficult or traumatic experiences. There may also be challenges related to role conflict, especially if the researcher has a background in youth work and is perceived as a practitioner rather than a researcher.</w:t>
      </w:r>
    </w:p>
    <w:p w14:paraId="719F43A7" w14:textId="77777777" w:rsidR="004D218D" w:rsidRPr="00717F7C" w:rsidRDefault="004D218D" w:rsidP="004D218D">
      <w:r w:rsidRPr="00717F7C">
        <w:t>These risks will be managed through regular supervision and reflective practice. Engaging in supervision sessions will provide an opportunity to discuss challenges, process emotional responses and ensure that appropriate boundaries are maintained. The researcher will also adhere to institutional policies regarding lone working and safety, particularly when conducting interviews in community settings.</w:t>
      </w:r>
    </w:p>
    <w:p w14:paraId="05F35675" w14:textId="77777777" w:rsidR="004D218D" w:rsidRPr="00717F7C" w:rsidRDefault="004D218D" w:rsidP="004D218D">
      <w:pPr>
        <w:rPr>
          <w:b/>
          <w:bCs/>
        </w:rPr>
      </w:pPr>
      <w:r w:rsidRPr="00717F7C">
        <w:rPr>
          <w:b/>
          <w:bCs/>
        </w:rPr>
        <w:t>Power Dynamics and Inclusion</w:t>
      </w:r>
    </w:p>
    <w:p w14:paraId="6348727C" w14:textId="6F6D2EDB" w:rsidR="004D218D" w:rsidRPr="00717F7C" w:rsidRDefault="004D218D" w:rsidP="004D218D">
      <w:r w:rsidRPr="00717F7C">
        <w:t>Power dynamics are an important consideration in research involving young people</w:t>
      </w:r>
      <w:r w:rsidR="004B16EC">
        <w:t xml:space="preserve"> </w:t>
      </w:r>
      <w:r w:rsidR="00593746" w:rsidRPr="00593746">
        <w:t>(Economic and Social Research Council, 2023)</w:t>
      </w:r>
      <w:r w:rsidRPr="00717F7C">
        <w:t>. As an adult researcher, there is an inherent power imbalance that may influence how participants respond or engage with the study. This is further complicated if the researcher is also a practitioner within the same setting.</w:t>
      </w:r>
    </w:p>
    <w:p w14:paraId="6D5CF0C9" w14:textId="77777777" w:rsidR="004D218D" w:rsidRPr="00717F7C" w:rsidRDefault="004D218D" w:rsidP="004D218D">
      <w:r w:rsidRPr="00717F7C">
        <w:lastRenderedPageBreak/>
        <w:t>To address these issues, the research will adopt a participatory and inclusive approach. Efforts will be made to create a comfortable and non-judgemental environment in which participants feel able to express their views openly. The researcher will emphasise that there are no right or wrong answers and that participants are the experts in their own experiences.</w:t>
      </w:r>
    </w:p>
    <w:p w14:paraId="218E44E2" w14:textId="56E7F678" w:rsidR="004D218D" w:rsidRPr="00717F7C" w:rsidRDefault="004D218D" w:rsidP="004D218D">
      <w:r w:rsidRPr="00717F7C">
        <w:t>Inclusion will also be considered in terms of ensuring that diverse voices are represented. Teenage pregnancy is often associated with marginalised groups</w:t>
      </w:r>
      <w:r w:rsidR="004B16EC">
        <w:t xml:space="preserve"> </w:t>
      </w:r>
      <w:r w:rsidR="00593746" w:rsidRPr="00593746">
        <w:t>(Public Health England, 2018)</w:t>
      </w:r>
      <w:r w:rsidRPr="00717F7C">
        <w:t>, and it is important that the research does not reinforce stereotypes or exclude certain perspectives. This approach aligns with the principles of equity and justice in ethical research practice</w:t>
      </w:r>
      <w:r w:rsidR="004B16EC">
        <w:t xml:space="preserve"> (</w:t>
      </w:r>
      <w:r w:rsidR="00593746" w:rsidRPr="00593746">
        <w:t>British Educational Research Association, 2018)</w:t>
      </w:r>
      <w:r w:rsidRPr="00717F7C">
        <w:t>.</w:t>
      </w:r>
    </w:p>
    <w:p w14:paraId="69F5614C" w14:textId="77777777" w:rsidR="004D218D" w:rsidRPr="00717F7C" w:rsidRDefault="004D218D" w:rsidP="004D218D">
      <w:pPr>
        <w:rPr>
          <w:b/>
          <w:bCs/>
        </w:rPr>
      </w:pPr>
      <w:r w:rsidRPr="00717F7C">
        <w:rPr>
          <w:b/>
          <w:bCs/>
        </w:rPr>
        <w:t>Working with Vulnerable Groups</w:t>
      </w:r>
    </w:p>
    <w:p w14:paraId="05A2A097" w14:textId="362A5278" w:rsidR="004D218D" w:rsidRPr="00717F7C" w:rsidRDefault="004D218D" w:rsidP="004D218D">
      <w:r w:rsidRPr="00717F7C">
        <w:t>Teenage parents are often considered a vulnerable group due to their age, social circumstances and potential exposure to stigma or disadvantage</w:t>
      </w:r>
      <w:r w:rsidR="004B16EC">
        <w:t xml:space="preserve"> (</w:t>
      </w:r>
      <w:r w:rsidR="001B4B0E" w:rsidRPr="001B4B0E">
        <w:t>Department for Education, 2019).</w:t>
      </w:r>
      <w:r w:rsidR="001B4B0E">
        <w:t xml:space="preserve"> </w:t>
      </w:r>
      <w:r w:rsidRPr="00717F7C">
        <w:t>As such, additional ethical considerations are required when working with this population.</w:t>
      </w:r>
    </w:p>
    <w:p w14:paraId="4AF77D9F" w14:textId="77777777" w:rsidR="004D218D" w:rsidRPr="00717F7C" w:rsidRDefault="004D218D" w:rsidP="004D218D">
      <w:r w:rsidRPr="00717F7C">
        <w:t>Gatekeepers, such as youth workers or support organisations, may play a role in facilitating access to participants. While gatekeepers can be helpful in ensuring that participants are supported, it is important to ensure that their involvement does not compromise the voluntary nature of participation.</w:t>
      </w:r>
    </w:p>
    <w:p w14:paraId="139B2284" w14:textId="77777777" w:rsidR="004D218D" w:rsidRPr="00717F7C" w:rsidRDefault="004D218D" w:rsidP="004D218D">
      <w:r w:rsidRPr="00717F7C">
        <w:t>Safeguarding procedures will be strictly followed, and the researcher will be aware of their responsibilities in relation to mandatory reporting. Balancing confidentiality with the duty to protect participants is a key challenge in this context, requiring careful ethical judgement.</w:t>
      </w:r>
    </w:p>
    <w:p w14:paraId="4187EF0E" w14:textId="77777777" w:rsidR="004D218D" w:rsidRPr="00717F7C" w:rsidRDefault="004D218D" w:rsidP="004D218D">
      <w:pPr>
        <w:rPr>
          <w:b/>
          <w:bCs/>
        </w:rPr>
      </w:pPr>
      <w:r w:rsidRPr="00717F7C">
        <w:rPr>
          <w:b/>
          <w:bCs/>
        </w:rPr>
        <w:t>Digital and Online Research Considerations</w:t>
      </w:r>
    </w:p>
    <w:p w14:paraId="16EAC268" w14:textId="77777777" w:rsidR="004D218D" w:rsidRPr="00717F7C" w:rsidRDefault="004D218D" w:rsidP="004D218D">
      <w:r w:rsidRPr="00717F7C">
        <w:t>If the research involves online interviews or digital communication, additional ethical considerations must be addressed. Online platforms can present risks related to privacy and data security, as well as challenges in ensuring informed consent.</w:t>
      </w:r>
    </w:p>
    <w:p w14:paraId="4730CCD9" w14:textId="77777777" w:rsidR="004D218D" w:rsidRPr="00717F7C" w:rsidRDefault="004D218D" w:rsidP="004D218D">
      <w:r w:rsidRPr="00717F7C">
        <w:t>To address these issues, secure platforms such as Microsoft Teams will be used, and participants will be informed about how their data will be stored and protected. Consent will be obtained prior to recording any interviews, and participants will be made aware of any potential risks associated with online communication.</w:t>
      </w:r>
    </w:p>
    <w:p w14:paraId="362F7C18" w14:textId="77777777" w:rsidR="004D218D" w:rsidRDefault="004D218D" w:rsidP="004D218D">
      <w:r w:rsidRPr="00717F7C">
        <w:t>Consideration will also be given to the digital divide, as not all participants may have equal access to technology. Providing flexible options for participation will help to ensure inclusivity.</w:t>
      </w:r>
    </w:p>
    <w:p w14:paraId="20DF5454" w14:textId="77777777" w:rsidR="004B16EC" w:rsidRDefault="004B16EC" w:rsidP="004D218D"/>
    <w:p w14:paraId="1504C7DD" w14:textId="77777777" w:rsidR="004B16EC" w:rsidRPr="00717F7C" w:rsidRDefault="004B16EC" w:rsidP="004D218D"/>
    <w:p w14:paraId="56B887B3" w14:textId="77777777" w:rsidR="004D218D" w:rsidRPr="00717F7C" w:rsidRDefault="004D218D" w:rsidP="004D218D">
      <w:pPr>
        <w:rPr>
          <w:b/>
          <w:bCs/>
        </w:rPr>
      </w:pPr>
      <w:r w:rsidRPr="00717F7C">
        <w:rPr>
          <w:b/>
          <w:bCs/>
        </w:rPr>
        <w:t>Ethical Dilemma</w:t>
      </w:r>
    </w:p>
    <w:p w14:paraId="675EF4CF" w14:textId="31EEF971" w:rsidR="004D218D" w:rsidRPr="00717F7C" w:rsidRDefault="004D218D" w:rsidP="004D218D">
      <w:r w:rsidRPr="00717F7C">
        <w:t>An example of an ethical dilemma that may arise in this research involves a participant disclosing information about abuse or neglect. In such cases, the researcher is faced with the challenge of balancing confidentiality with the duty to protect the participant.</w:t>
      </w:r>
      <w:r w:rsidR="004B16EC">
        <w:t xml:space="preserve"> </w:t>
      </w:r>
      <w:r w:rsidRPr="00717F7C">
        <w:t>The appropriate response would be to follow safeguarding procedures, which may involve reporting the disclosure to relevant authorities. Participants will be informed at the outset that confidentiality may be broken if there is a risk of harm. While this may impact trust, it is essential to prioritise the safety and wellbeing of the participant</w:t>
      </w:r>
      <w:r w:rsidR="004B16EC">
        <w:t xml:space="preserve"> </w:t>
      </w:r>
      <w:r w:rsidR="001B4B0E" w:rsidRPr="001B4B0E">
        <w:t>(National Society for the Prevention of Cruelty to Children, 2023)</w:t>
      </w:r>
      <w:r w:rsidRPr="00717F7C">
        <w:t>.</w:t>
      </w:r>
    </w:p>
    <w:p w14:paraId="40E2A522" w14:textId="77777777" w:rsidR="004D218D" w:rsidRPr="00717F7C" w:rsidRDefault="004D218D" w:rsidP="004D218D">
      <w:r w:rsidRPr="00717F7C">
        <w:t>This dilemma highlights the importance of ethical frameworks, such as those provided by BERA (2024), which emphasise the responsibility of researchers to act in the best interests of participants.</w:t>
      </w:r>
    </w:p>
    <w:p w14:paraId="51E5DBD9" w14:textId="77777777" w:rsidR="004D218D" w:rsidRPr="00717F7C" w:rsidRDefault="004D218D" w:rsidP="004D218D">
      <w:pPr>
        <w:rPr>
          <w:b/>
          <w:bCs/>
        </w:rPr>
      </w:pPr>
      <w:r w:rsidRPr="00717F7C">
        <w:rPr>
          <w:b/>
          <w:bCs/>
        </w:rPr>
        <w:t>Ethical Frameworks and Institutional Policies</w:t>
      </w:r>
    </w:p>
    <w:p w14:paraId="7A2FED25" w14:textId="4C85B608" w:rsidR="004D218D" w:rsidRPr="00717F7C" w:rsidRDefault="004D218D" w:rsidP="004D218D">
      <w:r w:rsidRPr="00717F7C">
        <w:t>This research is informed by a range of ethical frameworks and institutional policies, including the BERA Ethical Guidelines (2024)</w:t>
      </w:r>
      <w:r w:rsidR="00593746">
        <w:t xml:space="preserve">. </w:t>
      </w:r>
      <w:r w:rsidRPr="00717F7C">
        <w:t>These frameworks provide guidance on issues such as informed consent, confidentiality and safeguarding, ensuring that the research is conducted in a responsible and ethical manner.</w:t>
      </w:r>
    </w:p>
    <w:p w14:paraId="1BA99210" w14:textId="77777777" w:rsidR="004D218D" w:rsidRPr="00717F7C" w:rsidRDefault="004D218D" w:rsidP="004D218D">
      <w:r w:rsidRPr="00717F7C">
        <w:t>Importantly, ethical decision-making is not simply about following rules but involves critical reflection and judgement. This aligns with the expectations outlined in the assignment guidance, which emphasises the need to critically engage with ethical principles rather than simply describing them</w:t>
      </w:r>
    </w:p>
    <w:p w14:paraId="53553FC3" w14:textId="77777777" w:rsidR="004D218D" w:rsidRPr="00717F7C" w:rsidRDefault="004D218D" w:rsidP="004D218D">
      <w:pPr>
        <w:rPr>
          <w:b/>
          <w:bCs/>
        </w:rPr>
      </w:pPr>
      <w:r w:rsidRPr="00717F7C">
        <w:rPr>
          <w:b/>
          <w:bCs/>
        </w:rPr>
        <w:t>Researcher Positionality</w:t>
      </w:r>
    </w:p>
    <w:p w14:paraId="087BEE6A" w14:textId="39B12687" w:rsidR="004D218D" w:rsidRPr="00717F7C" w:rsidRDefault="004D218D" w:rsidP="004D218D">
      <w:r w:rsidRPr="00717F7C">
        <w:t>The researcher’s positionality plays a significant role in shaping the research process. Personal values, experiences and assumptions can influence how data is collected, interpreted and presented</w:t>
      </w:r>
      <w:r w:rsidR="004B16EC">
        <w:t xml:space="preserve"> (</w:t>
      </w:r>
      <w:r w:rsidR="00593746" w:rsidRPr="00593746">
        <w:t>Charmaz, 2014)</w:t>
      </w:r>
      <w:r w:rsidRPr="00717F7C">
        <w:t>. In this study, it is important to reflect on any preconceived ideas about teenage pregnancy and to remain open to participants’ perspectives.</w:t>
      </w:r>
    </w:p>
    <w:p w14:paraId="1576126E" w14:textId="77777777" w:rsidR="004D218D" w:rsidRPr="00717F7C" w:rsidRDefault="004D218D" w:rsidP="004D218D">
      <w:r w:rsidRPr="00717F7C">
        <w:t>Engaging in reflexive practice will help to identify and address potential biases. This may involve keeping a reflective journal and discussing insights with a supervisor. By acknowledging positionality, the researcher can enhance the credibility and ethical integrity of the study.</w:t>
      </w:r>
    </w:p>
    <w:p w14:paraId="6DADC918" w14:textId="77777777" w:rsidR="004D218D" w:rsidRPr="00717F7C" w:rsidRDefault="004D218D" w:rsidP="004D218D">
      <w:pPr>
        <w:rPr>
          <w:b/>
          <w:bCs/>
        </w:rPr>
      </w:pPr>
      <w:r w:rsidRPr="00717F7C">
        <w:rPr>
          <w:b/>
          <w:bCs/>
        </w:rPr>
        <w:t>Reflection on Ethics and Professional Development</w:t>
      </w:r>
    </w:p>
    <w:p w14:paraId="3F089455" w14:textId="77777777" w:rsidR="004D218D" w:rsidRPr="00717F7C" w:rsidRDefault="004D218D" w:rsidP="004D218D">
      <w:r w:rsidRPr="00717F7C">
        <w:t xml:space="preserve">Engaging with ethical considerations in this research has highlighted the complexity of conducting research with young and potentially vulnerable participants. It has </w:t>
      </w:r>
      <w:r w:rsidRPr="00717F7C">
        <w:lastRenderedPageBreak/>
        <w:t>reinforced the importance of safeguarding, informed consent and confidentiality, as well as the need for ongoing reflection throughout the research process.</w:t>
      </w:r>
    </w:p>
    <w:p w14:paraId="472F4909" w14:textId="77777777" w:rsidR="004D218D" w:rsidRPr="00717F7C" w:rsidRDefault="004D218D" w:rsidP="004D218D">
      <w:r w:rsidRPr="00717F7C">
        <w:t>This experience has also contributed to the development of professional identity, particularly in relation to youth work practice. Understanding the ethical dimensions of research is essential for working effectively with young people and ensuring that their voices are heard in a respectful and responsible manner.</w:t>
      </w:r>
    </w:p>
    <w:p w14:paraId="7C11B508" w14:textId="77777777" w:rsidR="004D218D" w:rsidRPr="00717F7C" w:rsidRDefault="004D218D" w:rsidP="004D218D">
      <w:pPr>
        <w:rPr>
          <w:b/>
          <w:bCs/>
        </w:rPr>
      </w:pPr>
      <w:r w:rsidRPr="00717F7C">
        <w:rPr>
          <w:b/>
          <w:bCs/>
        </w:rPr>
        <w:t>Conclusion</w:t>
      </w:r>
    </w:p>
    <w:p w14:paraId="4E5B0125" w14:textId="77777777" w:rsidR="004D218D" w:rsidRPr="00717F7C" w:rsidRDefault="004D218D" w:rsidP="004D218D">
      <w:r w:rsidRPr="00717F7C">
        <w:t>In conclusion, this research proposal demonstrates a comprehensive and ethically informed approach to studying teenage pregnancy. By addressing key ethical principles, considering risks to participants and the researcher, and engaging in reflective practice, the study aligns with Level 5 expectations of critical understanding and ethical awareness.</w:t>
      </w:r>
    </w:p>
    <w:p w14:paraId="288BCB2F" w14:textId="114B55C2" w:rsidR="004D218D" w:rsidRPr="004D218D" w:rsidRDefault="00593746" w:rsidP="004D218D">
      <w:pPr>
        <w:rPr>
          <w:b/>
          <w:bCs/>
        </w:rPr>
      </w:pPr>
      <w:r w:rsidRPr="00593746">
        <w:t>The integration of ethical frameworks, practical strategies and reflexivity ensures that the research is both responsible and meaningful. Ultimately, this approach supports the development of research that contributes to improved understanding and practice within youth work and community settings, while upholding the ethical duties and professional responsibilities of the researcher.</w:t>
      </w:r>
      <w:r w:rsidR="004D218D">
        <w:br/>
      </w:r>
      <w:r w:rsidR="004D218D">
        <w:br/>
      </w:r>
      <w:r w:rsidR="004D218D">
        <w:br/>
      </w:r>
      <w:r w:rsidR="004D218D">
        <w:br/>
      </w:r>
      <w:r w:rsidR="004D218D">
        <w:br/>
      </w:r>
      <w:r w:rsidR="004D218D">
        <w:br/>
      </w:r>
      <w:r w:rsidR="004D218D">
        <w:br/>
      </w:r>
      <w:r w:rsidR="004D218D">
        <w:br/>
      </w:r>
      <w:r w:rsidR="004D218D">
        <w:br/>
      </w:r>
      <w:r w:rsidR="004D218D">
        <w:br/>
      </w:r>
      <w:r w:rsidR="004D218D">
        <w:br/>
      </w:r>
      <w:r w:rsidR="004D218D">
        <w:br/>
      </w:r>
      <w:r w:rsidR="004D218D">
        <w:br/>
      </w:r>
      <w:r w:rsidR="004D218D">
        <w:br/>
      </w:r>
      <w:r w:rsidR="004D218D">
        <w:br/>
      </w:r>
      <w:r w:rsidR="004D218D">
        <w:br/>
      </w:r>
      <w:r w:rsidR="004D218D">
        <w:br/>
      </w:r>
      <w:r w:rsidR="004D218D">
        <w:br/>
      </w:r>
      <w:r w:rsidR="004D218D">
        <w:br/>
      </w:r>
      <w:r w:rsidR="004D218D">
        <w:br/>
      </w:r>
      <w:r w:rsidR="004D218D">
        <w:br/>
      </w:r>
      <w:r w:rsidR="004D218D">
        <w:br/>
      </w:r>
      <w:r w:rsidR="004D218D">
        <w:br/>
      </w:r>
      <w:r w:rsidR="004D218D">
        <w:lastRenderedPageBreak/>
        <w:br/>
      </w:r>
      <w:r w:rsidR="004D218D">
        <w:br/>
      </w:r>
      <w:r w:rsidR="004D218D">
        <w:br/>
      </w:r>
      <w:r w:rsidR="004D218D" w:rsidRPr="004D218D">
        <w:rPr>
          <w:b/>
          <w:bCs/>
        </w:rPr>
        <w:t xml:space="preserve">Reference List </w:t>
      </w:r>
    </w:p>
    <w:p w14:paraId="15FE9B73" w14:textId="3C3C2985" w:rsidR="004D218D" w:rsidRPr="004D218D" w:rsidRDefault="004D218D" w:rsidP="004D218D">
      <w:r w:rsidRPr="004D218D">
        <w:t xml:space="preserve">Alderson, P. and Morrow, V. (2011) </w:t>
      </w:r>
      <w:r w:rsidRPr="004D218D">
        <w:rPr>
          <w:i/>
          <w:iCs/>
        </w:rPr>
        <w:t>The ethics of research with children and young people: a practical handbook</w:t>
      </w:r>
      <w:r w:rsidRPr="004D218D">
        <w:t>. London: SAGE.</w:t>
      </w:r>
      <w:r w:rsidR="001B4B0E">
        <w:br/>
      </w:r>
      <w:r w:rsidR="001B4B0E">
        <w:br/>
      </w:r>
      <w:r w:rsidR="001B4B0E" w:rsidRPr="001B4B0E">
        <w:t xml:space="preserve">Alderson, Priscilla and Morrow, Virginia (2011) </w:t>
      </w:r>
      <w:r w:rsidR="001B4B0E" w:rsidRPr="001B4B0E">
        <w:rPr>
          <w:i/>
          <w:iCs/>
        </w:rPr>
        <w:t>The ethics of research with children and young people: A practical handbook</w:t>
      </w:r>
      <w:r w:rsidR="001B4B0E" w:rsidRPr="001B4B0E">
        <w:t>. London: Sage.</w:t>
      </w:r>
    </w:p>
    <w:p w14:paraId="639E484B" w14:textId="77777777" w:rsidR="004D218D" w:rsidRPr="004D218D" w:rsidRDefault="004D218D" w:rsidP="004D218D">
      <w:r w:rsidRPr="004D218D">
        <w:t xml:space="preserve">Bell, J. and Waters, S. (2018) </w:t>
      </w:r>
      <w:r w:rsidRPr="004D218D">
        <w:rPr>
          <w:i/>
          <w:iCs/>
        </w:rPr>
        <w:t>Doing your research project: a guide for first-time researchers</w:t>
      </w:r>
      <w:r w:rsidRPr="004D218D">
        <w:t xml:space="preserve">. 7th </w:t>
      </w:r>
      <w:proofErr w:type="spellStart"/>
      <w:r w:rsidRPr="004D218D">
        <w:t>edn</w:t>
      </w:r>
      <w:proofErr w:type="spellEnd"/>
      <w:r w:rsidRPr="004D218D">
        <w:t>. London: Open University Press.</w:t>
      </w:r>
    </w:p>
    <w:p w14:paraId="6D54BD5F" w14:textId="517CD0B3" w:rsidR="00593746" w:rsidRPr="00593746" w:rsidRDefault="004D218D" w:rsidP="00593746">
      <w:r w:rsidRPr="004D218D">
        <w:t xml:space="preserve">British Educational Research Association (2024) </w:t>
      </w:r>
      <w:r w:rsidRPr="004D218D">
        <w:rPr>
          <w:i/>
          <w:iCs/>
        </w:rPr>
        <w:t>Ethical guidelines for educational research</w:t>
      </w:r>
      <w:r w:rsidRPr="004D218D">
        <w:t xml:space="preserve">. 5th </w:t>
      </w:r>
      <w:proofErr w:type="spellStart"/>
      <w:r w:rsidRPr="004D218D">
        <w:t>edn</w:t>
      </w:r>
      <w:proofErr w:type="spellEnd"/>
      <w:r w:rsidRPr="004D218D">
        <w:t xml:space="preserve">. Available at: </w:t>
      </w:r>
      <w:hyperlink r:id="rId9" w:tgtFrame="_new" w:history="1">
        <w:r w:rsidRPr="004D218D">
          <w:rPr>
            <w:rStyle w:val="Hyperlink"/>
          </w:rPr>
          <w:t>https://www.bera.ac.uk</w:t>
        </w:r>
      </w:hyperlink>
      <w:r w:rsidRPr="004D218D">
        <w:t xml:space="preserve"> (Accessed: 30 March 2026).</w:t>
      </w:r>
      <w:r w:rsidR="00593746">
        <w:br/>
      </w:r>
      <w:r w:rsidR="00593746">
        <w:br/>
      </w:r>
      <w:r w:rsidR="00593746" w:rsidRPr="00593746">
        <w:t xml:space="preserve">British Educational Research Association (2018) </w:t>
      </w:r>
      <w:r w:rsidR="00593746" w:rsidRPr="00593746">
        <w:rPr>
          <w:i/>
          <w:iCs/>
        </w:rPr>
        <w:t>Ethical guidelines for educational research</w:t>
      </w:r>
      <w:r w:rsidR="00593746" w:rsidRPr="00593746">
        <w:t xml:space="preserve">. 4th </w:t>
      </w:r>
      <w:proofErr w:type="spellStart"/>
      <w:r w:rsidR="00593746" w:rsidRPr="00593746">
        <w:t>edn</w:t>
      </w:r>
      <w:proofErr w:type="spellEnd"/>
      <w:r w:rsidR="00593746" w:rsidRPr="00593746">
        <w:t>. London: BERA.</w:t>
      </w:r>
    </w:p>
    <w:p w14:paraId="4A4843F5" w14:textId="5A693E5B" w:rsidR="004D218D" w:rsidRPr="004D218D" w:rsidRDefault="00593746" w:rsidP="004D218D">
      <w:r w:rsidRPr="00593746">
        <w:t xml:space="preserve">British Psychological Society (2021) </w:t>
      </w:r>
      <w:r w:rsidRPr="00593746">
        <w:rPr>
          <w:i/>
          <w:iCs/>
        </w:rPr>
        <w:t>Code of Human Research Ethics</w:t>
      </w:r>
      <w:r w:rsidRPr="00593746">
        <w:t>. Leicester: British Psychological Society.</w:t>
      </w:r>
      <w:r>
        <w:br/>
      </w:r>
      <w:r>
        <w:br/>
      </w:r>
      <w:r w:rsidRPr="00593746">
        <w:t xml:space="preserve">Cathy Charmaz (2014) </w:t>
      </w:r>
      <w:r w:rsidRPr="00593746">
        <w:rPr>
          <w:i/>
          <w:iCs/>
        </w:rPr>
        <w:t>Constructing grounded theory</w:t>
      </w:r>
      <w:r w:rsidRPr="00593746">
        <w:t xml:space="preserve">. 2nd </w:t>
      </w:r>
      <w:proofErr w:type="spellStart"/>
      <w:r w:rsidRPr="00593746">
        <w:t>edn</w:t>
      </w:r>
      <w:proofErr w:type="spellEnd"/>
      <w:r w:rsidRPr="00593746">
        <w:t>. London: Sage.</w:t>
      </w:r>
    </w:p>
    <w:p w14:paraId="5163D842" w14:textId="77777777" w:rsidR="004D218D" w:rsidRPr="004D218D" w:rsidRDefault="004D218D" w:rsidP="004D218D">
      <w:r w:rsidRPr="004D218D">
        <w:t xml:space="preserve">Cohen, L., Manion, L. and Morrison, K. (2018) </w:t>
      </w:r>
      <w:r w:rsidRPr="004D218D">
        <w:rPr>
          <w:i/>
          <w:iCs/>
        </w:rPr>
        <w:t>Research methods in education</w:t>
      </w:r>
      <w:r w:rsidRPr="004D218D">
        <w:t xml:space="preserve">. 8th </w:t>
      </w:r>
      <w:proofErr w:type="spellStart"/>
      <w:r w:rsidRPr="004D218D">
        <w:t>edn</w:t>
      </w:r>
      <w:proofErr w:type="spellEnd"/>
      <w:r w:rsidRPr="004D218D">
        <w:t>. London: Routledge.</w:t>
      </w:r>
    </w:p>
    <w:p w14:paraId="7E6C3609" w14:textId="77777777" w:rsidR="004D218D" w:rsidRPr="004D218D" w:rsidRDefault="004D218D" w:rsidP="004D218D">
      <w:r w:rsidRPr="004D218D">
        <w:t xml:space="preserve">Denscombe, M. (2021) </w:t>
      </w:r>
      <w:r w:rsidRPr="004D218D">
        <w:rPr>
          <w:i/>
          <w:iCs/>
        </w:rPr>
        <w:t>The good research guide: for small-scale social research projects</w:t>
      </w:r>
      <w:r w:rsidRPr="004D218D">
        <w:t>. Maidenhead: McGraw-Hill/Open University Press.</w:t>
      </w:r>
    </w:p>
    <w:p w14:paraId="18620436" w14:textId="77777777" w:rsidR="004D218D" w:rsidRPr="004D218D" w:rsidRDefault="004D218D" w:rsidP="004D218D">
      <w:r w:rsidRPr="004D218D">
        <w:t xml:space="preserve">Durham University (2012) </w:t>
      </w:r>
      <w:r w:rsidRPr="004D218D">
        <w:rPr>
          <w:i/>
          <w:iCs/>
        </w:rPr>
        <w:t>Community-based participatory research: a guide to ethical principles and practice</w:t>
      </w:r>
      <w:r w:rsidRPr="004D218D">
        <w:t xml:space="preserve">. Available at: </w:t>
      </w:r>
      <w:hyperlink r:id="rId10" w:tgtFrame="_new" w:history="1">
        <w:r w:rsidRPr="004D218D">
          <w:rPr>
            <w:rStyle w:val="Hyperlink"/>
          </w:rPr>
          <w:t>https://www.dur.ac.uk/beacon/socialjustice/ethic-s_consultation/</w:t>
        </w:r>
      </w:hyperlink>
      <w:r w:rsidRPr="004D218D">
        <w:t xml:space="preserve"> (Accessed: 30 March 2026).</w:t>
      </w:r>
    </w:p>
    <w:p w14:paraId="034858B9" w14:textId="1061EEF7" w:rsidR="004D218D" w:rsidRPr="004D218D" w:rsidRDefault="004D218D" w:rsidP="004D218D">
      <w:proofErr w:type="spellStart"/>
      <w:r w:rsidRPr="004D218D">
        <w:t>Einola</w:t>
      </w:r>
      <w:proofErr w:type="spellEnd"/>
      <w:r w:rsidRPr="004D218D">
        <w:t xml:space="preserve">, K. and Alvesson, M. (2020) ‘Behind the numbers: questioning questionnaires’, </w:t>
      </w:r>
      <w:r w:rsidRPr="004D218D">
        <w:rPr>
          <w:i/>
          <w:iCs/>
        </w:rPr>
        <w:t>Journal of Management Inquiry</w:t>
      </w:r>
      <w:r w:rsidRPr="004D218D">
        <w:t>, 30(1), pp. 102–114.</w:t>
      </w:r>
      <w:r w:rsidR="00593746">
        <w:br/>
      </w:r>
      <w:r w:rsidR="00593746">
        <w:br/>
      </w:r>
      <w:r w:rsidR="00593746" w:rsidRPr="00593746">
        <w:t xml:space="preserve">Economic and Social Research Council (2023) </w:t>
      </w:r>
      <w:r w:rsidR="00593746" w:rsidRPr="00593746">
        <w:rPr>
          <w:i/>
          <w:iCs/>
        </w:rPr>
        <w:t>Framework for research ethics</w:t>
      </w:r>
      <w:r w:rsidR="00593746" w:rsidRPr="00593746">
        <w:t xml:space="preserve">. Available at: </w:t>
      </w:r>
      <w:hyperlink r:id="rId11" w:tgtFrame="_new" w:history="1">
        <w:r w:rsidR="00593746" w:rsidRPr="00593746">
          <w:rPr>
            <w:rStyle w:val="Hyperlink"/>
          </w:rPr>
          <w:t>https://www.ukri.org</w:t>
        </w:r>
      </w:hyperlink>
      <w:r w:rsidR="00593746" w:rsidRPr="00593746">
        <w:t xml:space="preserve"> (Accessed: 20 April 2026).</w:t>
      </w:r>
    </w:p>
    <w:p w14:paraId="0980612A" w14:textId="74992EFC" w:rsidR="004D218D" w:rsidRPr="004D218D" w:rsidRDefault="004D218D" w:rsidP="004D218D">
      <w:proofErr w:type="spellStart"/>
      <w:r w:rsidRPr="004D218D">
        <w:t>Sarantakos</w:t>
      </w:r>
      <w:proofErr w:type="spellEnd"/>
      <w:r w:rsidRPr="004D218D">
        <w:t xml:space="preserve">, S. (2000) </w:t>
      </w:r>
      <w:r w:rsidRPr="004D218D">
        <w:rPr>
          <w:i/>
          <w:iCs/>
        </w:rPr>
        <w:t>Social research</w:t>
      </w:r>
      <w:r w:rsidRPr="004D218D">
        <w:t>. Hampshire: Palgrave.</w:t>
      </w:r>
      <w:r w:rsidR="00593746">
        <w:br/>
      </w:r>
      <w:r w:rsidR="001B4B0E">
        <w:br/>
      </w:r>
      <w:r w:rsidR="001B4B0E" w:rsidRPr="001B4B0E">
        <w:t xml:space="preserve">Public Health England (2018) </w:t>
      </w:r>
      <w:r w:rsidR="001B4B0E" w:rsidRPr="001B4B0E">
        <w:rPr>
          <w:i/>
          <w:iCs/>
        </w:rPr>
        <w:t>Teenage pregnancy prevention framework</w:t>
      </w:r>
      <w:r w:rsidR="001B4B0E" w:rsidRPr="001B4B0E">
        <w:t>. London: Public Health England.</w:t>
      </w:r>
      <w:r w:rsidR="00593746">
        <w:br/>
      </w:r>
      <w:r w:rsidR="00593746" w:rsidRPr="00593746">
        <w:t xml:space="preserve">Office for National Statistics (2023) </w:t>
      </w:r>
      <w:r w:rsidR="00593746" w:rsidRPr="00593746">
        <w:rPr>
          <w:i/>
          <w:iCs/>
        </w:rPr>
        <w:t>Teenage conceptions in England and Wales: 2021</w:t>
      </w:r>
      <w:r w:rsidR="00593746" w:rsidRPr="00593746">
        <w:t xml:space="preserve">. </w:t>
      </w:r>
      <w:r w:rsidR="00593746" w:rsidRPr="00593746">
        <w:lastRenderedPageBreak/>
        <w:t xml:space="preserve">Available at: </w:t>
      </w:r>
      <w:hyperlink r:id="rId12" w:tgtFrame="_new" w:history="1">
        <w:r w:rsidR="00593746" w:rsidRPr="00593746">
          <w:rPr>
            <w:rStyle w:val="Hyperlink"/>
          </w:rPr>
          <w:t>https://www.ons.gov.uk</w:t>
        </w:r>
      </w:hyperlink>
      <w:r w:rsidR="00593746" w:rsidRPr="00593746">
        <w:t xml:space="preserve"> (Accessed: 20 April 2026).</w:t>
      </w:r>
      <w:r w:rsidR="001B4B0E">
        <w:br/>
      </w:r>
      <w:r w:rsidR="001B4B0E">
        <w:br/>
      </w:r>
      <w:r w:rsidR="001B4B0E" w:rsidRPr="001B4B0E">
        <w:t xml:space="preserve">National Society for the Prevention of Cruelty to Children (2023) </w:t>
      </w:r>
      <w:r w:rsidR="001B4B0E" w:rsidRPr="001B4B0E">
        <w:rPr>
          <w:i/>
          <w:iCs/>
        </w:rPr>
        <w:t>Safeguarding and child protection in research</w:t>
      </w:r>
      <w:r w:rsidR="001B4B0E" w:rsidRPr="001B4B0E">
        <w:t xml:space="preserve">. Available at: </w:t>
      </w:r>
      <w:hyperlink r:id="rId13" w:tgtFrame="_new" w:history="1">
        <w:r w:rsidR="001B4B0E" w:rsidRPr="001B4B0E">
          <w:rPr>
            <w:rStyle w:val="Hyperlink"/>
          </w:rPr>
          <w:t>https://www.nspcc.org.uk</w:t>
        </w:r>
      </w:hyperlink>
      <w:r w:rsidR="001B4B0E" w:rsidRPr="001B4B0E">
        <w:t xml:space="preserve"> (Accessed: 20 April 2026).</w:t>
      </w:r>
    </w:p>
    <w:p w14:paraId="1D1C4554" w14:textId="77777777" w:rsidR="004D218D" w:rsidRPr="004D218D" w:rsidRDefault="004D218D" w:rsidP="004D218D">
      <w:r w:rsidRPr="004D218D">
        <w:t xml:space="preserve">Welsh Government (2007) </w:t>
      </w:r>
      <w:r w:rsidRPr="004D218D">
        <w:rPr>
          <w:i/>
          <w:iCs/>
        </w:rPr>
        <w:t>Young people, youth work, youth service: National youth service strategy for Wales</w:t>
      </w:r>
      <w:r w:rsidRPr="004D218D">
        <w:t>. Cardiff: Welsh Assembly Government. Available at: Youth Work Strategy for Wales - 2007.pdf (Accessed: 30 March 2026).</w:t>
      </w:r>
    </w:p>
    <w:p w14:paraId="609C7368" w14:textId="77777777" w:rsidR="004D218D" w:rsidRPr="004D218D" w:rsidRDefault="004D218D" w:rsidP="004D218D">
      <w:r w:rsidRPr="004D218D">
        <w:t xml:space="preserve">Welsh Government (2014) </w:t>
      </w:r>
      <w:r w:rsidRPr="004D218D">
        <w:rPr>
          <w:i/>
          <w:iCs/>
        </w:rPr>
        <w:t>The national youth work strategy for Wales 2014–2018: Supporting young people to reach their potential and live fulfilled lives</w:t>
      </w:r>
      <w:r w:rsidRPr="004D218D">
        <w:t>. Cardiff: Welsh Government. Available at: Youth Work Strategy for Wales - 2014.pdf (Accessed: 30 March 2026).</w:t>
      </w:r>
    </w:p>
    <w:p w14:paraId="6D044DCF" w14:textId="77777777" w:rsidR="004D218D" w:rsidRPr="004D218D" w:rsidRDefault="004D218D" w:rsidP="004D218D">
      <w:r w:rsidRPr="004D218D">
        <w:t xml:space="preserve">Welsh Government (2019) </w:t>
      </w:r>
      <w:r w:rsidRPr="004D218D">
        <w:rPr>
          <w:i/>
          <w:iCs/>
        </w:rPr>
        <w:t>Youth work strategy for Wales</w:t>
      </w:r>
      <w:r w:rsidRPr="004D218D">
        <w:t xml:space="preserve">. Cardiff: Welsh Government. Available at: </w:t>
      </w:r>
      <w:hyperlink r:id="rId14" w:tgtFrame="_new" w:history="1">
        <w:r w:rsidRPr="004D218D">
          <w:rPr>
            <w:rStyle w:val="Hyperlink"/>
          </w:rPr>
          <w:t>https://www.gov.wales</w:t>
        </w:r>
      </w:hyperlink>
      <w:r w:rsidRPr="004D218D">
        <w:t xml:space="preserve"> (Accessed: 30 March 2026).</w:t>
      </w:r>
    </w:p>
    <w:p w14:paraId="5929EB72" w14:textId="77777777" w:rsidR="004D218D" w:rsidRPr="004D218D" w:rsidRDefault="004D218D" w:rsidP="004D218D">
      <w:r w:rsidRPr="004D218D">
        <w:t xml:space="preserve">Welsh Government (2024) </w:t>
      </w:r>
      <w:r w:rsidRPr="004D218D">
        <w:rPr>
          <w:i/>
          <w:iCs/>
        </w:rPr>
        <w:t>Youth work in Wales: delivering for young people (draft guidance)</w:t>
      </w:r>
      <w:r w:rsidRPr="004D218D">
        <w:t xml:space="preserve">. Available at: </w:t>
      </w:r>
      <w:hyperlink r:id="rId15" w:tgtFrame="_new" w:history="1">
        <w:r w:rsidRPr="004D218D">
          <w:rPr>
            <w:rStyle w:val="Hyperlink"/>
          </w:rPr>
          <w:t>https://www.gov.wales</w:t>
        </w:r>
      </w:hyperlink>
      <w:r w:rsidRPr="004D218D">
        <w:t xml:space="preserve"> (Accessed: 30 March 2026).</w:t>
      </w:r>
    </w:p>
    <w:p w14:paraId="383A47F6" w14:textId="77777777" w:rsidR="004D218D" w:rsidRPr="004D218D" w:rsidRDefault="004D218D" w:rsidP="004D218D">
      <w:r w:rsidRPr="004D218D">
        <w:t xml:space="preserve">Williams, S. and Richardson, R. (2024) ‘What do JNC youth workers conceive of as “professional maturity” in youth work practice’, </w:t>
      </w:r>
      <w:r w:rsidRPr="004D218D">
        <w:rPr>
          <w:i/>
          <w:iCs/>
        </w:rPr>
        <w:t>Journal of Applied Youth Studies</w:t>
      </w:r>
      <w:r w:rsidRPr="004D218D">
        <w:t>, 7, pp. 157–176.</w:t>
      </w:r>
    </w:p>
    <w:p w14:paraId="2EE77026" w14:textId="77777777" w:rsidR="004D218D" w:rsidRPr="004D218D" w:rsidRDefault="004D218D" w:rsidP="004D218D">
      <w:r w:rsidRPr="004D218D">
        <w:t xml:space="preserve">Youth Work in Wales Review Group (2022) </w:t>
      </w:r>
      <w:r w:rsidRPr="004D218D">
        <w:rPr>
          <w:i/>
          <w:iCs/>
        </w:rPr>
        <w:t>Youth work in Wales: principles and purposes</w:t>
      </w:r>
      <w:r w:rsidRPr="004D218D">
        <w:t xml:space="preserve">. Available at: </w:t>
      </w:r>
      <w:hyperlink r:id="rId16" w:tgtFrame="_new" w:history="1">
        <w:r w:rsidRPr="004D218D">
          <w:rPr>
            <w:rStyle w:val="Hyperlink"/>
          </w:rPr>
          <w:t>https://www.cwvys.org.uk</w:t>
        </w:r>
      </w:hyperlink>
      <w:r w:rsidRPr="004D218D">
        <w:t xml:space="preserve"> (Accessed: 30 March 2026).</w:t>
      </w:r>
    </w:p>
    <w:p w14:paraId="67EC3FF9" w14:textId="6F267000" w:rsidR="004D218D" w:rsidRDefault="004D218D">
      <w:r w:rsidRPr="004D218D">
        <w:rPr>
          <w:b/>
          <w:bCs/>
        </w:rPr>
        <w:t xml:space="preserve">Appendix </w:t>
      </w:r>
      <w:r>
        <w:br/>
        <w:t>I have not used AI to support my work</w:t>
      </w:r>
      <w:r>
        <w:br/>
      </w:r>
      <w:r>
        <w:br/>
      </w:r>
    </w:p>
    <w:sectPr w:rsidR="004D218D">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DBCD18" w14:textId="77777777" w:rsidR="00BC6ADD" w:rsidRDefault="00BC6ADD" w:rsidP="004D218D">
      <w:pPr>
        <w:spacing w:after="0" w:line="240" w:lineRule="auto"/>
      </w:pPr>
      <w:r>
        <w:separator/>
      </w:r>
    </w:p>
  </w:endnote>
  <w:endnote w:type="continuationSeparator" w:id="0">
    <w:p w14:paraId="1A4B0641" w14:textId="77777777" w:rsidR="00BC6ADD" w:rsidRDefault="00BC6ADD" w:rsidP="004D21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1842266"/>
      <w:docPartObj>
        <w:docPartGallery w:val="Page Numbers (Bottom of Page)"/>
        <w:docPartUnique/>
      </w:docPartObj>
    </w:sdtPr>
    <w:sdtContent>
      <w:p w14:paraId="5BDD1940" w14:textId="4A2C0132" w:rsidR="004D218D" w:rsidRDefault="004D218D">
        <w:pPr>
          <w:pStyle w:val="Footer"/>
          <w:jc w:val="center"/>
        </w:pPr>
        <w:r>
          <w:fldChar w:fldCharType="begin"/>
        </w:r>
        <w:r>
          <w:instrText>PAGE   \* MERGEFORMAT</w:instrText>
        </w:r>
        <w:r>
          <w:fldChar w:fldCharType="separate"/>
        </w:r>
        <w:r>
          <w:t>2</w:t>
        </w:r>
        <w:r>
          <w:fldChar w:fldCharType="end"/>
        </w:r>
      </w:p>
    </w:sdtContent>
  </w:sdt>
  <w:p w14:paraId="45147536" w14:textId="77777777" w:rsidR="004D218D" w:rsidRDefault="004D21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320660" w14:textId="77777777" w:rsidR="00BC6ADD" w:rsidRDefault="00BC6ADD" w:rsidP="004D218D">
      <w:pPr>
        <w:spacing w:after="0" w:line="240" w:lineRule="auto"/>
      </w:pPr>
      <w:r>
        <w:separator/>
      </w:r>
    </w:p>
  </w:footnote>
  <w:footnote w:type="continuationSeparator" w:id="0">
    <w:p w14:paraId="4CA606CE" w14:textId="77777777" w:rsidR="00BC6ADD" w:rsidRDefault="00BC6ADD" w:rsidP="004D21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4B244D" w14:textId="3740BCE9" w:rsidR="004D218D" w:rsidRDefault="00000000">
    <w:pPr>
      <w:pStyle w:val="Header"/>
    </w:pPr>
    <w:sdt>
      <w:sdtPr>
        <w:rPr>
          <w:rFonts w:asciiTheme="majorHAnsi" w:eastAsiaTheme="majorEastAsia" w:hAnsiTheme="majorHAnsi" w:cstheme="majorBidi"/>
          <w:color w:val="156082" w:themeColor="accent1"/>
        </w:rPr>
        <w:alias w:val="Title"/>
        <w:id w:val="78404852"/>
        <w:placeholder>
          <w:docPart w:val="34DD578D0CD24B2989183BCD9574152F"/>
        </w:placeholder>
        <w:dataBinding w:prefixMappings="xmlns:ns0='http://schemas.openxmlformats.org/package/2006/metadata/core-properties' xmlns:ns1='http://purl.org/dc/elements/1.1/'" w:xpath="/ns0:coreProperties[1]/ns1:title[1]" w:storeItemID="{6C3C8BC8-F283-45AE-878A-BAB7291924A1}"/>
        <w:text/>
      </w:sdtPr>
      <w:sdtContent>
        <w:r w:rsidR="004D218D">
          <w:rPr>
            <w:rFonts w:asciiTheme="majorHAnsi" w:eastAsiaTheme="majorEastAsia" w:hAnsiTheme="majorHAnsi" w:cstheme="majorBidi"/>
            <w:color w:val="156082" w:themeColor="accent1"/>
          </w:rPr>
          <w:t>ECYW5007</w:t>
        </w:r>
      </w:sdtContent>
    </w:sdt>
    <w:r w:rsidR="004D218D">
      <w:rPr>
        <w:rFonts w:asciiTheme="majorHAnsi" w:eastAsiaTheme="majorEastAsia" w:hAnsiTheme="majorHAnsi" w:cstheme="majorBidi"/>
        <w:color w:val="156082" w:themeColor="accent1"/>
      </w:rPr>
      <w:ptab w:relativeTo="margin" w:alignment="right" w:leader="none"/>
    </w:r>
    <w:sdt>
      <w:sdtPr>
        <w:rPr>
          <w:rFonts w:asciiTheme="majorHAnsi" w:eastAsiaTheme="majorEastAsia" w:hAnsiTheme="majorHAnsi" w:cstheme="majorBidi"/>
          <w:color w:val="156082" w:themeColor="accent1"/>
        </w:rPr>
        <w:alias w:val="Date"/>
        <w:id w:val="78404859"/>
        <w:placeholder>
          <w:docPart w:val="1C7433FCE6FE488686E9D53237C3C9DC"/>
        </w:placeholder>
        <w:dataBinding w:prefixMappings="xmlns:ns0='http://schemas.microsoft.com/office/2006/coverPageProps'" w:xpath="/ns0:CoverPageProperties[1]/ns0:PublishDate[1]" w:storeItemID="{55AF091B-3C7A-41E3-B477-F2FDAA23CFDA}"/>
        <w:date>
          <w:dateFormat w:val="dd MMMM yyyy"/>
          <w:lid w:val="en-GB"/>
          <w:storeMappedDataAs w:val="dateTime"/>
          <w:calendar w:val="gregorian"/>
        </w:date>
      </w:sdtPr>
      <w:sdtContent>
        <w:r w:rsidR="004D218D">
          <w:rPr>
            <w:rFonts w:asciiTheme="majorHAnsi" w:eastAsiaTheme="majorEastAsia" w:hAnsiTheme="majorHAnsi" w:cstheme="majorBidi"/>
            <w:color w:val="156082" w:themeColor="accent1"/>
          </w:rPr>
          <w:t>2406512</w:t>
        </w:r>
      </w:sdtContent>
    </w:sdt>
  </w:p>
  <w:p w14:paraId="779B76CD" w14:textId="77777777" w:rsidR="004D218D" w:rsidRDefault="004D21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277F5C"/>
    <w:multiLevelType w:val="hybridMultilevel"/>
    <w:tmpl w:val="6A6AD88E"/>
    <w:lvl w:ilvl="0" w:tplc="08090001">
      <w:start w:val="1"/>
      <w:numFmt w:val="bullet"/>
      <w:lvlText w:val=""/>
      <w:lvlJc w:val="left"/>
      <w:pPr>
        <w:ind w:left="1490" w:hanging="360"/>
      </w:pPr>
      <w:rPr>
        <w:rFonts w:ascii="Symbol" w:hAnsi="Symbol" w:hint="default"/>
      </w:rPr>
    </w:lvl>
    <w:lvl w:ilvl="1" w:tplc="08090003" w:tentative="1">
      <w:start w:val="1"/>
      <w:numFmt w:val="bullet"/>
      <w:lvlText w:val="o"/>
      <w:lvlJc w:val="left"/>
      <w:pPr>
        <w:ind w:left="2210" w:hanging="360"/>
      </w:pPr>
      <w:rPr>
        <w:rFonts w:ascii="Courier New" w:hAnsi="Courier New" w:cs="Courier New" w:hint="default"/>
      </w:rPr>
    </w:lvl>
    <w:lvl w:ilvl="2" w:tplc="08090005" w:tentative="1">
      <w:start w:val="1"/>
      <w:numFmt w:val="bullet"/>
      <w:lvlText w:val=""/>
      <w:lvlJc w:val="left"/>
      <w:pPr>
        <w:ind w:left="2930" w:hanging="360"/>
      </w:pPr>
      <w:rPr>
        <w:rFonts w:ascii="Wingdings" w:hAnsi="Wingdings" w:hint="default"/>
      </w:rPr>
    </w:lvl>
    <w:lvl w:ilvl="3" w:tplc="08090001" w:tentative="1">
      <w:start w:val="1"/>
      <w:numFmt w:val="bullet"/>
      <w:lvlText w:val=""/>
      <w:lvlJc w:val="left"/>
      <w:pPr>
        <w:ind w:left="3650" w:hanging="360"/>
      </w:pPr>
      <w:rPr>
        <w:rFonts w:ascii="Symbol" w:hAnsi="Symbol" w:hint="default"/>
      </w:rPr>
    </w:lvl>
    <w:lvl w:ilvl="4" w:tplc="08090003" w:tentative="1">
      <w:start w:val="1"/>
      <w:numFmt w:val="bullet"/>
      <w:lvlText w:val="o"/>
      <w:lvlJc w:val="left"/>
      <w:pPr>
        <w:ind w:left="4370" w:hanging="360"/>
      </w:pPr>
      <w:rPr>
        <w:rFonts w:ascii="Courier New" w:hAnsi="Courier New" w:cs="Courier New" w:hint="default"/>
      </w:rPr>
    </w:lvl>
    <w:lvl w:ilvl="5" w:tplc="08090005" w:tentative="1">
      <w:start w:val="1"/>
      <w:numFmt w:val="bullet"/>
      <w:lvlText w:val=""/>
      <w:lvlJc w:val="left"/>
      <w:pPr>
        <w:ind w:left="5090" w:hanging="360"/>
      </w:pPr>
      <w:rPr>
        <w:rFonts w:ascii="Wingdings" w:hAnsi="Wingdings" w:hint="default"/>
      </w:rPr>
    </w:lvl>
    <w:lvl w:ilvl="6" w:tplc="08090001" w:tentative="1">
      <w:start w:val="1"/>
      <w:numFmt w:val="bullet"/>
      <w:lvlText w:val=""/>
      <w:lvlJc w:val="left"/>
      <w:pPr>
        <w:ind w:left="5810" w:hanging="360"/>
      </w:pPr>
      <w:rPr>
        <w:rFonts w:ascii="Symbol" w:hAnsi="Symbol" w:hint="default"/>
      </w:rPr>
    </w:lvl>
    <w:lvl w:ilvl="7" w:tplc="08090003" w:tentative="1">
      <w:start w:val="1"/>
      <w:numFmt w:val="bullet"/>
      <w:lvlText w:val="o"/>
      <w:lvlJc w:val="left"/>
      <w:pPr>
        <w:ind w:left="6530" w:hanging="360"/>
      </w:pPr>
      <w:rPr>
        <w:rFonts w:ascii="Courier New" w:hAnsi="Courier New" w:cs="Courier New" w:hint="default"/>
      </w:rPr>
    </w:lvl>
    <w:lvl w:ilvl="8" w:tplc="08090005" w:tentative="1">
      <w:start w:val="1"/>
      <w:numFmt w:val="bullet"/>
      <w:lvlText w:val=""/>
      <w:lvlJc w:val="left"/>
      <w:pPr>
        <w:ind w:left="7250" w:hanging="360"/>
      </w:pPr>
      <w:rPr>
        <w:rFonts w:ascii="Wingdings" w:hAnsi="Wingdings" w:hint="default"/>
      </w:rPr>
    </w:lvl>
  </w:abstractNum>
  <w:abstractNum w:abstractNumId="1" w15:restartNumberingAfterBreak="0">
    <w:nsid w:val="3EC25BF5"/>
    <w:multiLevelType w:val="hybridMultilevel"/>
    <w:tmpl w:val="019E5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BE7A77"/>
    <w:multiLevelType w:val="multilevel"/>
    <w:tmpl w:val="EC447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BAC450B"/>
    <w:multiLevelType w:val="multilevel"/>
    <w:tmpl w:val="F6187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71326016">
    <w:abstractNumId w:val="2"/>
  </w:num>
  <w:num w:numId="2" w16cid:durableId="826241994">
    <w:abstractNumId w:val="3"/>
  </w:num>
  <w:num w:numId="3" w16cid:durableId="1934360826">
    <w:abstractNumId w:val="0"/>
  </w:num>
  <w:num w:numId="4" w16cid:durableId="10040949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218D"/>
    <w:rsid w:val="00003F68"/>
    <w:rsid w:val="000F661F"/>
    <w:rsid w:val="001123F4"/>
    <w:rsid w:val="001B4B0E"/>
    <w:rsid w:val="004B16EC"/>
    <w:rsid w:val="004D218D"/>
    <w:rsid w:val="00517379"/>
    <w:rsid w:val="00593746"/>
    <w:rsid w:val="008C4A67"/>
    <w:rsid w:val="00907CF4"/>
    <w:rsid w:val="009F38AE"/>
    <w:rsid w:val="00B76EAB"/>
    <w:rsid w:val="00BC6ADD"/>
    <w:rsid w:val="00DF7355"/>
    <w:rsid w:val="00E432A0"/>
    <w:rsid w:val="00F04F4C"/>
    <w:rsid w:val="00FB19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89DF9"/>
  <w15:chartTrackingRefBased/>
  <w15:docId w15:val="{05288BE7-4F01-4B48-90F3-1A7CE7F268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21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D21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21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21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21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21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21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21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21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21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D21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21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21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21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21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21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21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218D"/>
    <w:rPr>
      <w:rFonts w:eastAsiaTheme="majorEastAsia" w:cstheme="majorBidi"/>
      <w:color w:val="272727" w:themeColor="text1" w:themeTint="D8"/>
    </w:rPr>
  </w:style>
  <w:style w:type="paragraph" w:styleId="Title">
    <w:name w:val="Title"/>
    <w:basedOn w:val="Normal"/>
    <w:next w:val="Normal"/>
    <w:link w:val="TitleChar"/>
    <w:uiPriority w:val="10"/>
    <w:qFormat/>
    <w:rsid w:val="004D21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21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21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21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218D"/>
    <w:pPr>
      <w:spacing w:before="160"/>
      <w:jc w:val="center"/>
    </w:pPr>
    <w:rPr>
      <w:i/>
      <w:iCs/>
      <w:color w:val="404040" w:themeColor="text1" w:themeTint="BF"/>
    </w:rPr>
  </w:style>
  <w:style w:type="character" w:customStyle="1" w:styleId="QuoteChar">
    <w:name w:val="Quote Char"/>
    <w:basedOn w:val="DefaultParagraphFont"/>
    <w:link w:val="Quote"/>
    <w:uiPriority w:val="29"/>
    <w:rsid w:val="004D218D"/>
    <w:rPr>
      <w:i/>
      <w:iCs/>
      <w:color w:val="404040" w:themeColor="text1" w:themeTint="BF"/>
    </w:rPr>
  </w:style>
  <w:style w:type="paragraph" w:styleId="ListParagraph">
    <w:name w:val="List Paragraph"/>
    <w:basedOn w:val="Normal"/>
    <w:uiPriority w:val="34"/>
    <w:qFormat/>
    <w:rsid w:val="004D218D"/>
    <w:pPr>
      <w:ind w:left="720"/>
      <w:contextualSpacing/>
    </w:pPr>
  </w:style>
  <w:style w:type="character" w:styleId="IntenseEmphasis">
    <w:name w:val="Intense Emphasis"/>
    <w:basedOn w:val="DefaultParagraphFont"/>
    <w:uiPriority w:val="21"/>
    <w:qFormat/>
    <w:rsid w:val="004D218D"/>
    <w:rPr>
      <w:i/>
      <w:iCs/>
      <w:color w:val="0F4761" w:themeColor="accent1" w:themeShade="BF"/>
    </w:rPr>
  </w:style>
  <w:style w:type="paragraph" w:styleId="IntenseQuote">
    <w:name w:val="Intense Quote"/>
    <w:basedOn w:val="Normal"/>
    <w:next w:val="Normal"/>
    <w:link w:val="IntenseQuoteChar"/>
    <w:uiPriority w:val="30"/>
    <w:qFormat/>
    <w:rsid w:val="004D21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218D"/>
    <w:rPr>
      <w:i/>
      <w:iCs/>
      <w:color w:val="0F4761" w:themeColor="accent1" w:themeShade="BF"/>
    </w:rPr>
  </w:style>
  <w:style w:type="character" w:styleId="IntenseReference">
    <w:name w:val="Intense Reference"/>
    <w:basedOn w:val="DefaultParagraphFont"/>
    <w:uiPriority w:val="32"/>
    <w:qFormat/>
    <w:rsid w:val="004D218D"/>
    <w:rPr>
      <w:b/>
      <w:bCs/>
      <w:smallCaps/>
      <w:color w:val="0F4761" w:themeColor="accent1" w:themeShade="BF"/>
      <w:spacing w:val="5"/>
    </w:rPr>
  </w:style>
  <w:style w:type="paragraph" w:styleId="Header">
    <w:name w:val="header"/>
    <w:basedOn w:val="Normal"/>
    <w:link w:val="HeaderChar"/>
    <w:uiPriority w:val="99"/>
    <w:unhideWhenUsed/>
    <w:rsid w:val="004D21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218D"/>
  </w:style>
  <w:style w:type="paragraph" w:styleId="Footer">
    <w:name w:val="footer"/>
    <w:basedOn w:val="Normal"/>
    <w:link w:val="FooterChar"/>
    <w:uiPriority w:val="99"/>
    <w:unhideWhenUsed/>
    <w:rsid w:val="004D21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218D"/>
  </w:style>
  <w:style w:type="character" w:styleId="Hyperlink">
    <w:name w:val="Hyperlink"/>
    <w:basedOn w:val="DefaultParagraphFont"/>
    <w:uiPriority w:val="99"/>
    <w:unhideWhenUsed/>
    <w:rsid w:val="004D218D"/>
    <w:rPr>
      <w:color w:val="467886" w:themeColor="hyperlink"/>
      <w:u w:val="single"/>
    </w:rPr>
  </w:style>
  <w:style w:type="character" w:styleId="UnresolvedMention">
    <w:name w:val="Unresolved Mention"/>
    <w:basedOn w:val="DefaultParagraphFont"/>
    <w:uiPriority w:val="99"/>
    <w:semiHidden/>
    <w:unhideWhenUsed/>
    <w:rsid w:val="004D218D"/>
    <w:rPr>
      <w:color w:val="605E5C"/>
      <w:shd w:val="clear" w:color="auto" w:fill="E1DFDD"/>
    </w:rPr>
  </w:style>
  <w:style w:type="character" w:styleId="CommentReference">
    <w:name w:val="annotation reference"/>
    <w:basedOn w:val="DefaultParagraphFont"/>
    <w:uiPriority w:val="99"/>
    <w:semiHidden/>
    <w:unhideWhenUsed/>
    <w:rsid w:val="008C4A67"/>
    <w:rPr>
      <w:sz w:val="16"/>
      <w:szCs w:val="16"/>
    </w:rPr>
  </w:style>
  <w:style w:type="paragraph" w:styleId="CommentText">
    <w:name w:val="annotation text"/>
    <w:basedOn w:val="Normal"/>
    <w:link w:val="CommentTextChar"/>
    <w:uiPriority w:val="99"/>
    <w:unhideWhenUsed/>
    <w:rsid w:val="008C4A67"/>
    <w:pPr>
      <w:spacing w:line="240" w:lineRule="auto"/>
    </w:pPr>
    <w:rPr>
      <w:sz w:val="20"/>
      <w:szCs w:val="20"/>
    </w:rPr>
  </w:style>
  <w:style w:type="character" w:customStyle="1" w:styleId="CommentTextChar">
    <w:name w:val="Comment Text Char"/>
    <w:basedOn w:val="DefaultParagraphFont"/>
    <w:link w:val="CommentText"/>
    <w:uiPriority w:val="99"/>
    <w:rsid w:val="008C4A67"/>
    <w:rPr>
      <w:sz w:val="20"/>
      <w:szCs w:val="20"/>
    </w:rPr>
  </w:style>
  <w:style w:type="paragraph" w:styleId="CommentSubject">
    <w:name w:val="annotation subject"/>
    <w:basedOn w:val="CommentText"/>
    <w:next w:val="CommentText"/>
    <w:link w:val="CommentSubjectChar"/>
    <w:uiPriority w:val="99"/>
    <w:semiHidden/>
    <w:unhideWhenUsed/>
    <w:rsid w:val="008C4A67"/>
    <w:rPr>
      <w:b/>
      <w:bCs/>
    </w:rPr>
  </w:style>
  <w:style w:type="character" w:customStyle="1" w:styleId="CommentSubjectChar">
    <w:name w:val="Comment Subject Char"/>
    <w:basedOn w:val="CommentTextChar"/>
    <w:link w:val="CommentSubject"/>
    <w:uiPriority w:val="99"/>
    <w:semiHidden/>
    <w:rsid w:val="008C4A67"/>
    <w:rPr>
      <w:b/>
      <w:bCs/>
      <w:sz w:val="20"/>
      <w:szCs w:val="20"/>
    </w:rPr>
  </w:style>
  <w:style w:type="paragraph" w:styleId="NormalWeb">
    <w:name w:val="Normal (Web)"/>
    <w:basedOn w:val="Normal"/>
    <w:uiPriority w:val="99"/>
    <w:semiHidden/>
    <w:unhideWhenUsed/>
    <w:rsid w:val="00593746"/>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nspcc.org.uk" TargetMode="External"/><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ons.gov.uk"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cwvys.org.uk"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ukri.org" TargetMode="External"/><Relationship Id="rId5" Type="http://schemas.openxmlformats.org/officeDocument/2006/relationships/settings" Target="settings.xml"/><Relationship Id="rId15" Type="http://schemas.openxmlformats.org/officeDocument/2006/relationships/hyperlink" Target="https://www.gov.wales" TargetMode="External"/><Relationship Id="rId10" Type="http://schemas.openxmlformats.org/officeDocument/2006/relationships/hyperlink" Target="https://www.dur.ac.uk/beacon/socialjustice/ethic-s_consultation/"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bera.ac.uk" TargetMode="External"/><Relationship Id="rId14" Type="http://schemas.openxmlformats.org/officeDocument/2006/relationships/hyperlink" Target="https://www.gov.wale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4DD578D0CD24B2989183BCD9574152F"/>
        <w:category>
          <w:name w:val="General"/>
          <w:gallery w:val="placeholder"/>
        </w:category>
        <w:types>
          <w:type w:val="bbPlcHdr"/>
        </w:types>
        <w:behaviors>
          <w:behavior w:val="content"/>
        </w:behaviors>
        <w:guid w:val="{4F82818C-F54E-4EE3-826C-B95E13B58176}"/>
      </w:docPartPr>
      <w:docPartBody>
        <w:p w:rsidR="00134666" w:rsidRDefault="00B92AB6" w:rsidP="00B92AB6">
          <w:pPr>
            <w:pStyle w:val="34DD578D0CD24B2989183BCD9574152F"/>
          </w:pPr>
          <w:r>
            <w:rPr>
              <w:rFonts w:asciiTheme="majorHAnsi" w:eastAsiaTheme="majorEastAsia" w:hAnsiTheme="majorHAnsi" w:cstheme="majorBidi"/>
              <w:color w:val="156082" w:themeColor="accent1"/>
              <w:sz w:val="27"/>
              <w:szCs w:val="27"/>
            </w:rPr>
            <w:t>[Document title]</w:t>
          </w:r>
        </w:p>
      </w:docPartBody>
    </w:docPart>
    <w:docPart>
      <w:docPartPr>
        <w:name w:val="1C7433FCE6FE488686E9D53237C3C9DC"/>
        <w:category>
          <w:name w:val="General"/>
          <w:gallery w:val="placeholder"/>
        </w:category>
        <w:types>
          <w:type w:val="bbPlcHdr"/>
        </w:types>
        <w:behaviors>
          <w:behavior w:val="content"/>
        </w:behaviors>
        <w:guid w:val="{EB2B36F3-DBED-407B-A32A-AAF8722DD6EE}"/>
      </w:docPartPr>
      <w:docPartBody>
        <w:p w:rsidR="00134666" w:rsidRDefault="00B92AB6" w:rsidP="00B92AB6">
          <w:pPr>
            <w:pStyle w:val="1C7433FCE6FE488686E9D53237C3C9DC"/>
          </w:pPr>
          <w:r>
            <w:rPr>
              <w:rFonts w:asciiTheme="majorHAnsi" w:eastAsiaTheme="majorEastAsia" w:hAnsiTheme="majorHAnsi" w:cstheme="majorBidi"/>
              <w:color w:val="156082" w:themeColor="accent1"/>
              <w:sz w:val="27"/>
              <w:szCs w:val="27"/>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2AB6"/>
    <w:rsid w:val="00134666"/>
    <w:rsid w:val="00975F46"/>
    <w:rsid w:val="00AA78EF"/>
    <w:rsid w:val="00B76EAB"/>
    <w:rsid w:val="00B92AB6"/>
    <w:rsid w:val="00C4015A"/>
    <w:rsid w:val="00DF7355"/>
    <w:rsid w:val="00E432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4DD578D0CD24B2989183BCD9574152F">
    <w:name w:val="34DD578D0CD24B2989183BCD9574152F"/>
    <w:rsid w:val="00B92AB6"/>
  </w:style>
  <w:style w:type="paragraph" w:customStyle="1" w:styleId="1C7433FCE6FE488686E9D53237C3C9DC">
    <w:name w:val="1C7433FCE6FE488686E9D53237C3C9DC"/>
    <w:rsid w:val="00B92AB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2406512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3DA9B60-AED7-4F59-ACD2-4BFCABA795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5027</Words>
  <Characters>28655</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ECYW5007</vt:lpstr>
    </vt:vector>
  </TitlesOfParts>
  <Company/>
  <LinksUpToDate>false</LinksUpToDate>
  <CharactersWithSpaces>33615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ECYW5007</dc:title>
  <dc:subject/>
  <dc:creator>Chelsey Jones Duffy (2406512)</dc:creator>
  <cp:keywords/>
  <dc:description/>
  <cp:lastModifiedBy>Chelsey Jones Duffy (2406512)</cp:lastModifiedBy>
  <cp:revision>2</cp:revision>
  <dcterms:created xsi:type="dcterms:W3CDTF">2026-04-20T09:57:00Z</dcterms:created>
  <dcterms:modified xsi:type="dcterms:W3CDTF">2026-04-20T09:57:00Z</dcterms:modified>
</cp:coreProperties>
</file>