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3D44" w:rsidRDefault="00F03D44" w:rsidP="00F03D44">
      <w:pPr>
        <w:spacing w:after="120"/>
        <w:jc w:val="center"/>
      </w:pPr>
      <w:r>
        <w:rPr>
          <w:sz w:val="48"/>
          <w:szCs w:val="48"/>
        </w:rPr>
        <w:t>Research and Case Scenario in Data Security and Compliance</w:t>
      </w:r>
    </w:p>
    <w:tbl>
      <w:tblPr>
        <w:tblW w:w="9200" w:type="dxa"/>
        <w:jc w:val="center"/>
        <w:tblCellMar>
          <w:left w:w="10" w:type="dxa"/>
          <w:right w:w="10" w:type="dxa"/>
        </w:tblCellMar>
        <w:tblLook w:val="04A0" w:firstRow="1" w:lastRow="0" w:firstColumn="1" w:lastColumn="0" w:noHBand="0" w:noVBand="1"/>
      </w:tblPr>
      <w:tblGrid>
        <w:gridCol w:w="4600"/>
        <w:gridCol w:w="4600"/>
      </w:tblGrid>
      <w:tr w:rsidR="00F03D44" w:rsidTr="00EA4C4A">
        <w:trPr>
          <w:jc w:val="center"/>
        </w:trPr>
        <w:tc>
          <w:tcPr>
            <w:tcW w:w="4600" w:type="dxa"/>
          </w:tcPr>
          <w:p w:rsidR="005A39F2" w:rsidRPr="005A39F2" w:rsidRDefault="005A39F2" w:rsidP="005A39F2">
            <w:pPr>
              <w:spacing w:before="240" w:after="40"/>
              <w:jc w:val="center"/>
              <w:rPr>
                <w:i/>
              </w:rPr>
            </w:pPr>
            <w:r w:rsidRPr="005A39F2">
              <w:rPr>
                <w:i/>
              </w:rPr>
              <w:t>STUDENT</w:t>
            </w:r>
            <w:r w:rsidRPr="005A39F2">
              <w:rPr>
                <w:i/>
              </w:rPr>
              <w:t xml:space="preserve"> NAME: JULIO MIGUEL ABESO ECORO</w:t>
            </w:r>
          </w:p>
          <w:p w:rsidR="005A39F2" w:rsidRPr="005A39F2" w:rsidRDefault="005A39F2" w:rsidP="005A39F2">
            <w:pPr>
              <w:spacing w:after="40"/>
              <w:jc w:val="center"/>
              <w:rPr>
                <w:i/>
              </w:rPr>
            </w:pPr>
            <w:r w:rsidRPr="005A39F2">
              <w:rPr>
                <w:i/>
              </w:rPr>
              <w:t>STUDENT ID: 2425075</w:t>
            </w:r>
          </w:p>
          <w:p w:rsidR="00F03D44" w:rsidRDefault="00F03D44" w:rsidP="005A39F2">
            <w:pPr>
              <w:spacing w:after="40"/>
              <w:jc w:val="center"/>
              <w:rPr>
                <w:i/>
                <w:iCs/>
              </w:rPr>
            </w:pPr>
            <w:r w:rsidRPr="005A39F2">
              <w:rPr>
                <w:i/>
                <w:iCs/>
              </w:rPr>
              <w:t>Computing Portfolio</w:t>
            </w:r>
          </w:p>
          <w:p w:rsidR="005A39F2" w:rsidRPr="005A39F2" w:rsidRDefault="005A39F2" w:rsidP="005A39F2">
            <w:pPr>
              <w:spacing w:before="240" w:after="40"/>
              <w:jc w:val="center"/>
              <w:rPr>
                <w:i/>
              </w:rPr>
            </w:pPr>
            <w:r w:rsidRPr="005A39F2">
              <w:rPr>
                <w:i/>
              </w:rPr>
              <w:t>Module: ACCA5034</w:t>
            </w:r>
          </w:p>
          <w:p w:rsidR="005A39F2" w:rsidRPr="005A39F2" w:rsidRDefault="005A39F2" w:rsidP="005A39F2">
            <w:pPr>
              <w:spacing w:after="40"/>
              <w:jc w:val="center"/>
              <w:rPr>
                <w:i/>
              </w:rPr>
            </w:pPr>
          </w:p>
          <w:p w:rsidR="00F03D44" w:rsidRDefault="00F03D44" w:rsidP="00EA4C4A">
            <w:pPr>
              <w:spacing w:after="40"/>
              <w:jc w:val="center"/>
            </w:pPr>
          </w:p>
        </w:tc>
        <w:tc>
          <w:tcPr>
            <w:tcW w:w="4600" w:type="dxa"/>
          </w:tcPr>
          <w:p w:rsidR="005A39F2" w:rsidRDefault="005A39F2" w:rsidP="00EA4C4A">
            <w:pPr>
              <w:spacing w:after="40"/>
              <w:jc w:val="center"/>
              <w:rPr>
                <w:sz w:val="22"/>
                <w:szCs w:val="22"/>
              </w:rPr>
            </w:pPr>
          </w:p>
          <w:p w:rsidR="00F03D44" w:rsidRDefault="00F03D44" w:rsidP="00EA4C4A">
            <w:pPr>
              <w:spacing w:after="40"/>
              <w:jc w:val="center"/>
            </w:pPr>
            <w:r>
              <w:t>Data Security and Compliance</w:t>
            </w:r>
          </w:p>
          <w:p w:rsidR="00F03D44" w:rsidRDefault="00CB2426" w:rsidP="00EA4C4A">
            <w:pPr>
              <w:spacing w:after="40"/>
              <w:jc w:val="center"/>
            </w:pPr>
            <w:r>
              <w:rPr>
                <w:i/>
                <w:iCs/>
              </w:rPr>
              <w:t xml:space="preserve">Level 5 Assessment </w:t>
            </w:r>
            <w:r w:rsidR="00F03D44">
              <w:rPr>
                <w:i/>
                <w:iCs/>
              </w:rPr>
              <w:t>100% of module</w:t>
            </w:r>
          </w:p>
          <w:p w:rsidR="00F03D44" w:rsidRDefault="00F03D44" w:rsidP="00EA4C4A">
            <w:pPr>
              <w:spacing w:after="40"/>
              <w:jc w:val="center"/>
            </w:pPr>
            <w:r>
              <w:rPr>
                <w:i/>
                <w:iCs/>
              </w:rPr>
              <w:t xml:space="preserve">Lecturer: Dr. </w:t>
            </w:r>
            <w:proofErr w:type="spellStart"/>
            <w:r>
              <w:rPr>
                <w:i/>
                <w:iCs/>
              </w:rPr>
              <w:t>Dipo</w:t>
            </w:r>
            <w:proofErr w:type="spellEnd"/>
            <w:r>
              <w:rPr>
                <w:i/>
                <w:iCs/>
              </w:rPr>
              <w:t xml:space="preserve"> </w:t>
            </w:r>
            <w:proofErr w:type="spellStart"/>
            <w:r>
              <w:rPr>
                <w:i/>
                <w:iCs/>
              </w:rPr>
              <w:t>Dunsin</w:t>
            </w:r>
            <w:proofErr w:type="spellEnd"/>
          </w:p>
          <w:p w:rsidR="00F03D44" w:rsidRDefault="00F03D44" w:rsidP="00EA4C4A">
            <w:pPr>
              <w:spacing w:after="40"/>
              <w:jc w:val="center"/>
            </w:pPr>
            <w:r>
              <w:t>Submission date: 12 August 2026</w:t>
            </w:r>
          </w:p>
          <w:p w:rsidR="00F03D44" w:rsidRDefault="00F03D44" w:rsidP="00EA4C4A">
            <w:pPr>
              <w:spacing w:after="40"/>
              <w:jc w:val="center"/>
            </w:pPr>
            <w:r>
              <w:t>Word count: Task 1 ≈ 2,440 · Task 2 ≈ 2,414</w:t>
            </w:r>
          </w:p>
        </w:tc>
      </w:tr>
    </w:tbl>
    <w:p w:rsidR="00F03D44" w:rsidRDefault="00F03D44" w:rsidP="00F03D44">
      <w:pPr>
        <w:spacing w:before="120" w:after="120"/>
        <w:jc w:val="center"/>
      </w:pPr>
      <w:r>
        <w:rPr>
          <w:i/>
          <w:iCs/>
          <w:sz w:val="16"/>
          <w:szCs w:val="16"/>
        </w:rPr>
        <w:t>Word counts refer to the main text and exclude the abstract, tables, figure captions and references.</w:t>
      </w:r>
    </w:p>
    <w:p w:rsidR="00F03D44" w:rsidRDefault="00F03D44" w:rsidP="00F03D44">
      <w:pPr>
        <w:sectPr w:rsidR="00F03D44">
          <w:footerReference w:type="default" r:id="rId6"/>
          <w:pgSz w:w="11906" w:h="16838"/>
          <w:pgMar w:top="1080" w:right="907" w:bottom="1440" w:left="907" w:header="432" w:footer="720" w:gutter="0"/>
          <w:cols w:space="720"/>
          <w:docGrid w:linePitch="360"/>
        </w:sectPr>
      </w:pPr>
    </w:p>
    <w:p w:rsidR="00F03D44" w:rsidRDefault="00CB2426" w:rsidP="00F03D44">
      <w:pPr>
        <w:keepNext/>
        <w:spacing w:before="240" w:after="120"/>
        <w:jc w:val="center"/>
      </w:pPr>
      <w:r>
        <w:rPr>
          <w:b/>
          <w:bCs/>
          <w:smallCaps/>
          <w:sz w:val="22"/>
          <w:szCs w:val="22"/>
        </w:rPr>
        <w:lastRenderedPageBreak/>
        <w:t>TASK 1</w:t>
      </w:r>
      <w:r w:rsidR="00AC0544">
        <w:rPr>
          <w:b/>
          <w:bCs/>
          <w:smallCaps/>
          <w:sz w:val="22"/>
          <w:szCs w:val="22"/>
        </w:rPr>
        <w:t>:</w:t>
      </w:r>
      <w:r>
        <w:rPr>
          <w:b/>
          <w:bCs/>
          <w:smallCaps/>
          <w:sz w:val="22"/>
          <w:szCs w:val="22"/>
        </w:rPr>
        <w:t xml:space="preserve"> </w:t>
      </w:r>
      <w:r w:rsidR="00F03D44">
        <w:rPr>
          <w:b/>
          <w:bCs/>
          <w:smallCaps/>
          <w:sz w:val="22"/>
          <w:szCs w:val="22"/>
        </w:rPr>
        <w:t xml:space="preserve"> RESEARCH IN DATA SECURITY AND COMPLIANCE</w:t>
      </w:r>
    </w:p>
    <w:p w:rsidR="00F03D44" w:rsidRDefault="00F03D44" w:rsidP="00F03D44">
      <w:pPr>
        <w:keepNext/>
        <w:spacing w:before="40" w:after="120"/>
        <w:jc w:val="center"/>
      </w:pPr>
      <w:r>
        <w:rPr>
          <w:b/>
          <w:bCs/>
          <w:sz w:val="22"/>
          <w:szCs w:val="22"/>
        </w:rPr>
        <w:t>The Zero Trust Architecture: A Critical Analysis of Its Principles, Implementation Challenges, and Efficacy Compared to Traditional Models</w:t>
      </w:r>
    </w:p>
    <w:p w:rsidR="00F03D44" w:rsidRDefault="00F03D44" w:rsidP="00F03D44">
      <w:pPr>
        <w:spacing w:after="200"/>
        <w:ind w:firstLine="272"/>
        <w:jc w:val="both"/>
      </w:pPr>
      <w:r>
        <w:rPr>
          <w:b/>
          <w:bCs/>
          <w:i/>
          <w:iCs/>
          <w:sz w:val="18"/>
          <w:szCs w:val="18"/>
        </w:rPr>
        <w:t>Abstract</w:t>
      </w:r>
      <w:r>
        <w:rPr>
          <w:b/>
          <w:bCs/>
          <w:sz w:val="18"/>
          <w:szCs w:val="18"/>
        </w:rPr>
        <w:t>: Perimeter-</w:t>
      </w:r>
      <w:proofErr w:type="spellStart"/>
      <w:r>
        <w:rPr>
          <w:b/>
          <w:bCs/>
          <w:sz w:val="18"/>
          <w:szCs w:val="18"/>
        </w:rPr>
        <w:t>centred</w:t>
      </w:r>
      <w:proofErr w:type="spellEnd"/>
      <w:r>
        <w:rPr>
          <w:b/>
          <w:bCs/>
          <w:sz w:val="18"/>
          <w:szCs w:val="18"/>
        </w:rPr>
        <w:t xml:space="preserve"> security models assume that threats originate outside the network and that entities inside it can be trusted. Cloud adoption, hybrid working and credential-driven attacks have eroded both assumptions. This paper critically evaluates the Zero Trust Architecture (ZTA) as a response to this shift. Drawing on NIST SP 800-207 and SP 1800-35, peer-reviewed literature, breach telemetry and current European legislation, it compares ZTA with traditional perimeter models, analyses its core principles and logical components, and examines the technical, organisational, financial and cultural barriers to adoption. The evidence indicates that mature zero-trust deployments are associated with materially lower breach costs approximately US$1.76 million per breach and with reduced attacker dwell time, although much of this evidence is correlational and partly vendor-derived. The paper also maps zero-trust capabilities to the requirements of the GDPR, NIS2 and DORA. It concludes that ZTA is best understood not as a product but as a governance-led operating model whose efficacy depends on asset visibility, identity maturity and continuous monitoring.</w:t>
      </w:r>
    </w:p>
    <w:p w:rsidR="00F03D44" w:rsidRDefault="00F03D44" w:rsidP="00F03D44">
      <w:pPr>
        <w:spacing w:after="200"/>
        <w:ind w:firstLine="272"/>
        <w:jc w:val="both"/>
      </w:pPr>
      <w:r>
        <w:rPr>
          <w:b/>
          <w:bCs/>
          <w:i/>
          <w:iCs/>
          <w:sz w:val="18"/>
          <w:szCs w:val="18"/>
        </w:rPr>
        <w:t>Index Terms</w:t>
      </w:r>
      <w:r>
        <w:rPr>
          <w:b/>
          <w:bCs/>
          <w:sz w:val="18"/>
          <w:szCs w:val="18"/>
        </w:rPr>
        <w:t>: zero trust architecture; SASE; GDPR; NIS2; DORA; least privilege; ZTNA.</w:t>
      </w:r>
    </w:p>
    <w:p w:rsidR="00F03D44" w:rsidRDefault="00F03D44" w:rsidP="00F03D44">
      <w:pPr>
        <w:keepNext/>
        <w:spacing w:before="160" w:after="80"/>
        <w:jc w:val="center"/>
        <w:rPr>
          <w:smallCaps/>
        </w:rPr>
      </w:pPr>
      <w:r>
        <w:rPr>
          <w:smallCaps/>
        </w:rPr>
        <w:t>I. Introduction</w:t>
      </w:r>
    </w:p>
    <w:p w:rsidR="00F03D44" w:rsidRDefault="00F03D44" w:rsidP="00F03D44">
      <w:pPr>
        <w:keepNext/>
        <w:spacing w:before="160" w:after="80"/>
        <w:ind w:firstLine="288"/>
        <w:jc w:val="both"/>
      </w:pPr>
      <w:r w:rsidRPr="000C7377">
        <w:t xml:space="preserve">The cost associated with data breaches clearly demonstrates that the traditional security perimeter is under pressure. </w:t>
      </w:r>
      <w:r w:rsidRPr="006E30B3">
        <w:t xml:space="preserve">According to the newest global report from IBM, the average financial impact of a data breach is $4.44 million and breaches in the United States alone went as far as $10.22 million which is the highest level of breach that ever existed [1]. The primary methods by which attackers got their first foothold were theft of authentication keys and exploitation of the vulnerabilities of internet-facing systems. Verizon's 2025 report on breaches exceeding 12, 000 verified breaches found that the main factors in the breach were the misuse of credentials and the exploitation of vulnerabilities, with unauthorized access to confidential data being the reason for </w:t>
      </w:r>
      <w:proofErr w:type="spellStart"/>
      <w:r w:rsidRPr="006E30B3">
        <w:t>thirdparty</w:t>
      </w:r>
      <w:proofErr w:type="spellEnd"/>
      <w:r w:rsidRPr="006E30B3">
        <w:t xml:space="preserve"> breaches increasing almost twice [2]. In essence, these types of attacks share that a point in time after an </w:t>
      </w:r>
      <w:r w:rsidRPr="006E30B3">
        <w:lastRenderedPageBreak/>
        <w:t>intruder has already "come across", traditional perimeter security does not help in preventing further access.</w:t>
      </w:r>
    </w:p>
    <w:p w:rsidR="00F03D44" w:rsidRDefault="00F03D44" w:rsidP="00F03D44">
      <w:pPr>
        <w:keepNext/>
        <w:spacing w:before="160" w:after="80"/>
        <w:ind w:firstLine="288"/>
        <w:jc w:val="both"/>
      </w:pPr>
      <w:r w:rsidRPr="000C7377">
        <w:t xml:space="preserve">Whitman and </w:t>
      </w:r>
      <w:proofErr w:type="spellStart"/>
      <w:r w:rsidRPr="000C7377">
        <w:t>Mattord</w:t>
      </w:r>
      <w:proofErr w:type="spellEnd"/>
      <w:r w:rsidRPr="000C7377">
        <w:t xml:space="preserve"> describe information security as a method of protecting the confidentiality, integrity and</w:t>
      </w:r>
      <w:r>
        <w:t xml:space="preserve"> </w:t>
      </w:r>
      <w:r w:rsidRPr="000C7377">
        <w:t>availability of information through policy, education, training, awareness and technology; they stress that the security mechanism must come with the information wherever it is stored, processed and transmitted</w:t>
      </w:r>
      <w:r>
        <w:t xml:space="preserve"> [3]. In an era of software-as-a-service, bring-your-own-device and hybrid working, information rarely stays behind a corporate firewall, </w:t>
      </w:r>
      <w:proofErr w:type="gramStart"/>
      <w:r>
        <w:t>so</w:t>
      </w:r>
      <w:proofErr w:type="gramEnd"/>
      <w:r>
        <w:t xml:space="preserve"> the protective boundary must be redrawn around identities, devices and data rather than around a network edge [3], [4]. Zero trust articulated commercially by Forrester in 2010 [5] and codified by NIST in Special Publication 800-207 [6] responds by removing implicit trust altogether: no subject or asset is trusted by virtue of network location or ownership, and every access request must be authenticated, </w:t>
      </w:r>
      <w:proofErr w:type="spellStart"/>
      <w:r>
        <w:t>authorised</w:t>
      </w:r>
      <w:proofErr w:type="spellEnd"/>
      <w:r>
        <w:t xml:space="preserve"> and encrypted before, and continuously during, use.</w:t>
      </w:r>
    </w:p>
    <w:p w:rsidR="00F03D44" w:rsidRDefault="00F03D44" w:rsidP="00F03D44">
      <w:pPr>
        <w:spacing w:after="120" w:line="228" w:lineRule="auto"/>
        <w:ind w:firstLine="288"/>
        <w:jc w:val="both"/>
      </w:pPr>
      <w:r>
        <w:t xml:space="preserve">This paper critically analyses ZTA in four stages. Section II contrasts zero trust with traditional perimeter models; Section III examines its principles and logical architecture; Section IV evaluates implementation challenges and the empirical evidence of efficacy; Section V assesses how zero trust supports compliance with the GDPR, NIS2 and DORA; and Section VI considers future developments. The analysis </w:t>
      </w:r>
      <w:proofErr w:type="spellStart"/>
      <w:r>
        <w:t>synthesises</w:t>
      </w:r>
      <w:proofErr w:type="spellEnd"/>
      <w:r>
        <w:t xml:space="preserve"> open standards, peer-reviewed surveys, legislation and industry telemetry. One limitation is acknowledged throughout: much of the available adoption and efficacy data originates from vendors with a commercial interest in zero trust, and it is therefore treated as indicative rather than conclusive.</w:t>
      </w:r>
    </w:p>
    <w:p w:rsidR="00F03D44" w:rsidRDefault="00F03D44" w:rsidP="00F03D44">
      <w:pPr>
        <w:keepNext/>
        <w:spacing w:before="160" w:after="80"/>
        <w:jc w:val="center"/>
        <w:rPr>
          <w:smallCaps/>
        </w:rPr>
      </w:pPr>
      <w:r>
        <w:rPr>
          <w:smallCaps/>
        </w:rPr>
        <w:t>II. The Perimeter Paradigm Versus Zero Trust</w:t>
      </w:r>
    </w:p>
    <w:p w:rsidR="00F03D44" w:rsidRPr="006E30B3" w:rsidRDefault="00F03D44" w:rsidP="00F03D44">
      <w:pPr>
        <w:pStyle w:val="NoSpacing"/>
        <w:jc w:val="both"/>
        <w:rPr>
          <w:smallCaps/>
        </w:rPr>
      </w:pPr>
      <w:r>
        <w:t xml:space="preserve">      </w:t>
      </w:r>
      <w:r w:rsidRPr="006E30B3">
        <w:t xml:space="preserve">Castles and moats, referring to the fortified perimeter defenses, are legacy network security methods that rely heavily on a mixture of robust border defenses including firewalls, DMZs, </w:t>
      </w:r>
      <w:proofErr w:type="spellStart"/>
      <w:r w:rsidRPr="006E30B3">
        <w:t>andvpn</w:t>
      </w:r>
      <w:proofErr w:type="spellEnd"/>
      <w:r w:rsidRPr="006E30B3">
        <w:t xml:space="preserve"> concentrators which were used to protect a much more vulnerable internal area [5]. The approach, in fact, reflects the idea of a multi-layered security that inserts one protection measure after another in order not to allow the untrusted internet to reach the internal</w:t>
      </w:r>
      <w:r>
        <w:t xml:space="preserve"> areas of the system or network </w:t>
      </w:r>
      <w:r w:rsidRPr="000C7377">
        <w:t xml:space="preserve">[3], [7]. A Remote-Access VPN usually authenticates a user once and then puts a whole device on the internal network; the device, or an attacker controlling it, can roam around systems that don't have anything to do </w:t>
      </w:r>
      <w:r w:rsidRPr="000C7377">
        <w:lastRenderedPageBreak/>
        <w:t xml:space="preserve">with the original business need, on flat, poorly-segmented estates [8]. The 2017 Equifax incident illustrates this point well, attackers ultimately got from a single unpatched web application to multiple unrelated databases because internal segmentation and outbound traffic inspection had not kept up [9]. </w:t>
      </w:r>
    </w:p>
    <w:p w:rsidR="00F03D44" w:rsidRPr="000C7377" w:rsidRDefault="00F03D44" w:rsidP="00F03D44">
      <w:pPr>
        <w:pStyle w:val="NoSpacing"/>
        <w:jc w:val="both"/>
      </w:pPr>
      <w:r>
        <w:t xml:space="preserve">       </w:t>
      </w:r>
      <w:r w:rsidRPr="000C7377">
        <w:t xml:space="preserve">Zero trust reverses these assumptions. Trust is not conferred because a user is at a certain location, it is evaluated on a session-by-session and device-by-device basis, looking at user identity, device health, </w:t>
      </w:r>
      <w:proofErr w:type="spellStart"/>
      <w:r w:rsidRPr="000C7377">
        <w:t>behaviour</w:t>
      </w:r>
      <w:proofErr w:type="spellEnd"/>
      <w:r w:rsidRPr="000C7377">
        <w:t xml:space="preserve"> and other contextual signals, with access given in terms of the least privileges required. This is the network-wide implementation of the principle of 'least privilege' that </w:t>
      </w:r>
      <w:proofErr w:type="spellStart"/>
      <w:r w:rsidRPr="000C7377">
        <w:t>Saltzer</w:t>
      </w:r>
      <w:proofErr w:type="spellEnd"/>
      <w:r w:rsidRPr="000C7377">
        <w:t xml:space="preserve"> and Schroeder put forward more than 50 years ago [10]. The perimeter gradually moves away from the network edge right down to all the individual resource points, and the access control becomes dynamic instead of static.</w:t>
      </w:r>
    </w:p>
    <w:p w:rsidR="00F03D44" w:rsidRDefault="00F03D44" w:rsidP="00F03D44">
      <w:pPr>
        <w:keepNext/>
        <w:spacing w:before="140" w:after="20"/>
        <w:jc w:val="center"/>
      </w:pPr>
      <w:r>
        <w:rPr>
          <w:smallCaps/>
          <w:sz w:val="16"/>
          <w:szCs w:val="16"/>
        </w:rPr>
        <w:t>TABLE I</w:t>
      </w:r>
    </w:p>
    <w:p w:rsidR="00F03D44" w:rsidRDefault="00F03D44" w:rsidP="00F03D44">
      <w:pPr>
        <w:keepNext/>
        <w:spacing w:after="60"/>
        <w:jc w:val="center"/>
      </w:pPr>
      <w:r>
        <w:rPr>
          <w:smallCaps/>
          <w:sz w:val="16"/>
          <w:szCs w:val="16"/>
        </w:rPr>
        <w:t>Comparison of traditional perimeter security and zero trust (</w:t>
      </w:r>
      <w:proofErr w:type="spellStart"/>
      <w:r>
        <w:rPr>
          <w:smallCaps/>
          <w:sz w:val="16"/>
          <w:szCs w:val="16"/>
        </w:rPr>
        <w:t>synthesised</w:t>
      </w:r>
      <w:proofErr w:type="spellEnd"/>
      <w:r>
        <w:rPr>
          <w:smallCaps/>
          <w:sz w:val="16"/>
          <w:szCs w:val="16"/>
        </w:rPr>
        <w:t xml:space="preserve"> from [5], [6], </w:t>
      </w:r>
      <w:proofErr w:type="gramStart"/>
      <w:r>
        <w:rPr>
          <w:smallCaps/>
          <w:sz w:val="16"/>
          <w:szCs w:val="16"/>
        </w:rPr>
        <w:t>[</w:t>
      </w:r>
      <w:proofErr w:type="gramEnd"/>
      <w:r>
        <w:rPr>
          <w:smallCaps/>
          <w:sz w:val="16"/>
          <w:szCs w:val="16"/>
        </w:rPr>
        <w:t>8])</w:t>
      </w:r>
    </w:p>
    <w:tbl>
      <w:tblPr>
        <w:tblW w:w="48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70"/>
        <w:gridCol w:w="1848"/>
        <w:gridCol w:w="1848"/>
      </w:tblGrid>
      <w:tr w:rsidR="00F03D44" w:rsidTr="00EA4C4A">
        <w:trPr>
          <w:tblHeade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Dimension</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Traditional perimeter</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Zero trust</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Trust model</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Implicit inside the perimeter</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None; every request verified</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Access decision</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One-off; location and credential based</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Continuous; identity, device posture and context</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Boundary</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Network edge (firewalls, VPN)</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Each resource (per-session PEP)</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Lateral movement</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Weakly constrained on flat networks</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Contained by micro-segmentation and least privilege</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Monitoring</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Reactive, perimeter-focused logging</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Continuous telemetry with adaptive response</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Cloud / hybrid fit</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Poor; traffic backhauled through VPN</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Native; location-independent policy</w:t>
            </w:r>
          </w:p>
        </w:tc>
      </w:tr>
      <w:tr w:rsidR="00F03D44" w:rsidTr="00EA4C4A">
        <w:trPr>
          <w:jc w:val="center"/>
        </w:trPr>
        <w:tc>
          <w:tcPr>
            <w:tcW w:w="117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Compliance evidence</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Fragmented</w:t>
            </w:r>
          </w:p>
        </w:tc>
        <w:tc>
          <w:tcPr>
            <w:tcW w:w="1848"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Granular, per-request audit trail</w:t>
            </w:r>
          </w:p>
        </w:tc>
      </w:tr>
    </w:tbl>
    <w:p w:rsidR="00F03D44" w:rsidRDefault="00F03D44" w:rsidP="00F03D44">
      <w:pPr>
        <w:spacing w:after="40"/>
      </w:pPr>
    </w:p>
    <w:p w:rsidR="00F03D44" w:rsidRDefault="00F03D44" w:rsidP="00F03D44">
      <w:pPr>
        <w:spacing w:after="120" w:line="228" w:lineRule="auto"/>
        <w:ind w:firstLine="288"/>
        <w:jc w:val="both"/>
      </w:pPr>
      <w:r>
        <w:t>A critical reading, however, warns against treating the two models as binary opposites. Perimeter controls such as firewalls and gateways remain necessary components of a zero-trust environment SP 800-207 explicitly retains them as candidate policy enforcement points [6] and zero trust introduces new concentrations of risk of its own: the policy engine becomes a high-value target and a potential single point of failure, and a misconfigured policy can deny service to legitimate users at scale [4], [11]. The defensible conclusion is that zero trust supersedes the trust model of the perimeter, not the controls themselves.</w:t>
      </w:r>
    </w:p>
    <w:p w:rsidR="00F03D44" w:rsidRDefault="00F03D44" w:rsidP="00F03D44">
      <w:pPr>
        <w:keepNext/>
        <w:spacing w:before="160" w:after="80"/>
        <w:jc w:val="center"/>
      </w:pPr>
      <w:r>
        <w:rPr>
          <w:smallCaps/>
        </w:rPr>
        <w:t>III. Core Principles and Logical Architecture</w:t>
      </w:r>
    </w:p>
    <w:p w:rsidR="00F03D44" w:rsidRDefault="00F03D44" w:rsidP="00F03D44">
      <w:pPr>
        <w:jc w:val="both"/>
      </w:pPr>
      <w:r>
        <w:t xml:space="preserve">SP 800-207 sets out seven tenets that can be condensed into three operating principles [6]. The first is explicit, continuous verification. </w:t>
      </w:r>
      <w:r w:rsidRPr="000C7377">
        <w:t xml:space="preserve">The authentication process is not a one-time event at the logon moment, but rather the sessions are continuously re-authenticated by means of multi-factor identification, device-health attestation, and risk-adaptive indicators, such that machine-learning </w:t>
      </w:r>
      <w:proofErr w:type="spellStart"/>
      <w:r w:rsidRPr="000C7377">
        <w:t>behavioural</w:t>
      </w:r>
      <w:proofErr w:type="spellEnd"/>
      <w:r w:rsidRPr="000C7377">
        <w:t xml:space="preserve"> analyses will pick up on things like impossible travel, unusual levels of access, or a new type of user query [8], [11]. This strategy is a significant barrier against stolen credentials the most frequent method of breaching through in-attack telemetry [2] since a compromised password will not be able to grant one </w:t>
      </w:r>
      <w:r w:rsidRPr="000C7377">
        <w:lastRenderedPageBreak/>
        <w:t xml:space="preserve">a long-lasting access on its own. It is usually underestimated what a cost this measure involves: the regular monitoring of a user's activities amounts to workplace surveillance that might conflict with ethical concepts such as proportionality or data </w:t>
      </w:r>
      <w:proofErr w:type="spellStart"/>
      <w:r w:rsidRPr="000C7377">
        <w:t>minimisation</w:t>
      </w:r>
      <w:proofErr w:type="spellEnd"/>
      <w:r w:rsidRPr="000C7377">
        <w:t xml:space="preserve"> in data protection legislation [12], [13]. </w:t>
      </w:r>
    </w:p>
    <w:p w:rsidR="00F03D44" w:rsidRPr="000C7377" w:rsidRDefault="00F03D44" w:rsidP="00F03D44">
      <w:pPr>
        <w:ind w:firstLine="288"/>
        <w:jc w:val="both"/>
      </w:pPr>
      <w:r w:rsidRPr="000C7377">
        <w:t>One of our security policies is least privilege, done via role- and attribute-based access control and micro-segmentation, breaking the network into extremely detailed zones each with its own rules based on application or workload level [8], [14]. Detection and isolation result from small network areas, limiting the spread of cyber-attack and containing east-west traffic after compromise. This can be done in cloud as well as hybrid environments without a lot of hardware [11]. The third principle is to be ready to be breached: the infrastructure is built understanding that defenses will fail, hence data from endpoints, networks, applications, identities are collected at SIEM platforms, with SOAR playbooks executed automatically. This results in the inspection-protection-detection-reaction cycle becoming a continuous operation instead of something done at regular intervals.</w:t>
      </w:r>
    </w:p>
    <w:p w:rsidR="00F03D44" w:rsidRDefault="00F03D44" w:rsidP="00F03D44">
      <w:pPr>
        <w:spacing w:after="120" w:line="228" w:lineRule="auto"/>
        <w:ind w:firstLine="288"/>
        <w:jc w:val="both"/>
      </w:pPr>
      <w:r>
        <w:t>Logical architecture is shown in Fig. 1. The policy engine (PE) computes access decisions from enterprise policy and real-time inputs; the policy administrator (PA) establishes or terminates each communication path; together they form the policy decision point (PDP) in the control plane. Policy enforcement points (PEPs) sit in the data plane between subjects and resources and enforce every decision [6]. The PDP consumes policy information points including identity, credential and access management (ICAM), endpoint detection and response telemetry, security analytics and threat intelligence [6], [15].</w:t>
      </w:r>
    </w:p>
    <w:p w:rsidR="00F03D44" w:rsidRDefault="00F03D44" w:rsidP="00F03D44">
      <w:pPr>
        <w:keepNext/>
        <w:spacing w:before="120" w:after="40"/>
        <w:jc w:val="center"/>
      </w:pPr>
      <w:r>
        <w:rPr>
          <w:noProof/>
        </w:rPr>
        <w:drawing>
          <wp:inline distT="0" distB="0" distL="0" distR="0" wp14:anchorId="52608646" wp14:editId="5C0C0EEF">
            <wp:extent cx="2838450" cy="28964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844380" cy="2902533"/>
                    </a:xfrm>
                    <a:prstGeom prst="rect">
                      <a:avLst/>
                    </a:prstGeom>
                  </pic:spPr>
                </pic:pic>
              </a:graphicData>
            </a:graphic>
          </wp:inline>
        </w:drawing>
      </w:r>
    </w:p>
    <w:p w:rsidR="00F03D44" w:rsidRDefault="00F03D44" w:rsidP="00F03D44">
      <w:pPr>
        <w:spacing w:before="80" w:after="200"/>
        <w:jc w:val="both"/>
      </w:pPr>
      <w:r>
        <w:rPr>
          <w:sz w:val="16"/>
          <w:szCs w:val="16"/>
        </w:rPr>
        <w:t>Fig. 1. Logical components of a zero-trust architecture (adapted from NIST SP 800-207 [6]).</w:t>
      </w:r>
    </w:p>
    <w:p w:rsidR="00F03D44" w:rsidRDefault="00F03D44" w:rsidP="00F03D44">
      <w:pPr>
        <w:spacing w:after="120" w:line="228" w:lineRule="auto"/>
        <w:ind w:firstLine="288"/>
        <w:jc w:val="both"/>
      </w:pPr>
      <w:r>
        <w:t xml:space="preserve">SP 800-207 also </w:t>
      </w:r>
      <w:proofErr w:type="spellStart"/>
      <w:r>
        <w:t>recognises</w:t>
      </w:r>
      <w:proofErr w:type="spellEnd"/>
      <w:r>
        <w:t xml:space="preserve"> that this logical model can be deployed in different ways through device agents and gateways, enclave gateways placed in front of legacy systems that cannot speak for themselves, or resource portals for unmanaged devices and that the policy engine’s trust algorithm may score criteria or evaluate them as binary conditions, with singular or contextual, history-aware evaluation [6]. The choice matters in practice: enclave </w:t>
      </w:r>
      <w:r>
        <w:lastRenderedPageBreak/>
        <w:t xml:space="preserve">deployment eases migration for legacy estates but re-creates small zones of implicit trust inside each enclave, a </w:t>
      </w:r>
      <w:proofErr w:type="spellStart"/>
      <w:r>
        <w:t>ompromise</w:t>
      </w:r>
      <w:proofErr w:type="spellEnd"/>
      <w:r>
        <w:t xml:space="preserve"> that should be recorded as accepted risk rather than ignored [6], [11].</w:t>
      </w:r>
    </w:p>
    <w:p w:rsidR="00F03D44" w:rsidRDefault="00F03D44" w:rsidP="00F03D44">
      <w:pPr>
        <w:ind w:firstLine="288"/>
        <w:jc w:val="both"/>
      </w:pPr>
      <w:r w:rsidRPr="00EB45A2">
        <w:t xml:space="preserve">Commercially, these functions are delivered via Zero Trust Network Access (ZTNA) services that replace the legacy VPNs by brokering per-application </w:t>
      </w:r>
      <w:proofErr w:type="spellStart"/>
      <w:r w:rsidRPr="00EB45A2">
        <w:t>connections.Secure</w:t>
      </w:r>
      <w:proofErr w:type="spellEnd"/>
      <w:r w:rsidRPr="00EB45A2">
        <w:t xml:space="preserve"> Access Service Edge (SASE) platforms, which unite networking and security operations such as</w:t>
      </w:r>
    </w:p>
    <w:p w:rsidR="00F03D44" w:rsidRPr="00EB45A2" w:rsidRDefault="00F03D44" w:rsidP="00F03D44">
      <w:pPr>
        <w:jc w:val="both"/>
      </w:pPr>
      <w:r w:rsidRPr="00EB45A2">
        <w:lastRenderedPageBreak/>
        <w:t xml:space="preserve"> </w:t>
      </w:r>
      <w:proofErr w:type="gramStart"/>
      <w:r w:rsidRPr="00EB45A2">
        <w:t>secure</w:t>
      </w:r>
      <w:proofErr w:type="gramEnd"/>
      <w:r w:rsidRPr="00EB45A2">
        <w:t xml:space="preserve"> web gateways, cloud firewalls and data loss prevention in the cloud are also the delivery channels.</w:t>
      </w:r>
      <w:r>
        <w:t xml:space="preserve"> </w:t>
      </w:r>
      <w:r w:rsidRPr="00EB45A2">
        <w:t>Privileged access management for administrative pathways</w:t>
      </w:r>
      <w:r>
        <w:t xml:space="preserve"> </w:t>
      </w:r>
      <w:proofErr w:type="gramStart"/>
      <w:r w:rsidRPr="00EB45A2">
        <w:t>And</w:t>
      </w:r>
      <w:proofErr w:type="gramEnd"/>
      <w:r w:rsidRPr="00EB45A2">
        <w:t>, cloud security posture management to identify misconfiguration [16], [14]. Table II links together the tenets with the operational mechanisms through which they are implemented.</w:t>
      </w:r>
    </w:p>
    <w:p w:rsidR="00F03D44" w:rsidRDefault="00F03D44" w:rsidP="00F03D44">
      <w:pPr>
        <w:sectPr w:rsidR="00F03D44">
          <w:footerReference w:type="default" r:id="rId8"/>
          <w:type w:val="continuous"/>
          <w:pgSz w:w="11906" w:h="16838"/>
          <w:pgMar w:top="1080" w:right="907" w:bottom="1440" w:left="907" w:header="432" w:footer="720" w:gutter="0"/>
          <w:cols w:num="2" w:space="360"/>
          <w:docGrid w:linePitch="360"/>
        </w:sectPr>
      </w:pPr>
    </w:p>
    <w:p w:rsidR="00F03D44" w:rsidRDefault="00F03D44" w:rsidP="00F03D44">
      <w:pPr>
        <w:keepNext/>
        <w:spacing w:before="140" w:after="20"/>
        <w:jc w:val="center"/>
      </w:pPr>
      <w:r>
        <w:rPr>
          <w:smallCaps/>
          <w:sz w:val="16"/>
          <w:szCs w:val="16"/>
        </w:rPr>
        <w:lastRenderedPageBreak/>
        <w:t>TABLE II</w:t>
      </w:r>
    </w:p>
    <w:p w:rsidR="00F03D44" w:rsidRDefault="00F03D44" w:rsidP="00F03D44">
      <w:pPr>
        <w:keepNext/>
        <w:spacing w:after="60"/>
        <w:jc w:val="center"/>
      </w:pPr>
      <w:r>
        <w:rPr>
          <w:smallCaps/>
          <w:sz w:val="16"/>
          <w:szCs w:val="16"/>
        </w:rPr>
        <w:t xml:space="preserve">Zero-trust tenets mapped to implementation mechanisms and compliance contribution (compiled from [6], [14], [13], </w:t>
      </w:r>
      <w:proofErr w:type="gramStart"/>
      <w:r>
        <w:rPr>
          <w:smallCaps/>
          <w:sz w:val="16"/>
          <w:szCs w:val="16"/>
        </w:rPr>
        <w:t>[</w:t>
      </w:r>
      <w:proofErr w:type="gramEnd"/>
      <w:r>
        <w:rPr>
          <w:smallCaps/>
          <w:sz w:val="16"/>
          <w:szCs w:val="16"/>
        </w:rPr>
        <w:t>17])</w:t>
      </w:r>
    </w:p>
    <w:tbl>
      <w:tblPr>
        <w:tblW w:w="100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4100"/>
        <w:gridCol w:w="3692"/>
      </w:tblGrid>
      <w:tr w:rsidR="00F03D44" w:rsidTr="00EA4C4A">
        <w:trPr>
          <w:tblHeade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Tenet</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Implementation mechanisms</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Compliance contribution</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Verify explicitly and continuously</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MFA / passkeys, SSO, risk-based and </w:t>
            </w:r>
            <w:proofErr w:type="spellStart"/>
            <w:r>
              <w:rPr>
                <w:sz w:val="16"/>
                <w:szCs w:val="16"/>
              </w:rPr>
              <w:t>behavioural</w:t>
            </w:r>
            <w:proofErr w:type="spellEnd"/>
            <w:r>
              <w:rPr>
                <w:sz w:val="16"/>
                <w:szCs w:val="16"/>
              </w:rPr>
              <w:t xml:space="preserve"> authentication</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GDPR Art. 32 security of processing; NIS2 Art. 21 MFA requirement</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Least privilege</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RBAC / ABAC, privileged access management, just-in-time access</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Data </w:t>
            </w:r>
            <w:proofErr w:type="spellStart"/>
            <w:r>
              <w:rPr>
                <w:sz w:val="16"/>
                <w:szCs w:val="16"/>
              </w:rPr>
              <w:t>minimisation</w:t>
            </w:r>
            <w:proofErr w:type="spellEnd"/>
            <w:r>
              <w:rPr>
                <w:sz w:val="16"/>
                <w:szCs w:val="16"/>
              </w:rPr>
              <w:t xml:space="preserve"> and need-to-know evidence (GDPR Arts. 5, 25)</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Micro-segmentation</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Software-defined segmentation; identity-aware proxies</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Limits breach scope; supports DORA resilience objectives</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Assume breach monitor everything</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EDR, SIEM / UEBA, SOAR automation</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Meets 72 h / 24 h reporting clocks (GDPR Art. 33; NIS2 Art. 23)</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Secure all communication</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TLS 1.3, mutual authentication, crypto-agility</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GDPR Art. 32 encryption; post-quantum readiness</w:t>
            </w:r>
          </w:p>
        </w:tc>
      </w:tr>
      <w:tr w:rsidR="00F03D44" w:rsidTr="00EA4C4A">
        <w:trPr>
          <w:jc w:val="center"/>
        </w:trPr>
        <w:tc>
          <w:tcPr>
            <w:tcW w:w="23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Device posture as policy input</w:t>
            </w:r>
          </w:p>
        </w:tc>
        <w:tc>
          <w:tcPr>
            <w:tcW w:w="410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ICAM integrated with endpoint telemetry</w:t>
            </w:r>
          </w:p>
        </w:tc>
        <w:tc>
          <w:tcPr>
            <w:tcW w:w="36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Asset visibility duties (NIS2 Art. 21)</w:t>
            </w:r>
          </w:p>
        </w:tc>
      </w:tr>
    </w:tbl>
    <w:p w:rsidR="00F03D44" w:rsidRDefault="00F03D44" w:rsidP="00F03D44">
      <w:pPr>
        <w:spacing w:after="80"/>
      </w:pPr>
    </w:p>
    <w:p w:rsidR="00F03D44" w:rsidRDefault="00F03D44" w:rsidP="00F03D44">
      <w:pPr>
        <w:sectPr w:rsidR="00F03D44">
          <w:footerReference w:type="default" r:id="rId9"/>
          <w:type w:val="continuous"/>
          <w:pgSz w:w="11906" w:h="16838"/>
          <w:pgMar w:top="1080" w:right="907" w:bottom="1440" w:left="907" w:header="432" w:footer="720" w:gutter="0"/>
          <w:cols w:space="720"/>
          <w:docGrid w:linePitch="360"/>
        </w:sectPr>
      </w:pPr>
    </w:p>
    <w:p w:rsidR="00F03D44" w:rsidRDefault="00F03D44" w:rsidP="00F03D44">
      <w:pPr>
        <w:keepNext/>
        <w:spacing w:before="160" w:after="80"/>
        <w:jc w:val="center"/>
      </w:pPr>
      <w:r>
        <w:rPr>
          <w:smallCaps/>
        </w:rPr>
        <w:lastRenderedPageBreak/>
        <w:t>IV. Implementation Challenges and Evidence of Efficacy</w:t>
      </w:r>
    </w:p>
    <w:p w:rsidR="00F03D44" w:rsidRDefault="00F03D44" w:rsidP="00F03D44">
      <w:pPr>
        <w:keepNext/>
        <w:spacing w:before="160" w:after="80"/>
        <w:jc w:val="both"/>
      </w:pPr>
      <w:r>
        <w:t xml:space="preserve">     </w:t>
      </w:r>
      <w:r w:rsidRPr="003973FC">
        <w:t>NIST’s practice guide SP 1800-35, a collaboration piece from NIST and twenty-four tech providers, frank acknowledgment is that a ‘zero trust’ framework is more like a long-term effort involving numerous steps rather than a straight product purchase [15]. It points out that writing real, solid zero-trust policies is something you learn and improve over time [15], [4].</w:t>
      </w:r>
    </w:p>
    <w:p w:rsidR="00F03D44" w:rsidRDefault="00F03D44" w:rsidP="00F03D44">
      <w:pPr>
        <w:keepNext/>
        <w:spacing w:before="160" w:after="80"/>
        <w:jc w:val="both"/>
      </w:pPr>
      <w:r>
        <w:t xml:space="preserve">     </w:t>
      </w:r>
      <w:r w:rsidRPr="003973FC">
        <w:t xml:space="preserve">Lack of a full, accurate record of your assets [4], [11], [8]  a not-competent identity system that security, identity, application and networking teams, the ‘Zero trust’ initiative requires it takes some time to see the full returns invested in a step-by-step transformation and besides the outcomes are only probable, to say it more accurately it is quite hard to evident benefits a </w:t>
      </w:r>
      <w:proofErr w:type="spellStart"/>
      <w:r w:rsidRPr="003973FC">
        <w:t>quarter.Culturally</w:t>
      </w:r>
      <w:proofErr w:type="spellEnd"/>
      <w:r w:rsidRPr="003973FC">
        <w:t xml:space="preserve">, users and administrators run into additional roadblocks, and vendors "zero-trust washing" simply repackaging of traditional products creates distrust [4]. The underlying issue is mainly governance, not engineering, which is why models like CISA's structure adoption across identity, device, network, application and data pillars, with visibility, automation and governance as cross-cutting capabilities [14]. An additional problem for small entities is their attitude: according to NIST's implementation work there exists a widespread belief that zero trust is primarily for big enterprises, along with a lack of skills that are required to perform policy-driven controls these issues can only be fixed through sustained training and the use of phased pilots [15]. </w:t>
      </w:r>
    </w:p>
    <w:p w:rsidR="00F03D44" w:rsidRDefault="00F03D44" w:rsidP="00F03D44">
      <w:pPr>
        <w:jc w:val="both"/>
      </w:pPr>
      <w:r>
        <w:t xml:space="preserve">     </w:t>
      </w:r>
      <w:r w:rsidRPr="003973FC">
        <w:t xml:space="preserve">Still, the direction of changes is clear. Gartner foresees that by 2025 at least 70% of new remote-access deployments will be through ZTNA instead of VPNs [16]; </w:t>
      </w:r>
      <w:proofErr w:type="spellStart"/>
      <w:r w:rsidRPr="003973FC">
        <w:t>Zscaler's</w:t>
      </w:r>
      <w:proofErr w:type="spellEnd"/>
      <w:r w:rsidRPr="003973FC">
        <w:t xml:space="preserve"> 2025 practitioner survey states that most companies are putting their efforts into implementing or planning zero-trust strategies and most of them have already made the decision </w:t>
      </w:r>
      <w:r w:rsidRPr="003973FC">
        <w:lastRenderedPageBreak/>
        <w:t>or planning to get rid of their legacy infrastructure by replacing a major part of it</w:t>
      </w:r>
      <w:r>
        <w:t xml:space="preserve"> via a gradual replacement [18], [19]; and the US Department of Defense has committed its entire enterprise to a target-level zero-trust implementation by fiscal year 2027 [20]. On efficacy, IBM’s breach research found that organisations with mature zero-trust deployments incurred average breach costs of US$3.28 million against US$5.04 million where zero trust was absent  a difference of US$1.76 million, or roughly 35% (Fig. 2) [21]. Later editions associate the analytics and automation on which zero trust depends with breach lifecycles shortened by months and correspondingly lower losses [1].</w:t>
      </w:r>
    </w:p>
    <w:p w:rsidR="00F03D44" w:rsidRDefault="00F03D44" w:rsidP="00F03D44">
      <w:pPr>
        <w:keepNext/>
        <w:spacing w:before="120" w:after="40"/>
        <w:jc w:val="center"/>
      </w:pPr>
      <w:r>
        <w:rPr>
          <w:noProof/>
        </w:rPr>
        <w:drawing>
          <wp:inline distT="0" distB="0" distL="0" distR="0" wp14:anchorId="55A5C90E" wp14:editId="541EFCF2">
            <wp:extent cx="2938765" cy="24682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959489" cy="2485651"/>
                    </a:xfrm>
                    <a:prstGeom prst="rect">
                      <a:avLst/>
                    </a:prstGeom>
                  </pic:spPr>
                </pic:pic>
              </a:graphicData>
            </a:graphic>
          </wp:inline>
        </w:drawing>
      </w:r>
    </w:p>
    <w:p w:rsidR="00F03D44" w:rsidRDefault="00F03D44" w:rsidP="00F03D44">
      <w:pPr>
        <w:spacing w:before="80" w:after="200"/>
        <w:jc w:val="both"/>
      </w:pPr>
      <w:r>
        <w:rPr>
          <w:sz w:val="16"/>
          <w:szCs w:val="16"/>
        </w:rPr>
        <w:t>Fig. 2. Average total breach cost by zero-trust maturity. Data from IBM [21].</w:t>
      </w:r>
    </w:p>
    <w:p w:rsidR="00F03D44" w:rsidRPr="00EB45A2" w:rsidRDefault="00F03D44" w:rsidP="00F03D44">
      <w:pPr>
        <w:jc w:val="both"/>
      </w:pPr>
      <w:r w:rsidRPr="00EB45A2">
        <w:t xml:space="preserve">The cost information is based on observation: companies with enough organisational maturity to introduce zero trust could be good at </w:t>
      </w:r>
      <w:proofErr w:type="spellStart"/>
      <w:r w:rsidRPr="00EB45A2">
        <w:t>cybersecurity</w:t>
      </w:r>
      <w:proofErr w:type="spellEnd"/>
      <w:r w:rsidRPr="00EB45A2">
        <w:t xml:space="preserve"> in general so the observed difference couldn't be explained only by the architecture. Survey results are obtained through personal accounts and often sponsored by vendors [18]. Besides, zero trust doesn't remove the risk </w:t>
      </w:r>
      <w:r w:rsidRPr="00EB45A2">
        <w:lastRenderedPageBreak/>
        <w:t xml:space="preserve">of phishing, insider misuse or supply chain exploitation; it lessens the impact of them [22]. </w:t>
      </w:r>
    </w:p>
    <w:p w:rsidR="00F03D44" w:rsidRDefault="00F03D44" w:rsidP="00F03D44">
      <w:pPr>
        <w:keepNext/>
        <w:spacing w:before="160" w:after="80"/>
        <w:jc w:val="center"/>
      </w:pPr>
      <w:r>
        <w:rPr>
          <w:smallCaps/>
        </w:rPr>
        <w:t>V. Regulatory Alignment: GDPR, NIS2 and DORA</w:t>
      </w:r>
    </w:p>
    <w:p w:rsidR="00F03D44" w:rsidRDefault="00F03D44" w:rsidP="00F03D44">
      <w:pPr>
        <w:ind w:firstLine="288"/>
        <w:jc w:val="both"/>
      </w:pPr>
      <w:r w:rsidRPr="0094021B">
        <w:t>Regulation (EU) 2016/679 requires "appropriate technical and organisational measures" which take into account the level of risk, for example the encryption, the continuing confidentiality, integrity, availability and resilience of processing systems as well as regular testing (Art. 32), and it also requires personal data breaches be reported to the supervisory authority within 72 hours of becoming aware of them (Art. 33) [13].The zero-trust approach can be directly linked to these obligations: implementing granular access control, minimizing privilege, and pervasive encryption are examples of measures that comply with Articles 25 and 32. In addition, logging upon request will provide the evidence of accountability, mandated by Article 5(2), and the forensic data required to produce the notification within the time limit of 72 hours [13], [23].If the processing is of a large scale sensitive data, Article 35 also requires the preparation of a data protection impact assessment, which a good evidence base from zero-trust logging will help considerably [13].</w:t>
      </w:r>
    </w:p>
    <w:p w:rsidR="00F03D44" w:rsidRDefault="00F03D44" w:rsidP="00F03D44">
      <w:pPr>
        <w:ind w:firstLine="288"/>
        <w:jc w:val="both"/>
      </w:pPr>
      <w:r>
        <w:t xml:space="preserve">The NIS2 Directive extends comparable duties to essential and important entities across eighteen critical sectors. It mandates risk-management measures that expressly include access control, multi-factor authentication, </w:t>
      </w:r>
      <w:proofErr w:type="gramStart"/>
      <w:r>
        <w:t>cryptography</w:t>
      </w:r>
      <w:proofErr w:type="gramEnd"/>
      <w:r>
        <w:t xml:space="preserve"> and supply-chain security (Art. 21); makes management bodies personally accountable for approving and overseeing those measures (Art. 20); and imposes staged incident reporting an early warning within 24 hours, an incident notification within 72 hours and a final report within one month (Art. 23) [17]. Sanctions reach €10 million or 2% of worldwide turnover for essential entities and €7 million or 1.4% for important entities [17]. Continuous monitoring and automated response directly shorten the detection-and-classification interval on which those statutory deadlines depend.</w:t>
      </w:r>
    </w:p>
    <w:p w:rsidR="00F03D44" w:rsidRDefault="00F03D44" w:rsidP="00F03D44">
      <w:pPr>
        <w:jc w:val="both"/>
      </w:pPr>
      <w:r>
        <w:t xml:space="preserve">For financial entities, the Digital Operational Resilience Act adds a </w:t>
      </w:r>
      <w:proofErr w:type="spellStart"/>
      <w:r>
        <w:t>harmonised</w:t>
      </w:r>
      <w:proofErr w:type="spellEnd"/>
      <w:r>
        <w:t xml:space="preserve"> ICT risk-management framework, classification and staged reporting of major ICT incidents, threat-led penetration testing and an oversight regime for critical third-party ICT providers [24]. The three pieces coincide to the same expectations verified access, </w:t>
      </w:r>
      <w:proofErr w:type="spellStart"/>
      <w:r>
        <w:t>privil</w:t>
      </w:r>
      <w:proofErr w:type="spellEnd"/>
      <w:r>
        <w:t xml:space="preserve"> e </w:t>
      </w:r>
      <w:proofErr w:type="spellStart"/>
      <w:proofErr w:type="gramStart"/>
      <w:r>
        <w:t>ged</w:t>
      </w:r>
      <w:proofErr w:type="spellEnd"/>
      <w:proofErr w:type="gramEnd"/>
      <w:r>
        <w:t xml:space="preserve"> least, </w:t>
      </w:r>
      <w:proofErr w:type="spellStart"/>
      <w:r>
        <w:t>monitore</w:t>
      </w:r>
      <w:proofErr w:type="spellEnd"/>
      <w:r>
        <w:t xml:space="preserve"> d a c </w:t>
      </w:r>
      <w:proofErr w:type="spellStart"/>
      <w:r>
        <w:t>tivity</w:t>
      </w:r>
      <w:proofErr w:type="spellEnd"/>
      <w:r>
        <w:t xml:space="preserve">, rapid detection and evidenced governance which are just the deliverables of a zero-trust </w:t>
      </w:r>
      <w:proofErr w:type="spellStart"/>
      <w:r>
        <w:t>programme</w:t>
      </w:r>
      <w:proofErr w:type="spellEnd"/>
      <w:r>
        <w:t xml:space="preserve">. There are two limitations to complete the critical picture. First, it should be noted that none of the pieces refer to zero trust in a mandatory fashion: the Regulators mainly look at the results, not the systems. Secondly, as von </w:t>
      </w:r>
      <w:proofErr w:type="spellStart"/>
      <w:r>
        <w:t>Solms</w:t>
      </w:r>
      <w:proofErr w:type="spellEnd"/>
      <w:r>
        <w:t xml:space="preserve"> has long insisted in his discussion on security standards, accreditation reveals to the conformity level of standards and not the presence of immunity. Even if the controls deployed are not operated correctly they do not help [25], [26].</w:t>
      </w:r>
    </w:p>
    <w:p w:rsidR="00F03D44" w:rsidRDefault="00F03D44" w:rsidP="00F03D44">
      <w:pPr>
        <w:keepNext/>
        <w:spacing w:before="160" w:after="80"/>
        <w:jc w:val="center"/>
      </w:pPr>
      <w:r>
        <w:rPr>
          <w:smallCaps/>
        </w:rPr>
        <w:t>VI. Future Directions</w:t>
      </w:r>
    </w:p>
    <w:p w:rsidR="00F03D44" w:rsidRDefault="00F03D44" w:rsidP="00F03D44">
      <w:pPr>
        <w:jc w:val="both"/>
      </w:pPr>
      <w:r>
        <w:t xml:space="preserve">     Two key changes will dramatically impact the future of zero trust by the end of the decade. The EU Artificial </w:t>
      </w:r>
      <w:proofErr w:type="spellStart"/>
      <w:r>
        <w:t>Inteliigence</w:t>
      </w:r>
      <w:proofErr w:type="spellEnd"/>
      <w:r>
        <w:t xml:space="preserve"> Act, which starts imposing obligations from 2025 to 2027, formally includes risk governance for AI systems [27]; and, zero-trust identity mechanisms and policy controls are well-suited for handling machine identities, </w:t>
      </w:r>
      <w:r>
        <w:lastRenderedPageBreak/>
        <w:t>model access and AI supply chains as machine learning gets rolled out simultaneously at the policy engine level itself.</w:t>
      </w:r>
    </w:p>
    <w:p w:rsidR="00F03D44" w:rsidRPr="0094021B" w:rsidRDefault="00F03D44" w:rsidP="00F03D44">
      <w:pPr>
        <w:jc w:val="both"/>
      </w:pPr>
      <w:r>
        <w:t xml:space="preserve">     </w:t>
      </w:r>
      <w:r w:rsidRPr="0094021B">
        <w:t xml:space="preserve">For the time being, the crypto transition: In August 2024 [28], NIST finalised the first post-quantum standards (FIPS 203-205) while the European Commission has recommended that the Member States start a coordinated migration, </w:t>
      </w:r>
      <w:proofErr w:type="spellStart"/>
      <w:r w:rsidRPr="0094021B">
        <w:t>prioritised</w:t>
      </w:r>
      <w:proofErr w:type="spellEnd"/>
      <w:r w:rsidRPr="0094021B">
        <w:t xml:space="preserve"> critical infrastructure [29] only. As every decision made with zero-trust leads to an encrypted and mutually authenticated session, crypto-agility has to be treated as a first-level architectural requirement rather than a secondary feature.</w:t>
      </w:r>
    </w:p>
    <w:p w:rsidR="00F03D44" w:rsidRDefault="00F03D44" w:rsidP="00F03D44">
      <w:pPr>
        <w:spacing w:after="120" w:line="228" w:lineRule="auto"/>
        <w:ind w:firstLine="288"/>
        <w:jc w:val="both"/>
      </w:pPr>
    </w:p>
    <w:p w:rsidR="00F03D44" w:rsidRDefault="00F03D44" w:rsidP="00F03D44">
      <w:pPr>
        <w:keepNext/>
        <w:spacing w:before="160" w:after="80"/>
        <w:jc w:val="center"/>
      </w:pPr>
      <w:r>
        <w:rPr>
          <w:smallCaps/>
        </w:rPr>
        <w:t>VII. Conclusion</w:t>
      </w:r>
    </w:p>
    <w:p w:rsidR="00F03D44" w:rsidRPr="0094021B" w:rsidRDefault="00F03D44" w:rsidP="00F03D44">
      <w:pPr>
        <w:jc w:val="both"/>
      </w:pPr>
      <w:r>
        <w:t xml:space="preserve">     </w:t>
      </w:r>
      <w:r w:rsidRPr="0094021B">
        <w:t xml:space="preserve">Zero trust security removes a mistaken belief i.e. that the location implies trust and replaces that with continuous risk-based access decisions and evidence of the need for such </w:t>
      </w:r>
      <w:proofErr w:type="spellStart"/>
      <w:r w:rsidRPr="0094021B">
        <w:t>decisions.In</w:t>
      </w:r>
      <w:proofErr w:type="spellEnd"/>
      <w:r w:rsidRPr="0094021B">
        <w:t xml:space="preserve"> comparison, these types of models, if traditional, can significantly limit horizontal data flow, shorten the window of vulnerability and produce the type of documentary evidence (e.g., audit logs) demanded by GDPR, NIS2 and DORA, as well as those that point to the direction of the industry and government adoption respectively.</w:t>
      </w:r>
      <w:r>
        <w:t xml:space="preserve"> </w:t>
      </w:r>
      <w:r w:rsidRPr="0094021B">
        <w:t>So, companies pursuing zero trust should look at it as a strategic operating model: set asset and identity bases initially, carry out migration piece by piece by protect surface, and assess performance in terms of reduced blast radius and quicker detection time instead of products used.</w:t>
      </w:r>
    </w:p>
    <w:p w:rsidR="00F03D44" w:rsidRDefault="00F03D44" w:rsidP="00F03D44">
      <w:pPr>
        <w:keepNext/>
        <w:spacing w:before="240" w:after="120"/>
        <w:jc w:val="center"/>
      </w:pPr>
      <w:r>
        <w:rPr>
          <w:b/>
          <w:bCs/>
          <w:smallCaps/>
          <w:sz w:val="22"/>
          <w:szCs w:val="22"/>
        </w:rPr>
        <w:t>TASK 2</w:t>
      </w:r>
      <w:r w:rsidR="00AC0544">
        <w:rPr>
          <w:b/>
          <w:bCs/>
          <w:smallCaps/>
          <w:sz w:val="22"/>
          <w:szCs w:val="22"/>
        </w:rPr>
        <w:t>:</w:t>
      </w:r>
      <w:bookmarkStart w:id="0" w:name="_GoBack"/>
      <w:bookmarkEnd w:id="0"/>
      <w:r>
        <w:rPr>
          <w:b/>
          <w:bCs/>
          <w:smallCaps/>
          <w:sz w:val="22"/>
          <w:szCs w:val="22"/>
        </w:rPr>
        <w:t xml:space="preserve"> </w:t>
      </w:r>
      <w:r w:rsidR="00CB2426">
        <w:rPr>
          <w:b/>
          <w:bCs/>
          <w:smallCaps/>
          <w:sz w:val="22"/>
          <w:szCs w:val="22"/>
        </w:rPr>
        <w:t xml:space="preserve"> </w:t>
      </w:r>
      <w:r>
        <w:rPr>
          <w:b/>
          <w:bCs/>
          <w:smallCaps/>
          <w:sz w:val="22"/>
          <w:szCs w:val="22"/>
        </w:rPr>
        <w:t>CASE SCENARIO: A STRUCTURED CYBERSECURITY PROGRAMME FOR EQUIFAX</w:t>
      </w:r>
    </w:p>
    <w:p w:rsidR="00F03D44" w:rsidRDefault="00F03D44" w:rsidP="00F03D44">
      <w:pPr>
        <w:keepNext/>
        <w:spacing w:before="160" w:after="80"/>
        <w:jc w:val="center"/>
      </w:pPr>
      <w:r>
        <w:rPr>
          <w:smallCaps/>
        </w:rPr>
        <w:t>I. Introduction and Case Analysis</w:t>
      </w:r>
    </w:p>
    <w:p w:rsidR="00F03D44" w:rsidRDefault="00F03D44" w:rsidP="00F03D44">
      <w:pPr>
        <w:spacing w:after="120" w:line="228" w:lineRule="auto"/>
        <w:ind w:firstLine="288"/>
        <w:jc w:val="both"/>
      </w:pPr>
      <w:r>
        <w:t xml:space="preserve">In March 2017 a critical remote-code-execution vulnerability in the Apache Struts web framework (CVE-2017-5638) was publicly disclosed and patched, and US-CERT circulated an alert within days [9]. Equifax distributed the alert internally, but the consumer-facing ACIS dispute portal that used Struts was never identified as affected, and a follow-up vulnerability scan failed to detect the vulnerable installation [30]. </w:t>
      </w:r>
    </w:p>
    <w:p w:rsidR="00F03D44" w:rsidRDefault="00F03D44" w:rsidP="00F03D44">
      <w:pPr>
        <w:spacing w:after="120" w:line="228" w:lineRule="auto"/>
        <w:ind w:firstLine="288"/>
        <w:jc w:val="both"/>
      </w:pPr>
      <w:r>
        <w:t xml:space="preserve">Attackers exploited the flaw on 13 May 2017 and operated undetected until 29 July 2017 seventy-six days in which they ran approximately 9,000 queries against dozens of unrelated databases, aided by unencrypted credentials found on an internal file share, and </w:t>
      </w:r>
      <w:proofErr w:type="spellStart"/>
      <w:r>
        <w:t>exfiltrated</w:t>
      </w:r>
      <w:proofErr w:type="spellEnd"/>
      <w:r>
        <w:t xml:space="preserve"> the personal data of approximately 147 million people, including Social Security numbers and dates of birth [9], [30], [31]. Detection failed because the device that inspected outbound encrypted traffic had been operating with an expired digital certificate for some nineteen months; the intrusion became visible within hours of the certificate finally being renewed [32].</w:t>
      </w:r>
    </w:p>
    <w:p w:rsidR="00F03D44" w:rsidRDefault="00F03D44" w:rsidP="00F03D44">
      <w:pPr>
        <w:spacing w:after="120" w:line="228" w:lineRule="auto"/>
        <w:ind w:firstLine="288"/>
        <w:jc w:val="both"/>
      </w:pPr>
      <w:r w:rsidRPr="004E63CC">
        <w:t>A case study holds strong analytical</w:t>
      </w:r>
      <w:r>
        <w:t xml:space="preserve"> value because typical failures </w:t>
      </w:r>
      <w:r w:rsidRPr="004E63CC">
        <w:t>unpatched systems, outdated inventories, long-expired certificate</w:t>
      </w:r>
      <w:r>
        <w:t xml:space="preserve">s, and unclear system ownership </w:t>
      </w:r>
      <w:r w:rsidRPr="004E63CC">
        <w:t>are common. The scenario therefore assumes a realistic attacker and an organisation whose controls must operate efficiently at scale.</w:t>
      </w:r>
      <w:r>
        <w:t xml:space="preserve"> </w:t>
      </w:r>
      <w:r w:rsidRPr="004E63CC">
        <w:t xml:space="preserve">The organisation is a credit-reference agency headquartered in the US but operating in the UK and EU, placing it under GDPR and UK data-protection law [13]. As </w:t>
      </w:r>
      <w:r w:rsidRPr="004E63CC">
        <w:lastRenderedPageBreak/>
        <w:t xml:space="preserve">a data </w:t>
      </w:r>
      <w:proofErr w:type="spellStart"/>
      <w:r w:rsidRPr="004E63CC">
        <w:t>supplier</w:t>
      </w:r>
      <w:proofErr w:type="spellEnd"/>
      <w:r w:rsidRPr="004E63CC">
        <w:t xml:space="preserve"> to banks it may later fall within the EU’s DORA regime for critical ICT third-party providers [24].</w:t>
      </w:r>
    </w:p>
    <w:p w:rsidR="00F03D44" w:rsidRDefault="00F03D44" w:rsidP="00F03D44">
      <w:pPr>
        <w:keepNext/>
        <w:spacing w:before="160" w:after="80"/>
        <w:jc w:val="center"/>
        <w:rPr>
          <w:smallCaps/>
        </w:rPr>
      </w:pPr>
      <w:r>
        <w:rPr>
          <w:smallCaps/>
        </w:rPr>
        <w:t>II. Organisational Structure and Accountability</w:t>
      </w:r>
    </w:p>
    <w:p w:rsidR="00F03D44" w:rsidRDefault="00F03D44" w:rsidP="00F03D44">
      <w:pPr>
        <w:jc w:val="both"/>
      </w:pPr>
      <w:r>
        <w:t xml:space="preserve">     </w:t>
      </w:r>
      <w:r w:rsidRPr="00E1457F">
        <w:t xml:space="preserve">The initial design change corrects the failure of the reporting lines to be appropriate. Chief Information Security Operator is the person who reports to the Chief Executive Officer, while, besides that, the person has a regular task of informing a board-level Technology and </w:t>
      </w:r>
      <w:proofErr w:type="spellStart"/>
      <w:r w:rsidRPr="00E1457F">
        <w:t>Cybersecurity</w:t>
      </w:r>
      <w:proofErr w:type="spellEnd"/>
      <w:r w:rsidRPr="00E1457F">
        <w:t xml:space="preserve"> Committee that agrees to the </w:t>
      </w:r>
      <w:proofErr w:type="spellStart"/>
      <w:r w:rsidRPr="00E1457F">
        <w:t>cybersecurity</w:t>
      </w:r>
      <w:proofErr w:type="spellEnd"/>
      <w:r w:rsidRPr="00E1457F">
        <w:t xml:space="preserve"> and risk appetite strategy every quarter (Fig. 3)</w:t>
      </w:r>
      <w:r w:rsidRPr="008F10E8">
        <w:t xml:space="preserve"> </w:t>
      </w:r>
      <w:r>
        <w:t xml:space="preserve">This kind of setup gives the board a direct view of the security issues and gives the security leaders control over the day-to-day operations and the ability to be responsible at the same time for managing security issues, a kind of dual responsibility, which already </w:t>
      </w:r>
      <w:r>
        <w:lastRenderedPageBreak/>
        <w:t>exists at the moment with NIS2 Article 20</w:t>
      </w:r>
      <w:r w:rsidRPr="00E1457F">
        <w:t xml:space="preserve"> [17], and also covers the board-oversight disclosures expected by institutional investors in the SEC's 2023 </w:t>
      </w:r>
      <w:proofErr w:type="spellStart"/>
      <w:r w:rsidRPr="00E1457F">
        <w:t>cybersecurity</w:t>
      </w:r>
      <w:proofErr w:type="spellEnd"/>
      <w:r w:rsidRPr="00E1457F">
        <w:t xml:space="preserve"> regulations [35]. In 2017, the Chief Security Officer was the Chief Legal Officer's subordinate, which put security decisions, such as the decisions to reveal or conceal certain information, at the disposal of legal risk management [32]. However, legal counsel is only part of the incident team and does not have the position in the security command line under the new model. The Data Protection Officer can be appointed separately and, according to GDPR Articles 37, 39 for those whose main activity is large-scale processing of personal data, will report direct to board [13]. Peer status with a board-level direct access takes care of this structural conflict of interest.</w:t>
      </w:r>
    </w:p>
    <w:p w:rsidR="00F03D44" w:rsidRDefault="00F03D44" w:rsidP="00F03D44">
      <w:pPr>
        <w:sectPr w:rsidR="00F03D44">
          <w:footerReference w:type="default" r:id="rId11"/>
          <w:type w:val="continuous"/>
          <w:pgSz w:w="11906" w:h="16838"/>
          <w:pgMar w:top="1080" w:right="907" w:bottom="1440" w:left="907" w:header="432" w:footer="720" w:gutter="0"/>
          <w:cols w:num="2" w:space="360"/>
          <w:docGrid w:linePitch="360"/>
        </w:sectPr>
      </w:pPr>
    </w:p>
    <w:p w:rsidR="00F03D44" w:rsidRDefault="00F03D44" w:rsidP="00F03D44">
      <w:pPr>
        <w:keepNext/>
        <w:spacing w:before="120" w:after="40"/>
        <w:jc w:val="center"/>
        <w:rPr>
          <w:noProof/>
        </w:rPr>
      </w:pPr>
    </w:p>
    <w:p w:rsidR="00F03D44" w:rsidRDefault="00F03D44" w:rsidP="00F03D44">
      <w:pPr>
        <w:keepNext/>
        <w:spacing w:before="120" w:after="40"/>
        <w:jc w:val="center"/>
      </w:pPr>
      <w:r>
        <w:rPr>
          <w:noProof/>
        </w:rPr>
        <w:drawing>
          <wp:inline distT="0" distB="0" distL="0" distR="0" wp14:anchorId="43DAA81B" wp14:editId="366FE5A2">
            <wp:extent cx="6303244" cy="35065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2" b="-1173"/>
                    <a:stretch/>
                  </pic:blipFill>
                  <pic:spPr bwMode="auto">
                    <a:xfrm>
                      <a:off x="0" y="0"/>
                      <a:ext cx="6305550" cy="3507808"/>
                    </a:xfrm>
                    <a:prstGeom prst="rect">
                      <a:avLst/>
                    </a:prstGeom>
                    <a:ln>
                      <a:noFill/>
                    </a:ln>
                    <a:extLst>
                      <a:ext uri="{53640926-AAD7-44D8-BBD7-CCE9431645EC}">
                        <a14:shadowObscured xmlns:a14="http://schemas.microsoft.com/office/drawing/2010/main"/>
                      </a:ext>
                    </a:extLst>
                  </pic:spPr>
                </pic:pic>
              </a:graphicData>
            </a:graphic>
          </wp:inline>
        </w:drawing>
      </w:r>
    </w:p>
    <w:p w:rsidR="00F03D44" w:rsidRDefault="00F03D44" w:rsidP="00F03D44">
      <w:pPr>
        <w:spacing w:before="80" w:after="200"/>
        <w:jc w:val="center"/>
        <w:sectPr w:rsidR="00F03D44">
          <w:footerReference w:type="default" r:id="rId13"/>
          <w:type w:val="continuous"/>
          <w:pgSz w:w="11906" w:h="16838"/>
          <w:pgMar w:top="1080" w:right="907" w:bottom="1440" w:left="907" w:header="432" w:footer="720" w:gutter="0"/>
          <w:cols w:space="720"/>
          <w:docGrid w:linePitch="360"/>
        </w:sectPr>
      </w:pPr>
      <w:r>
        <w:rPr>
          <w:sz w:val="16"/>
          <w:szCs w:val="16"/>
        </w:rPr>
        <w:t>Fig. 3. Proposed governance structure</w:t>
      </w:r>
    </w:p>
    <w:p w:rsidR="00F03D44" w:rsidRDefault="00F03D44" w:rsidP="00F03D44">
      <w:pPr>
        <w:jc w:val="both"/>
      </w:pPr>
      <w:r>
        <w:lastRenderedPageBreak/>
        <w:t xml:space="preserve">     CISO is in charge of five CIO tasks that are the outcome of failures discovered in 2017.Security Architecture sets up zero-trust and segmentation standards as a design authority, fixing the flat network issue that gave a web-server infection access to several </w:t>
      </w:r>
      <w:proofErr w:type="spellStart"/>
      <w:r>
        <w:t>dbs</w:t>
      </w:r>
      <w:proofErr w:type="spellEnd"/>
      <w:r>
        <w:t xml:space="preserve"> [9]. The Security Development and Application Security team, which has in charge the secure-SDLC gates and the software bill of materials, deals with unmanaged open-source components like the Struts library embedded in a legacy application [30].The Vulnerability and Threat Management is accountable for patching outcomes, assigning a named owner to every asset to close the accountability gap the one that existed in 2017, a broadcast email came with no someone responsible for action [30]. </w:t>
      </w:r>
    </w:p>
    <w:p w:rsidR="00F03D44" w:rsidRDefault="00F03D44" w:rsidP="00F03D44">
      <w:pPr>
        <w:jc w:val="both"/>
      </w:pPr>
      <w:r>
        <w:t xml:space="preserve">     The SOC team operates 24x7, does certificate hygiene, and the GRC handles, liaison audit and regulatory reporting. Personnel and budget for these teams have to be annual board-committee-authorized risk register-based, so resources match the risk that has been assessed instead of the loudest </w:t>
      </w:r>
      <w:proofErr w:type="spellStart"/>
      <w:r>
        <w:t>project.Two</w:t>
      </w:r>
      <w:proofErr w:type="spellEnd"/>
      <w:r>
        <w:t xml:space="preserve"> separation of duties are enforced: IT Operations </w:t>
      </w:r>
      <w:r>
        <w:lastRenderedPageBreak/>
        <w:t xml:space="preserve">(Reporting directly to the CIO) changes are being rolled and patches are being applied but Security, the verification of the remedy is the only task Security team can be responsible for so no function gets to validate its work. </w:t>
      </w:r>
    </w:p>
    <w:p w:rsidR="00F03D44" w:rsidRDefault="00F03D44" w:rsidP="00F03D44">
      <w:pPr>
        <w:jc w:val="both"/>
      </w:pPr>
      <w:r>
        <w:t xml:space="preserve">     Internal Audit provides the third line of defense and is the only one reporting to the board Audit Committee that also adheres to the IIA Three Lines Model [36]. The clear, personal attribution of these accountability roles highlights that a governance principle that is fundamental to data protection: data security is at risk when responsibility is in general everyone's but no one's in particular. [37], [38].</w:t>
      </w:r>
    </w:p>
    <w:p w:rsidR="00F03D44" w:rsidRDefault="00F03D44" w:rsidP="00F03D44">
      <w:pPr>
        <w:keepNext/>
        <w:spacing w:before="160" w:after="80"/>
        <w:jc w:val="center"/>
      </w:pPr>
      <w:r>
        <w:rPr>
          <w:smallCaps/>
        </w:rPr>
        <w:t>III. Policies and Procedures</w:t>
      </w:r>
    </w:p>
    <w:p w:rsidR="00F03D44" w:rsidRDefault="00F03D44" w:rsidP="00F03D44">
      <w:pPr>
        <w:jc w:val="both"/>
      </w:pPr>
      <w:r>
        <w:t>Governance becomes a contract between parties when policies are introduced [25], [3]. Table III contains the six policies with quantifiable requirements, key indicators, and the audit mechanism which ensures that both internally and external to your auditor/regulator you meet the requirements rather than a nice statement to be made.</w:t>
      </w:r>
    </w:p>
    <w:p w:rsidR="00F03D44" w:rsidRPr="0094021B" w:rsidRDefault="00F03D44" w:rsidP="00F03D44">
      <w:pPr>
        <w:jc w:val="both"/>
      </w:pPr>
    </w:p>
    <w:p w:rsidR="00F03D44" w:rsidRDefault="00F03D44" w:rsidP="00F03D44">
      <w:pPr>
        <w:spacing w:after="120" w:line="228" w:lineRule="auto"/>
        <w:ind w:firstLine="288"/>
        <w:jc w:val="both"/>
      </w:pPr>
    </w:p>
    <w:p w:rsidR="00F03D44" w:rsidRDefault="00F03D44" w:rsidP="00F03D44">
      <w:pPr>
        <w:sectPr w:rsidR="00F03D44">
          <w:footerReference w:type="default" r:id="rId14"/>
          <w:type w:val="continuous"/>
          <w:pgSz w:w="11906" w:h="16838"/>
          <w:pgMar w:top="1080" w:right="907" w:bottom="1440" w:left="907" w:header="432" w:footer="720" w:gutter="0"/>
          <w:cols w:num="2" w:space="360"/>
          <w:docGrid w:linePitch="360"/>
        </w:sectPr>
      </w:pPr>
    </w:p>
    <w:p w:rsidR="00F03D44" w:rsidRDefault="00F03D44" w:rsidP="00F03D44">
      <w:pPr>
        <w:keepNext/>
        <w:spacing w:before="140" w:after="20"/>
        <w:jc w:val="center"/>
      </w:pPr>
      <w:r>
        <w:rPr>
          <w:smallCaps/>
          <w:sz w:val="16"/>
          <w:szCs w:val="16"/>
        </w:rPr>
        <w:lastRenderedPageBreak/>
        <w:t>TABLE III</w:t>
      </w:r>
    </w:p>
    <w:p w:rsidR="00F03D44" w:rsidRDefault="00F03D44" w:rsidP="00F03D44">
      <w:pPr>
        <w:pStyle w:val="NoSpacing"/>
        <w:jc w:val="center"/>
      </w:pPr>
      <w:r w:rsidRPr="00F07AF6">
        <w:rPr>
          <w:sz w:val="16"/>
        </w:rPr>
        <w:t>POLICY FRAMEWORK: CORE REQUIREMENTS, METRICS &amp; AUDIT</w:t>
      </w:r>
    </w:p>
    <w:tbl>
      <w:tblPr>
        <w:tblW w:w="1019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4"/>
        <w:gridCol w:w="3739"/>
        <w:gridCol w:w="2577"/>
        <w:gridCol w:w="2417"/>
      </w:tblGrid>
      <w:tr w:rsidR="00F03D44" w:rsidTr="00EA4C4A">
        <w:trPr>
          <w:trHeight w:val="206"/>
          <w:tblHeader/>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Policy</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Core requirement</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Metric / KPI</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Audit mechanism</w:t>
            </w:r>
          </w:p>
        </w:tc>
      </w:tr>
      <w:tr w:rsidR="00F03D44" w:rsidTr="00EA4C4A">
        <w:trPr>
          <w:trHeight w:val="477"/>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Vulnerability management</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xml:space="preserve">100% authenticated scanning </w:t>
            </w:r>
            <w:proofErr w:type="spellStart"/>
            <w:r w:rsidRPr="00700C15">
              <w:rPr>
                <w:sz w:val="16"/>
                <w:szCs w:val="16"/>
              </w:rPr>
              <w:t>vs</w:t>
            </w:r>
            <w:proofErr w:type="spellEnd"/>
            <w:r w:rsidRPr="00700C15">
              <w:rPr>
                <w:sz w:val="16"/>
                <w:szCs w:val="16"/>
              </w:rPr>
              <w:t xml:space="preserve"> CMDB; SLAs (critical 48 h / high 7 d); CISO-approved exceptions</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scanned; MTTR; SLA breaches</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Monthly CMDB reconciliation; quarterly sampling</w:t>
            </w:r>
          </w:p>
        </w:tc>
      </w:tr>
      <w:tr w:rsidR="00F03D44" w:rsidTr="00EA4C4A">
        <w:trPr>
          <w:trHeight w:val="477"/>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Patch management</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Named owner per asset; emergency path; mandatory rescan</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xml:space="preserve">Latency </w:t>
            </w:r>
            <w:proofErr w:type="spellStart"/>
            <w:r w:rsidRPr="00700C15">
              <w:rPr>
                <w:sz w:val="16"/>
                <w:szCs w:val="16"/>
              </w:rPr>
              <w:t>vs</w:t>
            </w:r>
            <w:proofErr w:type="spellEnd"/>
            <w:r w:rsidRPr="00700C15">
              <w:rPr>
                <w:sz w:val="16"/>
                <w:szCs w:val="16"/>
              </w:rPr>
              <w:t xml:space="preserve"> SLA; % rescanned</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xml:space="preserve">Change records </w:t>
            </w:r>
            <w:proofErr w:type="spellStart"/>
            <w:r w:rsidRPr="00700C15">
              <w:rPr>
                <w:sz w:val="16"/>
                <w:szCs w:val="16"/>
              </w:rPr>
              <w:t>vs</w:t>
            </w:r>
            <w:proofErr w:type="spellEnd"/>
            <w:r w:rsidRPr="00700C15">
              <w:rPr>
                <w:sz w:val="16"/>
                <w:szCs w:val="16"/>
              </w:rPr>
              <w:t xml:space="preserve"> scan evidence</w:t>
            </w:r>
          </w:p>
        </w:tc>
      </w:tr>
      <w:tr w:rsidR="00F03D44" w:rsidTr="00EA4C4A">
        <w:trPr>
          <w:trHeight w:val="699"/>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Secure development (SSDLC)</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SSDF gates in CI/CD; SBOM; SAST + dependency checks</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xml:space="preserve">% gates passed; SBOM coverage; open </w:t>
            </w:r>
            <w:proofErr w:type="spellStart"/>
            <w:r w:rsidRPr="00700C15">
              <w:rPr>
                <w:sz w:val="16"/>
                <w:szCs w:val="16"/>
              </w:rPr>
              <w:t>criticals</w:t>
            </w:r>
            <w:proofErr w:type="spellEnd"/>
            <w:r w:rsidRPr="00700C15">
              <w:rPr>
                <w:sz w:val="16"/>
                <w:szCs w:val="16"/>
              </w:rPr>
              <w:t xml:space="preserve"> &gt;30 d</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xml:space="preserve">Release sign-off; annual </w:t>
            </w:r>
            <w:proofErr w:type="spellStart"/>
            <w:r w:rsidRPr="00700C15">
              <w:rPr>
                <w:sz w:val="16"/>
                <w:szCs w:val="16"/>
              </w:rPr>
              <w:t>AppSec</w:t>
            </w:r>
            <w:proofErr w:type="spellEnd"/>
            <w:r w:rsidRPr="00700C15">
              <w:rPr>
                <w:sz w:val="16"/>
                <w:szCs w:val="16"/>
              </w:rPr>
              <w:t xml:space="preserve"> audit</w:t>
            </w:r>
          </w:p>
        </w:tc>
      </w:tr>
      <w:tr w:rsidR="00F03D44" w:rsidTr="00EA4C4A">
        <w:trPr>
          <w:trHeight w:val="460"/>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Asset &amp; certificate management</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Authoritative CMDB + weekly discovery; auto cert renewal ≥30 d</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CMDB accuracy; expired certs = 0</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Discovery alerts; cert inventory audit</w:t>
            </w:r>
          </w:p>
        </w:tc>
      </w:tr>
      <w:tr w:rsidR="00F03D44" w:rsidTr="00EA4C4A">
        <w:trPr>
          <w:trHeight w:val="477"/>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Monitoring &amp; logging</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Full coverage of key systems; HA TLS inspection; 12-mo retention; analytics</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coverage; SIEM health; MTTD</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SOC reviews; purple-team tests</w:t>
            </w:r>
          </w:p>
        </w:tc>
      </w:tr>
      <w:tr w:rsidR="00F03D44" w:rsidTr="00EA4C4A">
        <w:trPr>
          <w:trHeight w:val="460"/>
          <w:jc w:val="center"/>
        </w:trPr>
        <w:tc>
          <w:tcPr>
            <w:tcW w:w="1464"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Data protection</w:t>
            </w:r>
          </w:p>
        </w:tc>
        <w:tc>
          <w:tcPr>
            <w:tcW w:w="3739"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Named stewards; encryption at rest/transit; central keys; retention schedules</w:t>
            </w:r>
          </w:p>
        </w:tc>
        <w:tc>
          <w:tcPr>
            <w:tcW w:w="257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 classified; encryption coverage; over-retention</w:t>
            </w:r>
          </w:p>
        </w:tc>
        <w:tc>
          <w:tcPr>
            <w:tcW w:w="2417"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Pr="00700C15" w:rsidRDefault="00F03D44" w:rsidP="00EA4C4A">
            <w:pPr>
              <w:rPr>
                <w:sz w:val="16"/>
                <w:szCs w:val="16"/>
              </w:rPr>
            </w:pPr>
            <w:r w:rsidRPr="00700C15">
              <w:rPr>
                <w:sz w:val="16"/>
                <w:szCs w:val="16"/>
              </w:rPr>
              <w:t>DPO reviews; DPIA; ISO 27001 audit</w:t>
            </w:r>
          </w:p>
        </w:tc>
      </w:tr>
    </w:tbl>
    <w:p w:rsidR="00F03D44" w:rsidRDefault="00F03D44" w:rsidP="00F03D44">
      <w:pPr>
        <w:spacing w:after="80"/>
      </w:pPr>
    </w:p>
    <w:p w:rsidR="00F03D44" w:rsidRDefault="00F03D44" w:rsidP="00F03D44">
      <w:pPr>
        <w:sectPr w:rsidR="00F03D44">
          <w:footerReference w:type="default" r:id="rId15"/>
          <w:type w:val="continuous"/>
          <w:pgSz w:w="11906" w:h="16838"/>
          <w:pgMar w:top="1080" w:right="907" w:bottom="1440" w:left="907" w:header="432" w:footer="720" w:gutter="0"/>
          <w:cols w:space="720"/>
          <w:docGrid w:linePitch="360"/>
        </w:sectPr>
      </w:pPr>
    </w:p>
    <w:p w:rsidR="00F03D44" w:rsidRDefault="00F03D44" w:rsidP="00F03D44">
      <w:pPr>
        <w:spacing w:after="120" w:line="228" w:lineRule="auto"/>
        <w:ind w:firstLine="288"/>
        <w:jc w:val="both"/>
      </w:pPr>
      <w:r>
        <w:lastRenderedPageBreak/>
        <w:t xml:space="preserve">Its credibility rests on the asset and certificate management policy: scanning is only as complete as the configuration management database (CMDB) that scopes </w:t>
      </w:r>
      <w:proofErr w:type="gramStart"/>
      <w:r>
        <w:t>it  Equifax’s</w:t>
      </w:r>
      <w:proofErr w:type="gramEnd"/>
      <w:r>
        <w:t xml:space="preserve"> scan missed the vulnerable system precisely because asset knowledge was wrong [30]  and automated certificate lifecycle management, with a zero-tolerance metric for expired certificates on security devices, removes the blind spot that concealed the exfiltration for months [32].</w:t>
      </w:r>
    </w:p>
    <w:p w:rsidR="00F03D44" w:rsidRDefault="00F03D44" w:rsidP="00F03D44">
      <w:pPr>
        <w:spacing w:after="120" w:line="228" w:lineRule="auto"/>
        <w:ind w:firstLine="288"/>
        <w:jc w:val="both"/>
      </w:pPr>
      <w:r w:rsidRPr="004E63CC">
        <w:t>The secure development policy integrates NIST'S Secure Software Development</w:t>
      </w:r>
      <w:r>
        <w:t xml:space="preserve"> </w:t>
      </w:r>
      <w:r w:rsidRPr="004E63CC">
        <w:t>Framework within the pipeline. Every build contains software bill of materials, automatic dependency checking and releases require a security sign-off.</w:t>
      </w:r>
      <w:r>
        <w:t xml:space="preserve"> </w:t>
      </w:r>
      <w:r w:rsidRPr="004E63CC">
        <w:t>The data protecti</w:t>
      </w:r>
      <w:r>
        <w:t xml:space="preserve">on policy combines the modules </w:t>
      </w:r>
      <w:r w:rsidRPr="004E63CC">
        <w:t xml:space="preserve">core texts' data methods, classification, </w:t>
      </w:r>
      <w:proofErr w:type="spellStart"/>
      <w:r w:rsidRPr="004E63CC">
        <w:t>minimisation</w:t>
      </w:r>
      <w:proofErr w:type="spellEnd"/>
      <w:r w:rsidRPr="004E63CC">
        <w:t>, retention and data stewards [38], with identifiers encryption at field level so that even a successful intruder reveals fewer usable data than the 2017 attackers with plaintext records and credentials [9], [13].</w:t>
      </w:r>
      <w:r>
        <w:t xml:space="preserve"> </w:t>
      </w:r>
      <w:r w:rsidRPr="004E63CC">
        <w:t>Policy governance is what makes the framework keep being enforceable.</w:t>
      </w:r>
    </w:p>
    <w:p w:rsidR="00F03D44" w:rsidRDefault="00F03D44" w:rsidP="00F03D44">
      <w:pPr>
        <w:keepNext/>
        <w:spacing w:before="160" w:after="80"/>
        <w:jc w:val="center"/>
      </w:pPr>
      <w:r>
        <w:rPr>
          <w:smallCaps/>
        </w:rPr>
        <w:t>IV. Governance and Strategic Alignment with NIST CSF 2.0</w:t>
      </w:r>
    </w:p>
    <w:p w:rsidR="00F03D44" w:rsidRDefault="00F03D44" w:rsidP="00F03D44">
      <w:pPr>
        <w:spacing w:after="120" w:line="228" w:lineRule="auto"/>
        <w:ind w:firstLine="288"/>
        <w:jc w:val="both"/>
      </w:pPr>
      <w:r>
        <w:t xml:space="preserve">The </w:t>
      </w:r>
      <w:proofErr w:type="spellStart"/>
      <w:r>
        <w:t>programme</w:t>
      </w:r>
      <w:proofErr w:type="spellEnd"/>
      <w:r>
        <w:t xml:space="preserve"> is </w:t>
      </w:r>
      <w:proofErr w:type="spellStart"/>
      <w:r>
        <w:t>organised</w:t>
      </w:r>
      <w:proofErr w:type="spellEnd"/>
      <w:r>
        <w:t xml:space="preserve"> around the NIST </w:t>
      </w:r>
      <w:proofErr w:type="spellStart"/>
      <w:r>
        <w:t>Cybersecurity</w:t>
      </w:r>
      <w:proofErr w:type="spellEnd"/>
      <w:r>
        <w:t xml:space="preserve"> Framework 2.0, whose new GOVERN function makes explicit what the Equifax case proved implicitly: organisational context, risk appetite, roles, policy and oversight determine whether the other five functions work at all (Fig. 4) [41]. GOVERN is discharged by the board committee, the risk-appetite statement and the accountability structure of Section II; IDENTIFY by the CMDB, data-flow mapping and business-impact analysis; PROTECT by the zero-trust controls, patch SLAs and encryption of Section III; DETECT by the SOC’s continuous monitoring; RESPOND and RECOVER by the incident-response and disaster-recovery capabilities of Section VI [41].</w:t>
      </w:r>
    </w:p>
    <w:p w:rsidR="00F03D44" w:rsidRDefault="00F03D44" w:rsidP="00F03D44">
      <w:pPr>
        <w:spacing w:after="120" w:line="228" w:lineRule="auto"/>
        <w:ind w:firstLine="288"/>
        <w:jc w:val="both"/>
      </w:pPr>
      <w:r>
        <w:t xml:space="preserve">Strategy alignment is business model </w:t>
      </w:r>
      <w:proofErr w:type="spellStart"/>
      <w:r>
        <w:t>dependent.The</w:t>
      </w:r>
      <w:proofErr w:type="spellEnd"/>
      <w:r>
        <w:t xml:space="preserve"> business of a credit reference agency is about selling trust; its offering is the accuracy and the confidentiality of people information that are not the </w:t>
      </w:r>
      <w:proofErr w:type="spellStart"/>
      <w:r>
        <w:t>customers.Security</w:t>
      </w:r>
      <w:proofErr w:type="spellEnd"/>
      <w:r>
        <w:t xml:space="preserve"> in this context is business operational </w:t>
      </w:r>
      <w:proofErr w:type="spellStart"/>
      <w:r>
        <w:t>licence</w:t>
      </w:r>
      <w:proofErr w:type="spellEnd"/>
      <w:r>
        <w:t xml:space="preserve">, not a </w:t>
      </w:r>
      <w:proofErr w:type="spellStart"/>
      <w:r>
        <w:t>cost.The</w:t>
      </w:r>
      <w:proofErr w:type="spellEnd"/>
      <w:r>
        <w:t xml:space="preserve"> consequences </w:t>
      </w:r>
      <w:r>
        <w:lastRenderedPageBreak/>
        <w:t>of the 2017 breach were: loss of reputation, resignation of the senior management, and a decade of regulations [33], [31].</w:t>
      </w:r>
    </w:p>
    <w:p w:rsidR="00F03D44" w:rsidRDefault="00F03D44" w:rsidP="00F03D44">
      <w:pPr>
        <w:keepNext/>
        <w:spacing w:before="120" w:after="40"/>
        <w:jc w:val="center"/>
      </w:pPr>
      <w:r>
        <w:rPr>
          <w:noProof/>
        </w:rPr>
        <w:drawing>
          <wp:inline distT="0" distB="0" distL="0" distR="0" wp14:anchorId="7DC938D0" wp14:editId="2B956FE9">
            <wp:extent cx="2286000" cy="228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286000" cy="2286000"/>
                    </a:xfrm>
                    <a:prstGeom prst="rect">
                      <a:avLst/>
                    </a:prstGeom>
                  </pic:spPr>
                </pic:pic>
              </a:graphicData>
            </a:graphic>
          </wp:inline>
        </w:drawing>
      </w:r>
    </w:p>
    <w:p w:rsidR="00F03D44" w:rsidRDefault="00F03D44" w:rsidP="00F03D44">
      <w:pPr>
        <w:spacing w:before="80" w:after="200"/>
        <w:jc w:val="center"/>
      </w:pPr>
      <w:r>
        <w:rPr>
          <w:sz w:val="16"/>
          <w:szCs w:val="16"/>
        </w:rPr>
        <w:t>Fig. 4. Six functions of NIST CSF 2.0</w:t>
      </w:r>
    </w:p>
    <w:p w:rsidR="00F03D44" w:rsidRDefault="00F03D44" w:rsidP="00F03D44">
      <w:pPr>
        <w:spacing w:before="80" w:after="200"/>
        <w:jc w:val="both"/>
      </w:pPr>
      <w:r>
        <w:t xml:space="preserve">     Strategy alignment is business model </w:t>
      </w:r>
      <w:proofErr w:type="spellStart"/>
      <w:r>
        <w:t>dependent.The</w:t>
      </w:r>
      <w:proofErr w:type="spellEnd"/>
      <w:r>
        <w:t xml:space="preserve"> business of a credit reference agency is about selling trust; its offering is the accuracy and the confidentiality of people information that are not the </w:t>
      </w:r>
      <w:proofErr w:type="spellStart"/>
      <w:r>
        <w:t>customers.Security</w:t>
      </w:r>
      <w:proofErr w:type="spellEnd"/>
      <w:r>
        <w:t xml:space="preserve"> in this context is business operational </w:t>
      </w:r>
      <w:proofErr w:type="spellStart"/>
      <w:r>
        <w:t>licence</w:t>
      </w:r>
      <w:proofErr w:type="spellEnd"/>
      <w:r>
        <w:t xml:space="preserve">, not a </w:t>
      </w:r>
      <w:proofErr w:type="spellStart"/>
      <w:r>
        <w:t>cost.The</w:t>
      </w:r>
      <w:proofErr w:type="spellEnd"/>
      <w:r>
        <w:t xml:space="preserve"> consequences of the 2017 breach were: loss of reputation, resignation of the senior management, and a decade of regulations [33], [31]. The profiles and tiers of the organisation turn the alignment into measurable </w:t>
      </w:r>
      <w:proofErr w:type="spellStart"/>
      <w:r>
        <w:t>forms.Taking</w:t>
      </w:r>
      <w:proofErr w:type="spellEnd"/>
      <w:r>
        <w:t xml:space="preserve"> in a current profile, a target one is set for future 24 months and gap is reflected through metrics at the management board level such as patch-SLA adherence, segmentation coverage, mean time to detect and react, closure of audit findings. Continuity is one of the guiding </w:t>
      </w:r>
      <w:proofErr w:type="spellStart"/>
      <w:r>
        <w:t>principles.The</w:t>
      </w:r>
      <w:proofErr w:type="spellEnd"/>
      <w:r>
        <w:t xml:space="preserve"> business-impact analysis determines consumer-credit services which are to be interrupted so that contractual or legal obligations are breached, and the recovery plans are drawn up for those services so that investment in resilience follows business value rather than the age of technology [3], [37]. </w:t>
      </w:r>
    </w:p>
    <w:p w:rsidR="00F03D44" w:rsidRDefault="00F03D44" w:rsidP="00F03D44">
      <w:pPr>
        <w:jc w:val="both"/>
      </w:pPr>
      <w:r>
        <w:lastRenderedPageBreak/>
        <w:t xml:space="preserve">     Certification of an information-security management system to ISO/IEC 27001 provides external assurance that will close the governance cycle. It gives regulators, partners and the board independent, repeatable evidence that the controls are being put in place </w:t>
      </w:r>
      <w:r w:rsidRPr="004E63CC">
        <w:t xml:space="preserve">[26]. As von </w:t>
      </w:r>
      <w:proofErr w:type="spellStart"/>
      <w:r w:rsidRPr="004E63CC">
        <w:t>Solms</w:t>
      </w:r>
      <w:proofErr w:type="spellEnd"/>
      <w:r w:rsidRPr="004E63CC">
        <w:t xml:space="preserve"> observed, the inter-organisational trust function is the very raison d’être of security standards [25]. Certification is a foundation, not an end in itself.</w:t>
      </w:r>
    </w:p>
    <w:p w:rsidR="00F03D44" w:rsidRDefault="00F03D44" w:rsidP="00F03D44">
      <w:pPr>
        <w:keepNext/>
        <w:spacing w:before="160" w:after="80"/>
        <w:jc w:val="center"/>
      </w:pPr>
      <w:r>
        <w:rPr>
          <w:smallCaps/>
        </w:rPr>
        <w:t>V. Risk Management and Assessment</w:t>
      </w:r>
    </w:p>
    <w:p w:rsidR="00F03D44" w:rsidRDefault="00F03D44" w:rsidP="00F03D44">
      <w:pPr>
        <w:jc w:val="both"/>
      </w:pPr>
      <w:r w:rsidRPr="00AE530B">
        <w:t xml:space="preserve">Risk is determined by the module's identify-assess-treat cycle [3].Table IV gives the high-level registration of six risk areas </w:t>
      </w:r>
    </w:p>
    <w:p w:rsidR="00F03D44" w:rsidRDefault="00F03D44" w:rsidP="00F03D44">
      <w:pPr>
        <w:jc w:val="both"/>
      </w:pPr>
      <w:proofErr w:type="gramStart"/>
      <w:r w:rsidRPr="00AE530B">
        <w:lastRenderedPageBreak/>
        <w:t>that</w:t>
      </w:r>
      <w:proofErr w:type="gramEnd"/>
      <w:r w:rsidRPr="00AE530B">
        <w:t xml:space="preserve"> are duplicates of the vulnerabilities pointed out at the beginning including the exposure of items facing the internet, missing patches, exposure in supply-chain and weakening in segmentation, and Figure 5 is the </w:t>
      </w:r>
      <w:proofErr w:type="spellStart"/>
      <w:r w:rsidRPr="00AE530B">
        <w:t>heatmap</w:t>
      </w:r>
      <w:proofErr w:type="spellEnd"/>
      <w:r w:rsidRPr="00AE530B">
        <w:t xml:space="preserve"> showing them. Risks are recognized by a description of what you have identified as valuable assets. Both of them have been reported by the 2017 investigations [32</w:t>
      </w:r>
      <w:proofErr w:type="gramStart"/>
      <w:r w:rsidRPr="00AE530B">
        <w:t>][</w:t>
      </w:r>
      <w:proofErr w:type="gramEnd"/>
      <w:r w:rsidRPr="00AE530B">
        <w:t>22]. Rather than basing it off the comfort level we had at that earlier time we use the latest telemetries of attacks to give the final evaluation of how likely it is, and the measure of impact is the regulator's exposure plus the consumers' damage and the business interruptions</w:t>
      </w:r>
      <w:r>
        <w:t xml:space="preserve"> [42].</w:t>
      </w:r>
    </w:p>
    <w:p w:rsidR="00F03D44" w:rsidRDefault="00F03D44" w:rsidP="00F03D44">
      <w:pPr>
        <w:sectPr w:rsidR="00F03D44">
          <w:footerReference w:type="default" r:id="rId17"/>
          <w:type w:val="continuous"/>
          <w:pgSz w:w="11906" w:h="16838"/>
          <w:pgMar w:top="1080" w:right="907" w:bottom="1440" w:left="907" w:header="432" w:footer="720" w:gutter="0"/>
          <w:cols w:num="2" w:space="360"/>
          <w:docGrid w:linePitch="360"/>
        </w:sectPr>
      </w:pPr>
    </w:p>
    <w:p w:rsidR="00F03D44" w:rsidRDefault="00F03D44" w:rsidP="00F03D44">
      <w:pPr>
        <w:keepNext/>
        <w:spacing w:before="140" w:after="20"/>
        <w:jc w:val="center"/>
      </w:pPr>
      <w:r>
        <w:rPr>
          <w:smallCaps/>
          <w:sz w:val="16"/>
          <w:szCs w:val="16"/>
        </w:rPr>
        <w:lastRenderedPageBreak/>
        <w:t>TABLE IV</w:t>
      </w:r>
    </w:p>
    <w:p w:rsidR="00F03D44" w:rsidRDefault="00F03D44" w:rsidP="00F03D44">
      <w:pPr>
        <w:keepNext/>
        <w:spacing w:after="60"/>
        <w:jc w:val="center"/>
      </w:pPr>
      <w:r>
        <w:rPr>
          <w:smallCaps/>
          <w:sz w:val="16"/>
          <w:szCs w:val="16"/>
        </w:rPr>
        <w:t>High-level risk register (L = likelihood, I = impact, on 5-point scales)</w:t>
      </w:r>
    </w:p>
    <w:tbl>
      <w:tblPr>
        <w:tblW w:w="100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20"/>
        <w:gridCol w:w="2050"/>
        <w:gridCol w:w="460"/>
        <w:gridCol w:w="460"/>
        <w:gridCol w:w="1050"/>
        <w:gridCol w:w="5552"/>
      </w:tblGrid>
      <w:tr w:rsidR="00F03D44" w:rsidTr="00EA4C4A">
        <w:trPr>
          <w:tblHeade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ID</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Risk</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L</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I</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Priority</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Mitigation and rationale</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R1</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Exploitation of unpatched internet-facing applications</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5</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Critical</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48 h patch SLA tied to the CMDB; external attack-surface monitoring; WAF virtual patching while remediation completes</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R2</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Lateral movement across flat network segments</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3</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5</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Critical</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Micro-segmentation by protect surface; least-privilege service accounts; privileged access management on administrative paths</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R3</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Credential theft, including plaintext stored credentials</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Critical</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Phishing-resistant MFA; secrets vaulting; removal of shared accounts; </w:t>
            </w:r>
            <w:proofErr w:type="spellStart"/>
            <w:r>
              <w:rPr>
                <w:sz w:val="16"/>
                <w:szCs w:val="16"/>
              </w:rPr>
              <w:t>behavioural</w:t>
            </w:r>
            <w:proofErr w:type="spellEnd"/>
            <w:r>
              <w:rPr>
                <w:sz w:val="16"/>
                <w:szCs w:val="16"/>
              </w:rPr>
              <w:t xml:space="preserve"> analytics on identity use</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R4</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Monitoring blind spots (e.g. expired inspection certificates)</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3</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High</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Automated certificate lifecycle; alerting on inspection failure; fail-safe egress policy</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R5</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Software supply-chain compromise (open-source and vendor)</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3</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High</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SBOM and dependency scanning; vendor security assurance in line with NIS2 Art. 21</w:t>
            </w:r>
          </w:p>
        </w:tc>
      </w:tr>
      <w:tr w:rsidR="00F03D44" w:rsidTr="00EA4C4A">
        <w:trPr>
          <w:jc w:val="center"/>
        </w:trPr>
        <w:tc>
          <w:tcPr>
            <w:tcW w:w="52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R6</w:t>
            </w:r>
          </w:p>
        </w:tc>
        <w:tc>
          <w:tcPr>
            <w:tcW w:w="2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Regulatory non-compliance / late breach notification</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2</w:t>
            </w:r>
          </w:p>
        </w:tc>
        <w:tc>
          <w:tcPr>
            <w:tcW w:w="46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4</w:t>
            </w:r>
          </w:p>
        </w:tc>
        <w:tc>
          <w:tcPr>
            <w:tcW w:w="10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Medium</w:t>
            </w:r>
          </w:p>
        </w:tc>
        <w:tc>
          <w:tcPr>
            <w:tcW w:w="555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Jurisdictional notification matrix and playbooks; DPO oversight; tabletop exercises including disclosure decisions</w:t>
            </w:r>
          </w:p>
        </w:tc>
      </w:tr>
    </w:tbl>
    <w:p w:rsidR="00F03D44" w:rsidRDefault="00F03D44" w:rsidP="00F03D44">
      <w:pPr>
        <w:spacing w:after="80"/>
      </w:pPr>
    </w:p>
    <w:p w:rsidR="00F03D44" w:rsidRDefault="00F03D44" w:rsidP="00F03D44">
      <w:pPr>
        <w:sectPr w:rsidR="00F03D44">
          <w:footerReference w:type="default" r:id="rId18"/>
          <w:type w:val="continuous"/>
          <w:pgSz w:w="11906" w:h="16838"/>
          <w:pgMar w:top="1080" w:right="907" w:bottom="1440" w:left="907" w:header="432" w:footer="720" w:gutter="0"/>
          <w:cols w:space="720"/>
          <w:docGrid w:linePitch="360"/>
        </w:sectPr>
      </w:pPr>
    </w:p>
    <w:p w:rsidR="00F03D44" w:rsidRDefault="00F03D44" w:rsidP="00F03D44">
      <w:pPr>
        <w:keepNext/>
        <w:spacing w:before="120" w:after="40"/>
        <w:jc w:val="center"/>
      </w:pPr>
      <w:r>
        <w:rPr>
          <w:noProof/>
        </w:rPr>
        <w:lastRenderedPageBreak/>
        <w:drawing>
          <wp:inline distT="0" distB="0" distL="0" distR="0" wp14:anchorId="1EF30A4C" wp14:editId="6CDED87A">
            <wp:extent cx="2743200" cy="2552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2743200" cy="2552700"/>
                    </a:xfrm>
                    <a:prstGeom prst="rect">
                      <a:avLst/>
                    </a:prstGeom>
                  </pic:spPr>
                </pic:pic>
              </a:graphicData>
            </a:graphic>
          </wp:inline>
        </w:drawing>
      </w:r>
    </w:p>
    <w:p w:rsidR="00F03D44" w:rsidRDefault="00F03D44" w:rsidP="00F03D44">
      <w:pPr>
        <w:spacing w:before="80" w:after="200"/>
        <w:jc w:val="center"/>
      </w:pPr>
      <w:r>
        <w:rPr>
          <w:sz w:val="16"/>
          <w:szCs w:val="16"/>
        </w:rPr>
        <w:t>Fig. 5. Risk heat map for R1–R6</w:t>
      </w:r>
    </w:p>
    <w:p w:rsidR="00F03D44" w:rsidRDefault="00F03D44" w:rsidP="00F03D44">
      <w:pPr>
        <w:pStyle w:val="NormalWeb"/>
        <w:jc w:val="both"/>
        <w:rPr>
          <w:sz w:val="20"/>
        </w:rPr>
      </w:pPr>
      <w:proofErr w:type="spellStart"/>
      <w:r w:rsidRPr="00760E1D">
        <w:rPr>
          <w:sz w:val="20"/>
        </w:rPr>
        <w:t>Prioritising</w:t>
      </w:r>
      <w:proofErr w:type="spellEnd"/>
      <w:r w:rsidRPr="00760E1D">
        <w:rPr>
          <w:sz w:val="20"/>
        </w:rPr>
        <w:t xml:space="preserve"> these issues makes sense mainly for two </w:t>
      </w:r>
      <w:proofErr w:type="spellStart"/>
      <w:r w:rsidRPr="00760E1D">
        <w:rPr>
          <w:sz w:val="20"/>
        </w:rPr>
        <w:t>reasons.First</w:t>
      </w:r>
      <w:proofErr w:type="spellEnd"/>
      <w:r w:rsidRPr="00760E1D">
        <w:rPr>
          <w:sz w:val="20"/>
        </w:rPr>
        <w:t xml:space="preserve">, the loss potential. The R1-R3 scenarios reconstruct the precise 2017 attack path an exploitable public-facing application, an </w:t>
      </w:r>
      <w:proofErr w:type="spellStart"/>
      <w:r w:rsidRPr="00760E1D">
        <w:rPr>
          <w:sz w:val="20"/>
        </w:rPr>
        <w:t>unsegmented</w:t>
      </w:r>
      <w:proofErr w:type="spellEnd"/>
      <w:r w:rsidRPr="00760E1D">
        <w:rPr>
          <w:sz w:val="20"/>
        </w:rPr>
        <w:t xml:space="preserve"> internal network and harvestable credentials whose combined occurrence resulted in the organisation losing more than a billion dollar in settlements, remediation and lost value [33], [9].Second, the speed of threat. CVE-2017-5638 was exploited at the very first sign of its leak [30], and the current data indicate that the use of edge vulnerabilities is increasing [2], hence the justification of the 48-hour SLA for critical internet-facing flaws despite the operational cost it imposes.</w:t>
      </w:r>
    </w:p>
    <w:p w:rsidR="00F03D44" w:rsidRDefault="00F03D44" w:rsidP="00F03D44">
      <w:pPr>
        <w:pStyle w:val="NormalWeb"/>
        <w:jc w:val="both"/>
      </w:pPr>
      <w:r w:rsidRPr="00760E1D">
        <w:rPr>
          <w:sz w:val="20"/>
        </w:rPr>
        <w:lastRenderedPageBreak/>
        <w:t xml:space="preserve">R4 and R5, on the other hand, are second highest because the gaps in the coverage of monitoring systems and components from the supply chain (open-source or commercial) were contributing factors in 2017 and have become explicit legal responsibilities under Article 21 of NIS2 [17].Risk treatment decisions are kept together with a reason for the mitigation, a responsible person and a residual risk level; if the residual level is higher than the </w:t>
      </w:r>
      <w:proofErr w:type="spellStart"/>
      <w:r w:rsidRPr="00760E1D">
        <w:rPr>
          <w:sz w:val="20"/>
        </w:rPr>
        <w:t>organisation's</w:t>
      </w:r>
      <w:proofErr w:type="spellEnd"/>
      <w:r w:rsidRPr="00760E1D">
        <w:rPr>
          <w:sz w:val="20"/>
        </w:rPr>
        <w:t xml:space="preserve"> risk appetite, the board committee has to formally approve the risk.</w:t>
      </w:r>
    </w:p>
    <w:p w:rsidR="00F03D44" w:rsidRDefault="00F03D44" w:rsidP="00F03D44">
      <w:pPr>
        <w:keepNext/>
        <w:spacing w:before="160" w:after="80"/>
        <w:jc w:val="center"/>
      </w:pPr>
      <w:r>
        <w:rPr>
          <w:smallCaps/>
        </w:rPr>
        <w:t>VI. Compliance, Incident Response and Protection Controls</w:t>
      </w:r>
    </w:p>
    <w:p w:rsidR="00F03D44" w:rsidRPr="00760E1D" w:rsidRDefault="00F03D44" w:rsidP="00F03D44">
      <w:pPr>
        <w:pStyle w:val="NormalWeb"/>
        <w:jc w:val="both"/>
        <w:rPr>
          <w:sz w:val="20"/>
          <w:szCs w:val="20"/>
        </w:rPr>
      </w:pPr>
      <w:r w:rsidRPr="00760E1D">
        <w:rPr>
          <w:sz w:val="20"/>
          <w:szCs w:val="20"/>
        </w:rPr>
        <w:t xml:space="preserve">Regulatory coordination and breach report. Equifax operates across jurisdictions, so notification duties are consolidated into a single matrix with pre-approved templates and decision rights (Table V). The GDPR requires notification to the supervisory authority within 72 hours and to affected individuals where risk is high (Arts. 33–34) [13], [23]; According to [17], NIS 2 sets 24-hour warning period and 72-hour notification period and one-month final report (Art. 23); DORA requires uniform classifying and reporting by stages for financial services of EU and </w:t>
      </w:r>
      <w:proofErr w:type="spellStart"/>
      <w:r w:rsidRPr="00760E1D">
        <w:rPr>
          <w:sz w:val="20"/>
          <w:szCs w:val="20"/>
        </w:rPr>
        <w:t>it's</w:t>
      </w:r>
      <w:proofErr w:type="spellEnd"/>
      <w:r w:rsidRPr="00760E1D">
        <w:rPr>
          <w:sz w:val="20"/>
          <w:szCs w:val="20"/>
        </w:rPr>
        <w:t xml:space="preserve"> supervisory regime for critical ICT third-party providers is very relevant to the data provider that banks rely on [24]; the SEC requires that incidents be disclosed on the materiality decision date within four business days [35]. The 2017 six-week disclosure delay can no longer serve its structural purpose: a joint decision for a data breach notification is made by DPO and CISO, with legal counsel being only a legal advisor and not a gatekeeper.</w:t>
      </w:r>
    </w:p>
    <w:p w:rsidR="00F03D44" w:rsidRDefault="00F03D44" w:rsidP="00F03D44">
      <w:pPr>
        <w:sectPr w:rsidR="00F03D44">
          <w:footerReference w:type="default" r:id="rId20"/>
          <w:type w:val="continuous"/>
          <w:pgSz w:w="11906" w:h="16838"/>
          <w:pgMar w:top="1080" w:right="907" w:bottom="1440" w:left="907" w:header="432" w:footer="720" w:gutter="0"/>
          <w:cols w:num="2" w:space="360"/>
          <w:docGrid w:linePitch="360"/>
        </w:sectPr>
      </w:pPr>
    </w:p>
    <w:p w:rsidR="00F03D44" w:rsidRDefault="00F03D44" w:rsidP="00F03D44">
      <w:pPr>
        <w:keepNext/>
        <w:spacing w:before="140" w:after="20"/>
        <w:jc w:val="center"/>
      </w:pPr>
      <w:r>
        <w:rPr>
          <w:smallCaps/>
          <w:sz w:val="16"/>
          <w:szCs w:val="16"/>
        </w:rPr>
        <w:lastRenderedPageBreak/>
        <w:t>TABLE V</w:t>
      </w:r>
    </w:p>
    <w:p w:rsidR="00F03D44" w:rsidRDefault="00F03D44" w:rsidP="00F03D44">
      <w:pPr>
        <w:keepNext/>
        <w:spacing w:after="60"/>
        <w:jc w:val="center"/>
      </w:pPr>
      <w:r>
        <w:rPr>
          <w:smallCaps/>
          <w:sz w:val="16"/>
          <w:szCs w:val="16"/>
        </w:rPr>
        <w:t xml:space="preserve">Regulatory obligations and </w:t>
      </w:r>
      <w:proofErr w:type="spellStart"/>
      <w:r>
        <w:rPr>
          <w:smallCaps/>
          <w:sz w:val="16"/>
          <w:szCs w:val="16"/>
        </w:rPr>
        <w:t>programme</w:t>
      </w:r>
      <w:proofErr w:type="spellEnd"/>
      <w:r>
        <w:rPr>
          <w:smallCaps/>
          <w:sz w:val="16"/>
          <w:szCs w:val="16"/>
        </w:rPr>
        <w:t xml:space="preserve"> responses</w:t>
      </w:r>
    </w:p>
    <w:tbl>
      <w:tblPr>
        <w:tblW w:w="100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50"/>
        <w:gridCol w:w="4350"/>
        <w:gridCol w:w="4292"/>
      </w:tblGrid>
      <w:tr w:rsidR="00F03D44" w:rsidTr="00EA4C4A">
        <w:trPr>
          <w:tblHeader/>
          <w:jc w:val="center"/>
        </w:trPr>
        <w:tc>
          <w:tcPr>
            <w:tcW w:w="14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Regime</w:t>
            </w:r>
          </w:p>
        </w:tc>
        <w:tc>
          <w:tcPr>
            <w:tcW w:w="43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r>
              <w:rPr>
                <w:b/>
                <w:bCs/>
                <w:sz w:val="16"/>
                <w:szCs w:val="16"/>
              </w:rPr>
              <w:t>Key obligations</w:t>
            </w:r>
          </w:p>
        </w:tc>
        <w:tc>
          <w:tcPr>
            <w:tcW w:w="42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jc w:val="center"/>
            </w:pPr>
            <w:proofErr w:type="spellStart"/>
            <w:r>
              <w:rPr>
                <w:b/>
                <w:bCs/>
                <w:sz w:val="16"/>
                <w:szCs w:val="16"/>
              </w:rPr>
              <w:t>Programme</w:t>
            </w:r>
            <w:proofErr w:type="spellEnd"/>
            <w:r>
              <w:rPr>
                <w:b/>
                <w:bCs/>
                <w:sz w:val="16"/>
                <w:szCs w:val="16"/>
              </w:rPr>
              <w:t xml:space="preserve"> response</w:t>
            </w:r>
          </w:p>
        </w:tc>
      </w:tr>
      <w:tr w:rsidR="00F03D44" w:rsidTr="00EA4C4A">
        <w:trPr>
          <w:jc w:val="center"/>
        </w:trPr>
        <w:tc>
          <w:tcPr>
            <w:tcW w:w="14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GDPR</w:t>
            </w:r>
          </w:p>
        </w:tc>
        <w:tc>
          <w:tcPr>
            <w:tcW w:w="43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Security of processing (Art. 32); notification to supervisory authority within 72 h (Art. 33) and to individuals where high risk (Art. 34); accountability (Art. 5(2))</w:t>
            </w:r>
          </w:p>
        </w:tc>
        <w:tc>
          <w:tcPr>
            <w:tcW w:w="42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Encryption and granular access control; DPO-owned notification playbook fed by SOC severity assessment; per-request logging as accountability evidence</w:t>
            </w:r>
          </w:p>
        </w:tc>
      </w:tr>
      <w:tr w:rsidR="00F03D44" w:rsidTr="00EA4C4A">
        <w:trPr>
          <w:jc w:val="center"/>
        </w:trPr>
        <w:tc>
          <w:tcPr>
            <w:tcW w:w="14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NIS2</w:t>
            </w:r>
          </w:p>
        </w:tc>
        <w:tc>
          <w:tcPr>
            <w:tcW w:w="43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Risk-management measures including supply-chain security (Art. 21); management accountability (Art. 20); 24 h early warning, 72 h notification, one-month final report (Art. 23)</w:t>
            </w:r>
          </w:p>
        </w:tc>
        <w:tc>
          <w:tcPr>
            <w:tcW w:w="42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Board-approved risk </w:t>
            </w:r>
            <w:proofErr w:type="spellStart"/>
            <w:r>
              <w:rPr>
                <w:sz w:val="16"/>
                <w:szCs w:val="16"/>
              </w:rPr>
              <w:t>programme</w:t>
            </w:r>
            <w:proofErr w:type="spellEnd"/>
            <w:r>
              <w:rPr>
                <w:sz w:val="16"/>
                <w:szCs w:val="16"/>
              </w:rPr>
              <w:t>; vendor assurance; staged reporting steps embedded in the incident-response plan</w:t>
            </w:r>
          </w:p>
        </w:tc>
      </w:tr>
      <w:tr w:rsidR="00F03D44" w:rsidTr="00EA4C4A">
        <w:trPr>
          <w:jc w:val="center"/>
        </w:trPr>
        <w:tc>
          <w:tcPr>
            <w:tcW w:w="14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DORA (EU financial services)</w:t>
            </w:r>
          </w:p>
        </w:tc>
        <w:tc>
          <w:tcPr>
            <w:tcW w:w="43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ICT risk framework; classification and staged reporting of major ICT incidents; digital resilience testing; oversight of critical ICT third-party providers</w:t>
            </w:r>
          </w:p>
        </w:tc>
        <w:tc>
          <w:tcPr>
            <w:tcW w:w="42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Resilience-testing calendar including threat-led penetration testing; register of ICT dependencies; </w:t>
            </w:r>
            <w:proofErr w:type="spellStart"/>
            <w:r>
              <w:rPr>
                <w:sz w:val="16"/>
                <w:szCs w:val="16"/>
              </w:rPr>
              <w:t>harmonised</w:t>
            </w:r>
            <w:proofErr w:type="spellEnd"/>
            <w:r>
              <w:rPr>
                <w:sz w:val="16"/>
                <w:szCs w:val="16"/>
              </w:rPr>
              <w:t xml:space="preserve"> incident classification</w:t>
            </w:r>
          </w:p>
        </w:tc>
      </w:tr>
      <w:tr w:rsidR="00F03D44" w:rsidTr="00EA4C4A">
        <w:trPr>
          <w:jc w:val="center"/>
        </w:trPr>
        <w:tc>
          <w:tcPr>
            <w:tcW w:w="14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US federal and state</w:t>
            </w:r>
          </w:p>
        </w:tc>
        <w:tc>
          <w:tcPr>
            <w:tcW w:w="4350"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FTC Act / GLBA safeguards; state breach-notification statutes; SEC disclosure of material incidents within four business days</w:t>
            </w:r>
          </w:p>
        </w:tc>
        <w:tc>
          <w:tcPr>
            <w:tcW w:w="4292" w:type="dxa"/>
            <w:tcBorders>
              <w:top w:val="single" w:sz="4" w:space="0" w:color="000000"/>
              <w:left w:val="single" w:sz="4" w:space="0" w:color="000000"/>
              <w:bottom w:val="single" w:sz="4" w:space="0" w:color="000000"/>
              <w:right w:val="single" w:sz="4" w:space="0" w:color="000000"/>
            </w:tcBorders>
            <w:tcMar>
              <w:top w:w="40" w:type="dxa"/>
              <w:left w:w="80" w:type="dxa"/>
              <w:bottom w:w="40" w:type="dxa"/>
              <w:right w:w="80" w:type="dxa"/>
            </w:tcMar>
          </w:tcPr>
          <w:p w:rsidR="00F03D44" w:rsidRDefault="00F03D44" w:rsidP="00EA4C4A">
            <w:pPr>
              <w:spacing w:line="216" w:lineRule="auto"/>
            </w:pPr>
            <w:r>
              <w:rPr>
                <w:sz w:val="16"/>
                <w:szCs w:val="16"/>
              </w:rPr>
              <w:t xml:space="preserve">Consolidated notification matrix by jurisdiction; disclosure committee in which legal counsel advises rather than </w:t>
            </w:r>
            <w:proofErr w:type="spellStart"/>
            <w:r>
              <w:rPr>
                <w:sz w:val="16"/>
                <w:szCs w:val="16"/>
              </w:rPr>
              <w:t>gatekeeps</w:t>
            </w:r>
            <w:proofErr w:type="spellEnd"/>
          </w:p>
        </w:tc>
      </w:tr>
    </w:tbl>
    <w:p w:rsidR="00F03D44" w:rsidRDefault="00F03D44" w:rsidP="00F03D44">
      <w:pPr>
        <w:spacing w:after="80"/>
      </w:pPr>
    </w:p>
    <w:p w:rsidR="00F03D44" w:rsidRDefault="00F03D44" w:rsidP="00F03D44">
      <w:pPr>
        <w:sectPr w:rsidR="00F03D44">
          <w:footerReference w:type="default" r:id="rId21"/>
          <w:type w:val="continuous"/>
          <w:pgSz w:w="11906" w:h="16838"/>
          <w:pgMar w:top="1080" w:right="907" w:bottom="1440" w:left="907" w:header="432" w:footer="720" w:gutter="0"/>
          <w:cols w:space="720"/>
          <w:docGrid w:linePitch="360"/>
        </w:sectPr>
      </w:pPr>
    </w:p>
    <w:p w:rsidR="00F03D44" w:rsidRDefault="00F03D44" w:rsidP="00F03D44">
      <w:pPr>
        <w:spacing w:after="120" w:line="228" w:lineRule="auto"/>
        <w:ind w:firstLine="288"/>
        <w:jc w:val="both"/>
      </w:pPr>
      <w:r>
        <w:lastRenderedPageBreak/>
        <w:t>Incident response and disaster recovery. The incident response plan follows NIST SP 800-61r3, which aligns the response lifecycle with CSF 2.0 [43]: preparation (playbooks for web-application exploitation, credential compromise and mass exfiltration; retained forensics; twice-yearly tabletop exercises with executives); detection and analysis (SOC triage against defined severity levels that trigger the notification matrix); containment, eradication and recovery (pre-</w:t>
      </w:r>
      <w:proofErr w:type="spellStart"/>
      <w:r>
        <w:t>authorised</w:t>
      </w:r>
      <w:proofErr w:type="spellEnd"/>
      <w:r>
        <w:t xml:space="preserve"> isolation of affected segments possible only because the network is segmented); and post-incident learning that feeds the risk register. Disaster recovery assigns recovery-time and recovery-point objectives by business criticality, maintains immutable, regularly restored backups and an alternate processing capability, and is exercised annually, tying security response into business continuity planning as the module’s planning literature requires [3], [7]. Recovery objectives are explicit for example, restoration of core credit-file processing within four hours and of consumer dispute services within twenty-four hours of a declared disaster and every exercise produces tracked corrective actions. A standing regulator-relations protocol, owned by GRC together with the DPO, maintains the contact points, secure channels and evidence packs that the notification deadlines in Table V presuppose, because a 72-hour clock can only be met by an organisation that prepared before it started.</w:t>
      </w:r>
    </w:p>
    <w:p w:rsidR="00F03D44" w:rsidRDefault="00F03D44" w:rsidP="00F03D44">
      <w:pPr>
        <w:spacing w:after="120" w:line="228" w:lineRule="auto"/>
        <w:ind w:firstLine="288"/>
        <w:jc w:val="both"/>
      </w:pPr>
      <w:r w:rsidRPr="00A371C4">
        <w:t xml:space="preserve">Technical countermeasures. The shield of </w:t>
      </w:r>
      <w:proofErr w:type="spellStart"/>
      <w:r w:rsidRPr="00A371C4">
        <w:t>defence</w:t>
      </w:r>
      <w:proofErr w:type="spellEnd"/>
      <w:r w:rsidRPr="00A371C4">
        <w:t xml:space="preserve"> is Task 1 implemented by the protection team: </w:t>
      </w:r>
      <w:r>
        <w:t xml:space="preserve">phishing-resistant multi-factor </w:t>
      </w:r>
      <w:r w:rsidRPr="00A371C4">
        <w:t xml:space="preserve">authentication and privileged access management make the leaked credentials useless; micro-segmentation and least-privilege service accounts stop any possible spread of the damage; continuous vulnerability scanning of the environment via the CMDB and authentication of the scanner feed into SLA of 48 hours; servers and endpoints are monitored by endpoint detection and response technology; egress inspection is kept fully enabled by means of </w:t>
      </w:r>
      <w:proofErr w:type="spellStart"/>
      <w:r w:rsidRPr="00A371C4">
        <w:t>behaviour</w:t>
      </w:r>
      <w:proofErr w:type="spellEnd"/>
      <w:r w:rsidRPr="00A371C4">
        <w:t xml:space="preserve"> </w:t>
      </w:r>
      <w:proofErr w:type="spellStart"/>
      <w:r w:rsidRPr="00A371C4">
        <w:t>baselining</w:t>
      </w:r>
      <w:proofErr w:type="spellEnd"/>
      <w:r w:rsidRPr="00A371C4">
        <w:t xml:space="preserve"> SIEM analytics and certificate life cycle management; and data exfiltration becomes so expensive that the attacker cannot afford it anymore because of encrypted columns with </w:t>
      </w:r>
      <w:proofErr w:type="spellStart"/>
      <w:r w:rsidRPr="00A371C4">
        <w:t>centralised</w:t>
      </w:r>
      <w:proofErr w:type="spellEnd"/>
      <w:r w:rsidRPr="00A371C4">
        <w:t xml:space="preserve"> key management, data loss prevention, and egress filtering</w:t>
      </w:r>
      <w:r>
        <w:t xml:space="preserve"> [6], [14].</w:t>
      </w:r>
    </w:p>
    <w:p w:rsidR="00F03D44" w:rsidRDefault="00F03D44" w:rsidP="00F03D44">
      <w:pPr>
        <w:spacing w:after="120" w:line="228" w:lineRule="auto"/>
        <w:ind w:firstLine="288"/>
        <w:jc w:val="both"/>
      </w:pPr>
      <w:r>
        <w:t xml:space="preserve">Justification against dwell time and impact. Each control is justified against the seventy-six days of 2017. Monitoring coverage, EDR and certificate automation compress time-to-detect from months to </w:t>
      </w:r>
      <w:proofErr w:type="gramStart"/>
      <w:r>
        <w:t>hours</w:t>
      </w:r>
      <w:proofErr w:type="gramEnd"/>
      <w:r>
        <w:t xml:space="preserve"> renewal of one certificate exposed the 2017 intrusion almost immediately [32]. CMDB-driven scanning and the patch SLA compress time-to-patch below observed exploit velocity, removing the initial foothold [39]. </w:t>
      </w:r>
      <w:r w:rsidRPr="006E30B3">
        <w:t xml:space="preserve">Segmentation and least privilege limit the blast </w:t>
      </w:r>
      <w:r w:rsidRPr="006E30B3">
        <w:lastRenderedPageBreak/>
        <w:t>radius, making traversal of dozens of databases structurally impossible rather than merely detectable [6]. By encrypting the data and setting egress controls, data that is discovered will have less value and be more clearly seen. IBM telemetry links exactly these capabilities automation, analytics and zero trust maturity with breach lifecycles shorten months and the reduction in costs is about a third, showing the program reduces not only the breach likelihood but also organizational impact.</w:t>
      </w:r>
    </w:p>
    <w:p w:rsidR="00F03D44" w:rsidRDefault="00F03D44" w:rsidP="00F03D44">
      <w:pPr>
        <w:keepNext/>
        <w:spacing w:before="160" w:after="80"/>
        <w:jc w:val="center"/>
      </w:pPr>
      <w:r>
        <w:rPr>
          <w:smallCaps/>
        </w:rPr>
        <w:t>VII. Conclusion</w:t>
      </w:r>
    </w:p>
    <w:p w:rsidR="00F03D44" w:rsidRDefault="00F03D44" w:rsidP="00F03D44">
      <w:pPr>
        <w:keepNext/>
        <w:spacing w:before="160" w:after="80"/>
        <w:jc w:val="both"/>
      </w:pPr>
      <w:r>
        <w:t xml:space="preserve">    The Equifax breach was really a governance problem that manifested through technology. The plan above is centered on accountability first, for example, it is the empowered CISO who will have board visibility, there will be named ownership for patching results, policies will be measurable and auditable, a CSF 2.0 governance framework will be introduced, the risk register will be prioritized, and layered zero-trust controls will be set according to statutory notification timelines. Of course, no </w:t>
      </w:r>
      <w:proofErr w:type="spellStart"/>
      <w:r>
        <w:t>programme</w:t>
      </w:r>
      <w:proofErr w:type="spellEnd"/>
      <w:r>
        <w:t xml:space="preserve"> can remove a threat; a </w:t>
      </w:r>
      <w:proofErr w:type="spellStart"/>
      <w:r>
        <w:t>programme</w:t>
      </w:r>
      <w:proofErr w:type="spellEnd"/>
      <w:r>
        <w:t xml:space="preserve"> makes one assume that he will be breached and the </w:t>
      </w:r>
      <w:proofErr w:type="spellStart"/>
      <w:r>
        <w:t>programme</w:t>
      </w:r>
      <w:proofErr w:type="spellEnd"/>
      <w:r>
        <w:t xml:space="preserve"> will get a score according to how large will the affected area be, how long will detection take, and how the </w:t>
      </w:r>
      <w:proofErr w:type="spellStart"/>
      <w:r>
        <w:t>programme</w:t>
      </w:r>
      <w:proofErr w:type="spellEnd"/>
      <w:r>
        <w:t xml:space="preserve"> will be able to response the situation backed up by strong evidence. </w:t>
      </w:r>
    </w:p>
    <w:p w:rsidR="00F03D44" w:rsidRDefault="00F03D44" w:rsidP="00F03D44">
      <w:pPr>
        <w:keepNext/>
        <w:spacing w:before="200" w:after="80"/>
        <w:jc w:val="center"/>
      </w:pPr>
      <w:r>
        <w:rPr>
          <w:smallCaps/>
        </w:rPr>
        <w:t>References</w:t>
      </w:r>
    </w:p>
    <w:p w:rsidR="00F03D44" w:rsidRDefault="00F03D44" w:rsidP="00F03D44">
      <w:pPr>
        <w:spacing w:after="50" w:line="180" w:lineRule="exact"/>
        <w:ind w:left="288" w:hanging="288"/>
        <w:jc w:val="both"/>
      </w:pPr>
      <w:r>
        <w:rPr>
          <w:sz w:val="16"/>
          <w:szCs w:val="16"/>
        </w:rPr>
        <w:t xml:space="preserve">[1] IBM Security, “Cost of a Data Breach Report 2025,” IBM Corporation, Armonk, NY, USA, Jul. 2025. </w:t>
      </w:r>
    </w:p>
    <w:p w:rsidR="00F03D44" w:rsidRDefault="00F03D44" w:rsidP="00F03D44">
      <w:pPr>
        <w:spacing w:after="50" w:line="180" w:lineRule="exact"/>
        <w:ind w:left="288" w:hanging="288"/>
        <w:jc w:val="both"/>
      </w:pPr>
      <w:r>
        <w:rPr>
          <w:sz w:val="16"/>
          <w:szCs w:val="16"/>
        </w:rPr>
        <w:t>[2] Verizon, “2025 Data Breach Investigations Report,” Verizon Business, Basking Ridge, NJ, USA, Apr. 2025.</w:t>
      </w:r>
    </w:p>
    <w:p w:rsidR="00F03D44" w:rsidRDefault="00F03D44" w:rsidP="00F03D44">
      <w:pPr>
        <w:spacing w:after="50" w:line="180" w:lineRule="exact"/>
        <w:ind w:left="288" w:hanging="288"/>
        <w:jc w:val="both"/>
      </w:pPr>
      <w:r>
        <w:rPr>
          <w:sz w:val="16"/>
          <w:szCs w:val="16"/>
        </w:rPr>
        <w:t xml:space="preserve">[3] M. E. Whitman and H. J. </w:t>
      </w:r>
      <w:proofErr w:type="spellStart"/>
      <w:r>
        <w:rPr>
          <w:sz w:val="16"/>
          <w:szCs w:val="16"/>
        </w:rPr>
        <w:t>Mattord</w:t>
      </w:r>
      <w:proofErr w:type="spellEnd"/>
      <w:r>
        <w:rPr>
          <w:sz w:val="16"/>
          <w:szCs w:val="16"/>
        </w:rPr>
        <w:t xml:space="preserve">, Principles of Information Security, 6th ed. Boston, MA, USA: </w:t>
      </w:r>
      <w:proofErr w:type="spellStart"/>
      <w:r>
        <w:rPr>
          <w:sz w:val="16"/>
          <w:szCs w:val="16"/>
        </w:rPr>
        <w:t>Cengage</w:t>
      </w:r>
      <w:proofErr w:type="spellEnd"/>
      <w:r>
        <w:rPr>
          <w:sz w:val="16"/>
          <w:szCs w:val="16"/>
        </w:rPr>
        <w:t xml:space="preserve"> Learning, 2018.</w:t>
      </w:r>
    </w:p>
    <w:p w:rsidR="00F03D44" w:rsidRDefault="00F03D44" w:rsidP="00F03D44">
      <w:pPr>
        <w:spacing w:after="50" w:line="180" w:lineRule="exact"/>
        <w:ind w:left="288" w:hanging="288"/>
        <w:jc w:val="both"/>
      </w:pPr>
      <w:r>
        <w:rPr>
          <w:sz w:val="16"/>
          <w:szCs w:val="16"/>
        </w:rPr>
        <w:t xml:space="preserve">[4] C. Buck, C. </w:t>
      </w:r>
      <w:proofErr w:type="spellStart"/>
      <w:r>
        <w:rPr>
          <w:sz w:val="16"/>
          <w:szCs w:val="16"/>
        </w:rPr>
        <w:t>Olenberger</w:t>
      </w:r>
      <w:proofErr w:type="spellEnd"/>
      <w:r>
        <w:rPr>
          <w:sz w:val="16"/>
          <w:szCs w:val="16"/>
        </w:rPr>
        <w:t xml:space="preserve">, A. </w:t>
      </w:r>
      <w:proofErr w:type="spellStart"/>
      <w:r>
        <w:rPr>
          <w:sz w:val="16"/>
          <w:szCs w:val="16"/>
        </w:rPr>
        <w:t>Schweizer</w:t>
      </w:r>
      <w:proofErr w:type="spellEnd"/>
      <w:r>
        <w:rPr>
          <w:sz w:val="16"/>
          <w:szCs w:val="16"/>
        </w:rPr>
        <w:t xml:space="preserve">, F. </w:t>
      </w:r>
      <w:proofErr w:type="spellStart"/>
      <w:r>
        <w:rPr>
          <w:sz w:val="16"/>
          <w:szCs w:val="16"/>
        </w:rPr>
        <w:t>Völter</w:t>
      </w:r>
      <w:proofErr w:type="spellEnd"/>
      <w:r>
        <w:rPr>
          <w:sz w:val="16"/>
          <w:szCs w:val="16"/>
        </w:rPr>
        <w:t xml:space="preserve">, and T. </w:t>
      </w:r>
      <w:proofErr w:type="spellStart"/>
      <w:r>
        <w:rPr>
          <w:sz w:val="16"/>
          <w:szCs w:val="16"/>
        </w:rPr>
        <w:t>Eymann</w:t>
      </w:r>
      <w:proofErr w:type="spellEnd"/>
      <w:r>
        <w:rPr>
          <w:sz w:val="16"/>
          <w:szCs w:val="16"/>
        </w:rPr>
        <w:t xml:space="preserve">, “Never trust, always verify: A </w:t>
      </w:r>
      <w:proofErr w:type="spellStart"/>
      <w:r>
        <w:rPr>
          <w:sz w:val="16"/>
          <w:szCs w:val="16"/>
        </w:rPr>
        <w:t>multivocal</w:t>
      </w:r>
      <w:proofErr w:type="spellEnd"/>
      <w:r>
        <w:rPr>
          <w:sz w:val="16"/>
          <w:szCs w:val="16"/>
        </w:rPr>
        <w:t xml:space="preserve"> literature review on current knowledge and research gaps of zero trust,” Computers &amp; Security, vol. 110, art. </w:t>
      </w:r>
      <w:proofErr w:type="gramStart"/>
      <w:r>
        <w:rPr>
          <w:sz w:val="16"/>
          <w:szCs w:val="16"/>
        </w:rPr>
        <w:t>no</w:t>
      </w:r>
      <w:proofErr w:type="gramEnd"/>
      <w:r>
        <w:rPr>
          <w:sz w:val="16"/>
          <w:szCs w:val="16"/>
        </w:rPr>
        <w:t xml:space="preserve">. 102436, Nov. 2021, </w:t>
      </w:r>
      <w:proofErr w:type="spellStart"/>
      <w:r>
        <w:rPr>
          <w:sz w:val="16"/>
          <w:szCs w:val="16"/>
        </w:rPr>
        <w:t>doi</w:t>
      </w:r>
      <w:proofErr w:type="spellEnd"/>
      <w:r>
        <w:rPr>
          <w:sz w:val="16"/>
          <w:szCs w:val="16"/>
        </w:rPr>
        <w:t>: 10.1016/j.cose.2021.102436.</w:t>
      </w:r>
    </w:p>
    <w:p w:rsidR="00F03D44" w:rsidRDefault="00F03D44" w:rsidP="00F03D44">
      <w:pPr>
        <w:spacing w:after="50" w:line="180" w:lineRule="exact"/>
        <w:ind w:left="288" w:hanging="288"/>
        <w:jc w:val="both"/>
      </w:pPr>
      <w:r>
        <w:rPr>
          <w:sz w:val="16"/>
          <w:szCs w:val="16"/>
        </w:rPr>
        <w:t xml:space="preserve">[5] J. </w:t>
      </w:r>
      <w:proofErr w:type="spellStart"/>
      <w:r>
        <w:rPr>
          <w:sz w:val="16"/>
          <w:szCs w:val="16"/>
        </w:rPr>
        <w:t>Kindervag</w:t>
      </w:r>
      <w:proofErr w:type="spellEnd"/>
      <w:r>
        <w:rPr>
          <w:sz w:val="16"/>
          <w:szCs w:val="16"/>
        </w:rPr>
        <w:t>, “No More Chewy Centers: Introducing the Zero Trust Model of Information Security,” Forrester Research, Cambridge, MA, USA, Sep. 2010.</w:t>
      </w:r>
    </w:p>
    <w:p w:rsidR="00F03D44" w:rsidRDefault="00F03D44" w:rsidP="00F03D44">
      <w:pPr>
        <w:spacing w:after="50" w:line="180" w:lineRule="exact"/>
        <w:ind w:left="288" w:hanging="288"/>
        <w:jc w:val="both"/>
      </w:pPr>
      <w:r>
        <w:rPr>
          <w:sz w:val="16"/>
          <w:szCs w:val="16"/>
        </w:rPr>
        <w:t xml:space="preserve">[6] S. Rose, O. </w:t>
      </w:r>
      <w:proofErr w:type="spellStart"/>
      <w:r>
        <w:rPr>
          <w:sz w:val="16"/>
          <w:szCs w:val="16"/>
        </w:rPr>
        <w:t>Borchert</w:t>
      </w:r>
      <w:proofErr w:type="spellEnd"/>
      <w:r>
        <w:rPr>
          <w:sz w:val="16"/>
          <w:szCs w:val="16"/>
        </w:rPr>
        <w:t xml:space="preserve">, S. Mitchell, and S. Connelly, “Zero Trust Architecture,” National Institute of Standards and Technology, Gaithersburg, MD, USA, NIST Special Publication 800-207, Aug. 2020, </w:t>
      </w:r>
      <w:proofErr w:type="spellStart"/>
      <w:r>
        <w:rPr>
          <w:sz w:val="16"/>
          <w:szCs w:val="16"/>
        </w:rPr>
        <w:t>doi</w:t>
      </w:r>
      <w:proofErr w:type="spellEnd"/>
      <w:r>
        <w:rPr>
          <w:sz w:val="16"/>
          <w:szCs w:val="16"/>
        </w:rPr>
        <w:t>: 10.6028/NIST.SP.800-207.</w:t>
      </w:r>
    </w:p>
    <w:p w:rsidR="00F03D44" w:rsidRDefault="00F03D44" w:rsidP="00F03D44">
      <w:pPr>
        <w:spacing w:after="50" w:line="180" w:lineRule="exact"/>
        <w:ind w:left="288" w:hanging="288"/>
        <w:jc w:val="both"/>
      </w:pPr>
      <w:r>
        <w:rPr>
          <w:sz w:val="16"/>
          <w:szCs w:val="16"/>
        </w:rPr>
        <w:t xml:space="preserve">[7] P. H. Gregory, CISSP Guide to Security Essentials, 2nd ed. Boston, MA, USA: </w:t>
      </w:r>
      <w:proofErr w:type="spellStart"/>
      <w:r>
        <w:rPr>
          <w:sz w:val="16"/>
          <w:szCs w:val="16"/>
        </w:rPr>
        <w:t>Cengage</w:t>
      </w:r>
      <w:proofErr w:type="spellEnd"/>
      <w:r>
        <w:rPr>
          <w:sz w:val="16"/>
          <w:szCs w:val="16"/>
        </w:rPr>
        <w:t xml:space="preserve"> Learning, 2015.</w:t>
      </w:r>
    </w:p>
    <w:p w:rsidR="00F03D44" w:rsidRDefault="00F03D44" w:rsidP="00F03D44">
      <w:pPr>
        <w:spacing w:after="50" w:line="180" w:lineRule="exact"/>
        <w:ind w:left="288" w:hanging="288"/>
        <w:jc w:val="both"/>
      </w:pPr>
      <w:r>
        <w:rPr>
          <w:sz w:val="16"/>
          <w:szCs w:val="16"/>
        </w:rPr>
        <w:t xml:space="preserve">[8] N. F. Syed, S. W. Shah, A. </w:t>
      </w:r>
      <w:proofErr w:type="spellStart"/>
      <w:r>
        <w:rPr>
          <w:sz w:val="16"/>
          <w:szCs w:val="16"/>
        </w:rPr>
        <w:t>Shaghaghi</w:t>
      </w:r>
      <w:proofErr w:type="spellEnd"/>
      <w:r>
        <w:rPr>
          <w:sz w:val="16"/>
          <w:szCs w:val="16"/>
        </w:rPr>
        <w:t xml:space="preserve">, A. Anwar, Z. </w:t>
      </w:r>
      <w:proofErr w:type="spellStart"/>
      <w:r>
        <w:rPr>
          <w:sz w:val="16"/>
          <w:szCs w:val="16"/>
        </w:rPr>
        <w:t>Baig</w:t>
      </w:r>
      <w:proofErr w:type="spellEnd"/>
      <w:r>
        <w:rPr>
          <w:sz w:val="16"/>
          <w:szCs w:val="16"/>
        </w:rPr>
        <w:t xml:space="preserve">, and R. Doss, “Zero Trust Architecture (ZTA): A Comprehensive Survey,” IEEE Access, vol. 10, pp. 57143–57179, 2022, </w:t>
      </w:r>
      <w:proofErr w:type="spellStart"/>
      <w:r>
        <w:rPr>
          <w:sz w:val="16"/>
          <w:szCs w:val="16"/>
        </w:rPr>
        <w:t>doi</w:t>
      </w:r>
      <w:proofErr w:type="spellEnd"/>
      <w:r>
        <w:rPr>
          <w:sz w:val="16"/>
          <w:szCs w:val="16"/>
        </w:rPr>
        <w:t>: 10.1109/ACCESS.2022.3174679.</w:t>
      </w:r>
    </w:p>
    <w:p w:rsidR="00F03D44" w:rsidRDefault="00F03D44" w:rsidP="00F03D44">
      <w:pPr>
        <w:spacing w:after="50" w:line="180" w:lineRule="exact"/>
        <w:ind w:left="288" w:hanging="288"/>
        <w:jc w:val="both"/>
      </w:pPr>
      <w:r>
        <w:rPr>
          <w:sz w:val="16"/>
          <w:szCs w:val="16"/>
        </w:rPr>
        <w:lastRenderedPageBreak/>
        <w:t xml:space="preserve">[9] U.S. Government Accountability Office, “Data Protection: Actions Taken by Equifax and Federal Agencies in Response to the 2017 Breach,” Washington, DC, USA, Rep. GAO-18-559, Aug. 2018. </w:t>
      </w:r>
    </w:p>
    <w:p w:rsidR="00F03D44" w:rsidRDefault="00F03D44" w:rsidP="00F03D44">
      <w:pPr>
        <w:spacing w:after="50" w:line="180" w:lineRule="exact"/>
        <w:ind w:left="288" w:hanging="288"/>
        <w:jc w:val="both"/>
      </w:pPr>
      <w:r>
        <w:rPr>
          <w:sz w:val="16"/>
          <w:szCs w:val="16"/>
        </w:rPr>
        <w:t xml:space="preserve">[10] J. H. </w:t>
      </w:r>
      <w:proofErr w:type="spellStart"/>
      <w:r>
        <w:rPr>
          <w:sz w:val="16"/>
          <w:szCs w:val="16"/>
        </w:rPr>
        <w:t>Saltzer</w:t>
      </w:r>
      <w:proofErr w:type="spellEnd"/>
      <w:r>
        <w:rPr>
          <w:sz w:val="16"/>
          <w:szCs w:val="16"/>
        </w:rPr>
        <w:t xml:space="preserve"> and M. D. Schroeder, “The protection of information in computer systems,” Proceedings of the IEEE, vol. 63, no. 9, pp. 1278–1308, Sep. 1975, </w:t>
      </w:r>
      <w:proofErr w:type="spellStart"/>
      <w:r>
        <w:rPr>
          <w:sz w:val="16"/>
          <w:szCs w:val="16"/>
        </w:rPr>
        <w:t>doi</w:t>
      </w:r>
      <w:proofErr w:type="spellEnd"/>
      <w:r>
        <w:rPr>
          <w:sz w:val="16"/>
          <w:szCs w:val="16"/>
        </w:rPr>
        <w:t>: 10.1109/PROC.1975.9939.</w:t>
      </w:r>
    </w:p>
    <w:p w:rsidR="00F03D44" w:rsidRDefault="00F03D44" w:rsidP="00F03D44">
      <w:pPr>
        <w:spacing w:after="50" w:line="180" w:lineRule="exact"/>
        <w:ind w:left="288" w:hanging="288"/>
        <w:jc w:val="both"/>
      </w:pPr>
      <w:r>
        <w:rPr>
          <w:sz w:val="16"/>
          <w:szCs w:val="16"/>
        </w:rPr>
        <w:t xml:space="preserve">[11] S. </w:t>
      </w:r>
      <w:proofErr w:type="spellStart"/>
      <w:r>
        <w:rPr>
          <w:sz w:val="16"/>
          <w:szCs w:val="16"/>
        </w:rPr>
        <w:t>Teerakanok</w:t>
      </w:r>
      <w:proofErr w:type="spellEnd"/>
      <w:r>
        <w:rPr>
          <w:sz w:val="16"/>
          <w:szCs w:val="16"/>
        </w:rPr>
        <w:t xml:space="preserve">, T. Uehara, and A. Inomata, “Migrating to Zero Trust Architecture: Reviews and Challenges,” Security and Communication Networks, vol. 2021, art. </w:t>
      </w:r>
      <w:proofErr w:type="gramStart"/>
      <w:r>
        <w:rPr>
          <w:sz w:val="16"/>
          <w:szCs w:val="16"/>
        </w:rPr>
        <w:t>no</w:t>
      </w:r>
      <w:proofErr w:type="gramEnd"/>
      <w:r>
        <w:rPr>
          <w:sz w:val="16"/>
          <w:szCs w:val="16"/>
        </w:rPr>
        <w:t xml:space="preserve">. 9947347, May 2021, </w:t>
      </w:r>
      <w:proofErr w:type="spellStart"/>
      <w:r>
        <w:rPr>
          <w:sz w:val="16"/>
          <w:szCs w:val="16"/>
        </w:rPr>
        <w:t>doi</w:t>
      </w:r>
      <w:proofErr w:type="spellEnd"/>
      <w:r>
        <w:rPr>
          <w:sz w:val="16"/>
          <w:szCs w:val="16"/>
        </w:rPr>
        <w:t>: 10.1155/2021/9947347.</w:t>
      </w:r>
    </w:p>
    <w:p w:rsidR="00F03D44" w:rsidRDefault="00F03D44" w:rsidP="00F03D44">
      <w:pPr>
        <w:spacing w:after="50" w:line="180" w:lineRule="exact"/>
        <w:ind w:left="288" w:hanging="288"/>
        <w:jc w:val="both"/>
      </w:pPr>
      <w:r>
        <w:rPr>
          <w:sz w:val="16"/>
          <w:szCs w:val="16"/>
        </w:rPr>
        <w:t>[12] M. J. Quinn, Ethics for the Information Age, 6th ed. Boston, MA, USA: Pearson, 2015.</w:t>
      </w:r>
    </w:p>
    <w:p w:rsidR="00F03D44" w:rsidRDefault="00F03D44" w:rsidP="00F03D44">
      <w:pPr>
        <w:spacing w:after="50" w:line="180" w:lineRule="exact"/>
        <w:ind w:left="288" w:hanging="288"/>
        <w:jc w:val="both"/>
      </w:pPr>
      <w:r>
        <w:rPr>
          <w:sz w:val="16"/>
          <w:szCs w:val="16"/>
        </w:rPr>
        <w:t>[13] Regulation (EU) 2016/679 of the European Parliament and of the Council of 27 April 2016 on the protection of natural persons with regard to the processing of personal data (General Data Protection Regulation), Official Journal of the European Union.</w:t>
      </w:r>
    </w:p>
    <w:p w:rsidR="00F03D44" w:rsidRDefault="00F03D44" w:rsidP="00F03D44">
      <w:pPr>
        <w:spacing w:after="50" w:line="180" w:lineRule="exact"/>
        <w:ind w:left="288" w:hanging="288"/>
        <w:jc w:val="both"/>
      </w:pPr>
      <w:r>
        <w:rPr>
          <w:sz w:val="16"/>
          <w:szCs w:val="16"/>
        </w:rPr>
        <w:t xml:space="preserve">[14] </w:t>
      </w:r>
      <w:proofErr w:type="spellStart"/>
      <w:r>
        <w:rPr>
          <w:sz w:val="16"/>
          <w:szCs w:val="16"/>
        </w:rPr>
        <w:t>Cybersecurity</w:t>
      </w:r>
      <w:proofErr w:type="spellEnd"/>
      <w:r>
        <w:rPr>
          <w:sz w:val="16"/>
          <w:szCs w:val="16"/>
        </w:rPr>
        <w:t xml:space="preserve"> and Infrastructure Security Agency, “Zero Trust Maturity Model, Version 2.0,” CISA, Washington, DC, USA, Apr. 2023. </w:t>
      </w:r>
    </w:p>
    <w:p w:rsidR="00F03D44" w:rsidRDefault="00F03D44" w:rsidP="00F03D44">
      <w:pPr>
        <w:spacing w:after="50" w:line="180" w:lineRule="exact"/>
        <w:ind w:left="288" w:hanging="288"/>
        <w:jc w:val="both"/>
      </w:pPr>
      <w:r>
        <w:rPr>
          <w:sz w:val="16"/>
          <w:szCs w:val="16"/>
        </w:rPr>
        <w:t xml:space="preserve">[15] A. Kerman et al., “Implementing a Zero Trust Architecture,” National Institute of Standards and Technology, Gaithersburg, MD, USA, NIST Special Publication 1800-35, Jun. 2025, </w:t>
      </w:r>
      <w:proofErr w:type="spellStart"/>
      <w:r>
        <w:rPr>
          <w:sz w:val="16"/>
          <w:szCs w:val="16"/>
        </w:rPr>
        <w:t>doi</w:t>
      </w:r>
      <w:proofErr w:type="spellEnd"/>
      <w:r>
        <w:rPr>
          <w:sz w:val="16"/>
          <w:szCs w:val="16"/>
        </w:rPr>
        <w:t>: 10.6028/NIST.SP.1800-35.</w:t>
      </w:r>
    </w:p>
    <w:p w:rsidR="00F03D44" w:rsidRDefault="00F03D44" w:rsidP="00F03D44">
      <w:pPr>
        <w:spacing w:after="50" w:line="180" w:lineRule="exact"/>
        <w:ind w:left="288" w:hanging="288"/>
        <w:jc w:val="both"/>
      </w:pPr>
      <w:r>
        <w:rPr>
          <w:sz w:val="16"/>
          <w:szCs w:val="16"/>
        </w:rPr>
        <w:t>[16] Gartner, “Market Guide for Zero Trust Network Access,” Gartner Inc., Stamford, CT, USA, Feb. 2022.</w:t>
      </w:r>
    </w:p>
    <w:p w:rsidR="00F03D44" w:rsidRDefault="00F03D44" w:rsidP="00F03D44">
      <w:pPr>
        <w:spacing w:after="50" w:line="180" w:lineRule="exact"/>
        <w:ind w:left="288" w:hanging="288"/>
        <w:jc w:val="both"/>
      </w:pPr>
      <w:r>
        <w:rPr>
          <w:sz w:val="16"/>
          <w:szCs w:val="16"/>
        </w:rPr>
        <w:t xml:space="preserve">[17] Directive (EU) 2022/2555 of the European Parliament and of the Council of 14 December 2022 on measures for a high common level of </w:t>
      </w:r>
      <w:proofErr w:type="spellStart"/>
      <w:r>
        <w:rPr>
          <w:sz w:val="16"/>
          <w:szCs w:val="16"/>
        </w:rPr>
        <w:t>cybersecurity</w:t>
      </w:r>
      <w:proofErr w:type="spellEnd"/>
      <w:r>
        <w:rPr>
          <w:sz w:val="16"/>
          <w:szCs w:val="16"/>
        </w:rPr>
        <w:t xml:space="preserve"> across the Union (NIS 2 Directive), Official Journal of the European Union, vol. L 333, pp. 80–152.</w:t>
      </w:r>
    </w:p>
    <w:p w:rsidR="00F03D44" w:rsidRDefault="00F03D44" w:rsidP="00F03D44">
      <w:pPr>
        <w:spacing w:after="50" w:line="180" w:lineRule="exact"/>
        <w:ind w:left="288" w:hanging="288"/>
        <w:jc w:val="both"/>
      </w:pPr>
      <w:r>
        <w:rPr>
          <w:sz w:val="16"/>
          <w:szCs w:val="16"/>
        </w:rPr>
        <w:t xml:space="preserve">[18] </w:t>
      </w:r>
      <w:proofErr w:type="spellStart"/>
      <w:r>
        <w:rPr>
          <w:sz w:val="16"/>
          <w:szCs w:val="16"/>
        </w:rPr>
        <w:t>Zscaler</w:t>
      </w:r>
      <w:proofErr w:type="spellEnd"/>
      <w:r>
        <w:rPr>
          <w:sz w:val="16"/>
          <w:szCs w:val="16"/>
        </w:rPr>
        <w:t xml:space="preserve"> </w:t>
      </w:r>
      <w:proofErr w:type="spellStart"/>
      <w:r>
        <w:rPr>
          <w:sz w:val="16"/>
          <w:szCs w:val="16"/>
        </w:rPr>
        <w:t>ThreatLabz</w:t>
      </w:r>
      <w:proofErr w:type="spellEnd"/>
      <w:r>
        <w:rPr>
          <w:sz w:val="16"/>
          <w:szCs w:val="16"/>
        </w:rPr>
        <w:t xml:space="preserve">, “2025 VPN Risk Report,” </w:t>
      </w:r>
      <w:proofErr w:type="spellStart"/>
      <w:r>
        <w:rPr>
          <w:sz w:val="16"/>
          <w:szCs w:val="16"/>
        </w:rPr>
        <w:t>Zscaler</w:t>
      </w:r>
      <w:proofErr w:type="spellEnd"/>
      <w:r>
        <w:rPr>
          <w:sz w:val="16"/>
          <w:szCs w:val="16"/>
        </w:rPr>
        <w:t xml:space="preserve"> Inc., San Jose, CA, USA, 2025.</w:t>
      </w:r>
    </w:p>
    <w:p w:rsidR="00F03D44" w:rsidRDefault="00F03D44" w:rsidP="00F03D44">
      <w:pPr>
        <w:spacing w:after="50" w:line="180" w:lineRule="exact"/>
        <w:ind w:left="288" w:hanging="288"/>
        <w:jc w:val="both"/>
      </w:pPr>
      <w:r>
        <w:rPr>
          <w:sz w:val="16"/>
          <w:szCs w:val="16"/>
        </w:rPr>
        <w:t xml:space="preserve">[19] </w:t>
      </w:r>
      <w:proofErr w:type="spellStart"/>
      <w:r>
        <w:rPr>
          <w:sz w:val="16"/>
          <w:szCs w:val="16"/>
        </w:rPr>
        <w:t>MarketsandMarkets</w:t>
      </w:r>
      <w:proofErr w:type="spellEnd"/>
      <w:r>
        <w:rPr>
          <w:sz w:val="16"/>
          <w:szCs w:val="16"/>
        </w:rPr>
        <w:t xml:space="preserve">, “Zero Trust Security Market – Global Forecast to 2029,” </w:t>
      </w:r>
      <w:proofErr w:type="spellStart"/>
      <w:r>
        <w:rPr>
          <w:sz w:val="16"/>
          <w:szCs w:val="16"/>
        </w:rPr>
        <w:t>MarketsandMarkets</w:t>
      </w:r>
      <w:proofErr w:type="spellEnd"/>
      <w:r>
        <w:rPr>
          <w:sz w:val="16"/>
          <w:szCs w:val="16"/>
        </w:rPr>
        <w:t xml:space="preserve"> Research, Pune, India, 2024.</w:t>
      </w:r>
    </w:p>
    <w:p w:rsidR="00F03D44" w:rsidRDefault="00F03D44" w:rsidP="00F03D44">
      <w:pPr>
        <w:spacing w:after="50" w:line="180" w:lineRule="exact"/>
        <w:ind w:left="288" w:hanging="288"/>
        <w:jc w:val="both"/>
      </w:pPr>
      <w:r>
        <w:rPr>
          <w:sz w:val="16"/>
          <w:szCs w:val="16"/>
        </w:rPr>
        <w:t>[20] U.S. Department of Defense, “</w:t>
      </w:r>
      <w:proofErr w:type="spellStart"/>
      <w:proofErr w:type="gramStart"/>
      <w:r>
        <w:rPr>
          <w:sz w:val="16"/>
          <w:szCs w:val="16"/>
        </w:rPr>
        <w:t>DoD</w:t>
      </w:r>
      <w:proofErr w:type="spellEnd"/>
      <w:proofErr w:type="gramEnd"/>
      <w:r>
        <w:rPr>
          <w:sz w:val="16"/>
          <w:szCs w:val="16"/>
        </w:rPr>
        <w:t xml:space="preserve"> Zero Trust Strategy,” Washington, DC, USA, Nov. 2022.</w:t>
      </w:r>
    </w:p>
    <w:p w:rsidR="00F03D44" w:rsidRDefault="00F03D44" w:rsidP="00F03D44">
      <w:pPr>
        <w:spacing w:after="50" w:line="180" w:lineRule="exact"/>
        <w:ind w:left="288" w:hanging="288"/>
        <w:jc w:val="both"/>
      </w:pPr>
      <w:r>
        <w:rPr>
          <w:sz w:val="16"/>
          <w:szCs w:val="16"/>
        </w:rPr>
        <w:t xml:space="preserve">[21] IBM Security and </w:t>
      </w:r>
      <w:proofErr w:type="spellStart"/>
      <w:r>
        <w:rPr>
          <w:sz w:val="16"/>
          <w:szCs w:val="16"/>
        </w:rPr>
        <w:t>Ponemon</w:t>
      </w:r>
      <w:proofErr w:type="spellEnd"/>
      <w:r>
        <w:rPr>
          <w:sz w:val="16"/>
          <w:szCs w:val="16"/>
        </w:rPr>
        <w:t xml:space="preserve"> Institute, “Cost of a Data Breach Report 2021,” IBM Corporation, Armonk, NY, USA, Jul. 2021.</w:t>
      </w:r>
    </w:p>
    <w:p w:rsidR="00F03D44" w:rsidRDefault="00F03D44" w:rsidP="00F03D44">
      <w:pPr>
        <w:spacing w:after="50" w:line="180" w:lineRule="exact"/>
        <w:ind w:left="288" w:hanging="288"/>
        <w:jc w:val="both"/>
      </w:pPr>
      <w:r>
        <w:rPr>
          <w:sz w:val="16"/>
          <w:szCs w:val="16"/>
        </w:rPr>
        <w:t xml:space="preserve">[22] European Union Agency for </w:t>
      </w:r>
      <w:proofErr w:type="spellStart"/>
      <w:r>
        <w:rPr>
          <w:sz w:val="16"/>
          <w:szCs w:val="16"/>
        </w:rPr>
        <w:t>Cybersecurity</w:t>
      </w:r>
      <w:proofErr w:type="spellEnd"/>
      <w:r>
        <w:rPr>
          <w:sz w:val="16"/>
          <w:szCs w:val="16"/>
        </w:rPr>
        <w:t>, “ENISA Threat Landscape 2025,” ENISA, Athens, Greece, Oct. 2025.</w:t>
      </w:r>
    </w:p>
    <w:p w:rsidR="00F03D44" w:rsidRDefault="00F03D44" w:rsidP="00F03D44">
      <w:pPr>
        <w:spacing w:after="50" w:line="180" w:lineRule="exact"/>
        <w:ind w:left="288" w:hanging="288"/>
        <w:jc w:val="both"/>
        <w:rPr>
          <w:sz w:val="16"/>
          <w:szCs w:val="16"/>
        </w:rPr>
      </w:pPr>
      <w:r>
        <w:rPr>
          <w:sz w:val="16"/>
          <w:szCs w:val="16"/>
        </w:rPr>
        <w:t xml:space="preserve">[23] European Data Protection Board, “Guidelines 9/2022 on personal data breach notification under GDPR, Version 2.0,” </w:t>
      </w:r>
    </w:p>
    <w:p w:rsidR="00F03D44" w:rsidRDefault="00F03D44" w:rsidP="00F03D44">
      <w:pPr>
        <w:spacing w:after="50" w:line="180" w:lineRule="exact"/>
        <w:ind w:left="288" w:hanging="288"/>
        <w:jc w:val="both"/>
      </w:pPr>
      <w:r>
        <w:rPr>
          <w:sz w:val="16"/>
          <w:szCs w:val="16"/>
        </w:rPr>
        <w:t>[24] Regulation (EU) 2022/2554 of the European Parliament and of the Council of 14 December 2022 on digital operational resilience for the financial sector (DORA), Official Journal of the European Union, vol. L 333, pp.</w:t>
      </w:r>
    </w:p>
    <w:p w:rsidR="00F03D44" w:rsidRDefault="00F03D44" w:rsidP="00F03D44">
      <w:pPr>
        <w:spacing w:after="50" w:line="180" w:lineRule="exact"/>
        <w:ind w:left="288" w:hanging="288"/>
        <w:jc w:val="both"/>
      </w:pPr>
      <w:r>
        <w:rPr>
          <w:sz w:val="16"/>
          <w:szCs w:val="16"/>
        </w:rPr>
        <w:t xml:space="preserve">[25] R. von </w:t>
      </w:r>
      <w:proofErr w:type="spellStart"/>
      <w:r>
        <w:rPr>
          <w:sz w:val="16"/>
          <w:szCs w:val="16"/>
        </w:rPr>
        <w:t>Solms</w:t>
      </w:r>
      <w:proofErr w:type="spellEnd"/>
      <w:r>
        <w:rPr>
          <w:sz w:val="16"/>
          <w:szCs w:val="16"/>
        </w:rPr>
        <w:t xml:space="preserve">, “Information security management: why standards are important,” Information Management &amp; Computer Security, vol. 7, no. 1, pp. 50–57, 1999, </w:t>
      </w:r>
      <w:proofErr w:type="spellStart"/>
      <w:r>
        <w:rPr>
          <w:sz w:val="16"/>
          <w:szCs w:val="16"/>
        </w:rPr>
        <w:t>doi</w:t>
      </w:r>
      <w:proofErr w:type="spellEnd"/>
      <w:r>
        <w:rPr>
          <w:sz w:val="16"/>
          <w:szCs w:val="16"/>
        </w:rPr>
        <w:t>: 10.1108/09685229910255223.</w:t>
      </w:r>
    </w:p>
    <w:p w:rsidR="00F03D44" w:rsidRDefault="00F03D44" w:rsidP="00F03D44">
      <w:pPr>
        <w:spacing w:after="50" w:line="180" w:lineRule="exact"/>
        <w:ind w:left="288" w:hanging="288"/>
        <w:jc w:val="both"/>
      </w:pPr>
      <w:r>
        <w:rPr>
          <w:sz w:val="16"/>
          <w:szCs w:val="16"/>
        </w:rPr>
        <w:t xml:space="preserve">[26] ISO/IEC 27001:2022, Information security, </w:t>
      </w:r>
      <w:proofErr w:type="spellStart"/>
      <w:r>
        <w:rPr>
          <w:sz w:val="16"/>
          <w:szCs w:val="16"/>
        </w:rPr>
        <w:t>cybersecurity</w:t>
      </w:r>
      <w:proofErr w:type="spellEnd"/>
      <w:r>
        <w:rPr>
          <w:sz w:val="16"/>
          <w:szCs w:val="16"/>
        </w:rPr>
        <w:t xml:space="preserve"> and privacy protection Information security management </w:t>
      </w:r>
      <w:proofErr w:type="gramStart"/>
      <w:r>
        <w:rPr>
          <w:sz w:val="16"/>
          <w:szCs w:val="16"/>
        </w:rPr>
        <w:t>systems  Requirements</w:t>
      </w:r>
      <w:proofErr w:type="gramEnd"/>
      <w:r>
        <w:rPr>
          <w:sz w:val="16"/>
          <w:szCs w:val="16"/>
        </w:rPr>
        <w:t>, International Organization for Standardization, Geneva, Switzerland, 2022.</w:t>
      </w:r>
    </w:p>
    <w:p w:rsidR="00F03D44" w:rsidRDefault="00F03D44" w:rsidP="00F03D44">
      <w:pPr>
        <w:spacing w:after="50" w:line="180" w:lineRule="exact"/>
        <w:ind w:left="288" w:hanging="288"/>
        <w:jc w:val="both"/>
        <w:rPr>
          <w:sz w:val="16"/>
          <w:szCs w:val="16"/>
        </w:rPr>
      </w:pPr>
      <w:r>
        <w:rPr>
          <w:sz w:val="16"/>
          <w:szCs w:val="16"/>
        </w:rPr>
        <w:t xml:space="preserve">[27] Regulation (EU) 2024/1689 of the European Parliament and of the Council of 13 June 2024 laying down </w:t>
      </w:r>
      <w:proofErr w:type="spellStart"/>
      <w:r>
        <w:rPr>
          <w:sz w:val="16"/>
          <w:szCs w:val="16"/>
        </w:rPr>
        <w:t>harmonised</w:t>
      </w:r>
      <w:proofErr w:type="spellEnd"/>
      <w:r>
        <w:rPr>
          <w:sz w:val="16"/>
          <w:szCs w:val="16"/>
        </w:rPr>
        <w:t xml:space="preserve"> rules on artificial intelligence (Artificial Intelligence Act), Official Journal of the European Union, Jul. 2024. </w:t>
      </w:r>
    </w:p>
    <w:p w:rsidR="00F03D44" w:rsidRDefault="00F03D44" w:rsidP="00F03D44">
      <w:pPr>
        <w:spacing w:after="50" w:line="180" w:lineRule="exact"/>
        <w:ind w:left="288" w:hanging="288"/>
        <w:jc w:val="both"/>
      </w:pPr>
      <w:r>
        <w:rPr>
          <w:sz w:val="16"/>
          <w:szCs w:val="16"/>
        </w:rPr>
        <w:t>[28] National Institute of Standards and Technology, “NIST Releases First 3 Finalized Post-Quantum Encryption Standards (FIPS 203, 204 and 205),” NIST, Gaithersburg, MD, USA, Aug. 2024.</w:t>
      </w:r>
    </w:p>
    <w:p w:rsidR="00F03D44" w:rsidRDefault="00F03D44" w:rsidP="00F03D44">
      <w:pPr>
        <w:spacing w:after="50" w:line="180" w:lineRule="exact"/>
        <w:ind w:left="288" w:hanging="288"/>
        <w:jc w:val="both"/>
        <w:rPr>
          <w:sz w:val="16"/>
          <w:szCs w:val="16"/>
        </w:rPr>
      </w:pPr>
      <w:r>
        <w:rPr>
          <w:sz w:val="16"/>
          <w:szCs w:val="16"/>
        </w:rPr>
        <w:t xml:space="preserve">[29] European Commission, “Commission Recommendation (EU) 2024/1101 on a Coordinated Implementation Roadmap for the transition to Post-Quantum Cryptography,” Brussels, Belgium, Apr. 2024. </w:t>
      </w:r>
    </w:p>
    <w:p w:rsidR="00F03D44" w:rsidRDefault="00F03D44" w:rsidP="00F03D44">
      <w:pPr>
        <w:spacing w:after="50" w:line="180" w:lineRule="exact"/>
        <w:ind w:left="288" w:hanging="288"/>
        <w:jc w:val="both"/>
      </w:pPr>
      <w:r>
        <w:rPr>
          <w:sz w:val="16"/>
          <w:szCs w:val="16"/>
        </w:rPr>
        <w:t>[30] U.S. House of Representatives, Committee on Oversight and Government Reform, “The Equifax Data Breach,” Majority Staff Report, 115th Congress, Washington, DC, USA, Dec. 2018.</w:t>
      </w:r>
    </w:p>
    <w:p w:rsidR="00F03D44" w:rsidRDefault="00F03D44" w:rsidP="00F03D44">
      <w:pPr>
        <w:spacing w:after="50" w:line="180" w:lineRule="exact"/>
        <w:ind w:left="288" w:hanging="288"/>
        <w:jc w:val="both"/>
      </w:pPr>
      <w:r>
        <w:rPr>
          <w:sz w:val="16"/>
          <w:szCs w:val="16"/>
        </w:rPr>
        <w:t xml:space="preserve">[31] H. </w:t>
      </w:r>
      <w:proofErr w:type="spellStart"/>
      <w:r>
        <w:rPr>
          <w:sz w:val="16"/>
          <w:szCs w:val="16"/>
        </w:rPr>
        <w:t>Berghel</w:t>
      </w:r>
      <w:proofErr w:type="spellEnd"/>
      <w:r>
        <w:rPr>
          <w:sz w:val="16"/>
          <w:szCs w:val="16"/>
        </w:rPr>
        <w:t xml:space="preserve">, “Equifax and the Latest Round of Identity Theft Roulette,” Computer, vol. 50, no. 12, pp. 72–76, Dec. 2017, </w:t>
      </w:r>
      <w:proofErr w:type="spellStart"/>
      <w:r>
        <w:rPr>
          <w:sz w:val="16"/>
          <w:szCs w:val="16"/>
        </w:rPr>
        <w:t>doi</w:t>
      </w:r>
      <w:proofErr w:type="spellEnd"/>
      <w:r>
        <w:rPr>
          <w:sz w:val="16"/>
          <w:szCs w:val="16"/>
        </w:rPr>
        <w:t>: 10.1109/MC.2017.4451227.</w:t>
      </w:r>
    </w:p>
    <w:p w:rsidR="00F03D44" w:rsidRDefault="00F03D44" w:rsidP="00F03D44">
      <w:pPr>
        <w:spacing w:after="50" w:line="180" w:lineRule="exact"/>
        <w:ind w:left="288" w:hanging="288"/>
        <w:jc w:val="both"/>
      </w:pPr>
      <w:r>
        <w:rPr>
          <w:sz w:val="16"/>
          <w:szCs w:val="16"/>
        </w:rPr>
        <w:t xml:space="preserve">[32] U.S. Senate, Permanent Subcommittee on Investigations, “How Equifax Neglected </w:t>
      </w:r>
      <w:proofErr w:type="spellStart"/>
      <w:r>
        <w:rPr>
          <w:sz w:val="16"/>
          <w:szCs w:val="16"/>
        </w:rPr>
        <w:t>Cybersecurity</w:t>
      </w:r>
      <w:proofErr w:type="spellEnd"/>
      <w:r>
        <w:rPr>
          <w:sz w:val="16"/>
          <w:szCs w:val="16"/>
        </w:rPr>
        <w:t xml:space="preserve"> and Suffered a Devastating Data Breach,” Staff Report, Washington, DC, USA, Mar. 2019. </w:t>
      </w:r>
    </w:p>
    <w:p w:rsidR="00F03D44" w:rsidRDefault="00F03D44" w:rsidP="00F03D44">
      <w:pPr>
        <w:spacing w:after="50" w:line="180" w:lineRule="exact"/>
        <w:ind w:left="288" w:hanging="288"/>
        <w:jc w:val="both"/>
      </w:pPr>
      <w:r>
        <w:rPr>
          <w:sz w:val="16"/>
          <w:szCs w:val="16"/>
        </w:rPr>
        <w:t xml:space="preserve">[33] Federal Trade Commission, “Equifax to Pay $575 Million as Part of Settlement with FTC, CFPB, and States Related to 2017 Data Breach,” FTC, Washington, DC, USA, Jul. 2019. </w:t>
      </w:r>
    </w:p>
    <w:p w:rsidR="00F03D44" w:rsidRDefault="00F03D44" w:rsidP="00F03D44">
      <w:pPr>
        <w:spacing w:after="50" w:line="180" w:lineRule="exact"/>
        <w:ind w:left="288" w:hanging="288"/>
        <w:jc w:val="both"/>
      </w:pPr>
      <w:r>
        <w:rPr>
          <w:sz w:val="16"/>
          <w:szCs w:val="16"/>
        </w:rPr>
        <w:lastRenderedPageBreak/>
        <w:t xml:space="preserve">[34] Information Commissioner’s Office, “Credit reference agency Equifax fined £500,000 for security breach,” ICO, </w:t>
      </w:r>
      <w:proofErr w:type="spellStart"/>
      <w:r>
        <w:rPr>
          <w:sz w:val="16"/>
          <w:szCs w:val="16"/>
        </w:rPr>
        <w:t>Wilmslow</w:t>
      </w:r>
      <w:proofErr w:type="spellEnd"/>
      <w:r>
        <w:rPr>
          <w:sz w:val="16"/>
          <w:szCs w:val="16"/>
        </w:rPr>
        <w:t xml:space="preserve">, UK, Sep. 2018. </w:t>
      </w:r>
    </w:p>
    <w:p w:rsidR="00F03D44" w:rsidRDefault="00F03D44" w:rsidP="00F03D44">
      <w:pPr>
        <w:spacing w:after="50" w:line="180" w:lineRule="exact"/>
        <w:ind w:left="288" w:hanging="288"/>
        <w:jc w:val="both"/>
      </w:pPr>
      <w:r>
        <w:rPr>
          <w:sz w:val="16"/>
          <w:szCs w:val="16"/>
        </w:rPr>
        <w:t>[35] U.S. Securities and Exchange Commission, “</w:t>
      </w:r>
      <w:proofErr w:type="spellStart"/>
      <w:r>
        <w:rPr>
          <w:sz w:val="16"/>
          <w:szCs w:val="16"/>
        </w:rPr>
        <w:t>Cybersecurity</w:t>
      </w:r>
      <w:proofErr w:type="spellEnd"/>
      <w:r>
        <w:rPr>
          <w:sz w:val="16"/>
          <w:szCs w:val="16"/>
        </w:rPr>
        <w:t xml:space="preserve"> Risk Management, Strategy, Governance, and Incident Disclosure,” Final Rule, 17 CFR Parts 229, 232, 239, 240 and 249, Washington, DC, USA, Jul. 2023.</w:t>
      </w:r>
    </w:p>
    <w:p w:rsidR="00F03D44" w:rsidRDefault="00F03D44" w:rsidP="00F03D44">
      <w:pPr>
        <w:spacing w:after="50" w:line="180" w:lineRule="exact"/>
        <w:ind w:left="288" w:hanging="288"/>
        <w:jc w:val="both"/>
      </w:pPr>
      <w:r>
        <w:rPr>
          <w:sz w:val="16"/>
          <w:szCs w:val="16"/>
        </w:rPr>
        <w:t>[36] The Institute of Internal Auditors, “The IIA’s Three Lines Model: An update of the Three Lines of Defense,” IIA, Lake Mary, FL, USA, Jul. 2020.</w:t>
      </w:r>
    </w:p>
    <w:p w:rsidR="00F03D44" w:rsidRDefault="00F03D44" w:rsidP="00F03D44">
      <w:pPr>
        <w:spacing w:after="50" w:line="180" w:lineRule="exact"/>
        <w:ind w:left="288" w:hanging="288"/>
        <w:jc w:val="both"/>
      </w:pPr>
      <w:r>
        <w:rPr>
          <w:sz w:val="16"/>
          <w:szCs w:val="16"/>
        </w:rPr>
        <w:t xml:space="preserve">[37] J. </w:t>
      </w:r>
      <w:proofErr w:type="spellStart"/>
      <w:r>
        <w:rPr>
          <w:sz w:val="16"/>
          <w:szCs w:val="16"/>
        </w:rPr>
        <w:t>Ladley</w:t>
      </w:r>
      <w:proofErr w:type="spellEnd"/>
      <w:r>
        <w:rPr>
          <w:sz w:val="16"/>
          <w:szCs w:val="16"/>
        </w:rPr>
        <w:t>, Data Governance: How to Design, Deploy and Sustain an Effective Data Governance Program. Waltham, MA, USA: Morgan Kaufmann, 2012.</w:t>
      </w:r>
    </w:p>
    <w:p w:rsidR="00F03D44" w:rsidRDefault="00F03D44" w:rsidP="00F03D44">
      <w:pPr>
        <w:spacing w:after="50" w:line="180" w:lineRule="exact"/>
        <w:ind w:left="288" w:hanging="288"/>
        <w:jc w:val="both"/>
      </w:pPr>
      <w:r>
        <w:rPr>
          <w:sz w:val="16"/>
          <w:szCs w:val="16"/>
        </w:rPr>
        <w:t xml:space="preserve">[38] D. </w:t>
      </w:r>
      <w:proofErr w:type="spellStart"/>
      <w:r>
        <w:rPr>
          <w:sz w:val="16"/>
          <w:szCs w:val="16"/>
        </w:rPr>
        <w:t>Plotkin</w:t>
      </w:r>
      <w:proofErr w:type="spellEnd"/>
      <w:r>
        <w:rPr>
          <w:sz w:val="16"/>
          <w:szCs w:val="16"/>
        </w:rPr>
        <w:t>, Data Stewardship: An Actionable Guide to Effective Data Management and Data Governance. Waltham, MA, USA: Morgan Kaufmann, 2013.</w:t>
      </w:r>
    </w:p>
    <w:p w:rsidR="00F03D44" w:rsidRDefault="00F03D44" w:rsidP="00F03D44">
      <w:pPr>
        <w:spacing w:after="50" w:line="180" w:lineRule="exact"/>
        <w:ind w:left="288" w:hanging="288"/>
        <w:jc w:val="both"/>
      </w:pPr>
      <w:r>
        <w:rPr>
          <w:sz w:val="16"/>
          <w:szCs w:val="16"/>
        </w:rPr>
        <w:t xml:space="preserve">[39] M. </w:t>
      </w:r>
      <w:proofErr w:type="spellStart"/>
      <w:r>
        <w:rPr>
          <w:sz w:val="16"/>
          <w:szCs w:val="16"/>
        </w:rPr>
        <w:t>Souppaya</w:t>
      </w:r>
      <w:proofErr w:type="spellEnd"/>
      <w:r>
        <w:rPr>
          <w:sz w:val="16"/>
          <w:szCs w:val="16"/>
        </w:rPr>
        <w:t xml:space="preserve"> and K. </w:t>
      </w:r>
      <w:proofErr w:type="spellStart"/>
      <w:r>
        <w:rPr>
          <w:sz w:val="16"/>
          <w:szCs w:val="16"/>
        </w:rPr>
        <w:t>Scarfone</w:t>
      </w:r>
      <w:proofErr w:type="spellEnd"/>
      <w:r>
        <w:rPr>
          <w:sz w:val="16"/>
          <w:szCs w:val="16"/>
        </w:rPr>
        <w:t xml:space="preserve">, “Guide to Enterprise Patch Management Planning: Preventive Maintenance for Technology,” National Institute of Standards and Technology, Gaithersburg, MD, USA, NIST Special Publication 800-40 Rev. 4, Apr. 2022, </w:t>
      </w:r>
      <w:proofErr w:type="spellStart"/>
      <w:r>
        <w:rPr>
          <w:sz w:val="16"/>
          <w:szCs w:val="16"/>
        </w:rPr>
        <w:t>doi</w:t>
      </w:r>
      <w:proofErr w:type="spellEnd"/>
      <w:r>
        <w:rPr>
          <w:sz w:val="16"/>
          <w:szCs w:val="16"/>
        </w:rPr>
        <w:t>: 10.6028/NIST.SP.800-40r4.</w:t>
      </w:r>
    </w:p>
    <w:p w:rsidR="00F03D44" w:rsidRDefault="00F03D44" w:rsidP="00F03D44">
      <w:pPr>
        <w:spacing w:after="50" w:line="180" w:lineRule="exact"/>
        <w:ind w:left="288" w:hanging="288"/>
        <w:jc w:val="both"/>
      </w:pPr>
      <w:r>
        <w:rPr>
          <w:sz w:val="16"/>
          <w:szCs w:val="16"/>
        </w:rPr>
        <w:t xml:space="preserve">[40] National Institute of Standards and Technology, “Secure Software Development Framework (SSDF) Version 1.1,” NIST Special Publication 800-218, Gaithersburg, MD, USA, Feb. 2022, </w:t>
      </w:r>
      <w:proofErr w:type="spellStart"/>
      <w:r>
        <w:rPr>
          <w:sz w:val="16"/>
          <w:szCs w:val="16"/>
        </w:rPr>
        <w:t>doi</w:t>
      </w:r>
      <w:proofErr w:type="spellEnd"/>
      <w:r>
        <w:rPr>
          <w:sz w:val="16"/>
          <w:szCs w:val="16"/>
        </w:rPr>
        <w:t>: 10.6028/NIST.SP.800-218.</w:t>
      </w:r>
    </w:p>
    <w:p w:rsidR="00F03D44" w:rsidRDefault="00F03D44" w:rsidP="00F03D44">
      <w:pPr>
        <w:spacing w:after="50" w:line="180" w:lineRule="exact"/>
        <w:ind w:left="288" w:hanging="288"/>
        <w:jc w:val="both"/>
      </w:pPr>
      <w:r>
        <w:rPr>
          <w:sz w:val="16"/>
          <w:szCs w:val="16"/>
        </w:rPr>
        <w:t xml:space="preserve">[41] National Institute of Standards and Technology, “The NIST </w:t>
      </w:r>
      <w:proofErr w:type="spellStart"/>
      <w:r>
        <w:rPr>
          <w:sz w:val="16"/>
          <w:szCs w:val="16"/>
        </w:rPr>
        <w:t>Cybersecurity</w:t>
      </w:r>
      <w:proofErr w:type="spellEnd"/>
      <w:r>
        <w:rPr>
          <w:sz w:val="16"/>
          <w:szCs w:val="16"/>
        </w:rPr>
        <w:t xml:space="preserve"> Framework (CSF) 2.0,” NIST CSWP 29, Gaithersburg, MD, USA, Feb. 2024, </w:t>
      </w:r>
      <w:proofErr w:type="spellStart"/>
      <w:r>
        <w:rPr>
          <w:sz w:val="16"/>
          <w:szCs w:val="16"/>
        </w:rPr>
        <w:t>doi</w:t>
      </w:r>
      <w:proofErr w:type="spellEnd"/>
      <w:r>
        <w:rPr>
          <w:sz w:val="16"/>
          <w:szCs w:val="16"/>
        </w:rPr>
        <w:t>: 10.6028/NIST.CSWP.29.</w:t>
      </w:r>
    </w:p>
    <w:p w:rsidR="00F03D44" w:rsidRDefault="00F03D44" w:rsidP="00F03D44">
      <w:pPr>
        <w:spacing w:after="50" w:line="180" w:lineRule="exact"/>
        <w:ind w:left="288" w:hanging="288"/>
        <w:jc w:val="both"/>
      </w:pPr>
      <w:r>
        <w:rPr>
          <w:sz w:val="16"/>
          <w:szCs w:val="16"/>
        </w:rPr>
        <w:t xml:space="preserve">[42] ISO/IEC 27005:2022, Information security, </w:t>
      </w:r>
      <w:proofErr w:type="spellStart"/>
      <w:r>
        <w:rPr>
          <w:sz w:val="16"/>
          <w:szCs w:val="16"/>
        </w:rPr>
        <w:t>cybersecurity</w:t>
      </w:r>
      <w:proofErr w:type="spellEnd"/>
      <w:r>
        <w:rPr>
          <w:sz w:val="16"/>
          <w:szCs w:val="16"/>
        </w:rPr>
        <w:t xml:space="preserve"> and privacy protection Guidance on managing information security risks, International Organization for Standardization, Geneva, Switzerland, 2022.</w:t>
      </w:r>
    </w:p>
    <w:p w:rsidR="00F03D44" w:rsidRDefault="00F03D44" w:rsidP="00F03D44">
      <w:pPr>
        <w:spacing w:after="50" w:line="180" w:lineRule="exact"/>
        <w:ind w:left="288" w:hanging="288"/>
        <w:jc w:val="both"/>
      </w:pPr>
      <w:r>
        <w:rPr>
          <w:sz w:val="16"/>
          <w:szCs w:val="16"/>
        </w:rPr>
        <w:t xml:space="preserve">[43] National Institute of Standards and Technology, “Incident Response Recommendations and Considerations for </w:t>
      </w:r>
      <w:proofErr w:type="spellStart"/>
      <w:r>
        <w:rPr>
          <w:sz w:val="16"/>
          <w:szCs w:val="16"/>
        </w:rPr>
        <w:t>Cybersecurity</w:t>
      </w:r>
      <w:proofErr w:type="spellEnd"/>
      <w:r>
        <w:rPr>
          <w:sz w:val="16"/>
          <w:szCs w:val="16"/>
        </w:rPr>
        <w:t xml:space="preserve"> Risk Management: A CSF 2.0 Community Profile,” NIST Special Publication 800-61 Rev. 3, Gaithersburg, MD, USA, Apr. 2025, </w:t>
      </w:r>
      <w:proofErr w:type="spellStart"/>
      <w:r>
        <w:rPr>
          <w:sz w:val="16"/>
          <w:szCs w:val="16"/>
        </w:rPr>
        <w:t>doi</w:t>
      </w:r>
      <w:proofErr w:type="spellEnd"/>
      <w:r>
        <w:rPr>
          <w:sz w:val="16"/>
          <w:szCs w:val="16"/>
        </w:rPr>
        <w:t>: 10.6028/NIST.SP.800-61r3.</w:t>
      </w:r>
    </w:p>
    <w:p w:rsidR="008E065C" w:rsidRDefault="008E065C"/>
    <w:sectPr w:rsidR="008E065C">
      <w:footerReference w:type="default" r:id="rId22"/>
      <w:type w:val="continuous"/>
      <w:pgSz w:w="11906" w:h="16838"/>
      <w:pgMar w:top="1080" w:right="907" w:bottom="1440" w:left="907" w:header="432" w:footer="720" w:gutter="0"/>
      <w:cols w:num="2" w:space="36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60EB" w:rsidRDefault="008E60EB">
      <w:r>
        <w:separator/>
      </w:r>
    </w:p>
  </w:endnote>
  <w:endnote w:type="continuationSeparator" w:id="0">
    <w:p w:rsidR="008E60EB" w:rsidRDefault="008E60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AC0544">
      <w:rPr>
        <w:noProof/>
        <w:sz w:val="16"/>
        <w:szCs w:val="16"/>
      </w:rPr>
      <w:t>1</w:t>
    </w:r>
    <w:r>
      <w:rPr>
        <w:sz w:val="16"/>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AC0544">
      <w:rPr>
        <w:noProof/>
        <w:sz w:val="16"/>
        <w:szCs w:val="16"/>
      </w:rPr>
      <w:t>3</w:t>
    </w:r>
    <w:r>
      <w:rPr>
        <w:sz w:val="16"/>
        <w:szCs w:val="16"/>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Pr>
        <w:noProof/>
        <w:sz w:val="16"/>
        <w:szCs w:val="16"/>
      </w:rPr>
      <w:t>3</w:t>
    </w:r>
    <w:r>
      <w:rPr>
        <w:sz w:val="16"/>
        <w:szCs w:val="16"/>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AC0544">
      <w:rPr>
        <w:noProof/>
        <w:sz w:val="16"/>
        <w:szCs w:val="16"/>
      </w:rPr>
      <w:t>5</w:t>
    </w:r>
    <w:r>
      <w:rPr>
        <w:sz w:val="16"/>
        <w:szCs w:val="16"/>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6</w:t>
    </w:r>
    <w:r>
      <w:rPr>
        <w:sz w:val="16"/>
        <w:szCs w:val="16"/>
      </w:rPr>
      <w:fldChar w:fldCharType="end"/>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6</w:t>
    </w:r>
    <w:r>
      <w:rPr>
        <w:sz w:val="16"/>
        <w:szCs w:val="16"/>
      </w:rPr>
      <w:fldChar w:fldCharType="end"/>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7</w:t>
    </w:r>
    <w:r>
      <w:rPr>
        <w:sz w:val="16"/>
        <w:szCs w:val="16"/>
      </w:rPr>
      <w:fldChar w:fldCharType="end"/>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end"/>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8</w:t>
    </w:r>
    <w:r>
      <w:rPr>
        <w:sz w:val="16"/>
        <w:szCs w:val="16"/>
      </w:rPr>
      <w:fldChar w:fldCharType="end"/>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8</w:t>
    </w:r>
    <w:r>
      <w:rPr>
        <w:sz w:val="16"/>
        <w:szCs w:val="16"/>
      </w:rPr>
      <w:fldChar w:fldCharType="end"/>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256C" w:rsidRDefault="00CB2426">
    <w:pPr>
      <w:jc w:val="center"/>
    </w:pPr>
    <w:r>
      <w:rPr>
        <w:sz w:val="16"/>
        <w:szCs w:val="16"/>
      </w:rPr>
      <w:fldChar w:fldCharType="begin"/>
    </w:r>
    <w:r>
      <w:rPr>
        <w:sz w:val="16"/>
        <w:szCs w:val="16"/>
      </w:rPr>
      <w:instrText>PAGE</w:instrText>
    </w:r>
    <w:r>
      <w:rPr>
        <w:sz w:val="16"/>
        <w:szCs w:val="16"/>
      </w:rPr>
      <w:fldChar w:fldCharType="separate"/>
    </w:r>
    <w:r w:rsidR="005A39F2">
      <w:rPr>
        <w:noProof/>
        <w:sz w:val="16"/>
        <w:szCs w:val="16"/>
      </w:rPr>
      <w:t>9</w:t>
    </w:r>
    <w:r>
      <w:rPr>
        <w:sz w:val="16"/>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60EB" w:rsidRDefault="008E60EB">
      <w:r>
        <w:separator/>
      </w:r>
    </w:p>
  </w:footnote>
  <w:footnote w:type="continuationSeparator" w:id="0">
    <w:p w:rsidR="008E60EB" w:rsidRDefault="008E60E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D44"/>
    <w:rsid w:val="005A39F2"/>
    <w:rsid w:val="008E065C"/>
    <w:rsid w:val="008E60EB"/>
    <w:rsid w:val="00AC0544"/>
    <w:rsid w:val="00CB2426"/>
    <w:rsid w:val="00F03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F52A72-C60C-4414-B142-1B35A1F2D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3D4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3D44"/>
    <w:pPr>
      <w:spacing w:before="100" w:beforeAutospacing="1" w:after="100" w:afterAutospacing="1"/>
    </w:pPr>
    <w:rPr>
      <w:sz w:val="24"/>
      <w:szCs w:val="24"/>
    </w:rPr>
  </w:style>
  <w:style w:type="paragraph" w:styleId="NoSpacing">
    <w:name w:val="No Spacing"/>
    <w:uiPriority w:val="1"/>
    <w:qFormat/>
    <w:rsid w:val="00F03D44"/>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oter" Target="footer5.xml"/><Relationship Id="rId18" Type="http://schemas.openxmlformats.org/officeDocument/2006/relationships/footer" Target="footer9.xml"/><Relationship Id="rId3" Type="http://schemas.openxmlformats.org/officeDocument/2006/relationships/webSettings" Target="webSettings.xml"/><Relationship Id="rId21" Type="http://schemas.openxmlformats.org/officeDocument/2006/relationships/footer" Target="footer1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8.xml"/><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footer" Target="footer10.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oter" Target="footer4.xm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footer" Target="footer7.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footer" Target="footer6.xml"/><Relationship Id="rId22"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7181</Words>
  <Characters>40938</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2026-08-03T11:13:00Z</dcterms:created>
  <dcterms:modified xsi:type="dcterms:W3CDTF">2026-08-06T09:03:00Z</dcterms:modified>
</cp:coreProperties>
</file>