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53FF6CA" w14:textId="77777777" w:rsidR="0070115B" w:rsidRDefault="0070115B" w:rsidP="007E1DCB">
      <w:pPr>
        <w:spacing w:line="360" w:lineRule="auto"/>
        <w:jc w:val="both"/>
      </w:pPr>
    </w:p>
    <w:p w14:paraId="14210912" w14:textId="69F41E6C" w:rsidR="005A50E3" w:rsidRDefault="005A50E3" w:rsidP="007E1DCB">
      <w:pPr>
        <w:spacing w:line="360" w:lineRule="auto"/>
        <w:jc w:val="both"/>
      </w:pPr>
      <w:r>
        <w:rPr>
          <w:noProof/>
        </w:rPr>
        <w:drawing>
          <wp:inline distT="0" distB="0" distL="0" distR="0" wp14:anchorId="24049027" wp14:editId="5D043E9A">
            <wp:extent cx="2476500" cy="812800"/>
            <wp:effectExtent l="0" t="0" r="0" b="0"/>
            <wp:docPr id="750420136" name="Picture 2"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0420136" name="Picture 2" descr="A close up of black 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2476500" cy="812800"/>
                    </a:xfrm>
                    <a:prstGeom prst="rect">
                      <a:avLst/>
                    </a:prstGeom>
                  </pic:spPr>
                </pic:pic>
              </a:graphicData>
            </a:graphic>
          </wp:inline>
        </w:drawing>
      </w:r>
    </w:p>
    <w:p w14:paraId="2172A939" w14:textId="77777777" w:rsidR="005A50E3" w:rsidRPr="00CD027B" w:rsidRDefault="005A50E3" w:rsidP="007E1DCB">
      <w:pPr>
        <w:spacing w:line="360" w:lineRule="auto"/>
        <w:jc w:val="both"/>
        <w:rPr>
          <w:rFonts w:ascii="Arial" w:hAnsi="Arial" w:cs="Arial"/>
        </w:rPr>
      </w:pPr>
    </w:p>
    <w:p w14:paraId="1B26E41A" w14:textId="77777777" w:rsidR="005A50E3" w:rsidRPr="00CD027B" w:rsidRDefault="005A50E3" w:rsidP="007E1DCB">
      <w:pPr>
        <w:spacing w:line="360" w:lineRule="auto"/>
        <w:jc w:val="both"/>
        <w:rPr>
          <w:rFonts w:ascii="Arial" w:hAnsi="Arial" w:cs="Arial"/>
        </w:rPr>
      </w:pPr>
    </w:p>
    <w:p w14:paraId="21028E38" w14:textId="77777777" w:rsidR="0070115B" w:rsidRPr="00CD027B" w:rsidRDefault="0070115B" w:rsidP="007E1DCB">
      <w:pPr>
        <w:spacing w:line="360" w:lineRule="auto"/>
        <w:jc w:val="both"/>
        <w:rPr>
          <w:rFonts w:ascii="Arial" w:hAnsi="Arial" w:cs="Arial"/>
          <w:b/>
          <w:bCs/>
          <w:sz w:val="28"/>
          <w:szCs w:val="28"/>
        </w:rPr>
      </w:pPr>
    </w:p>
    <w:p w14:paraId="1815BEB2" w14:textId="77777777" w:rsidR="0070115B" w:rsidRPr="00CD027B" w:rsidRDefault="0070115B" w:rsidP="007E1DCB">
      <w:pPr>
        <w:spacing w:line="360" w:lineRule="auto"/>
        <w:jc w:val="both"/>
        <w:rPr>
          <w:rFonts w:ascii="Arial" w:hAnsi="Arial" w:cs="Arial"/>
          <w:b/>
          <w:bCs/>
          <w:sz w:val="28"/>
          <w:szCs w:val="28"/>
        </w:rPr>
      </w:pPr>
    </w:p>
    <w:p w14:paraId="0934A20A" w14:textId="77777777" w:rsidR="0070115B" w:rsidRPr="00CD027B" w:rsidRDefault="0070115B" w:rsidP="007E1DCB">
      <w:pPr>
        <w:spacing w:line="360" w:lineRule="auto"/>
        <w:jc w:val="both"/>
        <w:rPr>
          <w:rFonts w:ascii="Arial" w:hAnsi="Arial" w:cs="Arial"/>
          <w:b/>
          <w:bCs/>
          <w:sz w:val="28"/>
          <w:szCs w:val="28"/>
        </w:rPr>
      </w:pPr>
    </w:p>
    <w:p w14:paraId="04E48367" w14:textId="54143A0E" w:rsidR="0070115B" w:rsidRPr="00CD027B" w:rsidRDefault="00CD027B" w:rsidP="00CD027B">
      <w:pPr>
        <w:spacing w:line="360" w:lineRule="auto"/>
        <w:jc w:val="center"/>
        <w:rPr>
          <w:rFonts w:ascii="Arial" w:hAnsi="Arial" w:cs="Arial"/>
          <w:b/>
          <w:bCs/>
          <w:sz w:val="32"/>
          <w:szCs w:val="32"/>
        </w:rPr>
      </w:pPr>
      <w:r w:rsidRPr="00CD027B">
        <w:rPr>
          <w:rFonts w:ascii="Arial" w:hAnsi="Arial" w:cs="Arial"/>
          <w:b/>
          <w:bCs/>
          <w:sz w:val="32"/>
          <w:szCs w:val="32"/>
        </w:rPr>
        <w:t>Exploring the Intersection of Family Structure, Poverty, and Modern Slavery Risks: A Quantitative Study</w:t>
      </w:r>
    </w:p>
    <w:p w14:paraId="69816447" w14:textId="77777777" w:rsidR="0070115B" w:rsidRPr="00CD027B" w:rsidRDefault="0070115B" w:rsidP="007E1DCB">
      <w:pPr>
        <w:spacing w:line="360" w:lineRule="auto"/>
        <w:jc w:val="both"/>
        <w:rPr>
          <w:rFonts w:ascii="Arial" w:hAnsi="Arial" w:cs="Arial"/>
        </w:rPr>
      </w:pPr>
    </w:p>
    <w:p w14:paraId="6A61B19B" w14:textId="77777777" w:rsidR="0070115B" w:rsidRPr="00CD027B" w:rsidRDefault="0070115B" w:rsidP="007E1DCB">
      <w:pPr>
        <w:spacing w:line="360" w:lineRule="auto"/>
        <w:jc w:val="both"/>
        <w:rPr>
          <w:rFonts w:ascii="Arial" w:hAnsi="Arial" w:cs="Arial"/>
        </w:rPr>
      </w:pPr>
    </w:p>
    <w:p w14:paraId="0A1622FE" w14:textId="77777777" w:rsidR="0070115B" w:rsidRPr="00CD027B" w:rsidRDefault="0070115B" w:rsidP="007E1DCB">
      <w:pPr>
        <w:spacing w:line="360" w:lineRule="auto"/>
        <w:jc w:val="both"/>
        <w:rPr>
          <w:rFonts w:ascii="Arial" w:hAnsi="Arial" w:cs="Arial"/>
        </w:rPr>
      </w:pPr>
    </w:p>
    <w:p w14:paraId="28E13F93" w14:textId="77777777" w:rsidR="0070115B" w:rsidRPr="00CD027B" w:rsidRDefault="0070115B" w:rsidP="007E1DCB">
      <w:pPr>
        <w:spacing w:line="360" w:lineRule="auto"/>
        <w:jc w:val="both"/>
        <w:rPr>
          <w:rFonts w:ascii="Arial" w:hAnsi="Arial" w:cs="Arial"/>
        </w:rPr>
      </w:pPr>
    </w:p>
    <w:p w14:paraId="07D063DB" w14:textId="77777777" w:rsidR="0070115B" w:rsidRPr="00CD027B" w:rsidRDefault="0070115B" w:rsidP="007E1DCB">
      <w:pPr>
        <w:spacing w:line="360" w:lineRule="auto"/>
        <w:jc w:val="both"/>
        <w:rPr>
          <w:rFonts w:ascii="Arial" w:hAnsi="Arial" w:cs="Arial"/>
        </w:rPr>
      </w:pPr>
    </w:p>
    <w:p w14:paraId="7D2EEE8F" w14:textId="77777777" w:rsidR="0070115B" w:rsidRPr="00CD027B" w:rsidRDefault="0070115B" w:rsidP="007E1DCB">
      <w:pPr>
        <w:spacing w:line="360" w:lineRule="auto"/>
        <w:jc w:val="both"/>
        <w:rPr>
          <w:rFonts w:ascii="Arial" w:hAnsi="Arial" w:cs="Arial"/>
          <w:b/>
          <w:bCs/>
        </w:rPr>
      </w:pPr>
    </w:p>
    <w:p w14:paraId="12C5715F" w14:textId="77777777" w:rsidR="0070115B" w:rsidRPr="00CD027B" w:rsidRDefault="0070115B" w:rsidP="007E1DCB">
      <w:pPr>
        <w:spacing w:line="360" w:lineRule="auto"/>
        <w:jc w:val="both"/>
        <w:rPr>
          <w:rFonts w:ascii="Arial" w:hAnsi="Arial" w:cs="Arial"/>
          <w:b/>
          <w:bCs/>
        </w:rPr>
      </w:pPr>
    </w:p>
    <w:p w14:paraId="451BD9BF" w14:textId="77777777" w:rsidR="0070115B" w:rsidRPr="00CD027B" w:rsidRDefault="0070115B" w:rsidP="007E1DCB">
      <w:pPr>
        <w:spacing w:line="360" w:lineRule="auto"/>
        <w:jc w:val="both"/>
        <w:rPr>
          <w:rFonts w:ascii="Arial" w:hAnsi="Arial" w:cs="Arial"/>
          <w:b/>
          <w:bCs/>
        </w:rPr>
      </w:pPr>
    </w:p>
    <w:p w14:paraId="57465A3D" w14:textId="77777777" w:rsidR="0070115B" w:rsidRPr="00CD027B" w:rsidRDefault="0070115B" w:rsidP="007E1DCB">
      <w:pPr>
        <w:spacing w:line="360" w:lineRule="auto"/>
        <w:jc w:val="both"/>
        <w:rPr>
          <w:rFonts w:ascii="Arial" w:hAnsi="Arial" w:cs="Arial"/>
          <w:b/>
          <w:bCs/>
        </w:rPr>
      </w:pPr>
    </w:p>
    <w:p w14:paraId="5155EE37" w14:textId="77777777" w:rsidR="0070115B" w:rsidRPr="00CD027B" w:rsidRDefault="0070115B" w:rsidP="007E1DCB">
      <w:pPr>
        <w:spacing w:line="360" w:lineRule="auto"/>
        <w:jc w:val="both"/>
        <w:rPr>
          <w:rFonts w:ascii="Arial" w:hAnsi="Arial" w:cs="Arial"/>
          <w:b/>
          <w:bCs/>
        </w:rPr>
      </w:pPr>
    </w:p>
    <w:p w14:paraId="55492A65" w14:textId="4DA56C55" w:rsidR="00A47022" w:rsidRPr="00CD027B" w:rsidRDefault="00A47022" w:rsidP="007E1DCB">
      <w:pPr>
        <w:spacing w:line="360" w:lineRule="auto"/>
        <w:jc w:val="both"/>
        <w:rPr>
          <w:rFonts w:ascii="Arial" w:hAnsi="Arial" w:cs="Arial"/>
          <w:b/>
          <w:bCs/>
        </w:rPr>
      </w:pPr>
      <w:proofErr w:type="spellStart"/>
      <w:r w:rsidRPr="00CD027B">
        <w:rPr>
          <w:rFonts w:ascii="Arial" w:hAnsi="Arial" w:cs="Arial"/>
          <w:b/>
          <w:bCs/>
        </w:rPr>
        <w:t>Marilena</w:t>
      </w:r>
      <w:proofErr w:type="spellEnd"/>
      <w:r w:rsidRPr="00CD027B">
        <w:rPr>
          <w:rFonts w:ascii="Arial" w:hAnsi="Arial" w:cs="Arial"/>
          <w:b/>
          <w:bCs/>
        </w:rPr>
        <w:t xml:space="preserve"> Ligia Stan</w:t>
      </w:r>
    </w:p>
    <w:p w14:paraId="00A5FC23" w14:textId="67368759" w:rsidR="00A47022" w:rsidRPr="00CD027B" w:rsidRDefault="00A47022" w:rsidP="007E1DCB">
      <w:pPr>
        <w:spacing w:line="360" w:lineRule="auto"/>
        <w:jc w:val="both"/>
        <w:rPr>
          <w:rFonts w:ascii="Arial" w:hAnsi="Arial" w:cs="Arial"/>
          <w:b/>
          <w:bCs/>
        </w:rPr>
      </w:pPr>
      <w:r w:rsidRPr="00CD027B">
        <w:rPr>
          <w:rFonts w:ascii="Arial" w:hAnsi="Arial" w:cs="Arial"/>
          <w:b/>
          <w:bCs/>
        </w:rPr>
        <w:t>University of Wales Trinity Saint David</w:t>
      </w:r>
    </w:p>
    <w:p w14:paraId="379103DB" w14:textId="77777777" w:rsidR="0070115B" w:rsidRPr="00CD027B" w:rsidRDefault="00A47022" w:rsidP="007E1DCB">
      <w:pPr>
        <w:spacing w:line="360" w:lineRule="auto"/>
        <w:jc w:val="both"/>
        <w:rPr>
          <w:rFonts w:ascii="Arial" w:hAnsi="Arial" w:cs="Arial"/>
          <w:b/>
          <w:bCs/>
        </w:rPr>
      </w:pPr>
      <w:r w:rsidRPr="00CD027B">
        <w:rPr>
          <w:rFonts w:ascii="Arial" w:hAnsi="Arial" w:cs="Arial"/>
          <w:b/>
          <w:bCs/>
        </w:rPr>
        <w:t>7</w:t>
      </w:r>
      <w:r w:rsidRPr="00CD027B">
        <w:rPr>
          <w:rFonts w:ascii="Arial" w:hAnsi="Arial" w:cs="Arial"/>
          <w:b/>
          <w:bCs/>
          <w:vertAlign w:val="superscript"/>
        </w:rPr>
        <w:t>th</w:t>
      </w:r>
      <w:r w:rsidRPr="00CD027B">
        <w:rPr>
          <w:rFonts w:ascii="Arial" w:hAnsi="Arial" w:cs="Arial"/>
          <w:b/>
          <w:bCs/>
        </w:rPr>
        <w:t xml:space="preserve"> of October 2024</w:t>
      </w:r>
    </w:p>
    <w:p w14:paraId="3160AD27" w14:textId="1509E488" w:rsidR="00A47022" w:rsidRPr="00086E13" w:rsidRDefault="00A47022" w:rsidP="007E1DCB">
      <w:pPr>
        <w:pStyle w:val="Heading1"/>
        <w:spacing w:line="360" w:lineRule="auto"/>
        <w:jc w:val="both"/>
        <w:rPr>
          <w:rFonts w:ascii="Arial" w:hAnsi="Arial" w:cs="Arial"/>
          <w:b/>
          <w:bCs/>
          <w:color w:val="000000" w:themeColor="text1"/>
          <w:sz w:val="24"/>
          <w:szCs w:val="24"/>
        </w:rPr>
      </w:pPr>
      <w:bookmarkStart w:id="0" w:name="_Toc179221807"/>
      <w:r w:rsidRPr="00086E13">
        <w:rPr>
          <w:rFonts w:ascii="Arial" w:hAnsi="Arial" w:cs="Arial"/>
          <w:b/>
          <w:bCs/>
          <w:color w:val="000000" w:themeColor="text1"/>
          <w:sz w:val="24"/>
          <w:szCs w:val="24"/>
        </w:rPr>
        <w:lastRenderedPageBreak/>
        <w:t>Abstract</w:t>
      </w:r>
      <w:bookmarkEnd w:id="0"/>
    </w:p>
    <w:p w14:paraId="740F33F8" w14:textId="77777777" w:rsidR="003F1FFA" w:rsidRPr="003F1FFA" w:rsidRDefault="003F1FFA" w:rsidP="007E1DCB">
      <w:pPr>
        <w:spacing w:line="360" w:lineRule="auto"/>
        <w:jc w:val="both"/>
        <w:rPr>
          <w:rFonts w:ascii="Arial" w:hAnsi="Arial" w:cs="Arial"/>
        </w:rPr>
      </w:pPr>
      <w:r w:rsidRPr="003F1FFA">
        <w:rPr>
          <w:rFonts w:ascii="Arial" w:hAnsi="Arial" w:cs="Arial"/>
        </w:rPr>
        <w:t>This study investigates the vulnerabilities faced by single-parent families in the UK, particularly concerning economic hardship and the associated risks of exploitation and social exclusion. Utilizing a quantitative research design, secondary data from official university records was analysed using SPSS (Statistical Package for the Social Sciences) to uncover patterns and relationships among variables related to financial difficulties and educational disengagement. This research forms a crucial part of quantitative research methods module, introducing future researchers to the analytical capabilities of SPSS and its application in rigorous data analysis. Various statistical techniques employed in SPSS, such as descriptive analyses, correlation coefficients, and ANOVA, facilitate a comprehensive understanding of the data.</w:t>
      </w:r>
    </w:p>
    <w:p w14:paraId="678DBD3F" w14:textId="325C1423" w:rsidR="00A47022" w:rsidRPr="003F1FFA" w:rsidRDefault="003F1FFA" w:rsidP="007E1DCB">
      <w:pPr>
        <w:spacing w:line="360" w:lineRule="auto"/>
        <w:jc w:val="both"/>
        <w:rPr>
          <w:rFonts w:ascii="Arial" w:hAnsi="Arial" w:cs="Arial"/>
        </w:rPr>
      </w:pPr>
      <w:r w:rsidRPr="003F1FFA">
        <w:rPr>
          <w:rFonts w:ascii="Arial" w:hAnsi="Arial" w:cs="Arial"/>
        </w:rPr>
        <w:t>Key findings indicate that children from single-parent families, especially those raised by single mothers, face heightened risks of social exclusion, lower educational attainment, and increased likelihood of criminal behaviour. The study highlights the significant disparities in financial stability and support between single-parent households and two-parent families, underscoring the systemic challenges and stigmatization faced by single mothers. The limitations of the dataset are acknowledged, particularly the absence of critical variables related to economic values and satisfaction metrics, which constrain a comprehensive analysis of family dynamics and social vulnerability. This research contributes to a deeper understanding of the complex challenges single-parent families encounter and emphasizes the necessity for targeted interventions to mitigate risks and promote resilience within these households.</w:t>
      </w:r>
    </w:p>
    <w:p w14:paraId="3AE14C46" w14:textId="77777777" w:rsidR="00A47022" w:rsidRDefault="00A47022" w:rsidP="007E1DCB">
      <w:pPr>
        <w:spacing w:line="360" w:lineRule="auto"/>
        <w:jc w:val="both"/>
        <w:rPr>
          <w:b/>
          <w:bCs/>
        </w:rPr>
      </w:pPr>
    </w:p>
    <w:p w14:paraId="2A68D32D" w14:textId="77777777" w:rsidR="00A47022" w:rsidRDefault="00A47022" w:rsidP="007E1DCB">
      <w:pPr>
        <w:spacing w:line="360" w:lineRule="auto"/>
        <w:jc w:val="both"/>
        <w:rPr>
          <w:b/>
          <w:bCs/>
        </w:rPr>
      </w:pPr>
    </w:p>
    <w:p w14:paraId="302D28F6" w14:textId="77777777" w:rsidR="0070115B" w:rsidRDefault="0070115B" w:rsidP="007E1DCB">
      <w:pPr>
        <w:spacing w:line="360" w:lineRule="auto"/>
        <w:jc w:val="both"/>
        <w:rPr>
          <w:b/>
          <w:bCs/>
        </w:rPr>
      </w:pPr>
    </w:p>
    <w:p w14:paraId="5AC43A0B" w14:textId="77777777" w:rsidR="0070115B" w:rsidRDefault="0070115B" w:rsidP="007E1DCB">
      <w:pPr>
        <w:spacing w:line="360" w:lineRule="auto"/>
        <w:jc w:val="both"/>
        <w:rPr>
          <w:b/>
          <w:bCs/>
        </w:rPr>
      </w:pPr>
    </w:p>
    <w:p w14:paraId="00C99DED" w14:textId="77777777" w:rsidR="0070115B" w:rsidRDefault="0070115B" w:rsidP="007E1DCB">
      <w:pPr>
        <w:spacing w:line="360" w:lineRule="auto"/>
        <w:jc w:val="both"/>
        <w:rPr>
          <w:b/>
          <w:bCs/>
        </w:rPr>
      </w:pPr>
    </w:p>
    <w:p w14:paraId="3BE111C7" w14:textId="77777777" w:rsidR="0070115B" w:rsidRDefault="0070115B" w:rsidP="007E1DCB">
      <w:pPr>
        <w:spacing w:line="360" w:lineRule="auto"/>
        <w:jc w:val="both"/>
        <w:rPr>
          <w:b/>
          <w:bCs/>
        </w:rPr>
      </w:pPr>
    </w:p>
    <w:p w14:paraId="2A3E4BF5" w14:textId="77777777" w:rsidR="0070115B" w:rsidRDefault="0070115B" w:rsidP="007E1DCB">
      <w:pPr>
        <w:spacing w:line="360" w:lineRule="auto"/>
        <w:jc w:val="both"/>
        <w:rPr>
          <w:b/>
          <w:bCs/>
        </w:rPr>
      </w:pPr>
    </w:p>
    <w:p w14:paraId="7349B4FC" w14:textId="77777777" w:rsidR="0070115B" w:rsidRDefault="0070115B" w:rsidP="007E1DCB">
      <w:pPr>
        <w:spacing w:line="360" w:lineRule="auto"/>
        <w:jc w:val="both"/>
        <w:rPr>
          <w:b/>
          <w:bCs/>
        </w:rPr>
      </w:pPr>
    </w:p>
    <w:sdt>
      <w:sdtPr>
        <w:id w:val="-195857654"/>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63EB82F7" w14:textId="49A18AD9" w:rsidR="00086E13" w:rsidRDefault="00086E13" w:rsidP="007E1DCB">
          <w:pPr>
            <w:pStyle w:val="TOCHeading"/>
            <w:spacing w:line="360" w:lineRule="auto"/>
            <w:jc w:val="both"/>
          </w:pPr>
          <w:r>
            <w:t>Table of Contents</w:t>
          </w:r>
        </w:p>
        <w:p w14:paraId="417A3529" w14:textId="698A7840" w:rsidR="007E1DCB" w:rsidRDefault="00086E13">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79221807" w:history="1">
            <w:r w:rsidR="007E1DCB" w:rsidRPr="00854700">
              <w:rPr>
                <w:rStyle w:val="Hyperlink"/>
                <w:rFonts w:ascii="Arial" w:hAnsi="Arial" w:cs="Arial"/>
                <w:noProof/>
              </w:rPr>
              <w:t>Abstract</w:t>
            </w:r>
            <w:r w:rsidR="007E1DCB">
              <w:rPr>
                <w:noProof/>
                <w:webHidden/>
              </w:rPr>
              <w:tab/>
            </w:r>
            <w:r w:rsidR="007E1DCB">
              <w:rPr>
                <w:noProof/>
                <w:webHidden/>
              </w:rPr>
              <w:fldChar w:fldCharType="begin"/>
            </w:r>
            <w:r w:rsidR="007E1DCB">
              <w:rPr>
                <w:noProof/>
                <w:webHidden/>
              </w:rPr>
              <w:instrText xml:space="preserve"> PAGEREF _Toc179221807 \h </w:instrText>
            </w:r>
            <w:r w:rsidR="007E1DCB">
              <w:rPr>
                <w:noProof/>
                <w:webHidden/>
              </w:rPr>
            </w:r>
            <w:r w:rsidR="007E1DCB">
              <w:rPr>
                <w:noProof/>
                <w:webHidden/>
              </w:rPr>
              <w:fldChar w:fldCharType="separate"/>
            </w:r>
            <w:r w:rsidR="007E1DCB">
              <w:rPr>
                <w:noProof/>
                <w:webHidden/>
              </w:rPr>
              <w:t>2</w:t>
            </w:r>
            <w:r w:rsidR="007E1DCB">
              <w:rPr>
                <w:noProof/>
                <w:webHidden/>
              </w:rPr>
              <w:fldChar w:fldCharType="end"/>
            </w:r>
          </w:hyperlink>
        </w:p>
        <w:p w14:paraId="08564C53" w14:textId="4D784921" w:rsidR="007E1DCB" w:rsidRDefault="007E1DCB">
          <w:pPr>
            <w:pStyle w:val="TOC1"/>
            <w:tabs>
              <w:tab w:val="right" w:leader="dot" w:pos="9016"/>
            </w:tabs>
            <w:rPr>
              <w:rFonts w:eastAsiaTheme="minorEastAsia"/>
              <w:b w:val="0"/>
              <w:bCs w:val="0"/>
              <w:i w:val="0"/>
              <w:iCs w:val="0"/>
              <w:noProof/>
              <w:lang w:eastAsia="en-GB"/>
            </w:rPr>
          </w:pPr>
          <w:hyperlink w:anchor="_Toc179221808" w:history="1">
            <w:r w:rsidRPr="00854700">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_Toc179221808 \h </w:instrText>
            </w:r>
            <w:r>
              <w:rPr>
                <w:noProof/>
                <w:webHidden/>
              </w:rPr>
            </w:r>
            <w:r>
              <w:rPr>
                <w:noProof/>
                <w:webHidden/>
              </w:rPr>
              <w:fldChar w:fldCharType="separate"/>
            </w:r>
            <w:r>
              <w:rPr>
                <w:noProof/>
                <w:webHidden/>
              </w:rPr>
              <w:t>3</w:t>
            </w:r>
            <w:r>
              <w:rPr>
                <w:noProof/>
                <w:webHidden/>
              </w:rPr>
              <w:fldChar w:fldCharType="end"/>
            </w:r>
          </w:hyperlink>
        </w:p>
        <w:p w14:paraId="71BACB3D" w14:textId="3BEC5C3A" w:rsidR="007E1DCB" w:rsidRDefault="007E1DCB">
          <w:pPr>
            <w:pStyle w:val="TOC2"/>
            <w:tabs>
              <w:tab w:val="right" w:leader="dot" w:pos="9016"/>
            </w:tabs>
            <w:rPr>
              <w:rFonts w:eastAsiaTheme="minorEastAsia"/>
              <w:b w:val="0"/>
              <w:bCs w:val="0"/>
              <w:noProof/>
              <w:sz w:val="24"/>
              <w:szCs w:val="24"/>
              <w:lang w:eastAsia="en-GB"/>
            </w:rPr>
          </w:pPr>
          <w:hyperlink w:anchor="_Toc179221809" w:history="1">
            <w:r w:rsidRPr="00854700">
              <w:rPr>
                <w:rStyle w:val="Hyperlink"/>
                <w:rFonts w:ascii="Arial" w:hAnsi="Arial" w:cs="Arial"/>
                <w:noProof/>
              </w:rPr>
              <w:t>The importance of the research</w:t>
            </w:r>
            <w:r>
              <w:rPr>
                <w:noProof/>
                <w:webHidden/>
              </w:rPr>
              <w:tab/>
            </w:r>
            <w:r>
              <w:rPr>
                <w:noProof/>
                <w:webHidden/>
              </w:rPr>
              <w:fldChar w:fldCharType="begin"/>
            </w:r>
            <w:r>
              <w:rPr>
                <w:noProof/>
                <w:webHidden/>
              </w:rPr>
              <w:instrText xml:space="preserve"> PAGEREF _Toc179221809 \h </w:instrText>
            </w:r>
            <w:r>
              <w:rPr>
                <w:noProof/>
                <w:webHidden/>
              </w:rPr>
            </w:r>
            <w:r>
              <w:rPr>
                <w:noProof/>
                <w:webHidden/>
              </w:rPr>
              <w:fldChar w:fldCharType="separate"/>
            </w:r>
            <w:r>
              <w:rPr>
                <w:noProof/>
                <w:webHidden/>
              </w:rPr>
              <w:t>5</w:t>
            </w:r>
            <w:r>
              <w:rPr>
                <w:noProof/>
                <w:webHidden/>
              </w:rPr>
              <w:fldChar w:fldCharType="end"/>
            </w:r>
          </w:hyperlink>
        </w:p>
        <w:p w14:paraId="2613E11E" w14:textId="2AC4EA37" w:rsidR="007E1DCB" w:rsidRDefault="007E1DCB">
          <w:pPr>
            <w:pStyle w:val="TOC1"/>
            <w:tabs>
              <w:tab w:val="right" w:leader="dot" w:pos="9016"/>
            </w:tabs>
            <w:rPr>
              <w:rFonts w:eastAsiaTheme="minorEastAsia"/>
              <w:b w:val="0"/>
              <w:bCs w:val="0"/>
              <w:i w:val="0"/>
              <w:iCs w:val="0"/>
              <w:noProof/>
              <w:lang w:eastAsia="en-GB"/>
            </w:rPr>
          </w:pPr>
          <w:hyperlink w:anchor="_Toc179221810" w:history="1">
            <w:r w:rsidRPr="00854700">
              <w:rPr>
                <w:rStyle w:val="Hyperlink"/>
                <w:rFonts w:ascii="Arial" w:hAnsi="Arial" w:cs="Arial"/>
                <w:noProof/>
              </w:rPr>
              <w:t>Literature Review</w:t>
            </w:r>
            <w:r>
              <w:rPr>
                <w:noProof/>
                <w:webHidden/>
              </w:rPr>
              <w:tab/>
            </w:r>
            <w:r>
              <w:rPr>
                <w:noProof/>
                <w:webHidden/>
              </w:rPr>
              <w:fldChar w:fldCharType="begin"/>
            </w:r>
            <w:r>
              <w:rPr>
                <w:noProof/>
                <w:webHidden/>
              </w:rPr>
              <w:instrText xml:space="preserve"> PAGEREF _Toc179221810 \h </w:instrText>
            </w:r>
            <w:r>
              <w:rPr>
                <w:noProof/>
                <w:webHidden/>
              </w:rPr>
            </w:r>
            <w:r>
              <w:rPr>
                <w:noProof/>
                <w:webHidden/>
              </w:rPr>
              <w:fldChar w:fldCharType="separate"/>
            </w:r>
            <w:r>
              <w:rPr>
                <w:noProof/>
                <w:webHidden/>
              </w:rPr>
              <w:t>6</w:t>
            </w:r>
            <w:r>
              <w:rPr>
                <w:noProof/>
                <w:webHidden/>
              </w:rPr>
              <w:fldChar w:fldCharType="end"/>
            </w:r>
          </w:hyperlink>
        </w:p>
        <w:p w14:paraId="63AFFC69" w14:textId="0107B8BD" w:rsidR="007E1DCB" w:rsidRDefault="007E1DCB">
          <w:pPr>
            <w:pStyle w:val="TOC2"/>
            <w:tabs>
              <w:tab w:val="right" w:leader="dot" w:pos="9016"/>
            </w:tabs>
            <w:rPr>
              <w:rFonts w:eastAsiaTheme="minorEastAsia"/>
              <w:b w:val="0"/>
              <w:bCs w:val="0"/>
              <w:noProof/>
              <w:sz w:val="24"/>
              <w:szCs w:val="24"/>
              <w:lang w:eastAsia="en-GB"/>
            </w:rPr>
          </w:pPr>
          <w:hyperlink w:anchor="_Toc179221811" w:history="1">
            <w:r w:rsidRPr="00854700">
              <w:rPr>
                <w:rStyle w:val="Hyperlink"/>
                <w:rFonts w:ascii="Arial" w:hAnsi="Arial" w:cs="Arial"/>
                <w:noProof/>
              </w:rPr>
              <w:t>Defining key concepts and theories</w:t>
            </w:r>
            <w:r>
              <w:rPr>
                <w:noProof/>
                <w:webHidden/>
              </w:rPr>
              <w:tab/>
            </w:r>
            <w:r>
              <w:rPr>
                <w:noProof/>
                <w:webHidden/>
              </w:rPr>
              <w:fldChar w:fldCharType="begin"/>
            </w:r>
            <w:r>
              <w:rPr>
                <w:noProof/>
                <w:webHidden/>
              </w:rPr>
              <w:instrText xml:space="preserve"> PAGEREF _Toc179221811 \h </w:instrText>
            </w:r>
            <w:r>
              <w:rPr>
                <w:noProof/>
                <w:webHidden/>
              </w:rPr>
            </w:r>
            <w:r>
              <w:rPr>
                <w:noProof/>
                <w:webHidden/>
              </w:rPr>
              <w:fldChar w:fldCharType="separate"/>
            </w:r>
            <w:r>
              <w:rPr>
                <w:noProof/>
                <w:webHidden/>
              </w:rPr>
              <w:t>9</w:t>
            </w:r>
            <w:r>
              <w:rPr>
                <w:noProof/>
                <w:webHidden/>
              </w:rPr>
              <w:fldChar w:fldCharType="end"/>
            </w:r>
          </w:hyperlink>
        </w:p>
        <w:p w14:paraId="7173310B" w14:textId="552D97BA" w:rsidR="007E1DCB" w:rsidRDefault="007E1DCB">
          <w:pPr>
            <w:pStyle w:val="TOC2"/>
            <w:tabs>
              <w:tab w:val="right" w:leader="dot" w:pos="9016"/>
            </w:tabs>
            <w:rPr>
              <w:rFonts w:eastAsiaTheme="minorEastAsia"/>
              <w:b w:val="0"/>
              <w:bCs w:val="0"/>
              <w:noProof/>
              <w:sz w:val="24"/>
              <w:szCs w:val="24"/>
              <w:lang w:eastAsia="en-GB"/>
            </w:rPr>
          </w:pPr>
          <w:hyperlink w:anchor="_Toc179221812" w:history="1">
            <w:r w:rsidRPr="00854700">
              <w:rPr>
                <w:rStyle w:val="Hyperlink"/>
                <w:rFonts w:ascii="Arial" w:hAnsi="Arial" w:cs="Arial"/>
                <w:noProof/>
              </w:rPr>
              <w:t>Social Learning Theory</w:t>
            </w:r>
            <w:r>
              <w:rPr>
                <w:noProof/>
                <w:webHidden/>
              </w:rPr>
              <w:tab/>
            </w:r>
            <w:r>
              <w:rPr>
                <w:noProof/>
                <w:webHidden/>
              </w:rPr>
              <w:fldChar w:fldCharType="begin"/>
            </w:r>
            <w:r>
              <w:rPr>
                <w:noProof/>
                <w:webHidden/>
              </w:rPr>
              <w:instrText xml:space="preserve"> PAGEREF _Toc179221812 \h </w:instrText>
            </w:r>
            <w:r>
              <w:rPr>
                <w:noProof/>
                <w:webHidden/>
              </w:rPr>
            </w:r>
            <w:r>
              <w:rPr>
                <w:noProof/>
                <w:webHidden/>
              </w:rPr>
              <w:fldChar w:fldCharType="separate"/>
            </w:r>
            <w:r>
              <w:rPr>
                <w:noProof/>
                <w:webHidden/>
              </w:rPr>
              <w:t>9</w:t>
            </w:r>
            <w:r>
              <w:rPr>
                <w:noProof/>
                <w:webHidden/>
              </w:rPr>
              <w:fldChar w:fldCharType="end"/>
            </w:r>
          </w:hyperlink>
        </w:p>
        <w:p w14:paraId="6B2D5839" w14:textId="23F51034" w:rsidR="007E1DCB" w:rsidRDefault="007E1DCB">
          <w:pPr>
            <w:pStyle w:val="TOC2"/>
            <w:tabs>
              <w:tab w:val="right" w:leader="dot" w:pos="9016"/>
            </w:tabs>
            <w:rPr>
              <w:rFonts w:eastAsiaTheme="minorEastAsia"/>
              <w:b w:val="0"/>
              <w:bCs w:val="0"/>
              <w:noProof/>
              <w:sz w:val="24"/>
              <w:szCs w:val="24"/>
              <w:lang w:eastAsia="en-GB"/>
            </w:rPr>
          </w:pPr>
          <w:hyperlink w:anchor="_Toc179221813" w:history="1">
            <w:r w:rsidRPr="00854700">
              <w:rPr>
                <w:rStyle w:val="Hyperlink"/>
                <w:rFonts w:ascii="Arial" w:hAnsi="Arial" w:cs="Arial"/>
                <w:noProof/>
              </w:rPr>
              <w:t>Resilience Theory</w:t>
            </w:r>
            <w:r>
              <w:rPr>
                <w:noProof/>
                <w:webHidden/>
              </w:rPr>
              <w:tab/>
            </w:r>
            <w:r>
              <w:rPr>
                <w:noProof/>
                <w:webHidden/>
              </w:rPr>
              <w:fldChar w:fldCharType="begin"/>
            </w:r>
            <w:r>
              <w:rPr>
                <w:noProof/>
                <w:webHidden/>
              </w:rPr>
              <w:instrText xml:space="preserve"> PAGEREF _Toc179221813 \h </w:instrText>
            </w:r>
            <w:r>
              <w:rPr>
                <w:noProof/>
                <w:webHidden/>
              </w:rPr>
            </w:r>
            <w:r>
              <w:rPr>
                <w:noProof/>
                <w:webHidden/>
              </w:rPr>
              <w:fldChar w:fldCharType="separate"/>
            </w:r>
            <w:r>
              <w:rPr>
                <w:noProof/>
                <w:webHidden/>
              </w:rPr>
              <w:t>10</w:t>
            </w:r>
            <w:r>
              <w:rPr>
                <w:noProof/>
                <w:webHidden/>
              </w:rPr>
              <w:fldChar w:fldCharType="end"/>
            </w:r>
          </w:hyperlink>
        </w:p>
        <w:p w14:paraId="459E6BD5" w14:textId="7CFF4517" w:rsidR="007E1DCB" w:rsidRDefault="007E1DCB">
          <w:pPr>
            <w:pStyle w:val="TOC2"/>
            <w:tabs>
              <w:tab w:val="right" w:leader="dot" w:pos="9016"/>
            </w:tabs>
            <w:rPr>
              <w:rFonts w:eastAsiaTheme="minorEastAsia"/>
              <w:b w:val="0"/>
              <w:bCs w:val="0"/>
              <w:noProof/>
              <w:sz w:val="24"/>
              <w:szCs w:val="24"/>
              <w:lang w:eastAsia="en-GB"/>
            </w:rPr>
          </w:pPr>
          <w:hyperlink w:anchor="_Toc179221814" w:history="1">
            <w:r w:rsidRPr="00854700">
              <w:rPr>
                <w:rStyle w:val="Hyperlink"/>
                <w:rFonts w:ascii="Arial" w:hAnsi="Arial" w:cs="Arial"/>
                <w:noProof/>
              </w:rPr>
              <w:t>Family system theory</w:t>
            </w:r>
            <w:r>
              <w:rPr>
                <w:noProof/>
                <w:webHidden/>
              </w:rPr>
              <w:tab/>
            </w:r>
            <w:r>
              <w:rPr>
                <w:noProof/>
                <w:webHidden/>
              </w:rPr>
              <w:fldChar w:fldCharType="begin"/>
            </w:r>
            <w:r>
              <w:rPr>
                <w:noProof/>
                <w:webHidden/>
              </w:rPr>
              <w:instrText xml:space="preserve"> PAGEREF _Toc179221814 \h </w:instrText>
            </w:r>
            <w:r>
              <w:rPr>
                <w:noProof/>
                <w:webHidden/>
              </w:rPr>
            </w:r>
            <w:r>
              <w:rPr>
                <w:noProof/>
                <w:webHidden/>
              </w:rPr>
              <w:fldChar w:fldCharType="separate"/>
            </w:r>
            <w:r>
              <w:rPr>
                <w:noProof/>
                <w:webHidden/>
              </w:rPr>
              <w:t>10</w:t>
            </w:r>
            <w:r>
              <w:rPr>
                <w:noProof/>
                <w:webHidden/>
              </w:rPr>
              <w:fldChar w:fldCharType="end"/>
            </w:r>
          </w:hyperlink>
        </w:p>
        <w:p w14:paraId="699B9E39" w14:textId="5B7371E0" w:rsidR="007E1DCB" w:rsidRDefault="007E1DCB">
          <w:pPr>
            <w:pStyle w:val="TOC2"/>
            <w:tabs>
              <w:tab w:val="right" w:leader="dot" w:pos="9016"/>
            </w:tabs>
            <w:rPr>
              <w:rFonts w:eastAsiaTheme="minorEastAsia"/>
              <w:b w:val="0"/>
              <w:bCs w:val="0"/>
              <w:noProof/>
              <w:sz w:val="24"/>
              <w:szCs w:val="24"/>
              <w:lang w:eastAsia="en-GB"/>
            </w:rPr>
          </w:pPr>
          <w:hyperlink w:anchor="_Toc179221815" w:history="1">
            <w:r w:rsidRPr="00854700">
              <w:rPr>
                <w:rStyle w:val="Hyperlink"/>
                <w:rFonts w:ascii="Arial" w:hAnsi="Arial" w:cs="Arial"/>
                <w:noProof/>
              </w:rPr>
              <w:t>Statistics</w:t>
            </w:r>
            <w:r>
              <w:rPr>
                <w:noProof/>
                <w:webHidden/>
              </w:rPr>
              <w:tab/>
            </w:r>
            <w:r>
              <w:rPr>
                <w:noProof/>
                <w:webHidden/>
              </w:rPr>
              <w:fldChar w:fldCharType="begin"/>
            </w:r>
            <w:r>
              <w:rPr>
                <w:noProof/>
                <w:webHidden/>
              </w:rPr>
              <w:instrText xml:space="preserve"> PAGEREF _Toc179221815 \h </w:instrText>
            </w:r>
            <w:r>
              <w:rPr>
                <w:noProof/>
                <w:webHidden/>
              </w:rPr>
            </w:r>
            <w:r>
              <w:rPr>
                <w:noProof/>
                <w:webHidden/>
              </w:rPr>
              <w:fldChar w:fldCharType="separate"/>
            </w:r>
            <w:r>
              <w:rPr>
                <w:noProof/>
                <w:webHidden/>
              </w:rPr>
              <w:t>11</w:t>
            </w:r>
            <w:r>
              <w:rPr>
                <w:noProof/>
                <w:webHidden/>
              </w:rPr>
              <w:fldChar w:fldCharType="end"/>
            </w:r>
          </w:hyperlink>
        </w:p>
        <w:p w14:paraId="1211D45D" w14:textId="001CECE8" w:rsidR="007E1DCB" w:rsidRDefault="007E1DCB">
          <w:pPr>
            <w:pStyle w:val="TOC1"/>
            <w:tabs>
              <w:tab w:val="right" w:leader="dot" w:pos="9016"/>
            </w:tabs>
            <w:rPr>
              <w:rFonts w:eastAsiaTheme="minorEastAsia"/>
              <w:b w:val="0"/>
              <w:bCs w:val="0"/>
              <w:i w:val="0"/>
              <w:iCs w:val="0"/>
              <w:noProof/>
              <w:lang w:eastAsia="en-GB"/>
            </w:rPr>
          </w:pPr>
          <w:hyperlink w:anchor="_Toc179221816" w:history="1">
            <w:r w:rsidRPr="00854700">
              <w:rPr>
                <w:rStyle w:val="Hyperlink"/>
                <w:rFonts w:ascii="Arial" w:hAnsi="Arial" w:cs="Arial"/>
                <w:noProof/>
              </w:rPr>
              <w:t>Research Focus</w:t>
            </w:r>
            <w:r>
              <w:rPr>
                <w:noProof/>
                <w:webHidden/>
              </w:rPr>
              <w:tab/>
            </w:r>
            <w:r>
              <w:rPr>
                <w:noProof/>
                <w:webHidden/>
              </w:rPr>
              <w:fldChar w:fldCharType="begin"/>
            </w:r>
            <w:r>
              <w:rPr>
                <w:noProof/>
                <w:webHidden/>
              </w:rPr>
              <w:instrText xml:space="preserve"> PAGEREF _Toc179221816 \h </w:instrText>
            </w:r>
            <w:r>
              <w:rPr>
                <w:noProof/>
                <w:webHidden/>
              </w:rPr>
            </w:r>
            <w:r>
              <w:rPr>
                <w:noProof/>
                <w:webHidden/>
              </w:rPr>
              <w:fldChar w:fldCharType="separate"/>
            </w:r>
            <w:r>
              <w:rPr>
                <w:noProof/>
                <w:webHidden/>
              </w:rPr>
              <w:t>12</w:t>
            </w:r>
            <w:r>
              <w:rPr>
                <w:noProof/>
                <w:webHidden/>
              </w:rPr>
              <w:fldChar w:fldCharType="end"/>
            </w:r>
          </w:hyperlink>
        </w:p>
        <w:p w14:paraId="510CBD97" w14:textId="1B9FA3B5" w:rsidR="007E1DCB" w:rsidRDefault="007E1DCB">
          <w:pPr>
            <w:pStyle w:val="TOC1"/>
            <w:tabs>
              <w:tab w:val="right" w:leader="dot" w:pos="9016"/>
            </w:tabs>
            <w:rPr>
              <w:rFonts w:eastAsiaTheme="minorEastAsia"/>
              <w:b w:val="0"/>
              <w:bCs w:val="0"/>
              <w:i w:val="0"/>
              <w:iCs w:val="0"/>
              <w:noProof/>
              <w:lang w:eastAsia="en-GB"/>
            </w:rPr>
          </w:pPr>
          <w:hyperlink w:anchor="_Toc179221817" w:history="1">
            <w:r w:rsidRPr="00854700">
              <w:rPr>
                <w:rStyle w:val="Hyperlink"/>
                <w:rFonts w:ascii="Arial" w:hAnsi="Arial" w:cs="Arial"/>
                <w:noProof/>
              </w:rPr>
              <w:t>Hypotheses</w:t>
            </w:r>
            <w:r>
              <w:rPr>
                <w:noProof/>
                <w:webHidden/>
              </w:rPr>
              <w:tab/>
            </w:r>
            <w:r>
              <w:rPr>
                <w:noProof/>
                <w:webHidden/>
              </w:rPr>
              <w:fldChar w:fldCharType="begin"/>
            </w:r>
            <w:r>
              <w:rPr>
                <w:noProof/>
                <w:webHidden/>
              </w:rPr>
              <w:instrText xml:space="preserve"> PAGEREF _Toc179221817 \h </w:instrText>
            </w:r>
            <w:r>
              <w:rPr>
                <w:noProof/>
                <w:webHidden/>
              </w:rPr>
            </w:r>
            <w:r>
              <w:rPr>
                <w:noProof/>
                <w:webHidden/>
              </w:rPr>
              <w:fldChar w:fldCharType="separate"/>
            </w:r>
            <w:r>
              <w:rPr>
                <w:noProof/>
                <w:webHidden/>
              </w:rPr>
              <w:t>12</w:t>
            </w:r>
            <w:r>
              <w:rPr>
                <w:noProof/>
                <w:webHidden/>
              </w:rPr>
              <w:fldChar w:fldCharType="end"/>
            </w:r>
          </w:hyperlink>
        </w:p>
        <w:p w14:paraId="70D22078" w14:textId="4A00DD37" w:rsidR="007E1DCB" w:rsidRDefault="007E1DCB">
          <w:pPr>
            <w:pStyle w:val="TOC1"/>
            <w:tabs>
              <w:tab w:val="right" w:leader="dot" w:pos="9016"/>
            </w:tabs>
            <w:rPr>
              <w:rFonts w:eastAsiaTheme="minorEastAsia"/>
              <w:b w:val="0"/>
              <w:bCs w:val="0"/>
              <w:i w:val="0"/>
              <w:iCs w:val="0"/>
              <w:noProof/>
              <w:lang w:eastAsia="en-GB"/>
            </w:rPr>
          </w:pPr>
          <w:hyperlink w:anchor="_Toc179221818" w:history="1">
            <w:r w:rsidRPr="00854700">
              <w:rPr>
                <w:rStyle w:val="Hyperlink"/>
                <w:rFonts w:ascii="Arial" w:hAnsi="Arial" w:cs="Arial"/>
                <w:noProof/>
              </w:rPr>
              <w:t>Research Methodology</w:t>
            </w:r>
            <w:r>
              <w:rPr>
                <w:noProof/>
                <w:webHidden/>
              </w:rPr>
              <w:tab/>
            </w:r>
            <w:r>
              <w:rPr>
                <w:noProof/>
                <w:webHidden/>
              </w:rPr>
              <w:fldChar w:fldCharType="begin"/>
            </w:r>
            <w:r>
              <w:rPr>
                <w:noProof/>
                <w:webHidden/>
              </w:rPr>
              <w:instrText xml:space="preserve"> PAGEREF _Toc179221818 \h </w:instrText>
            </w:r>
            <w:r>
              <w:rPr>
                <w:noProof/>
                <w:webHidden/>
              </w:rPr>
            </w:r>
            <w:r>
              <w:rPr>
                <w:noProof/>
                <w:webHidden/>
              </w:rPr>
              <w:fldChar w:fldCharType="separate"/>
            </w:r>
            <w:r>
              <w:rPr>
                <w:noProof/>
                <w:webHidden/>
              </w:rPr>
              <w:t>13</w:t>
            </w:r>
            <w:r>
              <w:rPr>
                <w:noProof/>
                <w:webHidden/>
              </w:rPr>
              <w:fldChar w:fldCharType="end"/>
            </w:r>
          </w:hyperlink>
        </w:p>
        <w:p w14:paraId="48349AE6" w14:textId="6F131BC8" w:rsidR="007E1DCB" w:rsidRDefault="007E1DCB">
          <w:pPr>
            <w:pStyle w:val="TOC2"/>
            <w:tabs>
              <w:tab w:val="right" w:leader="dot" w:pos="9016"/>
            </w:tabs>
            <w:rPr>
              <w:rFonts w:eastAsiaTheme="minorEastAsia"/>
              <w:b w:val="0"/>
              <w:bCs w:val="0"/>
              <w:noProof/>
              <w:sz w:val="24"/>
              <w:szCs w:val="24"/>
              <w:lang w:eastAsia="en-GB"/>
            </w:rPr>
          </w:pPr>
          <w:hyperlink w:anchor="_Toc179221819" w:history="1">
            <w:r w:rsidRPr="00854700">
              <w:rPr>
                <w:rStyle w:val="Hyperlink"/>
                <w:rFonts w:ascii="Arial" w:hAnsi="Arial" w:cs="Arial"/>
                <w:noProof/>
              </w:rPr>
              <w:t>Epistemology</w:t>
            </w:r>
            <w:r>
              <w:rPr>
                <w:noProof/>
                <w:webHidden/>
              </w:rPr>
              <w:tab/>
            </w:r>
            <w:r>
              <w:rPr>
                <w:noProof/>
                <w:webHidden/>
              </w:rPr>
              <w:fldChar w:fldCharType="begin"/>
            </w:r>
            <w:r>
              <w:rPr>
                <w:noProof/>
                <w:webHidden/>
              </w:rPr>
              <w:instrText xml:space="preserve"> PAGEREF _Toc179221819 \h </w:instrText>
            </w:r>
            <w:r>
              <w:rPr>
                <w:noProof/>
                <w:webHidden/>
              </w:rPr>
            </w:r>
            <w:r>
              <w:rPr>
                <w:noProof/>
                <w:webHidden/>
              </w:rPr>
              <w:fldChar w:fldCharType="separate"/>
            </w:r>
            <w:r>
              <w:rPr>
                <w:noProof/>
                <w:webHidden/>
              </w:rPr>
              <w:t>13</w:t>
            </w:r>
            <w:r>
              <w:rPr>
                <w:noProof/>
                <w:webHidden/>
              </w:rPr>
              <w:fldChar w:fldCharType="end"/>
            </w:r>
          </w:hyperlink>
        </w:p>
        <w:p w14:paraId="25273469" w14:textId="12D7CF74" w:rsidR="007E1DCB" w:rsidRDefault="007E1DCB">
          <w:pPr>
            <w:pStyle w:val="TOC2"/>
            <w:tabs>
              <w:tab w:val="right" w:leader="dot" w:pos="9016"/>
            </w:tabs>
            <w:rPr>
              <w:rFonts w:eastAsiaTheme="minorEastAsia"/>
              <w:b w:val="0"/>
              <w:bCs w:val="0"/>
              <w:noProof/>
              <w:sz w:val="24"/>
              <w:szCs w:val="24"/>
              <w:lang w:eastAsia="en-GB"/>
            </w:rPr>
          </w:pPr>
          <w:hyperlink w:anchor="_Toc179221820" w:history="1">
            <w:r w:rsidRPr="00854700">
              <w:rPr>
                <w:rStyle w:val="Hyperlink"/>
                <w:rFonts w:ascii="Arial" w:hAnsi="Arial" w:cs="Arial"/>
                <w:noProof/>
              </w:rPr>
              <w:t>Ontology</w:t>
            </w:r>
            <w:r>
              <w:rPr>
                <w:noProof/>
                <w:webHidden/>
              </w:rPr>
              <w:tab/>
            </w:r>
            <w:r>
              <w:rPr>
                <w:noProof/>
                <w:webHidden/>
              </w:rPr>
              <w:fldChar w:fldCharType="begin"/>
            </w:r>
            <w:r>
              <w:rPr>
                <w:noProof/>
                <w:webHidden/>
              </w:rPr>
              <w:instrText xml:space="preserve"> PAGEREF _Toc179221820 \h </w:instrText>
            </w:r>
            <w:r>
              <w:rPr>
                <w:noProof/>
                <w:webHidden/>
              </w:rPr>
            </w:r>
            <w:r>
              <w:rPr>
                <w:noProof/>
                <w:webHidden/>
              </w:rPr>
              <w:fldChar w:fldCharType="separate"/>
            </w:r>
            <w:r>
              <w:rPr>
                <w:noProof/>
                <w:webHidden/>
              </w:rPr>
              <w:t>14</w:t>
            </w:r>
            <w:r>
              <w:rPr>
                <w:noProof/>
                <w:webHidden/>
              </w:rPr>
              <w:fldChar w:fldCharType="end"/>
            </w:r>
          </w:hyperlink>
        </w:p>
        <w:p w14:paraId="6C12653A" w14:textId="7264C978" w:rsidR="007E1DCB" w:rsidRDefault="007E1DCB">
          <w:pPr>
            <w:pStyle w:val="TOC2"/>
            <w:tabs>
              <w:tab w:val="right" w:leader="dot" w:pos="9016"/>
            </w:tabs>
            <w:rPr>
              <w:rFonts w:eastAsiaTheme="minorEastAsia"/>
              <w:b w:val="0"/>
              <w:bCs w:val="0"/>
              <w:noProof/>
              <w:sz w:val="24"/>
              <w:szCs w:val="24"/>
              <w:lang w:eastAsia="en-GB"/>
            </w:rPr>
          </w:pPr>
          <w:hyperlink w:anchor="_Toc179221821" w:history="1">
            <w:r w:rsidRPr="00854700">
              <w:rPr>
                <w:rStyle w:val="Hyperlink"/>
                <w:rFonts w:ascii="Arial" w:hAnsi="Arial" w:cs="Arial"/>
                <w:noProof/>
                <w:lang w:eastAsia="en-GB"/>
              </w:rPr>
              <w:t>Axiology</w:t>
            </w:r>
            <w:r>
              <w:rPr>
                <w:noProof/>
                <w:webHidden/>
              </w:rPr>
              <w:tab/>
            </w:r>
            <w:r>
              <w:rPr>
                <w:noProof/>
                <w:webHidden/>
              </w:rPr>
              <w:fldChar w:fldCharType="begin"/>
            </w:r>
            <w:r>
              <w:rPr>
                <w:noProof/>
                <w:webHidden/>
              </w:rPr>
              <w:instrText xml:space="preserve"> PAGEREF _Toc179221821 \h </w:instrText>
            </w:r>
            <w:r>
              <w:rPr>
                <w:noProof/>
                <w:webHidden/>
              </w:rPr>
            </w:r>
            <w:r>
              <w:rPr>
                <w:noProof/>
                <w:webHidden/>
              </w:rPr>
              <w:fldChar w:fldCharType="separate"/>
            </w:r>
            <w:r>
              <w:rPr>
                <w:noProof/>
                <w:webHidden/>
              </w:rPr>
              <w:t>15</w:t>
            </w:r>
            <w:r>
              <w:rPr>
                <w:noProof/>
                <w:webHidden/>
              </w:rPr>
              <w:fldChar w:fldCharType="end"/>
            </w:r>
          </w:hyperlink>
        </w:p>
        <w:p w14:paraId="18C24E0B" w14:textId="12427A6A" w:rsidR="007E1DCB" w:rsidRDefault="007E1DCB">
          <w:pPr>
            <w:pStyle w:val="TOC2"/>
            <w:tabs>
              <w:tab w:val="right" w:leader="dot" w:pos="9016"/>
            </w:tabs>
            <w:rPr>
              <w:rFonts w:eastAsiaTheme="minorEastAsia"/>
              <w:b w:val="0"/>
              <w:bCs w:val="0"/>
              <w:noProof/>
              <w:sz w:val="24"/>
              <w:szCs w:val="24"/>
              <w:lang w:eastAsia="en-GB"/>
            </w:rPr>
          </w:pPr>
          <w:hyperlink w:anchor="_Toc179221822" w:history="1">
            <w:r w:rsidRPr="00854700">
              <w:rPr>
                <w:rStyle w:val="Hyperlink"/>
                <w:rFonts w:ascii="Arial" w:hAnsi="Arial" w:cs="Arial"/>
                <w:noProof/>
              </w:rPr>
              <w:t>Methodology</w:t>
            </w:r>
            <w:r>
              <w:rPr>
                <w:noProof/>
                <w:webHidden/>
              </w:rPr>
              <w:tab/>
            </w:r>
            <w:r>
              <w:rPr>
                <w:noProof/>
                <w:webHidden/>
              </w:rPr>
              <w:fldChar w:fldCharType="begin"/>
            </w:r>
            <w:r>
              <w:rPr>
                <w:noProof/>
                <w:webHidden/>
              </w:rPr>
              <w:instrText xml:space="preserve"> PAGEREF _Toc179221822 \h </w:instrText>
            </w:r>
            <w:r>
              <w:rPr>
                <w:noProof/>
                <w:webHidden/>
              </w:rPr>
            </w:r>
            <w:r>
              <w:rPr>
                <w:noProof/>
                <w:webHidden/>
              </w:rPr>
              <w:fldChar w:fldCharType="separate"/>
            </w:r>
            <w:r>
              <w:rPr>
                <w:noProof/>
                <w:webHidden/>
              </w:rPr>
              <w:t>16</w:t>
            </w:r>
            <w:r>
              <w:rPr>
                <w:noProof/>
                <w:webHidden/>
              </w:rPr>
              <w:fldChar w:fldCharType="end"/>
            </w:r>
          </w:hyperlink>
        </w:p>
        <w:p w14:paraId="7138CC17" w14:textId="6D7B8833" w:rsidR="007E1DCB" w:rsidRDefault="007E1DCB">
          <w:pPr>
            <w:pStyle w:val="TOC1"/>
            <w:tabs>
              <w:tab w:val="right" w:leader="dot" w:pos="9016"/>
            </w:tabs>
            <w:rPr>
              <w:rFonts w:eastAsiaTheme="minorEastAsia"/>
              <w:b w:val="0"/>
              <w:bCs w:val="0"/>
              <w:i w:val="0"/>
              <w:iCs w:val="0"/>
              <w:noProof/>
              <w:lang w:eastAsia="en-GB"/>
            </w:rPr>
          </w:pPr>
          <w:hyperlink w:anchor="_Toc179221823" w:history="1">
            <w:r w:rsidRPr="00854700">
              <w:rPr>
                <w:rStyle w:val="Hyperlink"/>
                <w:rFonts w:ascii="Arial" w:hAnsi="Arial" w:cs="Arial"/>
                <w:noProof/>
              </w:rPr>
              <w:t>Data Analysis in SPSS</w:t>
            </w:r>
            <w:r>
              <w:rPr>
                <w:noProof/>
                <w:webHidden/>
              </w:rPr>
              <w:tab/>
            </w:r>
            <w:r>
              <w:rPr>
                <w:noProof/>
                <w:webHidden/>
              </w:rPr>
              <w:fldChar w:fldCharType="begin"/>
            </w:r>
            <w:r>
              <w:rPr>
                <w:noProof/>
                <w:webHidden/>
              </w:rPr>
              <w:instrText xml:space="preserve"> PAGEREF _Toc179221823 \h </w:instrText>
            </w:r>
            <w:r>
              <w:rPr>
                <w:noProof/>
                <w:webHidden/>
              </w:rPr>
            </w:r>
            <w:r>
              <w:rPr>
                <w:noProof/>
                <w:webHidden/>
              </w:rPr>
              <w:fldChar w:fldCharType="separate"/>
            </w:r>
            <w:r>
              <w:rPr>
                <w:noProof/>
                <w:webHidden/>
              </w:rPr>
              <w:t>17</w:t>
            </w:r>
            <w:r>
              <w:rPr>
                <w:noProof/>
                <w:webHidden/>
              </w:rPr>
              <w:fldChar w:fldCharType="end"/>
            </w:r>
          </w:hyperlink>
        </w:p>
        <w:p w14:paraId="2AFA953A" w14:textId="057B31BD" w:rsidR="007E1DCB" w:rsidRDefault="007E1DCB">
          <w:pPr>
            <w:pStyle w:val="TOC1"/>
            <w:tabs>
              <w:tab w:val="right" w:leader="dot" w:pos="9016"/>
            </w:tabs>
            <w:rPr>
              <w:rFonts w:eastAsiaTheme="minorEastAsia"/>
              <w:b w:val="0"/>
              <w:bCs w:val="0"/>
              <w:i w:val="0"/>
              <w:iCs w:val="0"/>
              <w:noProof/>
              <w:lang w:eastAsia="en-GB"/>
            </w:rPr>
          </w:pPr>
          <w:hyperlink w:anchor="_Toc179221824" w:history="1">
            <w:r w:rsidRPr="00854700">
              <w:rPr>
                <w:rStyle w:val="Hyperlink"/>
                <w:rFonts w:ascii="Arial" w:hAnsi="Arial" w:cs="Arial"/>
                <w:noProof/>
              </w:rPr>
              <w:t>Findings</w:t>
            </w:r>
            <w:r>
              <w:rPr>
                <w:noProof/>
                <w:webHidden/>
              </w:rPr>
              <w:tab/>
            </w:r>
            <w:r>
              <w:rPr>
                <w:noProof/>
                <w:webHidden/>
              </w:rPr>
              <w:fldChar w:fldCharType="begin"/>
            </w:r>
            <w:r>
              <w:rPr>
                <w:noProof/>
                <w:webHidden/>
              </w:rPr>
              <w:instrText xml:space="preserve"> PAGEREF _Toc179221824 \h </w:instrText>
            </w:r>
            <w:r>
              <w:rPr>
                <w:noProof/>
                <w:webHidden/>
              </w:rPr>
            </w:r>
            <w:r>
              <w:rPr>
                <w:noProof/>
                <w:webHidden/>
              </w:rPr>
              <w:fldChar w:fldCharType="separate"/>
            </w:r>
            <w:r>
              <w:rPr>
                <w:noProof/>
                <w:webHidden/>
              </w:rPr>
              <w:t>19</w:t>
            </w:r>
            <w:r>
              <w:rPr>
                <w:noProof/>
                <w:webHidden/>
              </w:rPr>
              <w:fldChar w:fldCharType="end"/>
            </w:r>
          </w:hyperlink>
        </w:p>
        <w:p w14:paraId="6A3BAA1C" w14:textId="456989D1" w:rsidR="007E1DCB" w:rsidRDefault="007E1DCB">
          <w:pPr>
            <w:pStyle w:val="TOC1"/>
            <w:tabs>
              <w:tab w:val="right" w:leader="dot" w:pos="9016"/>
            </w:tabs>
            <w:rPr>
              <w:rFonts w:eastAsiaTheme="minorEastAsia"/>
              <w:b w:val="0"/>
              <w:bCs w:val="0"/>
              <w:i w:val="0"/>
              <w:iCs w:val="0"/>
              <w:noProof/>
              <w:lang w:eastAsia="en-GB"/>
            </w:rPr>
          </w:pPr>
          <w:hyperlink w:anchor="_Toc179221825" w:history="1">
            <w:r w:rsidRPr="00854700">
              <w:rPr>
                <w:rStyle w:val="Hyperlink"/>
                <w:rFonts w:ascii="Arial" w:hAnsi="Arial" w:cs="Arial"/>
                <w:noProof/>
              </w:rPr>
              <w:t>Limitations</w:t>
            </w:r>
            <w:r>
              <w:rPr>
                <w:noProof/>
                <w:webHidden/>
              </w:rPr>
              <w:tab/>
            </w:r>
            <w:r>
              <w:rPr>
                <w:noProof/>
                <w:webHidden/>
              </w:rPr>
              <w:fldChar w:fldCharType="begin"/>
            </w:r>
            <w:r>
              <w:rPr>
                <w:noProof/>
                <w:webHidden/>
              </w:rPr>
              <w:instrText xml:space="preserve"> PAGEREF _Toc179221825 \h </w:instrText>
            </w:r>
            <w:r>
              <w:rPr>
                <w:noProof/>
                <w:webHidden/>
              </w:rPr>
            </w:r>
            <w:r>
              <w:rPr>
                <w:noProof/>
                <w:webHidden/>
              </w:rPr>
              <w:fldChar w:fldCharType="separate"/>
            </w:r>
            <w:r>
              <w:rPr>
                <w:noProof/>
                <w:webHidden/>
              </w:rPr>
              <w:t>24</w:t>
            </w:r>
            <w:r>
              <w:rPr>
                <w:noProof/>
                <w:webHidden/>
              </w:rPr>
              <w:fldChar w:fldCharType="end"/>
            </w:r>
          </w:hyperlink>
        </w:p>
        <w:p w14:paraId="0DF9DE6C" w14:textId="705F9B22" w:rsidR="007E1DCB" w:rsidRDefault="007E1DCB">
          <w:pPr>
            <w:pStyle w:val="TOC1"/>
            <w:tabs>
              <w:tab w:val="right" w:leader="dot" w:pos="9016"/>
            </w:tabs>
            <w:rPr>
              <w:rFonts w:eastAsiaTheme="minorEastAsia"/>
              <w:b w:val="0"/>
              <w:bCs w:val="0"/>
              <w:i w:val="0"/>
              <w:iCs w:val="0"/>
              <w:noProof/>
              <w:lang w:eastAsia="en-GB"/>
            </w:rPr>
          </w:pPr>
          <w:hyperlink w:anchor="_Toc179221826" w:history="1">
            <w:r w:rsidRPr="00854700">
              <w:rPr>
                <w:rStyle w:val="Hyperlink"/>
                <w:rFonts w:ascii="Arial" w:hAnsi="Arial" w:cs="Arial"/>
                <w:noProof/>
              </w:rPr>
              <w:t>Further research</w:t>
            </w:r>
            <w:r>
              <w:rPr>
                <w:noProof/>
                <w:webHidden/>
              </w:rPr>
              <w:tab/>
            </w:r>
            <w:r>
              <w:rPr>
                <w:noProof/>
                <w:webHidden/>
              </w:rPr>
              <w:fldChar w:fldCharType="begin"/>
            </w:r>
            <w:r>
              <w:rPr>
                <w:noProof/>
                <w:webHidden/>
              </w:rPr>
              <w:instrText xml:space="preserve"> PAGEREF _Toc179221826 \h </w:instrText>
            </w:r>
            <w:r>
              <w:rPr>
                <w:noProof/>
                <w:webHidden/>
              </w:rPr>
            </w:r>
            <w:r>
              <w:rPr>
                <w:noProof/>
                <w:webHidden/>
              </w:rPr>
              <w:fldChar w:fldCharType="separate"/>
            </w:r>
            <w:r>
              <w:rPr>
                <w:noProof/>
                <w:webHidden/>
              </w:rPr>
              <w:t>26</w:t>
            </w:r>
            <w:r>
              <w:rPr>
                <w:noProof/>
                <w:webHidden/>
              </w:rPr>
              <w:fldChar w:fldCharType="end"/>
            </w:r>
          </w:hyperlink>
        </w:p>
        <w:p w14:paraId="45D69E70" w14:textId="3F239DA0" w:rsidR="007E1DCB" w:rsidRDefault="007E1DCB">
          <w:pPr>
            <w:pStyle w:val="TOC1"/>
            <w:tabs>
              <w:tab w:val="right" w:leader="dot" w:pos="9016"/>
            </w:tabs>
            <w:rPr>
              <w:rFonts w:eastAsiaTheme="minorEastAsia"/>
              <w:b w:val="0"/>
              <w:bCs w:val="0"/>
              <w:i w:val="0"/>
              <w:iCs w:val="0"/>
              <w:noProof/>
              <w:lang w:eastAsia="en-GB"/>
            </w:rPr>
          </w:pPr>
          <w:hyperlink w:anchor="_Toc179221827" w:history="1">
            <w:r w:rsidRPr="00854700">
              <w:rPr>
                <w:rStyle w:val="Hyperlink"/>
                <w:rFonts w:ascii="Arial" w:hAnsi="Arial" w:cs="Arial"/>
                <w:noProof/>
              </w:rPr>
              <w:t>Reflexive Analysis of the Quantitative Methods Module</w:t>
            </w:r>
            <w:r>
              <w:rPr>
                <w:noProof/>
                <w:webHidden/>
              </w:rPr>
              <w:tab/>
            </w:r>
            <w:r>
              <w:rPr>
                <w:noProof/>
                <w:webHidden/>
              </w:rPr>
              <w:fldChar w:fldCharType="begin"/>
            </w:r>
            <w:r>
              <w:rPr>
                <w:noProof/>
                <w:webHidden/>
              </w:rPr>
              <w:instrText xml:space="preserve"> PAGEREF _Toc179221827 \h </w:instrText>
            </w:r>
            <w:r>
              <w:rPr>
                <w:noProof/>
                <w:webHidden/>
              </w:rPr>
            </w:r>
            <w:r>
              <w:rPr>
                <w:noProof/>
                <w:webHidden/>
              </w:rPr>
              <w:fldChar w:fldCharType="separate"/>
            </w:r>
            <w:r>
              <w:rPr>
                <w:noProof/>
                <w:webHidden/>
              </w:rPr>
              <w:t>26</w:t>
            </w:r>
            <w:r>
              <w:rPr>
                <w:noProof/>
                <w:webHidden/>
              </w:rPr>
              <w:fldChar w:fldCharType="end"/>
            </w:r>
          </w:hyperlink>
        </w:p>
        <w:p w14:paraId="55891A49" w14:textId="69397616" w:rsidR="007E1DCB" w:rsidRDefault="007E1DCB">
          <w:pPr>
            <w:pStyle w:val="TOC1"/>
            <w:tabs>
              <w:tab w:val="right" w:leader="dot" w:pos="9016"/>
            </w:tabs>
            <w:rPr>
              <w:rFonts w:eastAsiaTheme="minorEastAsia"/>
              <w:b w:val="0"/>
              <w:bCs w:val="0"/>
              <w:i w:val="0"/>
              <w:iCs w:val="0"/>
              <w:noProof/>
              <w:lang w:eastAsia="en-GB"/>
            </w:rPr>
          </w:pPr>
          <w:hyperlink w:anchor="_Toc179221828" w:history="1">
            <w:r w:rsidRPr="00854700">
              <w:rPr>
                <w:rStyle w:val="Hyperlink"/>
                <w:rFonts w:ascii="Arial" w:hAnsi="Arial" w:cs="Arial"/>
                <w:noProof/>
              </w:rPr>
              <w:t>References:</w:t>
            </w:r>
            <w:r>
              <w:rPr>
                <w:noProof/>
                <w:webHidden/>
              </w:rPr>
              <w:tab/>
            </w:r>
            <w:r>
              <w:rPr>
                <w:noProof/>
                <w:webHidden/>
              </w:rPr>
              <w:fldChar w:fldCharType="begin"/>
            </w:r>
            <w:r>
              <w:rPr>
                <w:noProof/>
                <w:webHidden/>
              </w:rPr>
              <w:instrText xml:space="preserve"> PAGEREF _Toc179221828 \h </w:instrText>
            </w:r>
            <w:r>
              <w:rPr>
                <w:noProof/>
                <w:webHidden/>
              </w:rPr>
            </w:r>
            <w:r>
              <w:rPr>
                <w:noProof/>
                <w:webHidden/>
              </w:rPr>
              <w:fldChar w:fldCharType="separate"/>
            </w:r>
            <w:r>
              <w:rPr>
                <w:noProof/>
                <w:webHidden/>
              </w:rPr>
              <w:t>28</w:t>
            </w:r>
            <w:r>
              <w:rPr>
                <w:noProof/>
                <w:webHidden/>
              </w:rPr>
              <w:fldChar w:fldCharType="end"/>
            </w:r>
          </w:hyperlink>
        </w:p>
        <w:p w14:paraId="5D0C3949" w14:textId="07C23611" w:rsidR="00086E13" w:rsidRDefault="00086E13" w:rsidP="007E1DCB">
          <w:pPr>
            <w:spacing w:line="360" w:lineRule="auto"/>
            <w:jc w:val="both"/>
          </w:pPr>
          <w:r>
            <w:rPr>
              <w:b/>
              <w:bCs/>
              <w:noProof/>
            </w:rPr>
            <w:fldChar w:fldCharType="end"/>
          </w:r>
        </w:p>
      </w:sdtContent>
    </w:sdt>
    <w:p w14:paraId="57F7435B" w14:textId="77777777" w:rsidR="00CD027B" w:rsidRDefault="00CD027B" w:rsidP="007E1DCB">
      <w:pPr>
        <w:pStyle w:val="Heading1"/>
        <w:spacing w:line="360" w:lineRule="auto"/>
        <w:jc w:val="both"/>
        <w:rPr>
          <w:rFonts w:ascii="Arial" w:hAnsi="Arial" w:cs="Arial"/>
          <w:b/>
          <w:bCs/>
          <w:color w:val="000000" w:themeColor="text1"/>
          <w:sz w:val="24"/>
          <w:szCs w:val="24"/>
        </w:rPr>
      </w:pPr>
      <w:bookmarkStart w:id="1" w:name="_Toc179221808"/>
    </w:p>
    <w:p w14:paraId="740E7F4C" w14:textId="715B55CB" w:rsidR="006B287D" w:rsidRPr="00086E13" w:rsidRDefault="006B287D" w:rsidP="007E1DCB">
      <w:pPr>
        <w:pStyle w:val="Heading1"/>
        <w:spacing w:line="360" w:lineRule="auto"/>
        <w:jc w:val="both"/>
        <w:rPr>
          <w:rFonts w:ascii="Arial" w:hAnsi="Arial" w:cs="Arial"/>
          <w:b/>
          <w:bCs/>
          <w:color w:val="000000" w:themeColor="text1"/>
          <w:sz w:val="24"/>
          <w:szCs w:val="24"/>
        </w:rPr>
      </w:pPr>
      <w:r w:rsidRPr="00086E13">
        <w:rPr>
          <w:rFonts w:ascii="Arial" w:hAnsi="Arial" w:cs="Arial"/>
          <w:b/>
          <w:bCs/>
          <w:color w:val="000000" w:themeColor="text1"/>
          <w:sz w:val="24"/>
          <w:szCs w:val="24"/>
        </w:rPr>
        <w:t>Introduction</w:t>
      </w:r>
      <w:bookmarkEnd w:id="1"/>
    </w:p>
    <w:p w14:paraId="676ED6A0" w14:textId="77777777" w:rsidR="000B0982" w:rsidRPr="00A2344C" w:rsidRDefault="00350DC8" w:rsidP="007E1DCB">
      <w:pPr>
        <w:spacing w:line="360" w:lineRule="auto"/>
        <w:jc w:val="both"/>
        <w:rPr>
          <w:rFonts w:ascii="Arial" w:hAnsi="Arial" w:cs="Arial"/>
        </w:rPr>
      </w:pPr>
      <w:r w:rsidRPr="00A2344C">
        <w:rPr>
          <w:rFonts w:ascii="Arial" w:hAnsi="Arial" w:cs="Arial"/>
        </w:rPr>
        <w:t>This work as a part of the doctoral theoretical modules, aims to determine whether the future researcher possesses the ability to understand and apply quantitative research, along with the appropriate paradigms and theories for this type of research, in an academic context.</w:t>
      </w:r>
    </w:p>
    <w:p w14:paraId="0D88A11D" w14:textId="2CAF8839" w:rsidR="000B0982" w:rsidRPr="00A2344C" w:rsidRDefault="000B0982" w:rsidP="007E1DCB">
      <w:pPr>
        <w:spacing w:line="360" w:lineRule="auto"/>
        <w:jc w:val="both"/>
        <w:rPr>
          <w:rFonts w:ascii="Arial" w:hAnsi="Arial" w:cs="Arial"/>
        </w:rPr>
      </w:pPr>
      <w:r w:rsidRPr="00A2344C">
        <w:rPr>
          <w:rFonts w:ascii="Arial" w:hAnsi="Arial" w:cs="Arial"/>
        </w:rPr>
        <w:t>This study introduces a longitudinal analysis based on a dataset spanning over t</w:t>
      </w:r>
      <w:r w:rsidR="00171E61" w:rsidRPr="00A2344C">
        <w:rPr>
          <w:rFonts w:ascii="Arial" w:hAnsi="Arial" w:cs="Arial"/>
        </w:rPr>
        <w:t>hree</w:t>
      </w:r>
      <w:r w:rsidRPr="00A2344C">
        <w:rPr>
          <w:rFonts w:ascii="Arial" w:hAnsi="Arial" w:cs="Arial"/>
        </w:rPr>
        <w:t xml:space="preserve"> decades, with a focus on the last 23 years. The data, released by the Office for National Statistics (ONS) in the UK, details trends in people living in families categorized by family types, including married couples, single-parent families, and cohabiting households. By examining family dynamics and household compositions, the study aims to provide insights into broader socio-economic trends that can influence vulnerabilities within families. This is particularly relevant to understanding risks related to modern slavery in the supply chain, as economic hardship, prevalent in certain family structures, may increase susceptibility to exploitation.</w:t>
      </w:r>
    </w:p>
    <w:p w14:paraId="40D14646" w14:textId="56156320" w:rsidR="00465985" w:rsidRPr="00A2344C" w:rsidRDefault="00F23D7E" w:rsidP="007E1DCB">
      <w:pPr>
        <w:spacing w:line="360" w:lineRule="auto"/>
        <w:jc w:val="both"/>
        <w:rPr>
          <w:rFonts w:ascii="Arial" w:hAnsi="Arial" w:cs="Arial"/>
        </w:rPr>
      </w:pPr>
      <w:r w:rsidRPr="00A2344C">
        <w:rPr>
          <w:rFonts w:ascii="Arial" w:hAnsi="Arial" w:cs="Arial"/>
        </w:rPr>
        <w:t>Single-parent families are an increasingly prevalent family structure, and their dynamics are complex, with significant social and economic implications. In the UK, nearly one in four children live in single-parent households, a figure that mirrors global trends (ONS, 2024)</w:t>
      </w:r>
      <w:r w:rsidR="0036711D" w:rsidRPr="00A2344C">
        <w:rPr>
          <w:rFonts w:ascii="Arial" w:hAnsi="Arial" w:cs="Arial"/>
        </w:rPr>
        <w:t xml:space="preserve"> </w:t>
      </w:r>
      <w:r w:rsidR="00465985" w:rsidRPr="00A2344C">
        <w:rPr>
          <w:rFonts w:ascii="Arial" w:hAnsi="Arial" w:cs="Arial"/>
        </w:rPr>
        <w:t xml:space="preserve">These families often face unique challenges, such as higher risks of poverty, social exclusion, and reduced access to childcare and education. The poverty rate among single-parent households is significantly higher than in two-parent households, with almost half of children in these families living below the poverty line. </w:t>
      </w:r>
      <w:r w:rsidR="0036711D" w:rsidRPr="00A2344C">
        <w:rPr>
          <w:rFonts w:ascii="Arial" w:hAnsi="Arial" w:cs="Arial"/>
        </w:rPr>
        <w:t xml:space="preserve">(Joseph Rowntree Foundation, 2022) </w:t>
      </w:r>
      <w:r w:rsidR="00465985" w:rsidRPr="00A2344C">
        <w:rPr>
          <w:rFonts w:ascii="Arial" w:hAnsi="Arial" w:cs="Arial"/>
        </w:rPr>
        <w:t>Economic hardships in these households are largely attributed to lower household incomes and the increasing inaccessibility of welfare benefits and childcare services, particularly under the conditionality of the Universal Credit system. </w:t>
      </w:r>
      <w:r w:rsidR="0036711D" w:rsidRPr="00A2344C">
        <w:rPr>
          <w:rFonts w:ascii="Arial" w:hAnsi="Arial" w:cs="Arial"/>
        </w:rPr>
        <w:t>(Cooper &amp; Stewart, 2020)</w:t>
      </w:r>
      <w:r w:rsidR="00465985" w:rsidRPr="00A2344C">
        <w:rPr>
          <w:rFonts w:ascii="Arial" w:hAnsi="Arial" w:cs="Arial"/>
        </w:rPr>
        <w:t xml:space="preserve"> Furthermore, single-</w:t>
      </w:r>
      <w:r w:rsidR="003B22D8" w:rsidRPr="00A2344C">
        <w:rPr>
          <w:rFonts w:ascii="Arial" w:hAnsi="Arial" w:cs="Arial"/>
        </w:rPr>
        <w:t xml:space="preserve">parent </w:t>
      </w:r>
      <w:r w:rsidR="00465985" w:rsidRPr="00A2344C">
        <w:rPr>
          <w:rFonts w:ascii="Arial" w:hAnsi="Arial" w:cs="Arial"/>
        </w:rPr>
        <w:t xml:space="preserve">families, especially those led by mothers often encounter barriers to employment and career progression, further exacerbating their financial vulnerability. </w:t>
      </w:r>
      <w:r w:rsidR="00DE0275" w:rsidRPr="00A2344C">
        <w:rPr>
          <w:rFonts w:ascii="Arial" w:hAnsi="Arial" w:cs="Arial"/>
        </w:rPr>
        <w:t xml:space="preserve">These systemic challenges are also compounded by limited social support and stigma, which disproportionately affect single parents and their children, contributing to inequalities in areas such as health, education, and overall well-being. </w:t>
      </w:r>
      <w:r w:rsidR="00465985" w:rsidRPr="00A2344C">
        <w:rPr>
          <w:rFonts w:ascii="Arial" w:hAnsi="Arial" w:cs="Arial"/>
        </w:rPr>
        <w:t>(Stack &amp; Meredith, 2017)</w:t>
      </w:r>
      <w:r w:rsidR="00DE0275" w:rsidRPr="00A2344C">
        <w:rPr>
          <w:rFonts w:ascii="Arial" w:hAnsi="Arial" w:cs="Arial"/>
        </w:rPr>
        <w:t xml:space="preserve"> Despite these obstacles, children raised in single-parent households often </w:t>
      </w:r>
      <w:r w:rsidR="00DE0275" w:rsidRPr="00A2344C">
        <w:rPr>
          <w:rFonts w:ascii="Arial" w:hAnsi="Arial" w:cs="Arial"/>
        </w:rPr>
        <w:lastRenderedPageBreak/>
        <w:t>demonstrate resilience, and their well-being outcomes can be comparable to those raised in two-parent families, especially when adequate social support systems are in place.</w:t>
      </w:r>
      <w:r w:rsidR="00075997" w:rsidRPr="00A2344C">
        <w:rPr>
          <w:rFonts w:ascii="Arial" w:hAnsi="Arial" w:cs="Arial"/>
        </w:rPr>
        <w:t xml:space="preserve"> Addressing the social policies that reinforce these inequalities, including access to affordable childcare and social security, is crucial in fostering better outcomes for single-parent families. By exploring these issues, this research aims to highlight the vulnerabilities and resilience of single-parent families, contributing to a deeper understanding of their socio-economic struggles. (Greeff &amp; </w:t>
      </w:r>
      <w:proofErr w:type="spellStart"/>
      <w:r w:rsidR="00075997" w:rsidRPr="00A2344C">
        <w:rPr>
          <w:rFonts w:ascii="Arial" w:hAnsi="Arial" w:cs="Arial"/>
        </w:rPr>
        <w:t>Fillis</w:t>
      </w:r>
      <w:proofErr w:type="spellEnd"/>
      <w:r w:rsidR="00075997" w:rsidRPr="00A2344C">
        <w:rPr>
          <w:rFonts w:ascii="Arial" w:hAnsi="Arial" w:cs="Arial"/>
        </w:rPr>
        <w:t>, 2009)</w:t>
      </w:r>
    </w:p>
    <w:p w14:paraId="49D54A60" w14:textId="158A6A5D" w:rsidR="006B287D" w:rsidRPr="00086E13" w:rsidRDefault="006B287D" w:rsidP="007E1DCB">
      <w:pPr>
        <w:pStyle w:val="Heading2"/>
        <w:spacing w:line="360" w:lineRule="auto"/>
        <w:jc w:val="both"/>
        <w:rPr>
          <w:rFonts w:ascii="Arial" w:hAnsi="Arial" w:cs="Arial"/>
          <w:b/>
          <w:bCs/>
          <w:color w:val="000000" w:themeColor="text1"/>
          <w:sz w:val="24"/>
          <w:szCs w:val="24"/>
        </w:rPr>
      </w:pPr>
      <w:bookmarkStart w:id="2" w:name="_Toc179221809"/>
      <w:r w:rsidRPr="00086E13">
        <w:rPr>
          <w:rFonts w:ascii="Arial" w:hAnsi="Arial" w:cs="Arial"/>
          <w:b/>
          <w:bCs/>
          <w:color w:val="000000" w:themeColor="text1"/>
          <w:sz w:val="24"/>
          <w:szCs w:val="24"/>
        </w:rPr>
        <w:t>The importance of the research</w:t>
      </w:r>
      <w:bookmarkEnd w:id="2"/>
    </w:p>
    <w:p w14:paraId="773AFDCC" w14:textId="2A40F483" w:rsidR="006B287D" w:rsidRPr="00A2344C" w:rsidRDefault="006B287D" w:rsidP="007E1DCB">
      <w:pPr>
        <w:spacing w:line="360" w:lineRule="auto"/>
        <w:jc w:val="both"/>
        <w:rPr>
          <w:rFonts w:ascii="Arial" w:hAnsi="Arial" w:cs="Arial"/>
        </w:rPr>
      </w:pPr>
      <w:r w:rsidRPr="00A2344C">
        <w:rPr>
          <w:rFonts w:ascii="Arial" w:hAnsi="Arial" w:cs="Arial"/>
        </w:rPr>
        <w:t>This research will examine the unique vulnerabilities faced by single-parent families in the UK, particularly in relation to economic hardship, social support deficits, and the increased risk of exploitation, including modern slavery</w:t>
      </w:r>
      <w:r w:rsidR="007B4D82" w:rsidRPr="00A2344C">
        <w:rPr>
          <w:rFonts w:ascii="Arial" w:hAnsi="Arial" w:cs="Arial"/>
        </w:rPr>
        <w:t>.</w:t>
      </w:r>
    </w:p>
    <w:p w14:paraId="74EA89EF" w14:textId="7801FBFC" w:rsidR="0048205D" w:rsidRPr="00A2344C" w:rsidRDefault="0048205D" w:rsidP="007E1DCB">
      <w:pPr>
        <w:spacing w:line="360" w:lineRule="auto"/>
        <w:jc w:val="both"/>
        <w:rPr>
          <w:rFonts w:ascii="Arial" w:hAnsi="Arial" w:cs="Arial"/>
        </w:rPr>
      </w:pPr>
      <w:r w:rsidRPr="00A2344C">
        <w:rPr>
          <w:rFonts w:ascii="Arial" w:hAnsi="Arial" w:cs="Arial"/>
        </w:rPr>
        <w:t xml:space="preserve">The importance of this research lies in its potential to shed light on socio-economic vulnerabilities within family structures, which are critical for understanding broader societal issues, including the risk of exploitation linked to modern slavery. According to recent trends, family dynamics in the UK have undergone significant shifts, with an increase in single-parent and cohabiting households. (Cobb &amp; </w:t>
      </w:r>
      <w:proofErr w:type="spellStart"/>
      <w:r w:rsidRPr="00A2344C">
        <w:rPr>
          <w:rFonts w:ascii="Arial" w:hAnsi="Arial" w:cs="Arial"/>
        </w:rPr>
        <w:t>Sharfman</w:t>
      </w:r>
      <w:proofErr w:type="spellEnd"/>
      <w:r w:rsidRPr="00A2344C">
        <w:rPr>
          <w:rFonts w:ascii="Arial" w:hAnsi="Arial" w:cs="Arial"/>
        </w:rPr>
        <w:t>, 2023) Studies indicate that economic pressures, particularly in lone-parent families, contribute to greater vulnerability to exploitation and social marginalisation. (Joseph Rowntree Foundation, 2023) By focusing on family types and household composition, this research offers a timely investigation into how such vulnerabilities may intersect with the growing risks of modern slavery, reflecting broader global trends of economic disparity and exploitation. (United Nations Office on Drugs and Crime, 2020)</w:t>
      </w:r>
    </w:p>
    <w:p w14:paraId="3F64B435" w14:textId="535C059F" w:rsidR="00FD6511" w:rsidRPr="00A2344C" w:rsidRDefault="007B4D82" w:rsidP="007E1DCB">
      <w:pPr>
        <w:spacing w:line="360" w:lineRule="auto"/>
        <w:jc w:val="both"/>
        <w:rPr>
          <w:rFonts w:ascii="Arial" w:hAnsi="Arial" w:cs="Arial"/>
        </w:rPr>
      </w:pPr>
      <w:r w:rsidRPr="00A2344C">
        <w:rPr>
          <w:rFonts w:ascii="Arial" w:hAnsi="Arial" w:cs="Arial"/>
        </w:rPr>
        <w:t>The research on single-parent families in the UK is crucial due to the increasing prevalence and unique challenges these families face. Nearly one in four children live in single-parent households, often experiencing significant vulnerabilities related to economic hardship and social exclusion. (ONS, 2024) Single parent households are disproportionately affected by poverty, with almost half of the children in these families living below the poverty line, compared to one in four in two-parent households.</w:t>
      </w:r>
      <w:r w:rsidRPr="00A2344C">
        <w:rPr>
          <w:rFonts w:ascii="-webkit-standard" w:hAnsi="-webkit-standard"/>
          <w:color w:val="000000"/>
          <w:sz w:val="27"/>
          <w:szCs w:val="27"/>
        </w:rPr>
        <w:t xml:space="preserve"> </w:t>
      </w:r>
      <w:r w:rsidRPr="00A2344C">
        <w:rPr>
          <w:rFonts w:ascii="Arial" w:hAnsi="Arial" w:cs="Arial"/>
        </w:rPr>
        <w:t>(Joseph Rowntree Foundation, 2022) This economic disparity is exacerbated by systemic issues such as low wages, precarious employment, and inadequate social security benefits, particularly under policies like Universal Credit that fail to account for the specific needs of single-parent families.</w:t>
      </w:r>
      <w:r w:rsidRPr="00A2344C">
        <w:rPr>
          <w:rFonts w:ascii="-webkit-standard" w:hAnsi="-webkit-standard"/>
          <w:color w:val="000000"/>
          <w:sz w:val="27"/>
          <w:szCs w:val="27"/>
        </w:rPr>
        <w:t xml:space="preserve"> </w:t>
      </w:r>
      <w:r w:rsidRPr="00A2344C">
        <w:rPr>
          <w:rFonts w:ascii="Arial" w:hAnsi="Arial" w:cs="Arial"/>
        </w:rPr>
        <w:t xml:space="preserve">(Stack &amp; Meredith, 2017) Economic </w:t>
      </w:r>
      <w:r w:rsidRPr="00A2344C">
        <w:rPr>
          <w:rFonts w:ascii="Arial" w:hAnsi="Arial" w:cs="Arial"/>
        </w:rPr>
        <w:lastRenderedPageBreak/>
        <w:t>instability and social isolation increase the risk of exploitation, including modern slavery. Single parents, especially mothers, often find themselves in vulnerable positions due to the lack of adequate childcare support, which limits their employment opportunities. (Cooper &amp; Stewart, 2020)</w:t>
      </w:r>
      <w:r w:rsidR="004C7448" w:rsidRPr="00A2344C">
        <w:rPr>
          <w:rFonts w:ascii="Arial" w:hAnsi="Arial" w:cs="Arial"/>
        </w:rPr>
        <w:t xml:space="preserve"> Many are forced into low-paid, unstable jobs, making them more susceptible to exploitative labour practices or criminality. </w:t>
      </w:r>
    </w:p>
    <w:p w14:paraId="0F1A99F8" w14:textId="77777777" w:rsidR="007B0C2C" w:rsidRPr="00086E13" w:rsidRDefault="007B0C2C" w:rsidP="007E1DCB">
      <w:pPr>
        <w:pStyle w:val="Heading1"/>
        <w:spacing w:line="360" w:lineRule="auto"/>
        <w:jc w:val="both"/>
        <w:rPr>
          <w:rFonts w:ascii="Arial" w:hAnsi="Arial" w:cs="Arial"/>
          <w:b/>
          <w:bCs/>
          <w:color w:val="000000" w:themeColor="text1"/>
          <w:sz w:val="24"/>
          <w:szCs w:val="24"/>
        </w:rPr>
      </w:pPr>
      <w:bookmarkStart w:id="3" w:name="_Toc179221810"/>
      <w:r w:rsidRPr="00086E13">
        <w:rPr>
          <w:rFonts w:ascii="Arial" w:hAnsi="Arial" w:cs="Arial"/>
          <w:b/>
          <w:bCs/>
          <w:color w:val="000000" w:themeColor="text1"/>
          <w:sz w:val="24"/>
          <w:szCs w:val="24"/>
        </w:rPr>
        <w:t>Literature Review</w:t>
      </w:r>
      <w:bookmarkEnd w:id="3"/>
    </w:p>
    <w:p w14:paraId="0D3F0A14" w14:textId="38A1B26E" w:rsidR="007B0C2C" w:rsidRPr="00A2344C" w:rsidRDefault="007B0C2C" w:rsidP="007E1DCB">
      <w:pPr>
        <w:spacing w:line="360" w:lineRule="auto"/>
        <w:jc w:val="both"/>
        <w:rPr>
          <w:rFonts w:ascii="Arial" w:hAnsi="Arial" w:cs="Arial"/>
        </w:rPr>
      </w:pPr>
      <w:r w:rsidRPr="00A2344C">
        <w:rPr>
          <w:rFonts w:ascii="Arial" w:hAnsi="Arial" w:cs="Arial"/>
        </w:rPr>
        <w:t>The purpose of this literature review is to explore the academic discourse surrounding the challenges faced by lone-parent families in the UK, with particular emphasis on economic vulnerabilities and the relationship between children’s dependency status and financial hardship.</w:t>
      </w:r>
      <w:r w:rsidRPr="00A2344C">
        <w:t xml:space="preserve"> </w:t>
      </w:r>
      <w:r w:rsidRPr="00A2344C">
        <w:rPr>
          <w:rFonts w:ascii="Arial" w:hAnsi="Arial" w:cs="Arial"/>
        </w:rPr>
        <w:t>This review synthesises studies on family structure, social policy, and economic well-being to establish the context for the research hypothesis that lone-parent families with dependent children experience greater financial difficulties than those with non-dependent children.</w:t>
      </w:r>
    </w:p>
    <w:p w14:paraId="7DCCFCF3" w14:textId="770123CA" w:rsidR="00AF4F7E" w:rsidRPr="00A2344C" w:rsidRDefault="00AF4F7E" w:rsidP="007E1DCB">
      <w:pPr>
        <w:spacing w:line="360" w:lineRule="auto"/>
        <w:jc w:val="both"/>
        <w:rPr>
          <w:rFonts w:ascii="Arial" w:hAnsi="Arial" w:cs="Arial"/>
        </w:rPr>
      </w:pPr>
      <w:r w:rsidRPr="00A2344C">
        <w:rPr>
          <w:rFonts w:ascii="Arial" w:hAnsi="Arial" w:cs="Arial"/>
        </w:rPr>
        <w:t>In organising the literature review for this study on lone-parent families, the researcher considers essential to structure the discussion around key themes that highlight various dimensions of the research topic that support quantitative analysis and create a systematic and logical flow that aligns with the key components of quantitative research. The goal is to provide a clear foundation that leads to the research hypothesis, methodology, and analysis techniques.</w:t>
      </w:r>
    </w:p>
    <w:p w14:paraId="11C85207" w14:textId="77777777" w:rsidR="00427D33" w:rsidRPr="00A2344C" w:rsidRDefault="00701613" w:rsidP="007E1DCB">
      <w:pPr>
        <w:spacing w:line="360" w:lineRule="auto"/>
        <w:jc w:val="both"/>
        <w:rPr>
          <w:rFonts w:ascii="Arial" w:hAnsi="Arial" w:cs="Arial"/>
        </w:rPr>
      </w:pPr>
      <w:r w:rsidRPr="00A2344C">
        <w:rPr>
          <w:rFonts w:ascii="Arial" w:hAnsi="Arial" w:cs="Arial"/>
        </w:rPr>
        <w:t>Research consistently shows that lone-parent families, particularly those with dependent children, are more likely to face financial challenges than other family types</w:t>
      </w:r>
      <w:r w:rsidR="00F56C7B" w:rsidRPr="00A2344C">
        <w:rPr>
          <w:rFonts w:ascii="Arial" w:hAnsi="Arial" w:cs="Arial"/>
        </w:rPr>
        <w:t>. Lone parenthood has become more common in Western countries, evolving from traditional patterns of widowhood and childbirth out of wedlock to more complex arrangements due to separations or divorces. While widowed lone parents were once viewed with sympathy, unmarried mothers faced stigma. Today, lone parenthood is often a transitional phase, with many parents re</w:t>
      </w:r>
      <w:r w:rsidR="00427D33" w:rsidRPr="00A2344C">
        <w:rPr>
          <w:rFonts w:ascii="Arial" w:hAnsi="Arial" w:cs="Arial"/>
        </w:rPr>
        <w:t>-</w:t>
      </w:r>
      <w:r w:rsidR="00F56C7B" w:rsidRPr="00A2344C">
        <w:rPr>
          <w:rFonts w:ascii="Arial" w:hAnsi="Arial" w:cs="Arial"/>
        </w:rPr>
        <w:t>partnering. Definitions of lone parenthood vary across countries and data sources, particularly regarding the age of dependent children and household arrangements. Social policies now focus not only on economic support but also on maintaining parental ties and addressing the risks of social exclusion for lone parents and their children. (</w:t>
      </w:r>
      <w:proofErr w:type="spellStart"/>
      <w:r w:rsidR="00F56C7B" w:rsidRPr="00A2344C">
        <w:rPr>
          <w:rFonts w:ascii="Arial" w:hAnsi="Arial" w:cs="Arial"/>
        </w:rPr>
        <w:t>Bernardi</w:t>
      </w:r>
      <w:proofErr w:type="spellEnd"/>
      <w:r w:rsidR="00F56C7B" w:rsidRPr="00A2344C">
        <w:rPr>
          <w:rFonts w:ascii="Arial" w:hAnsi="Arial" w:cs="Arial"/>
        </w:rPr>
        <w:t xml:space="preserve"> &amp; </w:t>
      </w:r>
      <w:proofErr w:type="spellStart"/>
      <w:r w:rsidR="00F56C7B" w:rsidRPr="00A2344C">
        <w:rPr>
          <w:rFonts w:ascii="Arial" w:hAnsi="Arial" w:cs="Arial"/>
        </w:rPr>
        <w:t>Mortelmans</w:t>
      </w:r>
      <w:proofErr w:type="spellEnd"/>
      <w:r w:rsidR="00F56C7B" w:rsidRPr="00A2344C">
        <w:rPr>
          <w:rFonts w:ascii="Arial" w:hAnsi="Arial" w:cs="Arial"/>
        </w:rPr>
        <w:t>, 2018)</w:t>
      </w:r>
    </w:p>
    <w:p w14:paraId="08FC1BAE" w14:textId="4CFF8F1D" w:rsidR="007B0C2C" w:rsidRPr="00A2344C" w:rsidRDefault="00427D33" w:rsidP="007E1DCB">
      <w:pPr>
        <w:spacing w:line="360" w:lineRule="auto"/>
        <w:jc w:val="both"/>
        <w:rPr>
          <w:rFonts w:ascii="Arial" w:hAnsi="Arial" w:cs="Arial"/>
        </w:rPr>
      </w:pPr>
      <w:r w:rsidRPr="00A2344C">
        <w:rPr>
          <w:rFonts w:ascii="Arial" w:hAnsi="Arial" w:cs="Arial"/>
        </w:rPr>
        <w:lastRenderedPageBreak/>
        <w:t xml:space="preserve">In 2016, 98% of Hungary's population lived in private households, marking a shift as the number of households decreased by 84,000 since 2011, ending a long-term trend of household fragmentation. The rise in couple-type households and a decline in one-person households contributed to this change. While fertility rates improved, the proportion of households with children remained stable. Single-parent households accounted for 22%, with women heading most. Cohabitation increased, with 18% of children living with unmarried parents. Younger adults increasingly live with parents, especially men under 35, reflecting delayed independence. One-person households still comprised 30% of all households. </w:t>
      </w:r>
    </w:p>
    <w:p w14:paraId="12146C91" w14:textId="19F59DD8" w:rsidR="00B41563" w:rsidRPr="00A2344C" w:rsidRDefault="00B41563" w:rsidP="007E1DCB">
      <w:pPr>
        <w:spacing w:line="360" w:lineRule="auto"/>
        <w:jc w:val="both"/>
        <w:rPr>
          <w:rFonts w:ascii="Arial" w:hAnsi="Arial" w:cs="Arial"/>
        </w:rPr>
      </w:pPr>
      <w:r w:rsidRPr="00A2344C">
        <w:rPr>
          <w:rFonts w:ascii="Arial" w:hAnsi="Arial" w:cs="Arial"/>
        </w:rPr>
        <w:t>In the U.S., 70% of children live with two parents, though this percentage is lower among low-income families. Family structure stability, relationships, and parental involvement are critical for child development, with quality relationships positively impacting self-esteem and well-being. Foster care impacts around 3 out of every 1,000 children, with frequent moves affecting stability. Teen birth rates have dropped significantly, but adolescent parents and children still face higher risks. Positive family connectedness, like shared meals, enhances communication, emotional well-being, and reduces risky behaviours. Father’s involvement has increased contributing to children well-being, while parental involvement in education boosts academic success. (ACT for Youth, 2024)</w:t>
      </w:r>
    </w:p>
    <w:p w14:paraId="0702D542" w14:textId="0B9F2AB9" w:rsidR="00B41563" w:rsidRPr="00A2344C" w:rsidRDefault="0031754F" w:rsidP="007E1DCB">
      <w:pPr>
        <w:spacing w:line="360" w:lineRule="auto"/>
        <w:jc w:val="both"/>
        <w:rPr>
          <w:rFonts w:ascii="Arial" w:hAnsi="Arial" w:cs="Arial"/>
        </w:rPr>
      </w:pPr>
      <w:r w:rsidRPr="00A2344C">
        <w:rPr>
          <w:rFonts w:ascii="Arial" w:hAnsi="Arial" w:cs="Arial"/>
        </w:rPr>
        <w:t xml:space="preserve">The way families perform their roles is shaped by various societal factors, such as the political regime, legislation, education standards, social policies, and the level of economic development. In today's world, globalization has significantly impacted standards of living, which in turn has caused essential changes in the structure and functioning of social institutions, including families and schools. Given its fundamental status, the family must adapt to these evolving challenges, particularly when it comes to its effectiveness in raising and educating children. The family, as the most basic social institution, is deeply influenced by cultural and temporal factors. It serves as a primary space where individuals can adapt and move upward in the social hierarchy. From this perspective, the nuclear family, as a social system, fulfils various important functions such as integration, adaptation, goal achievement, preservation of values, and transmission of cultural models. In all societies, family structures play a key role, especially in shaping children’s futures. Most children in developed countries are raised in families, although the specific type of family may change over time. Families </w:t>
      </w:r>
      <w:r w:rsidRPr="00A2344C">
        <w:rPr>
          <w:rFonts w:ascii="Arial" w:hAnsi="Arial" w:cs="Arial"/>
        </w:rPr>
        <w:lastRenderedPageBreak/>
        <w:t>are meant to provide children with the opportunities needed to become stable and self-sufficient adults, particularly by granting access to education. (Varga, 2021)</w:t>
      </w:r>
    </w:p>
    <w:p w14:paraId="6FF52B76" w14:textId="20405C38" w:rsidR="0031754F" w:rsidRPr="00A2344C" w:rsidRDefault="0031754F" w:rsidP="007E1DCB">
      <w:pPr>
        <w:spacing w:line="360" w:lineRule="auto"/>
        <w:jc w:val="both"/>
        <w:rPr>
          <w:rFonts w:ascii="Arial" w:hAnsi="Arial" w:cs="Arial"/>
        </w:rPr>
      </w:pPr>
      <w:r w:rsidRPr="00A2344C">
        <w:rPr>
          <w:rFonts w:ascii="Arial" w:hAnsi="Arial" w:cs="Arial"/>
        </w:rPr>
        <w:t>Family structure influences child outcomes through various mechanisms, including economic status, parental socialization, childhood stress, and maternal psychological well-being. Children in single-parent families often face economic hardships, with lower family incomes affecting their access to resources that support cognitive and social development. Parental involvement in socialization is typically reduced in single-parent households due to increased time constraints. Family transitions, such as parental separation, can cause stress</w:t>
      </w:r>
      <w:r w:rsidR="00D70B5F" w:rsidRPr="00A2344C">
        <w:rPr>
          <w:rFonts w:ascii="Arial" w:hAnsi="Arial" w:cs="Arial"/>
        </w:rPr>
        <w:t>, negatively impacting children’s behaviour and development. Additionally, single mothers often experience higher levels of depression, which may affect their parenting and children's emotional well-being. These factors collectively influence behavioural and cognitive outcomes in children. (Carlson &amp; Corcoran, 2001)</w:t>
      </w:r>
    </w:p>
    <w:p w14:paraId="591830C8" w14:textId="00C909C3" w:rsidR="00701613" w:rsidRPr="00A2344C" w:rsidRDefault="00392195" w:rsidP="007E1DCB">
      <w:pPr>
        <w:spacing w:line="360" w:lineRule="auto"/>
        <w:jc w:val="both"/>
        <w:rPr>
          <w:rFonts w:ascii="Arial" w:hAnsi="Arial" w:cs="Arial"/>
        </w:rPr>
      </w:pPr>
      <w:r w:rsidRPr="00A2344C">
        <w:rPr>
          <w:rFonts w:ascii="Arial" w:hAnsi="Arial" w:cs="Arial"/>
        </w:rPr>
        <w:t>Globally, single-parent households, predominantly headed by women (84.3%), are rising, with countries like the U.S. and the U.K. having the highest rates. Children in single-parent families often face economic hardships, reduced academic performance, and mental health issues due to factors like parental separation, reduced income, and limited social support. Adolescents are particularly vulnerable, showing higher rates of depression, substance abuse, and behavioural problems. However, some children develop resilience, maturity and strong bonds with their parents assuming more responsibilities and becoming</w:t>
      </w:r>
      <w:r w:rsidR="000947A0" w:rsidRPr="00A2344C">
        <w:rPr>
          <w:rFonts w:ascii="Arial" w:hAnsi="Arial" w:cs="Arial"/>
        </w:rPr>
        <w:t xml:space="preserve"> successful</w:t>
      </w:r>
      <w:r w:rsidRPr="00A2344C">
        <w:rPr>
          <w:rFonts w:ascii="Arial" w:hAnsi="Arial" w:cs="Arial"/>
        </w:rPr>
        <w:t xml:space="preserve"> in their personal and professional lives. </w:t>
      </w:r>
      <w:r w:rsidR="007C2C05" w:rsidRPr="00A2344C">
        <w:rPr>
          <w:rFonts w:ascii="Arial" w:hAnsi="Arial" w:cs="Arial"/>
        </w:rPr>
        <w:t>(</w:t>
      </w:r>
      <w:proofErr w:type="spellStart"/>
      <w:r w:rsidR="007C2C05" w:rsidRPr="00A2344C">
        <w:rPr>
          <w:rFonts w:ascii="Arial" w:hAnsi="Arial" w:cs="Arial"/>
        </w:rPr>
        <w:t>Chavda</w:t>
      </w:r>
      <w:proofErr w:type="spellEnd"/>
      <w:r w:rsidR="007C2C05" w:rsidRPr="00A2344C">
        <w:rPr>
          <w:rFonts w:ascii="Arial" w:hAnsi="Arial" w:cs="Arial"/>
        </w:rPr>
        <w:t xml:space="preserve"> &amp; </w:t>
      </w:r>
      <w:proofErr w:type="spellStart"/>
      <w:r w:rsidR="007C2C05" w:rsidRPr="00A2344C">
        <w:rPr>
          <w:rFonts w:ascii="Arial" w:hAnsi="Arial" w:cs="Arial"/>
        </w:rPr>
        <w:t>Nisarga</w:t>
      </w:r>
      <w:proofErr w:type="spellEnd"/>
      <w:r w:rsidR="007C2C05" w:rsidRPr="00A2344C">
        <w:rPr>
          <w:rFonts w:ascii="Arial" w:hAnsi="Arial" w:cs="Arial"/>
        </w:rPr>
        <w:t>, 2023)</w:t>
      </w:r>
    </w:p>
    <w:p w14:paraId="7C11926B" w14:textId="77777777" w:rsidR="000947A0" w:rsidRPr="00A2344C" w:rsidRDefault="000947A0" w:rsidP="007E1DCB">
      <w:pPr>
        <w:spacing w:line="360" w:lineRule="auto"/>
        <w:jc w:val="both"/>
        <w:rPr>
          <w:rFonts w:ascii="Arial" w:hAnsi="Arial" w:cs="Arial"/>
        </w:rPr>
      </w:pPr>
      <w:r w:rsidRPr="00A2344C">
        <w:rPr>
          <w:rFonts w:ascii="Arial" w:hAnsi="Arial" w:cs="Arial"/>
        </w:rPr>
        <w:t>In the UK, a significant portion of children live in single-parent families, which are predominantly led by women. These families often encounter societal stigma and face various economic challenges, including issues related to fuel poverty and financial instability. While many female single parents are employed, a substantial number still experience financial difficulties. Research indicates that single parents tend to have poorer physical and mental health, along with elevated stress levels and increased reliance on mental health services. (Stack &amp; Meredith, 2017)</w:t>
      </w:r>
    </w:p>
    <w:p w14:paraId="492B183E" w14:textId="77777777" w:rsidR="000947A0" w:rsidRPr="00A2344C" w:rsidRDefault="000947A0" w:rsidP="007E1DCB">
      <w:pPr>
        <w:spacing w:line="360" w:lineRule="auto"/>
        <w:jc w:val="both"/>
        <w:rPr>
          <w:rFonts w:ascii="Arial" w:hAnsi="Arial" w:cs="Arial"/>
        </w:rPr>
      </w:pPr>
      <w:r w:rsidRPr="00A2344C">
        <w:rPr>
          <w:rFonts w:ascii="Arial" w:hAnsi="Arial" w:cs="Arial"/>
        </w:rPr>
        <w:t xml:space="preserve">As these vulnerabilities accumulate, single-parent families encounter considerable economic vulnerability characterized by financial instability and limited social support, resulting in heightened stress and increased risk of exploitation in labour markets. The </w:t>
      </w:r>
      <w:r w:rsidRPr="00A2344C">
        <w:rPr>
          <w:rFonts w:ascii="Arial" w:hAnsi="Arial" w:cs="Arial"/>
        </w:rPr>
        <w:lastRenderedPageBreak/>
        <w:t>availability of social support systems is crucial, as insufficient resources can further exacerbate these vulnerabilities. This situation adversely affects children’s development and well-being, making them more susceptible to exploitation. Consequently, there is a pressing need for comprehensive policy measures to enhance support for single-parent families and mitigate these risks effectively. (Sussman &amp; Hanson, 2014) These shifts in family structures highlight the dynamic interplay between social values, economic pressures, and policy frameworks. Understanding these changes is essential for addressing the challenges faced by different family types, particularly those that are economically vulnerable.</w:t>
      </w:r>
    </w:p>
    <w:p w14:paraId="0ECB976E" w14:textId="77777777" w:rsidR="00393553" w:rsidRPr="00086E13" w:rsidRDefault="00393553" w:rsidP="007E1DCB">
      <w:pPr>
        <w:pStyle w:val="Heading2"/>
        <w:spacing w:line="360" w:lineRule="auto"/>
        <w:jc w:val="both"/>
        <w:rPr>
          <w:rFonts w:ascii="Arial" w:hAnsi="Arial" w:cs="Arial"/>
          <w:b/>
          <w:bCs/>
          <w:color w:val="000000" w:themeColor="text1"/>
          <w:sz w:val="24"/>
          <w:szCs w:val="24"/>
        </w:rPr>
      </w:pPr>
      <w:bookmarkStart w:id="4" w:name="_Toc179221811"/>
      <w:r w:rsidRPr="00086E13">
        <w:rPr>
          <w:rFonts w:ascii="Arial" w:hAnsi="Arial" w:cs="Arial"/>
          <w:b/>
          <w:bCs/>
          <w:color w:val="000000" w:themeColor="text1"/>
          <w:sz w:val="24"/>
          <w:szCs w:val="24"/>
        </w:rPr>
        <w:t>Defining key concepts and theories</w:t>
      </w:r>
      <w:bookmarkEnd w:id="4"/>
    </w:p>
    <w:p w14:paraId="337D18D3" w14:textId="77777777" w:rsidR="00393553" w:rsidRPr="00A2344C" w:rsidRDefault="00393553" w:rsidP="007E1DCB">
      <w:pPr>
        <w:spacing w:line="360" w:lineRule="auto"/>
        <w:jc w:val="both"/>
        <w:rPr>
          <w:rFonts w:ascii="Arial" w:hAnsi="Arial" w:cs="Arial"/>
        </w:rPr>
      </w:pPr>
      <w:r w:rsidRPr="00A2344C">
        <w:rPr>
          <w:rFonts w:ascii="Arial" w:hAnsi="Arial" w:cs="Arial"/>
        </w:rPr>
        <w:t>Researchers define lone-parent families as households where one parent is responsible for the upbringing of children without the consistence presence of the other biological parent. These families can emerge due to a variety of circumstances, including divorce, separation, death of a partner, or the choice to raise children without a co-parent. Lone-parent families, also referred to as single-parent families, are typically headed by women; however, there is a growing proportion of lone-parent families led by men. (</w:t>
      </w:r>
      <w:proofErr w:type="spellStart"/>
      <w:r w:rsidRPr="00A2344C">
        <w:rPr>
          <w:rFonts w:ascii="Arial" w:hAnsi="Arial" w:cs="Arial"/>
        </w:rPr>
        <w:t>Nieuwenhuis</w:t>
      </w:r>
      <w:proofErr w:type="spellEnd"/>
      <w:r w:rsidRPr="00A2344C">
        <w:rPr>
          <w:rFonts w:ascii="Arial" w:hAnsi="Arial" w:cs="Arial"/>
        </w:rPr>
        <w:t xml:space="preserve"> &amp; Maldonado, 2018)</w:t>
      </w:r>
    </w:p>
    <w:p w14:paraId="773E6AFB" w14:textId="77777777" w:rsidR="00393553" w:rsidRPr="00A2344C" w:rsidRDefault="00393553" w:rsidP="007E1DCB">
      <w:pPr>
        <w:spacing w:line="360" w:lineRule="auto"/>
        <w:jc w:val="both"/>
        <w:rPr>
          <w:rFonts w:ascii="Arial" w:hAnsi="Arial" w:cs="Arial"/>
        </w:rPr>
      </w:pPr>
      <w:r w:rsidRPr="00A2344C">
        <w:rPr>
          <w:rFonts w:ascii="Arial" w:hAnsi="Arial" w:cs="Arial"/>
        </w:rPr>
        <w:t>Theoretical frameworks such as feminist theory, social inequality theory, and welfare state theory offer valuable perspectives on understanding family structures and economic challenges faced by lone-parent families. Feminist theory highlights the gendered nature of economic hardship, arguing that women, who predominantly head lone-parent households, face systemic inequalities in the labour market and caregiving roles. (Millar, 2008) Social inequality theory explores how economic disparities, including class and gender, exacerbate financial hardships for these families. (</w:t>
      </w:r>
      <w:proofErr w:type="spellStart"/>
      <w:r w:rsidRPr="00A2344C">
        <w:rPr>
          <w:rFonts w:ascii="Arial" w:hAnsi="Arial" w:cs="Arial"/>
        </w:rPr>
        <w:t>Narjinary</w:t>
      </w:r>
      <w:proofErr w:type="spellEnd"/>
      <w:r w:rsidRPr="00A2344C">
        <w:rPr>
          <w:rFonts w:ascii="Arial" w:hAnsi="Arial" w:cs="Arial"/>
        </w:rPr>
        <w:t xml:space="preserve"> &amp; </w:t>
      </w:r>
      <w:proofErr w:type="spellStart"/>
      <w:r w:rsidRPr="00A2344C">
        <w:rPr>
          <w:rFonts w:ascii="Arial" w:hAnsi="Arial" w:cs="Arial"/>
        </w:rPr>
        <w:t>Goli</w:t>
      </w:r>
      <w:proofErr w:type="spellEnd"/>
      <w:r w:rsidRPr="00A2344C">
        <w:rPr>
          <w:rFonts w:ascii="Arial" w:hAnsi="Arial" w:cs="Arial"/>
        </w:rPr>
        <w:t>, 2024) Welfare state theory examines how government policies and welfare programs influence lone-parent family outcomes, with limited state support often reinforcing economic vulnerabilities. (</w:t>
      </w:r>
      <w:proofErr w:type="spellStart"/>
      <w:r w:rsidRPr="00A2344C">
        <w:rPr>
          <w:rFonts w:ascii="Arial" w:hAnsi="Arial" w:cs="Arial"/>
        </w:rPr>
        <w:t>Aspalter</w:t>
      </w:r>
      <w:proofErr w:type="spellEnd"/>
      <w:r w:rsidRPr="00A2344C">
        <w:rPr>
          <w:rFonts w:ascii="Arial" w:hAnsi="Arial" w:cs="Arial"/>
        </w:rPr>
        <w:t>, 2023)</w:t>
      </w:r>
    </w:p>
    <w:p w14:paraId="47E386B8" w14:textId="5B5216B8" w:rsidR="009456AF" w:rsidRPr="007E1DCB" w:rsidRDefault="009456AF" w:rsidP="007E1DCB">
      <w:pPr>
        <w:pStyle w:val="Heading2"/>
        <w:spacing w:line="360" w:lineRule="auto"/>
        <w:jc w:val="both"/>
        <w:rPr>
          <w:rFonts w:ascii="Arial" w:hAnsi="Arial" w:cs="Arial"/>
          <w:b/>
          <w:bCs/>
          <w:color w:val="000000" w:themeColor="text1"/>
          <w:sz w:val="24"/>
          <w:szCs w:val="24"/>
        </w:rPr>
      </w:pPr>
      <w:bookmarkStart w:id="5" w:name="_Toc179221812"/>
      <w:r w:rsidRPr="007E1DCB">
        <w:rPr>
          <w:rFonts w:ascii="Arial" w:hAnsi="Arial" w:cs="Arial"/>
          <w:b/>
          <w:bCs/>
          <w:color w:val="000000" w:themeColor="text1"/>
          <w:sz w:val="24"/>
          <w:szCs w:val="24"/>
        </w:rPr>
        <w:t>Social Learning Theory</w:t>
      </w:r>
      <w:bookmarkEnd w:id="5"/>
    </w:p>
    <w:p w14:paraId="3AA3A5D4" w14:textId="77777777" w:rsidR="00075FBB" w:rsidRPr="00A2344C" w:rsidRDefault="00CB4824" w:rsidP="007E1DCB">
      <w:pPr>
        <w:spacing w:line="360" w:lineRule="auto"/>
        <w:jc w:val="both"/>
        <w:rPr>
          <w:rFonts w:ascii="Arial" w:hAnsi="Arial" w:cs="Arial"/>
        </w:rPr>
      </w:pPr>
      <w:r w:rsidRPr="00A2344C">
        <w:rPr>
          <w:rFonts w:ascii="Arial" w:hAnsi="Arial" w:cs="Arial"/>
        </w:rPr>
        <w:t xml:space="preserve">Social learning theory, as outlined by (Akers, 2009) explains criminal behaviour through operant conditioning and vicarious reinforcement, emphasizing that individuals learn behaviours based on their exposure to differential associations. Critics argue that the central mechanism of differential reinforcement lacks adequate </w:t>
      </w:r>
      <w:r w:rsidRPr="00A2344C">
        <w:rPr>
          <w:rFonts w:ascii="Arial" w:hAnsi="Arial" w:cs="Arial"/>
        </w:rPr>
        <w:lastRenderedPageBreak/>
        <w:t>empirical validation</w:t>
      </w:r>
      <w:r w:rsidR="005E24E7" w:rsidRPr="00A2344C">
        <w:rPr>
          <w:rFonts w:ascii="Arial" w:hAnsi="Arial" w:cs="Arial"/>
        </w:rPr>
        <w:t xml:space="preserve"> (</w:t>
      </w:r>
      <w:proofErr w:type="spellStart"/>
      <w:r w:rsidR="005E24E7" w:rsidRPr="00A2344C">
        <w:rPr>
          <w:rFonts w:ascii="Arial" w:hAnsi="Arial" w:cs="Arial"/>
        </w:rPr>
        <w:t>Brauer</w:t>
      </w:r>
      <w:proofErr w:type="spellEnd"/>
      <w:r w:rsidR="005E24E7" w:rsidRPr="00A2344C">
        <w:rPr>
          <w:rFonts w:ascii="Arial" w:hAnsi="Arial" w:cs="Arial"/>
        </w:rPr>
        <w:t>, 2009) (Sampson, 1999) The theory elaborates on "definitions" related to crime, including skills, attitudes, neutrali</w:t>
      </w:r>
      <w:r w:rsidR="009B4FE8" w:rsidRPr="00A2344C">
        <w:rPr>
          <w:rFonts w:ascii="Arial" w:hAnsi="Arial" w:cs="Arial"/>
        </w:rPr>
        <w:t>s</w:t>
      </w:r>
      <w:r w:rsidR="005E24E7" w:rsidRPr="00A2344C">
        <w:rPr>
          <w:rFonts w:ascii="Arial" w:hAnsi="Arial" w:cs="Arial"/>
        </w:rPr>
        <w:t xml:space="preserve">ations, and motivations. A revised model incorporates modern learning and memory concepts, enhancing the understanding of learning mechanisms that lead to criminal behaviour, and suggesting </w:t>
      </w:r>
      <w:r w:rsidR="009B4FE8" w:rsidRPr="00A2344C">
        <w:rPr>
          <w:rFonts w:ascii="Arial" w:hAnsi="Arial" w:cs="Arial"/>
        </w:rPr>
        <w:t>methodological advancements from cognitive psychology and neuroscience to improve the theory's empirical validity.</w:t>
      </w:r>
    </w:p>
    <w:p w14:paraId="7EB422B2" w14:textId="00DCE3CF" w:rsidR="009456AF" w:rsidRPr="00A2344C" w:rsidRDefault="00075FBB" w:rsidP="007E1DCB">
      <w:pPr>
        <w:spacing w:line="360" w:lineRule="auto"/>
        <w:jc w:val="both"/>
        <w:rPr>
          <w:rFonts w:ascii="Arial" w:hAnsi="Arial" w:cs="Arial"/>
        </w:rPr>
      </w:pPr>
      <w:r w:rsidRPr="00A2344C">
        <w:rPr>
          <w:rFonts w:ascii="Arial" w:hAnsi="Arial" w:cs="Arial"/>
        </w:rPr>
        <w:t>From these, r</w:t>
      </w:r>
      <w:r w:rsidR="009456AF" w:rsidRPr="00A2344C">
        <w:rPr>
          <w:rFonts w:ascii="Arial" w:hAnsi="Arial" w:cs="Arial"/>
        </w:rPr>
        <w:t>esearchers can develop surveys to measure behaviours and attitudes of children from single-parent households, allowing for statistical analysis of correlations between parenting styles and child behaviour.</w:t>
      </w:r>
      <w:r w:rsidRPr="00A2344C">
        <w:rPr>
          <w:rFonts w:ascii="Arial" w:hAnsi="Arial" w:cs="Arial"/>
        </w:rPr>
        <w:t xml:space="preserve"> (Proctor &amp; Niemeyer, 2020)</w:t>
      </w:r>
    </w:p>
    <w:p w14:paraId="5FA40F68" w14:textId="77777777" w:rsidR="009456AF" w:rsidRPr="00086E13" w:rsidRDefault="009456AF" w:rsidP="007E1DCB">
      <w:pPr>
        <w:pStyle w:val="Heading2"/>
        <w:spacing w:line="360" w:lineRule="auto"/>
        <w:jc w:val="both"/>
        <w:rPr>
          <w:rFonts w:ascii="Arial" w:hAnsi="Arial" w:cs="Arial"/>
          <w:b/>
          <w:bCs/>
          <w:color w:val="000000" w:themeColor="text1"/>
          <w:sz w:val="24"/>
          <w:szCs w:val="24"/>
        </w:rPr>
      </w:pPr>
      <w:bookmarkStart w:id="6" w:name="_Toc179221813"/>
      <w:r w:rsidRPr="00086E13">
        <w:rPr>
          <w:rFonts w:ascii="Arial" w:hAnsi="Arial" w:cs="Arial"/>
          <w:b/>
          <w:bCs/>
          <w:color w:val="000000" w:themeColor="text1"/>
          <w:sz w:val="24"/>
          <w:szCs w:val="24"/>
        </w:rPr>
        <w:t>Resilience Theory</w:t>
      </w:r>
      <w:bookmarkEnd w:id="6"/>
    </w:p>
    <w:p w14:paraId="395C534A" w14:textId="77777777" w:rsidR="00822D51" w:rsidRPr="00A2344C" w:rsidRDefault="00E63A14" w:rsidP="007E1DCB">
      <w:pPr>
        <w:spacing w:line="360" w:lineRule="auto"/>
        <w:jc w:val="both"/>
        <w:rPr>
          <w:rFonts w:ascii="Arial" w:hAnsi="Arial" w:cs="Arial"/>
        </w:rPr>
      </w:pPr>
      <w:r w:rsidRPr="00A2344C">
        <w:rPr>
          <w:rFonts w:ascii="Arial" w:hAnsi="Arial" w:cs="Arial"/>
        </w:rPr>
        <w:t>The study of resilience has gained significant attention across various disciplines, particularly in social sciences, due to global challenges like climate change and economic instability. While resilience theory has evolved since the 1970s, historically focusing on risks and negative outcomes, recent research emphasizes positive adaptation processes in individuals and families. The integration of resilience science across levels and systems is now a priority, underscoring the importance of parenting and protective influences. However, challenges</w:t>
      </w:r>
      <w:r w:rsidR="00F72414" w:rsidRPr="00A2344C">
        <w:rPr>
          <w:rFonts w:ascii="Arial" w:hAnsi="Arial" w:cs="Arial"/>
        </w:rPr>
        <w:t xml:space="preserve"> persist regarding varied definition and operationalisation of resilience, complicating knowledge aggregation and limiting the effectiveness of meta-analyses in this field. (</w:t>
      </w:r>
      <w:proofErr w:type="spellStart"/>
      <w:r w:rsidR="00F72414" w:rsidRPr="00A2344C">
        <w:rPr>
          <w:rFonts w:ascii="Arial" w:hAnsi="Arial" w:cs="Arial"/>
        </w:rPr>
        <w:t>Masten</w:t>
      </w:r>
      <w:proofErr w:type="spellEnd"/>
      <w:r w:rsidR="00F72414" w:rsidRPr="00A2344C">
        <w:rPr>
          <w:rFonts w:ascii="Arial" w:hAnsi="Arial" w:cs="Arial"/>
        </w:rPr>
        <w:t>, 2018)</w:t>
      </w:r>
    </w:p>
    <w:p w14:paraId="380C8139" w14:textId="6CA96388" w:rsidR="009456AF" w:rsidRPr="00A2344C" w:rsidRDefault="009456AF" w:rsidP="007E1DCB">
      <w:pPr>
        <w:spacing w:line="360" w:lineRule="auto"/>
        <w:jc w:val="both"/>
        <w:rPr>
          <w:rFonts w:ascii="Arial" w:hAnsi="Arial" w:cs="Arial"/>
        </w:rPr>
      </w:pPr>
      <w:r w:rsidRPr="00A2344C">
        <w:rPr>
          <w:rFonts w:ascii="Arial" w:hAnsi="Arial" w:cs="Arial"/>
        </w:rPr>
        <w:t>Quantitative studies can assess resilience factors (e.g., social support, coping strategies) through surveys or questionnaires, enabling the analysis of their relationship with outcomes like mental health or academic performance.</w:t>
      </w:r>
    </w:p>
    <w:p w14:paraId="50FAEEF1" w14:textId="46DEDB10" w:rsidR="009456AF" w:rsidRPr="00086E13" w:rsidRDefault="009456AF" w:rsidP="007E1DCB">
      <w:pPr>
        <w:pStyle w:val="Heading2"/>
        <w:spacing w:line="360" w:lineRule="auto"/>
        <w:jc w:val="both"/>
        <w:rPr>
          <w:rFonts w:ascii="Arial" w:hAnsi="Arial" w:cs="Arial"/>
          <w:b/>
          <w:bCs/>
          <w:color w:val="000000" w:themeColor="text1"/>
          <w:sz w:val="24"/>
          <w:szCs w:val="24"/>
        </w:rPr>
      </w:pPr>
      <w:bookmarkStart w:id="7" w:name="_Toc179221814"/>
      <w:r w:rsidRPr="00086E13">
        <w:rPr>
          <w:rFonts w:ascii="Arial" w:hAnsi="Arial" w:cs="Arial"/>
          <w:b/>
          <w:bCs/>
          <w:color w:val="000000" w:themeColor="text1"/>
          <w:sz w:val="24"/>
          <w:szCs w:val="24"/>
        </w:rPr>
        <w:t>Family system theory</w:t>
      </w:r>
      <w:bookmarkEnd w:id="7"/>
    </w:p>
    <w:p w14:paraId="6DD16725" w14:textId="77777777" w:rsidR="00822D51" w:rsidRPr="00A2344C" w:rsidRDefault="00822D51" w:rsidP="007E1DCB">
      <w:pPr>
        <w:spacing w:line="360" w:lineRule="auto"/>
        <w:jc w:val="both"/>
        <w:rPr>
          <w:rFonts w:ascii="Arial" w:hAnsi="Arial" w:cs="Arial"/>
        </w:rPr>
      </w:pPr>
      <w:r w:rsidRPr="00A2344C">
        <w:rPr>
          <w:rFonts w:ascii="Arial" w:hAnsi="Arial" w:cs="Arial"/>
        </w:rPr>
        <w:t>Family systems theory and Attachment theory share notable similarities, including a focus on intimate relationships and systems thinking. Both address dynamics of connection and conflict, with attachment classifications corresponding to family systems categories. However, they differ in focus: attachment theory emphasises individual dynamics and child development, while family systems theory centres on group dynamics, roles, and adult functioning. Cultural factors shape their compatibility, primarily reflecting Western perspectives. (</w:t>
      </w:r>
      <w:proofErr w:type="spellStart"/>
      <w:r w:rsidRPr="00A2344C">
        <w:rPr>
          <w:rFonts w:ascii="Arial" w:hAnsi="Arial" w:cs="Arial"/>
        </w:rPr>
        <w:t>Rothbaum</w:t>
      </w:r>
      <w:proofErr w:type="spellEnd"/>
      <w:r w:rsidRPr="00A2344C">
        <w:rPr>
          <w:rFonts w:ascii="Arial" w:hAnsi="Arial" w:cs="Arial"/>
        </w:rPr>
        <w:t xml:space="preserve"> et al., 2002)</w:t>
      </w:r>
    </w:p>
    <w:p w14:paraId="45118A12" w14:textId="2C7A6069" w:rsidR="009456AF" w:rsidRPr="00A2344C" w:rsidRDefault="009456AF" w:rsidP="007E1DCB">
      <w:pPr>
        <w:spacing w:line="360" w:lineRule="auto"/>
        <w:jc w:val="both"/>
        <w:rPr>
          <w:rFonts w:ascii="Arial" w:hAnsi="Arial" w:cs="Arial"/>
        </w:rPr>
      </w:pPr>
      <w:r w:rsidRPr="00A2344C">
        <w:rPr>
          <w:rFonts w:ascii="Arial" w:hAnsi="Arial" w:cs="Arial"/>
        </w:rPr>
        <w:lastRenderedPageBreak/>
        <w:t>This theory can support quantitative analysis by measuring family dynamics and structures through surveys that quantify relationships and interactions within single-parent families.</w:t>
      </w:r>
    </w:p>
    <w:p w14:paraId="7D435FDB" w14:textId="1B2D15D4" w:rsidR="003503B1" w:rsidRDefault="003503B1" w:rsidP="007E1DCB">
      <w:pPr>
        <w:spacing w:line="360" w:lineRule="auto"/>
        <w:jc w:val="both"/>
        <w:rPr>
          <w:rFonts w:ascii="Arial" w:hAnsi="Arial" w:cs="Arial"/>
        </w:rPr>
      </w:pPr>
      <w:r w:rsidRPr="00A2344C">
        <w:rPr>
          <w:rFonts w:ascii="Arial" w:hAnsi="Arial" w:cs="Arial"/>
        </w:rPr>
        <w:t>The use and analysis of databases play a pivotal role in understanding long-term trends and patterns related to family types and their social dynamics. Databases, both relational and longitudinal, allow for the systematic collection and management of large datasets that can be used to uncover insights into societal changes over time. Longitudinal databases as used in this work are particularly important in this research as they capture changes over time, offering a deeper understanding of how factors like household composition and family type evolve and how these shifts might intersect with broader socio-economic trends. (Singer &amp; Willett, 2009) Through this study, the relevance of family structures and the potential risks faced by certain vulnerable groups are highlighted, providing critical insights into the links between family dynamics and exploitation risks.</w:t>
      </w:r>
    </w:p>
    <w:p w14:paraId="1A4013DD" w14:textId="684BCD2F" w:rsidR="007268AB" w:rsidRPr="00086E13" w:rsidRDefault="007268AB" w:rsidP="007E1DCB">
      <w:pPr>
        <w:pStyle w:val="Heading2"/>
        <w:spacing w:line="360" w:lineRule="auto"/>
        <w:jc w:val="both"/>
        <w:rPr>
          <w:rFonts w:ascii="Arial" w:hAnsi="Arial" w:cs="Arial"/>
          <w:b/>
          <w:bCs/>
          <w:color w:val="000000" w:themeColor="text1"/>
          <w:sz w:val="24"/>
          <w:szCs w:val="24"/>
        </w:rPr>
      </w:pPr>
      <w:bookmarkStart w:id="8" w:name="_Toc179221815"/>
      <w:r w:rsidRPr="00086E13">
        <w:rPr>
          <w:rFonts w:ascii="Arial" w:hAnsi="Arial" w:cs="Arial"/>
          <w:b/>
          <w:bCs/>
          <w:color w:val="000000" w:themeColor="text1"/>
          <w:sz w:val="24"/>
          <w:szCs w:val="24"/>
        </w:rPr>
        <w:t>Statistics</w:t>
      </w:r>
      <w:bookmarkEnd w:id="8"/>
    </w:p>
    <w:p w14:paraId="03E5C127" w14:textId="43EFE605" w:rsidR="00E07C13" w:rsidRPr="00A2344C" w:rsidRDefault="00E07C13" w:rsidP="007E1DCB">
      <w:pPr>
        <w:spacing w:line="360" w:lineRule="auto"/>
        <w:jc w:val="both"/>
        <w:rPr>
          <w:rFonts w:ascii="Arial" w:hAnsi="Arial" w:cs="Arial"/>
        </w:rPr>
      </w:pPr>
      <w:r w:rsidRPr="00A2344C">
        <w:rPr>
          <w:rFonts w:ascii="Arial" w:hAnsi="Arial" w:cs="Arial"/>
        </w:rPr>
        <w:t>Statistics is a vital discipline that involves the collection, analysis, interpretation, presentation, and organization of data. It provides tools and methodologies to make informed decisions based on empirical evidence. By employing various statistical techniques, researchers can identify trends, establish relationships between variables, and draw meaningful conclusions from data sets. The use of descriptive and inferential statistics allows for a comprehensive understanding of complex phenomena, enabling predictions and enhancing the reliability of findings across various fields,</w:t>
      </w:r>
      <w:r w:rsidRPr="00A2344C">
        <w:rPr>
          <w:rFonts w:ascii="Arial" w:hAnsi="Arial" w:cs="Arial"/>
        </w:rPr>
        <w:t xml:space="preserve"> including social sciences, healthcare, and business. Ultimately, statistics empowers researchers to extract insights and make data-driven decisions. </w:t>
      </w:r>
      <w:r w:rsidRPr="00A2344C">
        <w:rPr>
          <w:rFonts w:ascii="Arial" w:hAnsi="Arial" w:cs="Arial"/>
        </w:rPr>
        <w:t>(Field, 2020)</w:t>
      </w:r>
    </w:p>
    <w:p w14:paraId="00413D5D" w14:textId="715FF6DD" w:rsidR="00E07C13" w:rsidRPr="00A2344C" w:rsidRDefault="00E07C13" w:rsidP="007E1DCB">
      <w:pPr>
        <w:spacing w:line="360" w:lineRule="auto"/>
        <w:jc w:val="both"/>
        <w:rPr>
          <w:rFonts w:ascii="Arial" w:hAnsi="Arial" w:cs="Arial"/>
        </w:rPr>
      </w:pPr>
      <w:r w:rsidRPr="00A2344C">
        <w:rPr>
          <w:rFonts w:ascii="Arial" w:hAnsi="Arial" w:cs="Arial"/>
        </w:rPr>
        <w:t>To consider the fundamental aspects of statistics and its crucial role in research, it is essential to consider the sources of data that underpin statistical analysis. The validity and reliability of statistical findings hinge not only on the methodologies employed but also on the quality of the data utilized. Researchers face a significant decision when choosing between primary and secondary databases, as each type offers distinct advantages and challenges that can impact the overall research</w:t>
      </w:r>
      <w:r w:rsidRPr="00A2344C">
        <w:rPr>
          <w:rFonts w:ascii="Arial" w:hAnsi="Arial" w:cs="Arial"/>
        </w:rPr>
        <w:t xml:space="preserve"> outcomes. Understanding these differences is vital for making informed choices that align with research objectives.</w:t>
      </w:r>
    </w:p>
    <w:p w14:paraId="374DFB8F" w14:textId="19065300" w:rsidR="00E07C13" w:rsidRPr="00A2344C" w:rsidRDefault="00E07C13" w:rsidP="007E1DCB">
      <w:pPr>
        <w:spacing w:line="360" w:lineRule="auto"/>
        <w:jc w:val="both"/>
        <w:rPr>
          <w:rFonts w:ascii="Arial" w:hAnsi="Arial" w:cs="Arial"/>
        </w:rPr>
      </w:pPr>
      <w:r w:rsidRPr="00A2344C">
        <w:rPr>
          <w:rFonts w:ascii="Arial" w:hAnsi="Arial" w:cs="Arial"/>
        </w:rPr>
        <w:lastRenderedPageBreak/>
        <w:t xml:space="preserve">Using one's own databases versus relying on secondary databases presents distinct advantages and challenges in research. Collecting primary data allows researchers to tailor their data collection methods specifically to their research questions and hypotheses, ensuring that the information gathered is directly relevant and of high quality </w:t>
      </w:r>
      <w:r w:rsidR="00B46061" w:rsidRPr="00A2344C">
        <w:rPr>
          <w:rFonts w:ascii="Arial" w:hAnsi="Arial" w:cs="Arial"/>
        </w:rPr>
        <w:t>(Trochim et al., 2016)</w:t>
      </w:r>
      <w:r w:rsidR="00B46061" w:rsidRPr="00A2344C">
        <w:rPr>
          <w:rFonts w:ascii="Arial" w:hAnsi="Arial" w:cs="Arial"/>
        </w:rPr>
        <w:t xml:space="preserve"> </w:t>
      </w:r>
      <w:r w:rsidRPr="00A2344C">
        <w:rPr>
          <w:rFonts w:ascii="Arial" w:hAnsi="Arial" w:cs="Arial"/>
        </w:rPr>
        <w:t>This approach enables a deeper understanding of the context surrounding the data, as researchers can control the</w:t>
      </w:r>
      <w:r w:rsidR="00D626D8" w:rsidRPr="00A2344C">
        <w:rPr>
          <w:rFonts w:ascii="Arial" w:hAnsi="Arial" w:cs="Arial"/>
        </w:rPr>
        <w:t xml:space="preserve"> data collection process and adapt their methods as needed. Furthermore, primary data can enhance the validity and </w:t>
      </w:r>
      <w:r w:rsidR="00D626D8" w:rsidRPr="00A2344C">
        <w:rPr>
          <w:rFonts w:ascii="Arial" w:hAnsi="Arial" w:cs="Arial"/>
        </w:rPr>
        <w:t>reliability of findings, as researchers are familiar with the data collection procedures and can address potential biases.</w:t>
      </w:r>
    </w:p>
    <w:p w14:paraId="05EE63B1" w14:textId="79AE12A2" w:rsidR="00AE4E95" w:rsidRPr="00A2344C" w:rsidRDefault="00AE4E95" w:rsidP="007E1DCB">
      <w:pPr>
        <w:spacing w:line="360" w:lineRule="auto"/>
        <w:jc w:val="both"/>
        <w:rPr>
          <w:rFonts w:ascii="Arial" w:hAnsi="Arial" w:cs="Arial"/>
        </w:rPr>
      </w:pPr>
      <w:r w:rsidRPr="00A2344C">
        <w:rPr>
          <w:rFonts w:ascii="Arial" w:hAnsi="Arial" w:cs="Arial"/>
        </w:rPr>
        <w:t>Conversely, secondary databases offer convenience and accessibility, often providing large datasets that have already been collected and processed</w:t>
      </w:r>
      <w:r w:rsidR="001A66B5" w:rsidRPr="00A2344C">
        <w:rPr>
          <w:rFonts w:ascii="Arial" w:hAnsi="Arial" w:cs="Arial"/>
        </w:rPr>
        <w:t xml:space="preserve">. </w:t>
      </w:r>
      <w:r w:rsidRPr="00A2344C">
        <w:rPr>
          <w:rFonts w:ascii="Arial" w:hAnsi="Arial" w:cs="Arial"/>
        </w:rPr>
        <w:t>(Creswell &amp; Creswell, 2017) Researchers can save time and resources by utilizing existing data, which can be particularly beneficial when studying large populations or historical trends. However, the limitations of secondary data must be considered, such as potential discrepancies between the original research aims and the secondary</w:t>
      </w:r>
      <w:r w:rsidRPr="00A2344C">
        <w:rPr>
          <w:rFonts w:ascii="Arial" w:hAnsi="Arial" w:cs="Arial"/>
        </w:rPr>
        <w:t xml:space="preserve"> research questions, as well as the risk of outdated or incomplete information. Ultimately, the choice between primary and secondary data depends on the </w:t>
      </w:r>
      <w:r w:rsidRPr="00A2344C">
        <w:rPr>
          <w:rFonts w:ascii="Arial" w:hAnsi="Arial" w:cs="Arial"/>
        </w:rPr>
        <w:t>specific research objectives, available resources, and the need for control over data quality.</w:t>
      </w:r>
    </w:p>
    <w:p w14:paraId="74BAD885" w14:textId="0A91732C" w:rsidR="00F234C7" w:rsidRPr="00086E13" w:rsidRDefault="00F234C7" w:rsidP="007E1DCB">
      <w:pPr>
        <w:pStyle w:val="Heading1"/>
        <w:spacing w:line="360" w:lineRule="auto"/>
        <w:jc w:val="both"/>
        <w:rPr>
          <w:rFonts w:ascii="Arial" w:hAnsi="Arial" w:cs="Arial"/>
          <w:b/>
          <w:bCs/>
          <w:color w:val="000000" w:themeColor="text1"/>
          <w:sz w:val="24"/>
          <w:szCs w:val="24"/>
        </w:rPr>
      </w:pPr>
      <w:bookmarkStart w:id="9" w:name="_Toc179221816"/>
      <w:r w:rsidRPr="00086E13">
        <w:rPr>
          <w:rFonts w:ascii="Arial" w:hAnsi="Arial" w:cs="Arial"/>
          <w:b/>
          <w:bCs/>
          <w:color w:val="000000" w:themeColor="text1"/>
          <w:sz w:val="24"/>
          <w:szCs w:val="24"/>
        </w:rPr>
        <w:t>Research Focus</w:t>
      </w:r>
      <w:bookmarkEnd w:id="9"/>
    </w:p>
    <w:p w14:paraId="651C0662" w14:textId="6F9E0DFC" w:rsidR="00552A29" w:rsidRPr="00A2344C" w:rsidRDefault="00882C29" w:rsidP="007E1DCB">
      <w:pPr>
        <w:spacing w:line="360" w:lineRule="auto"/>
        <w:jc w:val="both"/>
        <w:rPr>
          <w:rFonts w:ascii="Arial" w:hAnsi="Arial" w:cs="Arial"/>
        </w:rPr>
      </w:pPr>
      <w:r w:rsidRPr="00A2344C">
        <w:rPr>
          <w:rFonts w:ascii="Arial" w:hAnsi="Arial" w:cs="Arial"/>
        </w:rPr>
        <w:t>T</w:t>
      </w:r>
      <w:r w:rsidR="00552A29" w:rsidRPr="00A2344C">
        <w:rPr>
          <w:rFonts w:ascii="Arial" w:hAnsi="Arial" w:cs="Arial"/>
        </w:rPr>
        <w:t>he growth or decline of single-parent families and the impact on economic vulnerabilities, particularly in relation to children’s dependency status.</w:t>
      </w:r>
    </w:p>
    <w:p w14:paraId="6F7D9E01" w14:textId="1D46B89A" w:rsidR="00393553" w:rsidRPr="00A2344C" w:rsidRDefault="00393553" w:rsidP="007E1DCB">
      <w:pPr>
        <w:spacing w:line="360" w:lineRule="auto"/>
        <w:jc w:val="both"/>
        <w:rPr>
          <w:rFonts w:ascii="Arial" w:hAnsi="Arial" w:cs="Arial"/>
        </w:rPr>
      </w:pPr>
      <w:r w:rsidRPr="00A2344C">
        <w:rPr>
          <w:rFonts w:ascii="Arial" w:hAnsi="Arial" w:cs="Arial"/>
        </w:rPr>
        <w:t xml:space="preserve">The percentage of children living with single parents in the U.S. rose from 9% in the 1960s to 28% in 2012, impacting educational achievement negatively. Studies suggest that single-parent households correlate with lower academic performance and increased child poverty, attributed to factors like lower family income and reduced access to social resources. However, selection bias complicates the causal relationship, as poverty and parental traits also predict both single parenthood and poor academic outcomes. The debate </w:t>
      </w:r>
      <w:r w:rsidR="00C075F2" w:rsidRPr="00A2344C">
        <w:rPr>
          <w:rFonts w:ascii="Arial" w:hAnsi="Arial" w:cs="Arial"/>
        </w:rPr>
        <w:t>continues</w:t>
      </w:r>
      <w:r w:rsidRPr="00A2344C">
        <w:rPr>
          <w:rFonts w:ascii="Arial" w:hAnsi="Arial" w:cs="Arial"/>
        </w:rPr>
        <w:t xml:space="preserve"> whether the links between family structure and child well-being are primarily causal, false or a combination of both factors.</w:t>
      </w:r>
      <w:r w:rsidR="006E2865" w:rsidRPr="00A2344C">
        <w:rPr>
          <w:rFonts w:ascii="Arial" w:hAnsi="Arial" w:cs="Arial"/>
        </w:rPr>
        <w:t xml:space="preserve"> (Amato et al., 2015)</w:t>
      </w:r>
    </w:p>
    <w:p w14:paraId="7AD486A5" w14:textId="307F7357" w:rsidR="00F234C7" w:rsidRPr="00086E13" w:rsidRDefault="00F234C7" w:rsidP="007E1DCB">
      <w:pPr>
        <w:pStyle w:val="Heading1"/>
        <w:spacing w:line="360" w:lineRule="auto"/>
        <w:jc w:val="both"/>
        <w:rPr>
          <w:rFonts w:ascii="Arial" w:hAnsi="Arial" w:cs="Arial"/>
          <w:b/>
          <w:bCs/>
          <w:color w:val="000000" w:themeColor="text1"/>
          <w:sz w:val="24"/>
          <w:szCs w:val="24"/>
        </w:rPr>
      </w:pPr>
      <w:bookmarkStart w:id="10" w:name="_Toc179221817"/>
      <w:r w:rsidRPr="00086E13">
        <w:rPr>
          <w:rFonts w:ascii="Arial" w:hAnsi="Arial" w:cs="Arial"/>
          <w:b/>
          <w:bCs/>
          <w:color w:val="000000" w:themeColor="text1"/>
          <w:sz w:val="24"/>
          <w:szCs w:val="24"/>
        </w:rPr>
        <w:lastRenderedPageBreak/>
        <w:t>Hypot</w:t>
      </w:r>
      <w:r w:rsidR="00552A29" w:rsidRPr="00086E13">
        <w:rPr>
          <w:rFonts w:ascii="Arial" w:hAnsi="Arial" w:cs="Arial"/>
          <w:b/>
          <w:bCs/>
          <w:color w:val="000000" w:themeColor="text1"/>
          <w:sz w:val="24"/>
          <w:szCs w:val="24"/>
        </w:rPr>
        <w:t>hes</w:t>
      </w:r>
      <w:r w:rsidR="006B21A5" w:rsidRPr="00086E13">
        <w:rPr>
          <w:rFonts w:ascii="Arial" w:hAnsi="Arial" w:cs="Arial"/>
          <w:b/>
          <w:bCs/>
          <w:color w:val="000000" w:themeColor="text1"/>
          <w:sz w:val="24"/>
          <w:szCs w:val="24"/>
        </w:rPr>
        <w:t>e</w:t>
      </w:r>
      <w:r w:rsidR="00552A29" w:rsidRPr="00086E13">
        <w:rPr>
          <w:rFonts w:ascii="Arial" w:hAnsi="Arial" w:cs="Arial"/>
          <w:b/>
          <w:bCs/>
          <w:color w:val="000000" w:themeColor="text1"/>
          <w:sz w:val="24"/>
          <w:szCs w:val="24"/>
        </w:rPr>
        <w:t>s</w:t>
      </w:r>
      <w:bookmarkEnd w:id="10"/>
    </w:p>
    <w:p w14:paraId="0AD8C82A" w14:textId="77777777" w:rsidR="007268AB" w:rsidRDefault="00552A29" w:rsidP="007E1DCB">
      <w:pPr>
        <w:spacing w:line="360" w:lineRule="auto"/>
        <w:jc w:val="both"/>
        <w:rPr>
          <w:rFonts w:ascii="Arial" w:hAnsi="Arial" w:cs="Arial"/>
        </w:rPr>
      </w:pPr>
      <w:r w:rsidRPr="00A2344C">
        <w:rPr>
          <w:rFonts w:ascii="Arial" w:hAnsi="Arial" w:cs="Arial"/>
        </w:rPr>
        <w:t>Single-parent families with dependent children face greater financial difficulties and higher risks of social exclusion, potentially exacerbating vulnerabilities over time.</w:t>
      </w:r>
      <w:r w:rsidR="00A971B5" w:rsidRPr="00A2344C">
        <w:rPr>
          <w:rFonts w:ascii="Arial" w:hAnsi="Arial" w:cs="Arial"/>
        </w:rPr>
        <w:t xml:space="preserve"> (Stack &amp; Meredith, 2017)</w:t>
      </w:r>
    </w:p>
    <w:p w14:paraId="77445282" w14:textId="1B0ADD4E" w:rsidR="006B21A5" w:rsidRPr="00A2344C" w:rsidRDefault="006B21A5" w:rsidP="007E1DCB">
      <w:pPr>
        <w:spacing w:line="360" w:lineRule="auto"/>
        <w:jc w:val="both"/>
        <w:rPr>
          <w:rFonts w:ascii="Arial" w:hAnsi="Arial" w:cs="Arial"/>
        </w:rPr>
      </w:pPr>
      <w:r w:rsidRPr="00A2344C">
        <w:rPr>
          <w:rFonts w:ascii="Arial" w:hAnsi="Arial" w:cs="Arial"/>
        </w:rPr>
        <w:t>Lone-mother families face a higher risk of financial hardship and exploitation than lone-father families.</w:t>
      </w:r>
    </w:p>
    <w:p w14:paraId="64C70E53" w14:textId="01354397" w:rsidR="006B21A5" w:rsidRPr="00A2344C" w:rsidRDefault="006B21A5" w:rsidP="007E1DCB">
      <w:pPr>
        <w:spacing w:line="360" w:lineRule="auto"/>
        <w:jc w:val="both"/>
        <w:rPr>
          <w:rFonts w:ascii="Arial" w:hAnsi="Arial" w:cs="Arial"/>
        </w:rPr>
      </w:pPr>
      <w:r w:rsidRPr="00A2344C">
        <w:rPr>
          <w:rFonts w:ascii="Arial" w:hAnsi="Arial" w:cs="Arial"/>
        </w:rPr>
        <w:t xml:space="preserve">Gender disparities in income, employment opportunities, and social support systems could mean that single mothers are more vulnerable to poverty and exploitation, a trend often observed in socio-economic data. (Chaudry &amp; </w:t>
      </w:r>
      <w:proofErr w:type="spellStart"/>
      <w:r w:rsidRPr="00A2344C">
        <w:rPr>
          <w:rFonts w:ascii="Arial" w:hAnsi="Arial" w:cs="Arial"/>
        </w:rPr>
        <w:t>Wimer</w:t>
      </w:r>
      <w:proofErr w:type="spellEnd"/>
      <w:r w:rsidRPr="00A2344C">
        <w:rPr>
          <w:rFonts w:ascii="Arial" w:hAnsi="Arial" w:cs="Arial"/>
        </w:rPr>
        <w:t>, 2016)</w:t>
      </w:r>
    </w:p>
    <w:p w14:paraId="454109FC" w14:textId="441B4057" w:rsidR="00552A29" w:rsidRPr="00A2344C" w:rsidRDefault="00552A29" w:rsidP="007E1DCB">
      <w:pPr>
        <w:spacing w:line="360" w:lineRule="auto"/>
        <w:jc w:val="both"/>
        <w:rPr>
          <w:rFonts w:ascii="Arial" w:hAnsi="Arial" w:cs="Arial"/>
        </w:rPr>
      </w:pPr>
      <w:r w:rsidRPr="00A2344C">
        <w:rPr>
          <w:rFonts w:ascii="Arial" w:hAnsi="Arial" w:cs="Arial"/>
        </w:rPr>
        <w:t xml:space="preserve">A well-formulated hypothesis plays a crucial role in quantitative research as it narrows down the focus, facilitates testing through statistical methods, and helps to uncover relationships that can be applied to broader theories or </w:t>
      </w:r>
      <w:r w:rsidR="00562A73" w:rsidRPr="00A2344C">
        <w:rPr>
          <w:rFonts w:ascii="Arial" w:hAnsi="Arial" w:cs="Arial"/>
        </w:rPr>
        <w:t>real-world</w:t>
      </w:r>
      <w:r w:rsidRPr="00A2344C">
        <w:rPr>
          <w:rFonts w:ascii="Arial" w:hAnsi="Arial" w:cs="Arial"/>
        </w:rPr>
        <w:t xml:space="preserve"> problems.</w:t>
      </w:r>
      <w:r w:rsidR="00562A73" w:rsidRPr="00A2344C">
        <w:rPr>
          <w:rFonts w:ascii="-webkit-standard" w:hAnsi="-webkit-standard"/>
          <w:color w:val="000000"/>
          <w:sz w:val="27"/>
          <w:szCs w:val="27"/>
        </w:rPr>
        <w:t xml:space="preserve"> </w:t>
      </w:r>
      <w:r w:rsidR="00562A73" w:rsidRPr="00A2344C">
        <w:rPr>
          <w:rFonts w:ascii="Arial" w:hAnsi="Arial" w:cs="Arial"/>
        </w:rPr>
        <w:t>(Clark, 2021) A hypothesis is a clear, testable statement predicting a relationship between two or more variables</w:t>
      </w:r>
      <w:r w:rsidR="00C96F13" w:rsidRPr="00A2344C">
        <w:rPr>
          <w:rFonts w:ascii="Arial" w:hAnsi="Arial" w:cs="Arial"/>
        </w:rPr>
        <w:t xml:space="preserve">. In qualitative research, the concept of a hypothesis is approached differently compared to quantitative research. While a formal hypothesis—a specific, testable statement—is a cornerstone in quantitative research, qualitative studies typically do not begin with a pre-defined hypothesis. Instead, they often seek to explore a phenomenon in-depth without a rigid preconception of the outcome. However, some forms of qualitative research do involve hypotheses, though in a more flexible and exploratory form. While qualitative research typically does not begin with </w:t>
      </w:r>
      <w:r w:rsidR="0070438A" w:rsidRPr="00A2344C">
        <w:rPr>
          <w:rFonts w:ascii="Arial" w:hAnsi="Arial" w:cs="Arial"/>
        </w:rPr>
        <w:t>formal hypotheses</w:t>
      </w:r>
      <w:r w:rsidR="00C96F13" w:rsidRPr="00A2344C">
        <w:rPr>
          <w:rFonts w:ascii="Arial" w:hAnsi="Arial" w:cs="Arial"/>
        </w:rPr>
        <w:t xml:space="preserve"> like in quantitative research, it still engages in hypothesis-like thinking through its development of emergent themes and patterns. The key difference is that qualitative research remains flexible, allowing for hypotheses to emerge and evolve </w:t>
      </w:r>
      <w:r w:rsidR="00C075F2" w:rsidRPr="00A2344C">
        <w:rPr>
          <w:rFonts w:ascii="Arial" w:hAnsi="Arial" w:cs="Arial"/>
        </w:rPr>
        <w:t>during</w:t>
      </w:r>
      <w:r w:rsidR="00C96F13" w:rsidRPr="00A2344C">
        <w:rPr>
          <w:rFonts w:ascii="Arial" w:hAnsi="Arial" w:cs="Arial"/>
        </w:rPr>
        <w:t xml:space="preserve"> the study, rather than setting rigid expectations from the outset. Qualitative research values the exploratory nature of inquiry, which allows for insights to arise organically, whereas hypotheses in quantitative research are pre-defined and tested systematically.</w:t>
      </w:r>
      <w:r w:rsidR="00B21BF1" w:rsidRPr="00A2344C">
        <w:rPr>
          <w:rFonts w:ascii="Arial" w:hAnsi="Arial" w:cs="Arial"/>
        </w:rPr>
        <w:t xml:space="preserve"> (Creswell &amp; Creswell, 2023)</w:t>
      </w:r>
    </w:p>
    <w:p w14:paraId="4805AD12" w14:textId="2C1ECD53" w:rsidR="003923F9" w:rsidRPr="00086E13" w:rsidRDefault="003B22D8" w:rsidP="007E1DCB">
      <w:pPr>
        <w:pStyle w:val="Heading1"/>
        <w:spacing w:line="360" w:lineRule="auto"/>
        <w:jc w:val="both"/>
        <w:rPr>
          <w:rFonts w:ascii="Arial" w:hAnsi="Arial" w:cs="Arial"/>
          <w:b/>
          <w:bCs/>
          <w:color w:val="000000" w:themeColor="text1"/>
          <w:sz w:val="24"/>
          <w:szCs w:val="24"/>
        </w:rPr>
      </w:pPr>
      <w:bookmarkStart w:id="11" w:name="_Toc179221818"/>
      <w:r w:rsidRPr="00086E13">
        <w:rPr>
          <w:rFonts w:ascii="Arial" w:hAnsi="Arial" w:cs="Arial"/>
          <w:b/>
          <w:bCs/>
          <w:color w:val="000000" w:themeColor="text1"/>
          <w:sz w:val="24"/>
          <w:szCs w:val="24"/>
        </w:rPr>
        <w:t xml:space="preserve">Research </w:t>
      </w:r>
      <w:r w:rsidR="003923F9" w:rsidRPr="00086E13">
        <w:rPr>
          <w:rFonts w:ascii="Arial" w:hAnsi="Arial" w:cs="Arial"/>
          <w:b/>
          <w:bCs/>
          <w:color w:val="000000" w:themeColor="text1"/>
          <w:sz w:val="24"/>
          <w:szCs w:val="24"/>
        </w:rPr>
        <w:t>Methodology</w:t>
      </w:r>
      <w:bookmarkEnd w:id="11"/>
    </w:p>
    <w:p w14:paraId="54FCD23C" w14:textId="6BDF833B" w:rsidR="006B287D" w:rsidRPr="00A2344C" w:rsidRDefault="00CF7366" w:rsidP="007E1DCB">
      <w:pPr>
        <w:spacing w:line="360" w:lineRule="auto"/>
        <w:jc w:val="both"/>
        <w:rPr>
          <w:rFonts w:ascii="Arial" w:hAnsi="Arial" w:cs="Arial"/>
        </w:rPr>
      </w:pPr>
      <w:r w:rsidRPr="00A2344C">
        <w:rPr>
          <w:rFonts w:ascii="Arial" w:hAnsi="Arial" w:cs="Arial"/>
        </w:rPr>
        <w:t xml:space="preserve">Understanding the importance of these challenges requires an appropriate research framework. </w:t>
      </w:r>
      <w:r w:rsidR="006B287D" w:rsidRPr="00A2344C">
        <w:rPr>
          <w:rFonts w:ascii="Arial" w:hAnsi="Arial" w:cs="Arial"/>
        </w:rPr>
        <w:t xml:space="preserve">In research, the choice of paradigm significantly influences the approach taken to study a phenomenon. Within quantitative analyses, the positivist paradigm </w:t>
      </w:r>
      <w:r w:rsidR="006B287D" w:rsidRPr="00A2344C">
        <w:rPr>
          <w:rFonts w:ascii="Arial" w:hAnsi="Arial" w:cs="Arial"/>
        </w:rPr>
        <w:lastRenderedPageBreak/>
        <w:t>predominates, emphasising objectivity, measurement, and the search for generalisable truths (Cresswell, 2023)</w:t>
      </w:r>
      <w:r w:rsidR="00657EBC" w:rsidRPr="00A2344C">
        <w:rPr>
          <w:rFonts w:ascii="Arial" w:hAnsi="Arial" w:cs="Arial"/>
        </w:rPr>
        <w:t xml:space="preserve"> This paradigm is underpinned by specific epistemological assumptions, which prioritise empirical evidence and observable phenomena as the basis for knowledge. (Bryman, 201</w:t>
      </w:r>
      <w:r w:rsidR="008F45AD" w:rsidRPr="00A2344C">
        <w:rPr>
          <w:rFonts w:ascii="Arial" w:hAnsi="Arial" w:cs="Arial"/>
        </w:rPr>
        <w:t>5</w:t>
      </w:r>
      <w:r w:rsidR="00657EBC" w:rsidRPr="00A2344C">
        <w:rPr>
          <w:rFonts w:ascii="Arial" w:hAnsi="Arial" w:cs="Arial"/>
        </w:rPr>
        <w:t>)</w:t>
      </w:r>
    </w:p>
    <w:p w14:paraId="197E6761" w14:textId="77777777" w:rsidR="003B22D8" w:rsidRPr="00086E13" w:rsidRDefault="003B22D8" w:rsidP="007E1DCB">
      <w:pPr>
        <w:pStyle w:val="Heading2"/>
        <w:spacing w:line="360" w:lineRule="auto"/>
        <w:jc w:val="both"/>
        <w:rPr>
          <w:rFonts w:ascii="Arial" w:hAnsi="Arial" w:cs="Arial"/>
          <w:b/>
          <w:bCs/>
          <w:sz w:val="24"/>
          <w:szCs w:val="24"/>
        </w:rPr>
      </w:pPr>
      <w:bookmarkStart w:id="12" w:name="_Toc179221819"/>
      <w:r w:rsidRPr="00086E13">
        <w:rPr>
          <w:rFonts w:ascii="Arial" w:hAnsi="Arial" w:cs="Arial"/>
          <w:b/>
          <w:bCs/>
          <w:color w:val="000000" w:themeColor="text1"/>
          <w:sz w:val="24"/>
          <w:szCs w:val="24"/>
        </w:rPr>
        <w:t>Epistemology</w:t>
      </w:r>
      <w:bookmarkEnd w:id="12"/>
    </w:p>
    <w:p w14:paraId="3569EC1B" w14:textId="236CB261" w:rsidR="008F45AD" w:rsidRPr="00A2344C" w:rsidRDefault="003215DE" w:rsidP="007E1DCB">
      <w:pPr>
        <w:spacing w:line="360" w:lineRule="auto"/>
        <w:jc w:val="both"/>
        <w:rPr>
          <w:rFonts w:ascii="Arial" w:hAnsi="Arial" w:cs="Arial"/>
        </w:rPr>
      </w:pPr>
      <w:r w:rsidRPr="00A2344C">
        <w:rPr>
          <w:rFonts w:ascii="Arial" w:hAnsi="Arial" w:cs="Arial"/>
        </w:rPr>
        <w:t>Epistemology in quantitative research is concerned with how the researcher comes to know, relying heavily on statistical methods to derive conclusions from data.</w:t>
      </w:r>
      <w:r w:rsidR="00882C29" w:rsidRPr="00A2344C">
        <w:rPr>
          <w:rFonts w:ascii="Arial" w:hAnsi="Arial" w:cs="Arial"/>
        </w:rPr>
        <w:t xml:space="preserve"> </w:t>
      </w:r>
      <w:r w:rsidRPr="00A2344C">
        <w:rPr>
          <w:rFonts w:ascii="Arial" w:hAnsi="Arial" w:cs="Arial"/>
        </w:rPr>
        <w:t>(Blaikie, 2019)</w:t>
      </w:r>
      <w:r w:rsidR="00882C29" w:rsidRPr="00A2344C">
        <w:rPr>
          <w:rFonts w:ascii="Arial" w:hAnsi="Arial" w:cs="Arial"/>
        </w:rPr>
        <w:t xml:space="preserve"> In the context of this study, which examines the vulnerabilities faced by single-parent families, particularly related to economic hardship and exploitation, the epistemological approach focuses on how knowledge is derived through quantitative methods. </w:t>
      </w:r>
      <w:r w:rsidR="008F45AD" w:rsidRPr="00A2344C">
        <w:rPr>
          <w:rFonts w:ascii="Arial" w:hAnsi="Arial" w:cs="Arial"/>
        </w:rPr>
        <w:t>Epistemology in quantitative research refers to the study of knowledge and its acquisition, focusing on how researchers understand and justify the information they gather through empirical methods. It emphasizes the importance of objectivity, measurement, and the use of statistical tools to generate knowledge about social phenomena (Creswell &amp; Creswell, 2017). In this paradigm, knowledge is viewed as something that can be quantified and tested against hypotheses, leading to conclusions that are generalisable across larger</w:t>
      </w:r>
      <w:r w:rsidR="008F45AD" w:rsidRPr="00A2344C">
        <w:rPr>
          <w:rFonts w:ascii="Arial" w:hAnsi="Arial" w:cs="Arial"/>
        </w:rPr>
        <w:t xml:space="preserve"> populations. </w:t>
      </w:r>
      <w:r w:rsidR="008F45AD" w:rsidRPr="00A2344C">
        <w:rPr>
          <w:rFonts w:ascii="Arial" w:hAnsi="Arial" w:cs="Arial"/>
        </w:rPr>
        <w:t>Quantitative research is grounded in the assumption that there is an objective reality that exists independently of human perception, allowing researchers to observe and measure variables through structured methodologies (Bryman, 201</w:t>
      </w:r>
      <w:r w:rsidR="008F45AD" w:rsidRPr="00A2344C">
        <w:rPr>
          <w:rFonts w:ascii="Arial" w:hAnsi="Arial" w:cs="Arial"/>
        </w:rPr>
        <w:t>5</w:t>
      </w:r>
      <w:r w:rsidR="008F45AD" w:rsidRPr="00A2344C">
        <w:rPr>
          <w:rFonts w:ascii="Arial" w:hAnsi="Arial" w:cs="Arial"/>
        </w:rPr>
        <w:t>). This approach often employs instruments such as surveys and experiments, which produce numerical data that can be statistically analysed.</w:t>
      </w:r>
    </w:p>
    <w:p w14:paraId="5618EA6C" w14:textId="3B416387" w:rsidR="003215DE" w:rsidRPr="00A2344C" w:rsidRDefault="006214D6" w:rsidP="007E1DCB">
      <w:pPr>
        <w:spacing w:line="360" w:lineRule="auto"/>
        <w:jc w:val="both"/>
        <w:rPr>
          <w:rFonts w:ascii="Arial" w:hAnsi="Arial" w:cs="Arial"/>
        </w:rPr>
      </w:pPr>
      <w:r w:rsidRPr="00A2344C">
        <w:rPr>
          <w:rFonts w:ascii="Arial" w:hAnsi="Arial" w:cs="Arial"/>
        </w:rPr>
        <w:t>Epistemology in quantitative research emphasises objective measurement, statistical analysis, and generalisability, allowing researchers to uncover patterns and relationships within data</w:t>
      </w:r>
      <w:r w:rsidRPr="00A2344C">
        <w:rPr>
          <w:rFonts w:ascii="-webkit-standard" w:hAnsi="-webkit-standard"/>
          <w:color w:val="000000"/>
          <w:sz w:val="27"/>
          <w:szCs w:val="27"/>
        </w:rPr>
        <w:t xml:space="preserve"> </w:t>
      </w:r>
      <w:r w:rsidRPr="00A2344C">
        <w:rPr>
          <w:rFonts w:ascii="Arial" w:hAnsi="Arial" w:cs="Arial"/>
        </w:rPr>
        <w:t>(Creswell, 20</w:t>
      </w:r>
      <w:r w:rsidR="0027072B" w:rsidRPr="00A2344C">
        <w:rPr>
          <w:rFonts w:ascii="Arial" w:hAnsi="Arial" w:cs="Arial"/>
        </w:rPr>
        <w:t>23</w:t>
      </w:r>
      <w:r w:rsidRPr="00A2344C">
        <w:rPr>
          <w:rFonts w:ascii="Arial" w:hAnsi="Arial" w:cs="Arial"/>
        </w:rPr>
        <w:t>)</w:t>
      </w:r>
    </w:p>
    <w:p w14:paraId="0C18865D" w14:textId="7F85CB1B" w:rsidR="0027072B" w:rsidRPr="00A2344C" w:rsidRDefault="0027072B" w:rsidP="007E1DCB">
      <w:pPr>
        <w:spacing w:line="360" w:lineRule="auto"/>
        <w:jc w:val="both"/>
        <w:rPr>
          <w:rFonts w:ascii="Arial" w:hAnsi="Arial" w:cs="Arial"/>
        </w:rPr>
      </w:pPr>
      <w:r w:rsidRPr="00A2344C">
        <w:rPr>
          <w:rFonts w:ascii="Arial" w:hAnsi="Arial" w:cs="Arial"/>
        </w:rPr>
        <w:t>Statistical rigour lends credibility to the findings, making it possible to generalise results to broader populations and support policy reforms that could alleviate the risks faced by single-parent households.</w:t>
      </w:r>
      <w:r w:rsidRPr="00A2344C">
        <w:rPr>
          <w:rFonts w:ascii="-webkit-standard" w:hAnsi="-webkit-standard"/>
          <w:color w:val="000000"/>
          <w:sz w:val="27"/>
          <w:szCs w:val="27"/>
        </w:rPr>
        <w:t xml:space="preserve"> </w:t>
      </w:r>
      <w:r w:rsidRPr="00A2344C">
        <w:rPr>
          <w:rFonts w:ascii="Arial" w:hAnsi="Arial" w:cs="Arial"/>
        </w:rPr>
        <w:t>(Field, 2020)</w:t>
      </w:r>
      <w:r w:rsidR="008F45AD" w:rsidRPr="00A2344C">
        <w:rPr>
          <w:rFonts w:ascii="Arial" w:hAnsi="Arial" w:cs="Arial"/>
        </w:rPr>
        <w:t xml:space="preserve"> The epistemological stance in quantitative research supports the use of standardised measures to ensure reliability and validity, </w:t>
      </w:r>
      <w:r w:rsidR="008F45AD" w:rsidRPr="00A2344C">
        <w:rPr>
          <w:rFonts w:ascii="Arial" w:hAnsi="Arial" w:cs="Arial"/>
        </w:rPr>
        <w:t>thereby enhancing the credibility of findings</w:t>
      </w:r>
      <w:r w:rsidR="008F45AD" w:rsidRPr="00A2344C">
        <w:rPr>
          <w:rFonts w:ascii="Arial" w:hAnsi="Arial" w:cs="Arial"/>
        </w:rPr>
        <w:t xml:space="preserve">. </w:t>
      </w:r>
      <w:r w:rsidR="008F45AD" w:rsidRPr="00A2344C">
        <w:rPr>
          <w:rFonts w:ascii="Arial" w:hAnsi="Arial" w:cs="Arial"/>
        </w:rPr>
        <w:t>(Polit &amp; Beck, 2017)</w:t>
      </w:r>
      <w:r w:rsidR="0077768A" w:rsidRPr="00A2344C">
        <w:rPr>
          <w:rFonts w:ascii="Arial" w:hAnsi="Arial" w:cs="Arial"/>
        </w:rPr>
        <w:t xml:space="preserve"> </w:t>
      </w:r>
      <w:r w:rsidR="0077768A" w:rsidRPr="00A2344C">
        <w:rPr>
          <w:rFonts w:ascii="Arial" w:hAnsi="Arial" w:cs="Arial"/>
        </w:rPr>
        <w:t xml:space="preserve">Researchers must be vigilant about biases that may influence data collection and interpretation, as these can compromise the integrity of knowledge produced. </w:t>
      </w:r>
      <w:r w:rsidR="0077768A" w:rsidRPr="00A2344C">
        <w:rPr>
          <w:rFonts w:ascii="Arial" w:hAnsi="Arial" w:cs="Arial"/>
        </w:rPr>
        <w:lastRenderedPageBreak/>
        <w:t>Ultimately, a robust epistemological framework is vital for advancing understanding in various fields, particularly when addressing complex social issues</w:t>
      </w:r>
      <w:r w:rsidR="0077768A" w:rsidRPr="00A2344C">
        <w:rPr>
          <w:rFonts w:ascii="Arial" w:hAnsi="Arial" w:cs="Arial"/>
        </w:rPr>
        <w:t>.</w:t>
      </w:r>
    </w:p>
    <w:p w14:paraId="2EADEB81" w14:textId="77777777" w:rsidR="00E90352" w:rsidRPr="00086E13" w:rsidRDefault="00E90352" w:rsidP="007E1DCB">
      <w:pPr>
        <w:pStyle w:val="Heading2"/>
        <w:spacing w:line="360" w:lineRule="auto"/>
        <w:jc w:val="both"/>
        <w:rPr>
          <w:rFonts w:ascii="Arial" w:hAnsi="Arial" w:cs="Arial"/>
          <w:b/>
          <w:bCs/>
          <w:color w:val="000000" w:themeColor="text1"/>
          <w:sz w:val="24"/>
          <w:szCs w:val="24"/>
        </w:rPr>
      </w:pPr>
      <w:bookmarkStart w:id="13" w:name="_Toc179221820"/>
      <w:r w:rsidRPr="00086E13">
        <w:rPr>
          <w:rFonts w:ascii="Arial" w:hAnsi="Arial" w:cs="Arial"/>
          <w:b/>
          <w:bCs/>
          <w:color w:val="000000" w:themeColor="text1"/>
          <w:sz w:val="24"/>
          <w:szCs w:val="24"/>
        </w:rPr>
        <w:t>Ontology</w:t>
      </w:r>
      <w:bookmarkEnd w:id="13"/>
    </w:p>
    <w:p w14:paraId="273E5FA1" w14:textId="3919D7B0" w:rsidR="00A74608" w:rsidRPr="00A2344C" w:rsidRDefault="003923F9" w:rsidP="007E1DCB">
      <w:pPr>
        <w:spacing w:line="360" w:lineRule="auto"/>
        <w:jc w:val="both"/>
        <w:rPr>
          <w:rFonts w:eastAsiaTheme="minorEastAsia"/>
          <w:noProof/>
          <w:lang w:eastAsia="en-GB"/>
        </w:rPr>
      </w:pPr>
      <w:r w:rsidRPr="00A2344C">
        <w:rPr>
          <w:rFonts w:ascii="Arial" w:hAnsi="Arial" w:cs="Arial"/>
        </w:rPr>
        <w:t xml:space="preserve">The ontological stance is typically realist, positing that an objective reality exists independent of our perceptions, which can be quantified and analysed through rigorous methodologies. </w:t>
      </w:r>
      <w:r w:rsidR="0080463F" w:rsidRPr="00A2344C">
        <w:rPr>
          <w:rFonts w:ascii="Arial" w:hAnsi="Arial" w:cs="Arial"/>
        </w:rPr>
        <w:t xml:space="preserve">Ontology in this study refers to the nature of reality that the research seeks to understand, particularly regarding the lived experiences and challenges faced by single-parent families. In quantitative research, ontology typically assumes a realist perspective, meaning that there is an objective reality that can be measured and quantified through empirical data. This study assumes that economic hardship, social exclusion, and risks of exploitation, are real phenomena </w:t>
      </w:r>
      <w:r w:rsidR="0077208C" w:rsidRPr="00A2344C">
        <w:rPr>
          <w:rFonts w:ascii="Arial" w:hAnsi="Arial" w:cs="Arial"/>
        </w:rPr>
        <w:t>that can be objectively observed and analysed through statistical means.</w:t>
      </w:r>
      <w:r w:rsidR="003F1EE7" w:rsidRPr="00A2344C">
        <w:rPr>
          <w:rFonts w:ascii="Arial" w:hAnsi="Arial" w:cs="Arial"/>
        </w:rPr>
        <w:t xml:space="preserve"> (Creswell, 2023)</w:t>
      </w:r>
      <w:r w:rsidR="005D157E" w:rsidRPr="00A2344C">
        <w:rPr>
          <w:rFonts w:ascii="Arial" w:hAnsi="Arial" w:cs="Arial"/>
        </w:rPr>
        <w:t xml:space="preserve"> </w:t>
      </w:r>
      <w:r w:rsidR="005D157E" w:rsidRPr="00A2344C">
        <w:rPr>
          <w:rFonts w:ascii="Arial" w:hAnsi="Arial" w:cs="Arial"/>
        </w:rPr>
        <w:t>Ontology in quantitative research pertains to the nature of reality and the assumptions that researchers hold about what constitutes knowledge and truth. Typically, the ontological stance in quantitative research is rooted in realism, which posits that an objective reality exists independently of human perception. This perspective suggests that phenomena can be measured and quantified through empirical method</w:t>
      </w:r>
      <w:r w:rsidR="005D157E" w:rsidRPr="00A2344C">
        <w:rPr>
          <w:rFonts w:ascii="Arial" w:hAnsi="Arial" w:cs="Arial"/>
        </w:rPr>
        <w:t xml:space="preserve">s. </w:t>
      </w:r>
      <w:r w:rsidR="005D157E" w:rsidRPr="00A2344C">
        <w:rPr>
          <w:rFonts w:ascii="Arial" w:hAnsi="Arial" w:cs="Arial"/>
        </w:rPr>
        <w:t>(Creswell &amp; Creswell, 2017)</w:t>
      </w:r>
      <w:r w:rsidR="005D157E" w:rsidRPr="00A2344C">
        <w:rPr>
          <w:rFonts w:ascii="Arial" w:hAnsi="Arial" w:cs="Arial"/>
        </w:rPr>
        <w:t xml:space="preserve"> In studying social issues, such as the challenges faced by single-parent families, this ontological approach allows researchers to identify and quantify factors such as economic hardship, social exclusion and risk of exploitation. </w:t>
      </w:r>
      <w:r w:rsidR="00CD0D03" w:rsidRPr="00A2344C">
        <w:rPr>
          <w:rFonts w:ascii="Arial" w:hAnsi="Arial" w:cs="Arial"/>
        </w:rPr>
        <w:t>Furthermore, ontology influences the formulation of research questions and hypotheses, guiding researchers in their investigation of causal relationships among variables</w:t>
      </w:r>
      <w:r w:rsidR="00CD0D03" w:rsidRPr="00A2344C">
        <w:rPr>
          <w:rFonts w:ascii="Arial" w:hAnsi="Arial" w:cs="Arial"/>
        </w:rPr>
        <w:t xml:space="preserve">. </w:t>
      </w:r>
      <w:r w:rsidR="00CD0D03" w:rsidRPr="00A2344C">
        <w:rPr>
          <w:rFonts w:ascii="Arial" w:hAnsi="Arial" w:cs="Arial"/>
        </w:rPr>
        <w:t>(Bryman, 201</w:t>
      </w:r>
      <w:r w:rsidR="008F45AD" w:rsidRPr="00A2344C">
        <w:rPr>
          <w:rFonts w:ascii="Arial" w:hAnsi="Arial" w:cs="Arial"/>
        </w:rPr>
        <w:t>5</w:t>
      </w:r>
      <w:r w:rsidR="00CD0D03" w:rsidRPr="00A2344C">
        <w:rPr>
          <w:rFonts w:ascii="Arial" w:hAnsi="Arial" w:cs="Arial"/>
        </w:rPr>
        <w:t>)</w:t>
      </w:r>
      <w:r w:rsidR="00CD0D03" w:rsidRPr="00A2344C">
        <w:rPr>
          <w:rFonts w:ascii="Arial" w:hAnsi="Arial" w:cs="Arial"/>
        </w:rPr>
        <w:t xml:space="preserve"> </w:t>
      </w:r>
      <w:r w:rsidR="00CD0D03" w:rsidRPr="00A2344C">
        <w:rPr>
          <w:rFonts w:ascii="Arial" w:hAnsi="Arial" w:cs="Arial"/>
        </w:rPr>
        <w:t xml:space="preserve">For example, researchers might explore the relationship between single-parent status and economic stability, </w:t>
      </w:r>
      <w:r w:rsidR="007268AB" w:rsidRPr="00A2344C">
        <w:rPr>
          <w:rFonts w:ascii="Arial" w:hAnsi="Arial" w:cs="Arial"/>
        </w:rPr>
        <w:t>if</w:t>
      </w:r>
      <w:r w:rsidR="00CD0D03" w:rsidRPr="00A2344C">
        <w:rPr>
          <w:rFonts w:ascii="Arial" w:hAnsi="Arial" w:cs="Arial"/>
        </w:rPr>
        <w:t xml:space="preserve"> objective measures of income and social support can reveal significant insights. This emphasis on measurable variables not only enhances the validity of findings but also supports the generalization of results to broader populations. Ultimately, a realist ontological perspective in quantitative research facilitates a rigorous examination of social realities, contributing to a deeper understanding of the issues at hand</w:t>
      </w:r>
      <w:r w:rsidR="00CD0D03" w:rsidRPr="00A2344C">
        <w:rPr>
          <w:rFonts w:ascii="Arial" w:hAnsi="Arial" w:cs="Arial"/>
        </w:rPr>
        <w:t xml:space="preserve">. </w:t>
      </w:r>
      <w:r w:rsidR="00CD0D03" w:rsidRPr="00A2344C">
        <w:rPr>
          <w:rFonts w:ascii="Arial" w:hAnsi="Arial" w:cs="Arial"/>
        </w:rPr>
        <w:t>(</w:t>
      </w:r>
      <w:proofErr w:type="spellStart"/>
      <w:r w:rsidR="00CD0D03" w:rsidRPr="00A2344C">
        <w:rPr>
          <w:rFonts w:ascii="Arial" w:hAnsi="Arial" w:cs="Arial"/>
        </w:rPr>
        <w:t>Laerkner</w:t>
      </w:r>
      <w:proofErr w:type="spellEnd"/>
      <w:r w:rsidR="00CD0D03" w:rsidRPr="00A2344C">
        <w:rPr>
          <w:rFonts w:ascii="Arial" w:hAnsi="Arial" w:cs="Arial"/>
        </w:rPr>
        <w:t xml:space="preserve"> et al., 2015)</w:t>
      </w:r>
    </w:p>
    <w:p w14:paraId="0626DCF3" w14:textId="296F37DD" w:rsidR="00E90352" w:rsidRPr="00086E13" w:rsidRDefault="00E90352" w:rsidP="007E1DCB">
      <w:pPr>
        <w:pStyle w:val="Heading2"/>
        <w:spacing w:line="360" w:lineRule="auto"/>
        <w:jc w:val="both"/>
        <w:rPr>
          <w:rFonts w:ascii="Arial" w:eastAsiaTheme="minorEastAsia" w:hAnsi="Arial" w:cs="Arial"/>
          <w:b/>
          <w:bCs/>
          <w:noProof/>
          <w:color w:val="000000" w:themeColor="text1"/>
          <w:sz w:val="24"/>
          <w:szCs w:val="24"/>
          <w:lang w:eastAsia="en-GB"/>
        </w:rPr>
      </w:pPr>
      <w:bookmarkStart w:id="14" w:name="_Toc179221821"/>
      <w:r w:rsidRPr="00086E13">
        <w:rPr>
          <w:rFonts w:ascii="Arial" w:eastAsiaTheme="minorEastAsia" w:hAnsi="Arial" w:cs="Arial"/>
          <w:b/>
          <w:bCs/>
          <w:noProof/>
          <w:color w:val="000000" w:themeColor="text1"/>
          <w:sz w:val="24"/>
          <w:szCs w:val="24"/>
          <w:lang w:eastAsia="en-GB"/>
        </w:rPr>
        <w:t>Axiology</w:t>
      </w:r>
      <w:bookmarkEnd w:id="14"/>
    </w:p>
    <w:p w14:paraId="7A25E86F" w14:textId="52798821" w:rsidR="00E90352" w:rsidRPr="00A2344C" w:rsidRDefault="00834D6A" w:rsidP="007E1DCB">
      <w:pPr>
        <w:spacing w:line="360" w:lineRule="auto"/>
        <w:jc w:val="both"/>
        <w:rPr>
          <w:rFonts w:ascii="Arial" w:hAnsi="Arial" w:cs="Arial"/>
        </w:rPr>
      </w:pPr>
      <w:r w:rsidRPr="00A2344C">
        <w:rPr>
          <w:rFonts w:ascii="Arial" w:hAnsi="Arial" w:cs="Arial"/>
        </w:rPr>
        <w:t xml:space="preserve">In the context of single-parent families, poverty and potential inclination to criminality, axiology involves the values and ethical considerations that shape how the topics are </w:t>
      </w:r>
      <w:r w:rsidRPr="00A2344C">
        <w:rPr>
          <w:rFonts w:ascii="Arial" w:hAnsi="Arial" w:cs="Arial"/>
        </w:rPr>
        <w:lastRenderedPageBreak/>
        <w:t>research, understood and addressed. Axiology here focuses on how societal attitudes and the researcher’s own values influence the framing of single-parent families' challenges, the ethical responsibility to represent them fairly, and how interventions are proposed to mitigate risks such as poverty and criminality. (Stack &amp; Meredith, 2017)</w:t>
      </w:r>
    </w:p>
    <w:p w14:paraId="7A41DF59" w14:textId="52E8779B" w:rsidR="002271DE" w:rsidRPr="00A2344C" w:rsidRDefault="002271DE" w:rsidP="007E1DCB">
      <w:pPr>
        <w:spacing w:line="360" w:lineRule="auto"/>
        <w:jc w:val="both"/>
        <w:rPr>
          <w:rFonts w:ascii="Arial" w:hAnsi="Arial" w:cs="Arial"/>
        </w:rPr>
      </w:pPr>
      <w:r w:rsidRPr="00A2344C">
        <w:rPr>
          <w:rFonts w:ascii="Arial" w:hAnsi="Arial" w:cs="Arial"/>
        </w:rPr>
        <w:t xml:space="preserve">Axiology in quantitative research pertains to the values and ethical principles that guide researchers in their study of social phenomena. In the context of single-parent families, it is crucial to consider how societal </w:t>
      </w:r>
      <w:r w:rsidRPr="00A2344C">
        <w:rPr>
          <w:rFonts w:ascii="Arial" w:hAnsi="Arial" w:cs="Arial"/>
        </w:rPr>
        <w:t>values,</w:t>
      </w:r>
      <w:r w:rsidRPr="00A2344C">
        <w:rPr>
          <w:rFonts w:ascii="Arial" w:hAnsi="Arial" w:cs="Arial"/>
        </w:rPr>
        <w:t xml:space="preserve"> and personal biases influence the research process, from framing the research questions to interpreting the results. Researchers must be aware of their own values and the potential impact these may have on the research outcomes.</w:t>
      </w:r>
      <w:r w:rsidRPr="00A2344C">
        <w:rPr>
          <w:rFonts w:ascii="Arial" w:hAnsi="Arial" w:cs="Arial"/>
        </w:rPr>
        <w:t xml:space="preserve"> </w:t>
      </w:r>
      <w:r w:rsidRPr="00A2344C">
        <w:rPr>
          <w:rFonts w:ascii="Arial" w:hAnsi="Arial" w:cs="Arial"/>
        </w:rPr>
        <w:t>(Bryman, 201</w:t>
      </w:r>
      <w:r w:rsidR="008F45AD" w:rsidRPr="00A2344C">
        <w:rPr>
          <w:rFonts w:ascii="Arial" w:hAnsi="Arial" w:cs="Arial"/>
        </w:rPr>
        <w:t>5</w:t>
      </w:r>
      <w:r w:rsidRPr="00A2344C">
        <w:rPr>
          <w:rFonts w:ascii="Arial" w:hAnsi="Arial" w:cs="Arial"/>
        </w:rPr>
        <w:t>)</w:t>
      </w:r>
      <w:r w:rsidRPr="00A2344C">
        <w:rPr>
          <w:rFonts w:ascii="Arial" w:hAnsi="Arial" w:cs="Arial"/>
        </w:rPr>
        <w:t xml:space="preserve"> </w:t>
      </w:r>
      <w:r w:rsidRPr="00A2344C">
        <w:rPr>
          <w:rFonts w:ascii="Arial" w:hAnsi="Arial" w:cs="Arial"/>
        </w:rPr>
        <w:t>For example, when studying the challenges faced by single-parent families, it is essential to avoid perpetuating stereotypes that could stigmatize these families. This requires a commitment to ethical representation and the fair portrayal of participants' experiences.</w:t>
      </w:r>
      <w:r w:rsidRPr="00A2344C">
        <w:rPr>
          <w:rFonts w:ascii="Arial" w:hAnsi="Arial" w:cs="Arial"/>
        </w:rPr>
        <w:t xml:space="preserve"> </w:t>
      </w:r>
      <w:r w:rsidRPr="00A2344C">
        <w:rPr>
          <w:rFonts w:ascii="Arial" w:hAnsi="Arial" w:cs="Arial"/>
        </w:rPr>
        <w:t>(Creswell &amp; Creswell, 2017)</w:t>
      </w:r>
      <w:r w:rsidRPr="00A2344C">
        <w:rPr>
          <w:rFonts w:ascii="Arial" w:hAnsi="Arial" w:cs="Arial"/>
        </w:rPr>
        <w:t xml:space="preserve"> </w:t>
      </w:r>
      <w:r w:rsidRPr="00A2344C">
        <w:rPr>
          <w:rFonts w:ascii="Arial" w:hAnsi="Arial" w:cs="Arial"/>
        </w:rPr>
        <w:t>Moreover, axiology informs the choice of interventions proposed to address issues such as poverty and potential criminality. Researchers should aim to develop solutions that are grounded in the lived experiences of single-parent families and consider the broader societal context that shapes their circumstances (Polit &amp; Beck, 2017). By adopting an ethical framework, researchers can ensure that their work contributes to positive change, rather than reinforcing existing inequalities.</w:t>
      </w:r>
      <w:r w:rsidRPr="00A2344C">
        <w:rPr>
          <w:rFonts w:ascii="Arial" w:hAnsi="Arial" w:cs="Arial"/>
        </w:rPr>
        <w:t xml:space="preserve"> Ultimately, a robust understanding of axiology enhances the integrity and relevance of quantitative research in addressing complex social issues. </w:t>
      </w:r>
    </w:p>
    <w:p w14:paraId="5363B70F" w14:textId="03F6CB38" w:rsidR="008E29AB" w:rsidRPr="00A2344C" w:rsidRDefault="008E29AB" w:rsidP="007E1DCB">
      <w:pPr>
        <w:spacing w:line="360" w:lineRule="auto"/>
        <w:jc w:val="both"/>
        <w:rPr>
          <w:rFonts w:ascii="Arial" w:hAnsi="Arial" w:cs="Arial"/>
        </w:rPr>
      </w:pPr>
      <w:r w:rsidRPr="00A2344C">
        <w:rPr>
          <w:rFonts w:ascii="Arial" w:hAnsi="Arial" w:cs="Arial"/>
        </w:rPr>
        <w:t>In examining the interplay between single-parent families, poverty, and criminality, axiology plays a pivotal role in guiding the research process. Axiology emphasizes the significance of values and ethics in shaping both the research questions posed and the interpretation of findings. Researchers must be acutely aware of their own biases and the societal norms that influence perceptions of single-parent families. This awareness is crucial in ensuring that research does not</w:t>
      </w:r>
      <w:r w:rsidRPr="00A2344C">
        <w:rPr>
          <w:rFonts w:ascii="Arial" w:hAnsi="Arial" w:cs="Arial"/>
        </w:rPr>
        <w:t xml:space="preserve"> perpetuate stereotypes or stigmatise these families, especially in the context of poverty and criminal behaviour. </w:t>
      </w:r>
      <w:r w:rsidR="00485B81" w:rsidRPr="00A2344C">
        <w:rPr>
          <w:rFonts w:ascii="Arial" w:hAnsi="Arial" w:cs="Arial"/>
        </w:rPr>
        <w:t xml:space="preserve">Furthermore, ethical considerations necessitate a commitment to portraying the lived experiences of single-parent families authentically, thereby informing the development of interventions that are sensitive to their unique challenges. By prioritising ethical responsibility and value-based inquiry, researchers can contribute to a more nuanced </w:t>
      </w:r>
      <w:r w:rsidR="00485B81" w:rsidRPr="00A2344C">
        <w:rPr>
          <w:rFonts w:ascii="Arial" w:hAnsi="Arial" w:cs="Arial"/>
        </w:rPr>
        <w:lastRenderedPageBreak/>
        <w:t xml:space="preserve">understanding of the complexities surrounding single-parent families and advocate for policies that address their needs effectively. </w:t>
      </w:r>
      <w:r w:rsidRPr="00A2344C">
        <w:rPr>
          <w:rFonts w:ascii="Arial" w:hAnsi="Arial" w:cs="Arial"/>
        </w:rPr>
        <w:t>(</w:t>
      </w:r>
      <w:proofErr w:type="spellStart"/>
      <w:r w:rsidRPr="00A2344C">
        <w:rPr>
          <w:rFonts w:ascii="Arial" w:hAnsi="Arial" w:cs="Arial"/>
        </w:rPr>
        <w:t>McLanahan</w:t>
      </w:r>
      <w:proofErr w:type="spellEnd"/>
      <w:r w:rsidRPr="00A2344C">
        <w:rPr>
          <w:rFonts w:ascii="Arial" w:hAnsi="Arial" w:cs="Arial"/>
        </w:rPr>
        <w:t xml:space="preserve"> &amp; </w:t>
      </w:r>
      <w:proofErr w:type="spellStart"/>
      <w:r w:rsidRPr="00A2344C">
        <w:rPr>
          <w:rFonts w:ascii="Arial" w:hAnsi="Arial" w:cs="Arial"/>
        </w:rPr>
        <w:t>Sandefur</w:t>
      </w:r>
      <w:proofErr w:type="spellEnd"/>
      <w:r w:rsidRPr="00A2344C">
        <w:rPr>
          <w:rFonts w:ascii="Arial" w:hAnsi="Arial" w:cs="Arial"/>
        </w:rPr>
        <w:t>, 1996)</w:t>
      </w:r>
    </w:p>
    <w:p w14:paraId="369BA407" w14:textId="77777777" w:rsidR="007268AB" w:rsidRPr="00086E13" w:rsidRDefault="003A10AF" w:rsidP="007E1DCB">
      <w:pPr>
        <w:pStyle w:val="Heading2"/>
        <w:spacing w:line="360" w:lineRule="auto"/>
        <w:jc w:val="both"/>
        <w:rPr>
          <w:rFonts w:ascii="Arial" w:hAnsi="Arial" w:cs="Arial"/>
          <w:b/>
          <w:bCs/>
          <w:color w:val="000000" w:themeColor="text1"/>
          <w:sz w:val="24"/>
          <w:szCs w:val="24"/>
        </w:rPr>
      </w:pPr>
      <w:bookmarkStart w:id="15" w:name="_Toc179221822"/>
      <w:r w:rsidRPr="00086E13">
        <w:rPr>
          <w:rFonts w:ascii="Arial" w:hAnsi="Arial" w:cs="Arial"/>
          <w:b/>
          <w:bCs/>
          <w:color w:val="000000" w:themeColor="text1"/>
          <w:sz w:val="24"/>
          <w:szCs w:val="24"/>
        </w:rPr>
        <w:t>Methodology</w:t>
      </w:r>
      <w:bookmarkEnd w:id="15"/>
    </w:p>
    <w:p w14:paraId="53AF140F" w14:textId="753969C5" w:rsidR="00DC18CD" w:rsidRPr="007268AB" w:rsidRDefault="003A10AF" w:rsidP="007E1DCB">
      <w:pPr>
        <w:spacing w:line="360" w:lineRule="auto"/>
        <w:jc w:val="both"/>
        <w:rPr>
          <w:rFonts w:ascii="Arial" w:hAnsi="Arial" w:cs="Arial"/>
          <w:b/>
          <w:bCs/>
        </w:rPr>
      </w:pPr>
      <w:r w:rsidRPr="00A2344C">
        <w:rPr>
          <w:rFonts w:ascii="Arial" w:hAnsi="Arial" w:cs="Arial"/>
        </w:rPr>
        <w:t>For this study, a quantitative research design was adopted, utilizing secondary data to investigate the challenges and vulnerabilities faced by single-parent families, particularly in relation to poverty and potential criminality. Secondary data refers to data that has been collected and made available by another researcher or organization for purposes other than the current study.</w:t>
      </w:r>
      <w:r w:rsidR="000B26F0" w:rsidRPr="00A2344C">
        <w:rPr>
          <w:rFonts w:ascii="Arial" w:hAnsi="Arial" w:cs="Arial"/>
        </w:rPr>
        <w:t xml:space="preserve"> (Pederson et al., 2020)</w:t>
      </w:r>
      <w:r w:rsidR="00831FC7" w:rsidRPr="00A2344C">
        <w:rPr>
          <w:rFonts w:ascii="Arial" w:hAnsi="Arial" w:cs="Arial"/>
        </w:rPr>
        <w:t xml:space="preserve"> Using this type of data allows the researcher to analyse pre-existing datasets, saving time and resources while accessing larger samples, which strengthens the reliability of the findings. (</w:t>
      </w:r>
      <w:proofErr w:type="spellStart"/>
      <w:r w:rsidR="00831FC7" w:rsidRPr="00A2344C">
        <w:rPr>
          <w:rFonts w:ascii="Arial" w:hAnsi="Arial" w:cs="Arial"/>
        </w:rPr>
        <w:t>Vartanian</w:t>
      </w:r>
      <w:proofErr w:type="spellEnd"/>
      <w:r w:rsidR="00831FC7" w:rsidRPr="00A2344C">
        <w:rPr>
          <w:rFonts w:ascii="Arial" w:hAnsi="Arial" w:cs="Arial"/>
        </w:rPr>
        <w:t>, 2011)</w:t>
      </w:r>
      <w:r w:rsidR="00833537" w:rsidRPr="00A2344C">
        <w:rPr>
          <w:rFonts w:ascii="Arial" w:hAnsi="Arial" w:cs="Arial"/>
        </w:rPr>
        <w:t xml:space="preserve"> In this study, data were sourced from official university records. The use of secondary data is advantageous in this context as it enables the researcher to explore existing patterns and relationships without the need for primary data collection, making the process both cost-effective and time efficient. This approach leverages pre-collected, reliable data, allowing for in-depth analysis while saving on resources and time required for gathering new information. (Pederson et al., 2020)</w:t>
      </w:r>
    </w:p>
    <w:p w14:paraId="5C0B40E0" w14:textId="4765DFF2" w:rsidR="00A74608" w:rsidRPr="00A2344C" w:rsidRDefault="00DC18CD" w:rsidP="007E1DCB">
      <w:pPr>
        <w:spacing w:line="360" w:lineRule="auto"/>
        <w:jc w:val="both"/>
        <w:rPr>
          <w:rFonts w:ascii="Arial" w:hAnsi="Arial" w:cs="Arial"/>
        </w:rPr>
      </w:pPr>
      <w:r w:rsidRPr="00A2344C">
        <w:rPr>
          <w:rFonts w:ascii="Arial" w:hAnsi="Arial" w:cs="Arial"/>
        </w:rPr>
        <w:t>The worksheet provided includes a set of notes that elaborate on definitions and key considerations related to family structures and households in the UK. The key points are family definition, civil partnerships and same-sex marriages, household definitions, lone parent families. These classifications allow researchers and policymakers to analyse trends, address social issues, and allocate resources effectively. The evolving definitions reflect changes in societal norms regarding family structures, including the recognition of same-sex couples and diverse living arrangements.</w:t>
      </w:r>
    </w:p>
    <w:p w14:paraId="581BD044" w14:textId="437F8263" w:rsidR="00F54E2C" w:rsidRPr="00086E13" w:rsidRDefault="00F54E2C" w:rsidP="007E1DCB">
      <w:pPr>
        <w:pStyle w:val="Heading1"/>
        <w:spacing w:line="360" w:lineRule="auto"/>
        <w:jc w:val="both"/>
        <w:rPr>
          <w:rFonts w:ascii="Arial" w:hAnsi="Arial" w:cs="Arial"/>
          <w:b/>
          <w:bCs/>
          <w:color w:val="000000" w:themeColor="text1"/>
          <w:sz w:val="24"/>
          <w:szCs w:val="24"/>
        </w:rPr>
      </w:pPr>
      <w:bookmarkStart w:id="16" w:name="_Toc179221823"/>
      <w:r w:rsidRPr="00086E13">
        <w:rPr>
          <w:rFonts w:ascii="Arial" w:hAnsi="Arial" w:cs="Arial"/>
          <w:b/>
          <w:bCs/>
          <w:color w:val="000000" w:themeColor="text1"/>
          <w:sz w:val="24"/>
          <w:szCs w:val="24"/>
        </w:rPr>
        <w:t>Data Analysis in SPSS</w:t>
      </w:r>
      <w:bookmarkEnd w:id="16"/>
    </w:p>
    <w:p w14:paraId="3267A8F7" w14:textId="68DB6A50" w:rsidR="00A74608" w:rsidRPr="00A2344C" w:rsidRDefault="00F54E2C" w:rsidP="007E1DCB">
      <w:pPr>
        <w:spacing w:line="360" w:lineRule="auto"/>
        <w:jc w:val="both"/>
        <w:rPr>
          <w:rFonts w:ascii="Arial" w:hAnsi="Arial" w:cs="Arial"/>
        </w:rPr>
      </w:pPr>
      <w:r w:rsidRPr="00A2344C">
        <w:rPr>
          <w:rFonts w:ascii="Arial" w:hAnsi="Arial" w:cs="Arial"/>
        </w:rPr>
        <w:t>To analyse the data, SPSS (Statistical Package for the Social Sciences) was utilized for its versatility in handling large datasets and performing diverse statistical analyses. It is widely favoured in quantitative data analysis due to its capability to manage complex datasets and produce reliable results. One of SPSS's primary strengths lies in its user-friendly interface, designed particularly for non-technical users in fields like social sciences. This accessibility makes it straightforward to start analysing data without needing prior programming knowledge, ensuring its applicability in various quantitative analyses.</w:t>
      </w:r>
      <w:r w:rsidR="00B23BC6" w:rsidRPr="00A2344C">
        <w:rPr>
          <w:rFonts w:ascii="Arial" w:hAnsi="Arial" w:cs="Arial"/>
        </w:rPr>
        <w:t xml:space="preserve"> (Rahman &amp; </w:t>
      </w:r>
      <w:proofErr w:type="spellStart"/>
      <w:r w:rsidR="00B23BC6" w:rsidRPr="00A2344C">
        <w:rPr>
          <w:rFonts w:ascii="Arial" w:hAnsi="Arial" w:cs="Arial"/>
        </w:rPr>
        <w:t>Muktadir</w:t>
      </w:r>
      <w:proofErr w:type="spellEnd"/>
      <w:r w:rsidR="00B23BC6" w:rsidRPr="00A2344C">
        <w:rPr>
          <w:rFonts w:ascii="Arial" w:hAnsi="Arial" w:cs="Arial"/>
        </w:rPr>
        <w:t>, 2021)</w:t>
      </w:r>
    </w:p>
    <w:p w14:paraId="7AAFD8BD" w14:textId="77777777" w:rsidR="0033590C" w:rsidRPr="00A2344C" w:rsidRDefault="00D0023D" w:rsidP="007E1DCB">
      <w:pPr>
        <w:spacing w:line="360" w:lineRule="auto"/>
        <w:jc w:val="both"/>
        <w:rPr>
          <w:rFonts w:ascii="Arial" w:hAnsi="Arial" w:cs="Arial"/>
        </w:rPr>
      </w:pPr>
      <w:r w:rsidRPr="00A2344C">
        <w:rPr>
          <w:rFonts w:ascii="Arial" w:hAnsi="Arial" w:cs="Arial"/>
        </w:rPr>
        <w:lastRenderedPageBreak/>
        <w:t>In analysing secondary data related to single-parent families, various statistical techniques can be employed to explore relationships and differences among variables.</w:t>
      </w:r>
      <w:r w:rsidR="0033590C" w:rsidRPr="00A2344C">
        <w:rPr>
          <w:rFonts w:ascii="Arial" w:hAnsi="Arial" w:cs="Arial"/>
        </w:rPr>
        <w:t xml:space="preserve"> These techniques in SPSS can help explore relationships, differences, and outcomes among the variables involved. Descriptive analyses summarise and describe the characteristics of the dataset. It technically measures the central tendency (mean, median, mode) and frequency distributions (Field, 2024) to provide insights into the financial difficulties and social exclusion faced by single-parent families.</w:t>
      </w:r>
    </w:p>
    <w:p w14:paraId="7497278E" w14:textId="77777777" w:rsidR="00305C67" w:rsidRPr="00A2344C" w:rsidRDefault="00FA1ACB" w:rsidP="007E1DCB">
      <w:pPr>
        <w:spacing w:line="360" w:lineRule="auto"/>
        <w:jc w:val="both"/>
        <w:rPr>
          <w:rFonts w:ascii="Arial" w:hAnsi="Arial" w:cs="Arial"/>
        </w:rPr>
      </w:pPr>
      <w:r w:rsidRPr="00A2344C">
        <w:rPr>
          <w:rFonts w:ascii="Arial" w:hAnsi="Arial" w:cs="Arial"/>
        </w:rPr>
        <w:t xml:space="preserve">There are two primary types of correlation coefficients: Pearson's product-moment correlation coefficient and Spearman's rank correlation coefficient. The appropriate choice of which correlation coefficient to use depends on the nature of the variables being analysed. </w:t>
      </w:r>
      <w:r w:rsidR="0033590C" w:rsidRPr="00A2344C">
        <w:rPr>
          <w:rFonts w:ascii="Arial" w:hAnsi="Arial" w:cs="Arial"/>
        </w:rPr>
        <w:t xml:space="preserve">This analysis helps whether increases in one variable are associated with increases or decreases in another, providing insights into potential correlations between financial and social factors. </w:t>
      </w:r>
      <w:r w:rsidRPr="00A2344C">
        <w:rPr>
          <w:rFonts w:ascii="Arial" w:hAnsi="Arial" w:cs="Arial"/>
        </w:rPr>
        <w:t>(</w:t>
      </w:r>
      <w:proofErr w:type="spellStart"/>
      <w:r w:rsidRPr="00A2344C">
        <w:rPr>
          <w:rFonts w:ascii="Arial" w:hAnsi="Arial" w:cs="Arial"/>
        </w:rPr>
        <w:t>Witz</w:t>
      </w:r>
      <w:proofErr w:type="spellEnd"/>
      <w:r w:rsidRPr="00A2344C">
        <w:rPr>
          <w:rFonts w:ascii="Arial" w:hAnsi="Arial" w:cs="Arial"/>
        </w:rPr>
        <w:t xml:space="preserve"> et al., 1990) </w:t>
      </w:r>
      <w:r w:rsidR="00FA4918" w:rsidRPr="00A2344C">
        <w:rPr>
          <w:rFonts w:ascii="Arial" w:hAnsi="Arial" w:cs="Arial"/>
        </w:rPr>
        <w:t>Pearson correlation assesses the strength and direction of linear relationships between scale variables, while Chi-square tests evaluate associations between categorical variables.</w:t>
      </w:r>
      <w:r w:rsidR="0033590C" w:rsidRPr="00A2344C">
        <w:rPr>
          <w:rFonts w:ascii="Arial" w:hAnsi="Arial" w:cs="Arial"/>
        </w:rPr>
        <w:t xml:space="preserve"> Chi-square test</w:t>
      </w:r>
      <w:r w:rsidR="00305C67" w:rsidRPr="00A2344C">
        <w:rPr>
          <w:rFonts w:ascii="Arial" w:hAnsi="Arial" w:cs="Arial"/>
        </w:rPr>
        <w:t>s</w:t>
      </w:r>
      <w:r w:rsidR="0033590C" w:rsidRPr="00A2344C">
        <w:rPr>
          <w:rFonts w:ascii="Arial" w:hAnsi="Arial" w:cs="Arial"/>
        </w:rPr>
        <w:t xml:space="preserve"> determines whether there is a significant association between variables, which is critical for understanding factors that may contribute to financial difficulties or social exclusion among single-parent families. </w:t>
      </w:r>
      <w:r w:rsidR="00B92952" w:rsidRPr="00A2344C">
        <w:rPr>
          <w:rFonts w:ascii="Arial" w:hAnsi="Arial" w:cs="Arial"/>
        </w:rPr>
        <w:t>(McHugh, 2013)</w:t>
      </w:r>
    </w:p>
    <w:p w14:paraId="21AF33FA" w14:textId="23970B3F" w:rsidR="00305C67" w:rsidRPr="00A2344C" w:rsidRDefault="00305C67" w:rsidP="007E1DCB">
      <w:pPr>
        <w:spacing w:line="360" w:lineRule="auto"/>
        <w:jc w:val="both"/>
        <w:rPr>
          <w:rFonts w:ascii="Arial" w:hAnsi="Arial" w:cs="Arial"/>
        </w:rPr>
      </w:pPr>
      <w:r w:rsidRPr="00A2344C">
        <w:rPr>
          <w:rFonts w:ascii="Arial" w:hAnsi="Arial" w:cs="Arial"/>
        </w:rPr>
        <w:t>Spearman Correlation's purpose is to assess relationships between non-normally distributed or ordinal variables. This nonparametric alternative to Pearson correlation helps to evaluate the strength and direction of associations without assuming normality in the data. (Field, 2020)</w:t>
      </w:r>
    </w:p>
    <w:p w14:paraId="05567CD1" w14:textId="3CF35BBB" w:rsidR="00305C67" w:rsidRPr="00A2344C" w:rsidRDefault="00305C67" w:rsidP="007E1DCB">
      <w:pPr>
        <w:spacing w:line="360" w:lineRule="auto"/>
        <w:jc w:val="both"/>
        <w:rPr>
          <w:rFonts w:ascii="Arial" w:hAnsi="Arial" w:cs="Arial"/>
        </w:rPr>
      </w:pPr>
      <w:r w:rsidRPr="00A2344C">
        <w:rPr>
          <w:rFonts w:ascii="Arial" w:hAnsi="Arial" w:cs="Arial"/>
        </w:rPr>
        <w:t>One-Way ANOVA's purpose is to test differences in means among three or more groups based on a scale variable (e.g., comparing financial difficulties across different education levels) helping to identify if at least one group differs significantly from the others, providing insights into how different factors may influence financial outcomes</w:t>
      </w:r>
      <w:r w:rsidR="007268AB">
        <w:rPr>
          <w:rFonts w:ascii="Arial" w:hAnsi="Arial" w:cs="Arial"/>
        </w:rPr>
        <w:t>.</w:t>
      </w:r>
    </w:p>
    <w:p w14:paraId="486523EC" w14:textId="6014B5E6" w:rsidR="00305C67" w:rsidRPr="00A2344C" w:rsidRDefault="00305C67" w:rsidP="007E1DCB">
      <w:pPr>
        <w:spacing w:line="360" w:lineRule="auto"/>
        <w:jc w:val="both"/>
        <w:rPr>
          <w:rFonts w:ascii="Arial" w:hAnsi="Arial" w:cs="Arial"/>
        </w:rPr>
      </w:pPr>
      <w:r w:rsidRPr="00A2344C">
        <w:rPr>
          <w:rFonts w:ascii="Arial" w:hAnsi="Arial" w:cs="Arial"/>
        </w:rPr>
        <w:t xml:space="preserve">One-Way ANOVA's purpose is to test differences in means among three or more groups based on a scale variable (e.g., comparing financial difficulties across different education levels) helping to identify if at least one group differs significantly from the others, providing insights into how different factors may influence financial outcomes while Two ways ANOVA's purpose is to examine interactions between two independent variables across multiple groups. This analysis can be used to investigate </w:t>
      </w:r>
      <w:r w:rsidRPr="00A2344C">
        <w:rPr>
          <w:rFonts w:ascii="Arial" w:hAnsi="Arial" w:cs="Arial"/>
        </w:rPr>
        <w:lastRenderedPageBreak/>
        <w:t xml:space="preserve">how different factors, such as income and employment status, jointly affect financial difficulties or social exclusion, allowing for a more nuanced understanding of their relationships. </w:t>
      </w:r>
      <w:r w:rsidR="00E52C31" w:rsidRPr="00A2344C">
        <w:rPr>
          <w:rFonts w:ascii="Arial" w:hAnsi="Arial" w:cs="Arial"/>
        </w:rPr>
        <w:t>(George &amp; Mallery, 2022)</w:t>
      </w:r>
    </w:p>
    <w:p w14:paraId="24F84B9E" w14:textId="77777777" w:rsidR="00B17284" w:rsidRPr="00A2344C" w:rsidRDefault="00203DF2" w:rsidP="007E1DCB">
      <w:pPr>
        <w:spacing w:line="360" w:lineRule="auto"/>
        <w:jc w:val="both"/>
        <w:rPr>
          <w:rFonts w:ascii="Arial" w:hAnsi="Arial" w:cs="Arial"/>
        </w:rPr>
      </w:pPr>
      <w:r w:rsidRPr="00A2344C">
        <w:rPr>
          <w:rFonts w:ascii="Arial" w:hAnsi="Arial" w:cs="Arial"/>
        </w:rPr>
        <w:t xml:space="preserve">The Independent Samples t-Test serves the purpose of comparing means between two distinct groups, such as single-parent families who receive support versus those who do not. By employing this analysis, researchers can determine whether there are significant differences in financial difficulties experienced by these two groups, offering valuable insights into the impact of support on financial well-being. On the other hand, the One-Sample t-Test is designed to assess whether the mean of a single group significantly differs from a known or a hypothesised value. For instance, it can be utilised to compare the mean financial difficulties score of single-parent families against a national average. This test provides a clear perspective on how the financial circumstances of single-parent families align with broader benchmarks, highlighting any disparities that may exist. Additionally, Normality Tests play a critical role in evaluating the distribution of the data by examining skewness and kurtosis. These tests are essential for informing the choice between parametric and nonparametric statistical methods, guiding researchers in selecting the most appropriate analysis approach based on the underlying characteristics of the data. Together, these statistical techniques contribute to a comprehensive understanding of financial difficulties faced by single-parent families and help identify factors influencing their economic challenges. </w:t>
      </w:r>
      <w:r w:rsidR="00971487" w:rsidRPr="00A2344C">
        <w:rPr>
          <w:rFonts w:ascii="Arial" w:hAnsi="Arial" w:cs="Arial"/>
        </w:rPr>
        <w:t>(George &amp; Mallery, 2024)</w:t>
      </w:r>
    </w:p>
    <w:p w14:paraId="2B2A8CB3" w14:textId="69E5A101" w:rsidR="00B17284" w:rsidRPr="00086E13" w:rsidRDefault="004B6070" w:rsidP="007E1DCB">
      <w:pPr>
        <w:pStyle w:val="Heading1"/>
        <w:spacing w:line="360" w:lineRule="auto"/>
        <w:jc w:val="both"/>
        <w:rPr>
          <w:rFonts w:ascii="Arial" w:hAnsi="Arial" w:cs="Arial"/>
          <w:b/>
          <w:bCs/>
          <w:color w:val="000000" w:themeColor="text1"/>
          <w:sz w:val="24"/>
          <w:szCs w:val="24"/>
        </w:rPr>
      </w:pPr>
      <w:bookmarkStart w:id="17" w:name="_Toc179221824"/>
      <w:r w:rsidRPr="00086E13">
        <w:rPr>
          <w:rFonts w:ascii="Arial" w:hAnsi="Arial" w:cs="Arial"/>
          <w:b/>
          <w:bCs/>
          <w:color w:val="000000" w:themeColor="text1"/>
          <w:sz w:val="24"/>
          <w:szCs w:val="24"/>
        </w:rPr>
        <w:t>Findings</w:t>
      </w:r>
      <w:bookmarkEnd w:id="17"/>
    </w:p>
    <w:p w14:paraId="7222F8AF" w14:textId="4290832F" w:rsidR="00CA7055" w:rsidRPr="00A2344C" w:rsidRDefault="00CA7055" w:rsidP="007E1DCB">
      <w:pPr>
        <w:spacing w:line="360" w:lineRule="auto"/>
        <w:jc w:val="both"/>
        <w:rPr>
          <w:rFonts w:ascii="Arial" w:hAnsi="Arial" w:cs="Arial"/>
        </w:rPr>
      </w:pPr>
      <w:r w:rsidRPr="00A2344C">
        <w:rPr>
          <w:rFonts w:ascii="Arial" w:hAnsi="Arial" w:cs="Arial"/>
        </w:rPr>
        <w:t xml:space="preserve">Children from single-parent families, whether raised by single fathers or single mothers, are significantly more susceptible to social exclusion and face barriers to accessing education. This vulnerability is often attributed to the lack of supervision and involvement from the single parent, who may be engaged in full-time employment. Consequently, they may struggle to monitor their child's academic progress, increasing the risk of school dropout. Educational disengagement can contribute to a heightened likelihood of criminal behaviour and render these children more vulnerable to modern slavery. Instead of attending school, they might opt to enter the workforce, frequently in low-paying, exploitative jobs. Employers who engage in the hiring of children are often cognizant of the legal ramifications associated with such practices and may </w:t>
      </w:r>
      <w:r w:rsidRPr="00A2344C">
        <w:rPr>
          <w:rFonts w:ascii="Arial" w:hAnsi="Arial" w:cs="Arial"/>
        </w:rPr>
        <w:lastRenderedPageBreak/>
        <w:t>intentionally operate within a framework that seeks to circumvent legal obligations. This behaviour contributes to the perpetuation of a vicious cycle of exploitation and vulnerability among marginalised populations.</w:t>
      </w:r>
      <w:r w:rsidRPr="00A2344C">
        <w:rPr>
          <w:rFonts w:ascii="-webkit-standard" w:hAnsi="-webkit-standard"/>
          <w:color w:val="000000"/>
          <w:sz w:val="27"/>
          <w:szCs w:val="27"/>
        </w:rPr>
        <w:t xml:space="preserve"> </w:t>
      </w:r>
      <w:r w:rsidRPr="00A2344C">
        <w:rPr>
          <w:rFonts w:ascii="Arial" w:hAnsi="Arial" w:cs="Arial"/>
        </w:rPr>
        <w:t>(</w:t>
      </w:r>
      <w:proofErr w:type="spellStart"/>
      <w:r w:rsidRPr="00A2344C">
        <w:rPr>
          <w:rFonts w:ascii="Arial" w:hAnsi="Arial" w:cs="Arial"/>
        </w:rPr>
        <w:t>Lotfi</w:t>
      </w:r>
      <w:proofErr w:type="spellEnd"/>
      <w:r w:rsidRPr="00A2344C">
        <w:rPr>
          <w:rFonts w:ascii="Arial" w:hAnsi="Arial" w:cs="Arial"/>
        </w:rPr>
        <w:t xml:space="preserve"> &amp; Pisa, 2024)</w:t>
      </w:r>
    </w:p>
    <w:p w14:paraId="6E6F3FE6" w14:textId="77777777" w:rsidR="007268AB" w:rsidRDefault="001B0AAD" w:rsidP="007E1DCB">
      <w:pPr>
        <w:spacing w:line="360" w:lineRule="auto"/>
        <w:jc w:val="both"/>
        <w:rPr>
          <w:rFonts w:ascii="Arial" w:hAnsi="Arial" w:cs="Arial"/>
        </w:rPr>
      </w:pPr>
      <w:r w:rsidRPr="00A2344C">
        <w:rPr>
          <w:rFonts w:ascii="Arial" w:hAnsi="Arial" w:cs="Arial"/>
        </w:rPr>
        <w:t>Single-parent families with dependent children face greater financial difficulties and higher risks of social exclusion, potentially exacerbating vulnerabilities over time. Research indicates that single-parent households often experience economic hardships that limit access to essential resources, including education and extracurricular activities, which can perpetuate cycles of disadvantage. (Rothwell &amp; McEwen, 2017)</w:t>
      </w:r>
    </w:p>
    <w:p w14:paraId="551D3A54" w14:textId="65544F33" w:rsidR="00751C84" w:rsidRPr="00A2344C" w:rsidRDefault="005F5A65" w:rsidP="007E1DCB">
      <w:pPr>
        <w:spacing w:line="360" w:lineRule="auto"/>
        <w:jc w:val="both"/>
        <w:rPr>
          <w:rFonts w:ascii="Arial" w:hAnsi="Arial" w:cs="Arial"/>
        </w:rPr>
      </w:pPr>
      <w:r w:rsidRPr="00A2344C">
        <w:rPr>
          <w:rFonts w:ascii="Arial" w:hAnsi="Arial" w:cs="Arial"/>
        </w:rPr>
        <w:t>Lone mother families face a higher risk of financial hardship and exploitation than lone father families. This discrepancy arises from various factors, including gender-based wage disparities, societal expectations, and the stigmatisation of single mothers. (Bradshaw, 2006)</w:t>
      </w:r>
      <w:r w:rsidR="00EA2E47" w:rsidRPr="00A2344C">
        <w:rPr>
          <w:rFonts w:ascii="Arial" w:hAnsi="Arial" w:cs="Arial"/>
        </w:rPr>
        <w:t xml:space="preserve"> Single mothers are often tasked with dual responsibilities of caregiving and providing financially, which can lead to increased stress and diminished time for parental engagement. This lack of engagement may hinder their children’s educational outcomes and social development, creating a cycle of disadvantage. </w:t>
      </w:r>
      <w:r w:rsidR="00472100" w:rsidRPr="00A2344C">
        <w:rPr>
          <w:rFonts w:ascii="Arial" w:hAnsi="Arial" w:cs="Arial"/>
        </w:rPr>
        <w:t>In contrast, families with two parents—regardless of whether they are married, in a civil partnership, or cohabiting—generally have better access to educational resources and support. They are less economically and emotionally vulnerable and experience lower levels of stigma. (Yoshikawa et al., 2012) Research indicates that two-parent households typically have a greater financial capacity to invest in their children's education, which positively influences academic achievement.</w:t>
      </w:r>
      <w:r w:rsidR="00EA2E47" w:rsidRPr="00A2344C">
        <w:rPr>
          <w:rFonts w:ascii="Arial" w:hAnsi="Arial" w:cs="Arial"/>
        </w:rPr>
        <w:t xml:space="preserve"> </w:t>
      </w:r>
      <w:r w:rsidR="00627AE3" w:rsidRPr="00A2344C">
        <w:rPr>
          <w:rFonts w:ascii="Arial" w:hAnsi="Arial" w:cs="Arial"/>
        </w:rPr>
        <w:t>This disparity highlights the systemic challenges faced by single-parent families and underscores the need for targeted interventions to address the inequalities.</w:t>
      </w:r>
    </w:p>
    <w:p w14:paraId="30344D68" w14:textId="2D077B7B" w:rsidR="004B6070" w:rsidRPr="00A2344C" w:rsidRDefault="00E41D5A" w:rsidP="007E1DCB">
      <w:pPr>
        <w:spacing w:line="360" w:lineRule="auto"/>
        <w:jc w:val="both"/>
        <w:rPr>
          <w:rFonts w:ascii="Arial" w:hAnsi="Arial" w:cs="Arial"/>
        </w:rPr>
      </w:pPr>
      <w:r w:rsidRPr="00A2344C">
        <w:rPr>
          <w:rFonts w:ascii="Arial" w:hAnsi="Arial" w:cs="Arial"/>
          <w:noProof/>
        </w:rPr>
        <w:drawing>
          <wp:inline distT="0" distB="0" distL="0" distR="0" wp14:anchorId="1318FB92" wp14:editId="2323273C">
            <wp:extent cx="5731510" cy="1846580"/>
            <wp:effectExtent l="0" t="0" r="0" b="0"/>
            <wp:docPr id="509988781" name="Picture 1" descr="A table with number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988781" name="Picture 1" descr="A table with numbers and numbers&#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1846580"/>
                    </a:xfrm>
                    <a:prstGeom prst="rect">
                      <a:avLst/>
                    </a:prstGeom>
                  </pic:spPr>
                </pic:pic>
              </a:graphicData>
            </a:graphic>
          </wp:inline>
        </w:drawing>
      </w:r>
    </w:p>
    <w:p w14:paraId="01E5E2C8" w14:textId="1A3CF114" w:rsidR="00E41D5A" w:rsidRPr="00A2344C" w:rsidRDefault="00A07AB7" w:rsidP="007E1DCB">
      <w:pPr>
        <w:spacing w:line="360" w:lineRule="auto"/>
        <w:jc w:val="both"/>
        <w:rPr>
          <w:rFonts w:ascii="Arial" w:hAnsi="Arial" w:cs="Arial"/>
        </w:rPr>
      </w:pPr>
      <w:r w:rsidRPr="00A2344C">
        <w:rPr>
          <w:rFonts w:ascii="Arial" w:hAnsi="Arial" w:cs="Arial"/>
        </w:rPr>
        <w:lastRenderedPageBreak/>
        <w:t xml:space="preserve">In the context of descriptive statistical analysis, the letter N signifies the total number of observations or cases within the dataset. This metric plays a crucial role in interpreting the results, as it indicates the number of values incorporated in the calculation of descriptive statistics, such as mean, median, and standard deviation. For instance, consider a dataset encompassing information about 100 families; in this scenario, N would equate to 100. Understanding the size of the sample is pivotal, as larger samples generally yield more accurate and reliable estimates of population parameters. However, if a dataset contains a total of 1,000 observations </w:t>
      </w:r>
      <w:r w:rsidR="00C00E6E" w:rsidRPr="00A2344C">
        <w:rPr>
          <w:rFonts w:ascii="Arial" w:hAnsi="Arial" w:cs="Arial"/>
        </w:rPr>
        <w:t xml:space="preserve">as it is the case of the used database, </w:t>
      </w:r>
      <w:r w:rsidRPr="00A2344C">
        <w:rPr>
          <w:rFonts w:ascii="Arial" w:hAnsi="Arial" w:cs="Arial"/>
        </w:rPr>
        <w:t>the descriptive analysis reveals that N=25, it suggests that only 25 observations from this total were included in the computation of the respective statistic. This discrepancy raises several interpretive considerations</w:t>
      </w:r>
      <w:r w:rsidR="00C00E6E" w:rsidRPr="00A2344C">
        <w:rPr>
          <w:rFonts w:ascii="Arial" w:hAnsi="Arial" w:cs="Arial"/>
        </w:rPr>
        <w:t xml:space="preserve"> as many of the inputs were removed for making the analysis understandable. </w:t>
      </w:r>
      <w:r w:rsidRPr="00A2344C">
        <w:rPr>
          <w:rFonts w:ascii="Arial" w:hAnsi="Arial" w:cs="Arial"/>
        </w:rPr>
        <w:t>(Cohen, 1988)</w:t>
      </w:r>
    </w:p>
    <w:p w14:paraId="24404D45" w14:textId="2CE67249" w:rsidR="00E41D5A" w:rsidRPr="00A2344C" w:rsidRDefault="007C4C2D" w:rsidP="007E1DCB">
      <w:pPr>
        <w:spacing w:line="360" w:lineRule="auto"/>
        <w:jc w:val="both"/>
        <w:rPr>
          <w:rFonts w:ascii="Arial" w:hAnsi="Arial" w:cs="Arial"/>
        </w:rPr>
      </w:pPr>
      <w:r w:rsidRPr="00A2344C">
        <w:rPr>
          <w:rFonts w:ascii="Arial" w:hAnsi="Arial" w:cs="Arial"/>
          <w:noProof/>
        </w:rPr>
        <w:drawing>
          <wp:inline distT="0" distB="0" distL="0" distR="0" wp14:anchorId="1FBB1FD5" wp14:editId="49E2F6CE">
            <wp:extent cx="5731510" cy="1677035"/>
            <wp:effectExtent l="0" t="0" r="0" b="0"/>
            <wp:docPr id="1307289806" name="Picture 3"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289806" name="Picture 3" descr="A table with numbers and 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1677035"/>
                    </a:xfrm>
                    <a:prstGeom prst="rect">
                      <a:avLst/>
                    </a:prstGeom>
                  </pic:spPr>
                </pic:pic>
              </a:graphicData>
            </a:graphic>
          </wp:inline>
        </w:drawing>
      </w:r>
    </w:p>
    <w:p w14:paraId="4093DA32" w14:textId="5AEA7EE6" w:rsidR="00E41D5A" w:rsidRPr="00A2344C" w:rsidRDefault="00301867" w:rsidP="007E1DCB">
      <w:pPr>
        <w:spacing w:line="360" w:lineRule="auto"/>
        <w:jc w:val="both"/>
        <w:rPr>
          <w:rFonts w:ascii="Arial" w:hAnsi="Arial" w:cs="Arial"/>
        </w:rPr>
      </w:pPr>
      <w:r w:rsidRPr="00A2344C">
        <w:rPr>
          <w:rFonts w:ascii="Arial" w:hAnsi="Arial" w:cs="Arial"/>
        </w:rPr>
        <w:t xml:space="preserve">For descriptive analysis, in SPSS, </w:t>
      </w:r>
      <w:r w:rsidR="001C7664" w:rsidRPr="00A2344C">
        <w:rPr>
          <w:rFonts w:ascii="Arial" w:hAnsi="Arial" w:cs="Arial"/>
        </w:rPr>
        <w:t xml:space="preserve">the data set was </w:t>
      </w:r>
      <w:r w:rsidRPr="00A2344C">
        <w:rPr>
          <w:rFonts w:ascii="Arial" w:hAnsi="Arial" w:cs="Arial"/>
        </w:rPr>
        <w:t>filtered</w:t>
      </w:r>
      <w:r w:rsidR="001C7664" w:rsidRPr="00A2344C">
        <w:rPr>
          <w:rFonts w:ascii="Arial" w:hAnsi="Arial" w:cs="Arial"/>
        </w:rPr>
        <w:t xml:space="preserve"> </w:t>
      </w:r>
      <w:r w:rsidRPr="00A2344C">
        <w:rPr>
          <w:rFonts w:ascii="Arial" w:hAnsi="Arial" w:cs="Arial"/>
        </w:rPr>
        <w:t xml:space="preserve">to include only the years between 2015 and 2022 using the Select Cases function. </w:t>
      </w:r>
      <w:r w:rsidR="001C7664" w:rsidRPr="00A2344C">
        <w:rPr>
          <w:rFonts w:ascii="Arial" w:hAnsi="Arial" w:cs="Arial"/>
        </w:rPr>
        <w:t>Was</w:t>
      </w:r>
      <w:r w:rsidRPr="00A2344C">
        <w:rPr>
          <w:rFonts w:ascii="Arial" w:hAnsi="Arial" w:cs="Arial"/>
        </w:rPr>
        <w:t xml:space="preserve"> applied a condition using the "if" statement, specifying that the year variable should be greater than or equal to 2015. </w:t>
      </w:r>
      <w:r w:rsidR="001C7664" w:rsidRPr="00A2344C">
        <w:rPr>
          <w:rFonts w:ascii="Arial" w:hAnsi="Arial" w:cs="Arial"/>
        </w:rPr>
        <w:t>After successfully applying the filter, the researcher proceeded with the analysis by selecting the variables representing married couples with children and married couples without children. This approach facilitated a comparative analysis of these two groups within the specified timeframe. The filtering process ensured that only relevant cases from the selected years were included in the analysis, allowing for more accurate and meaningful comparisons between the two categories of married couples.</w:t>
      </w:r>
      <w:r w:rsidR="001C7664" w:rsidRPr="00A2344C">
        <w:rPr>
          <w:rFonts w:ascii="Arial" w:hAnsi="Arial" w:cs="Arial"/>
        </w:rPr>
        <w:t xml:space="preserve"> </w:t>
      </w:r>
      <w:r w:rsidRPr="00A2344C">
        <w:rPr>
          <w:rFonts w:ascii="Arial" w:hAnsi="Arial" w:cs="Arial"/>
        </w:rPr>
        <w:t>The filtering process ensured that only relevant cases from the 2015-2022 period were included in the analysis, maintaining the integrity of the results.</w:t>
      </w:r>
      <w:r w:rsidR="006A7A7C" w:rsidRPr="00A2344C">
        <w:rPr>
          <w:rFonts w:ascii="Arial" w:hAnsi="Arial" w:cs="Arial"/>
        </w:rPr>
        <w:t xml:space="preserve"> </w:t>
      </w:r>
      <w:r w:rsidR="006A7A7C" w:rsidRPr="00A2344C">
        <w:rPr>
          <w:rFonts w:ascii="Arial" w:hAnsi="Arial" w:cs="Arial"/>
        </w:rPr>
        <w:t>(</w:t>
      </w:r>
      <w:proofErr w:type="spellStart"/>
      <w:r w:rsidR="006A7A7C" w:rsidRPr="00A2344C">
        <w:rPr>
          <w:rFonts w:ascii="Arial" w:hAnsi="Arial" w:cs="Arial"/>
        </w:rPr>
        <w:t>Pallant</w:t>
      </w:r>
      <w:proofErr w:type="spellEnd"/>
      <w:r w:rsidR="006A7A7C" w:rsidRPr="00A2344C">
        <w:rPr>
          <w:rFonts w:ascii="Arial" w:hAnsi="Arial" w:cs="Arial"/>
        </w:rPr>
        <w:t>, 2020)</w:t>
      </w:r>
    </w:p>
    <w:p w14:paraId="67488560" w14:textId="2B459393" w:rsidR="00301867" w:rsidRPr="00A2344C" w:rsidRDefault="00054B02" w:rsidP="007E1DCB">
      <w:pPr>
        <w:spacing w:line="360" w:lineRule="auto"/>
        <w:jc w:val="both"/>
        <w:rPr>
          <w:rFonts w:ascii="Arial" w:hAnsi="Arial" w:cs="Arial"/>
        </w:rPr>
      </w:pPr>
      <w:r w:rsidRPr="00A2344C">
        <w:rPr>
          <w:rFonts w:ascii="Arial" w:hAnsi="Arial" w:cs="Arial"/>
          <w:noProof/>
        </w:rPr>
        <w:lastRenderedPageBreak/>
        <w:drawing>
          <wp:inline distT="0" distB="0" distL="0" distR="0" wp14:anchorId="605263AE" wp14:editId="5EFEE15C">
            <wp:extent cx="5731510" cy="2781300"/>
            <wp:effectExtent l="0" t="0" r="0" b="0"/>
            <wp:docPr id="1987081075"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7081075" name="Picture 4" descr="A screenshot of a computer&#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2781300"/>
                    </a:xfrm>
                    <a:prstGeom prst="rect">
                      <a:avLst/>
                    </a:prstGeom>
                  </pic:spPr>
                </pic:pic>
              </a:graphicData>
            </a:graphic>
          </wp:inline>
        </w:drawing>
      </w:r>
      <w:r w:rsidRPr="00A2344C">
        <w:rPr>
          <w:rFonts w:ascii="Arial" w:hAnsi="Arial" w:cs="Arial"/>
        </w:rPr>
        <w:t xml:space="preserve"> </w:t>
      </w:r>
    </w:p>
    <w:p w14:paraId="1BAD376C" w14:textId="77777777" w:rsidR="007268AB" w:rsidRDefault="007268AB" w:rsidP="007E1DCB">
      <w:pPr>
        <w:spacing w:line="360" w:lineRule="auto"/>
        <w:jc w:val="both"/>
        <w:rPr>
          <w:rFonts w:ascii="Arial" w:hAnsi="Arial" w:cs="Arial"/>
        </w:rPr>
      </w:pPr>
    </w:p>
    <w:p w14:paraId="603F769D" w14:textId="6C79E759" w:rsidR="00615B33" w:rsidRPr="00A2344C" w:rsidRDefault="00615B33" w:rsidP="007E1DCB">
      <w:pPr>
        <w:spacing w:line="360" w:lineRule="auto"/>
        <w:jc w:val="both"/>
        <w:rPr>
          <w:rFonts w:ascii="Arial" w:hAnsi="Arial" w:cs="Arial"/>
        </w:rPr>
      </w:pPr>
      <w:r w:rsidRPr="00A2344C">
        <w:rPr>
          <w:rFonts w:ascii="Arial" w:hAnsi="Arial" w:cs="Arial"/>
        </w:rPr>
        <w:t>For comparing just two groups, such as children from married couples and children of single mothers, a t-test would typically be more appropriate. A t-test is used to compare the means of two groups to determine if there is a statistically significant difference between them. In this case, the researcher can apply an Independent Samples t-test to compare the means of these variables. However, since the researcher does not have the necessary individual-level data, they will conduct a longitudinal comparative analysis</w:t>
      </w:r>
      <w:r w:rsidRPr="00A2344C">
        <w:rPr>
          <w:rFonts w:ascii="Arial" w:hAnsi="Arial" w:cs="Arial"/>
        </w:rPr>
        <w:t xml:space="preserve">. This approach allows for the comparison of two data sets over time (across 2015 to 2022), particularly because the data is already aggregated at an annual level, </w:t>
      </w:r>
      <w:r w:rsidRPr="00A2344C">
        <w:rPr>
          <w:rFonts w:ascii="Arial" w:hAnsi="Arial" w:cs="Arial"/>
        </w:rPr>
        <w:t>which eliminates the need for further aggregation.</w:t>
      </w:r>
      <w:r w:rsidR="00B6230A" w:rsidRPr="00A2344C">
        <w:rPr>
          <w:rFonts w:ascii="Arial" w:hAnsi="Arial" w:cs="Arial"/>
        </w:rPr>
        <w:t xml:space="preserve"> </w:t>
      </w:r>
      <w:r w:rsidR="00B6230A" w:rsidRPr="00A2344C">
        <w:rPr>
          <w:rFonts w:ascii="Arial" w:hAnsi="Arial" w:cs="Arial"/>
        </w:rPr>
        <w:t>(</w:t>
      </w:r>
      <w:proofErr w:type="spellStart"/>
      <w:r w:rsidR="00B6230A" w:rsidRPr="00A2344C">
        <w:rPr>
          <w:rFonts w:ascii="Arial" w:hAnsi="Arial" w:cs="Arial"/>
        </w:rPr>
        <w:t>Pallant</w:t>
      </w:r>
      <w:proofErr w:type="spellEnd"/>
      <w:r w:rsidR="00B6230A" w:rsidRPr="00A2344C">
        <w:rPr>
          <w:rFonts w:ascii="Arial" w:hAnsi="Arial" w:cs="Arial"/>
        </w:rPr>
        <w:t>, 2020)</w:t>
      </w:r>
    </w:p>
    <w:p w14:paraId="2D99972D" w14:textId="581E1175" w:rsidR="00673BB9" w:rsidRPr="00A2344C" w:rsidRDefault="00615B33" w:rsidP="007E1DCB">
      <w:pPr>
        <w:spacing w:line="360" w:lineRule="auto"/>
        <w:jc w:val="both"/>
        <w:rPr>
          <w:rFonts w:ascii="Arial" w:hAnsi="Arial" w:cs="Arial"/>
        </w:rPr>
      </w:pPr>
      <w:r w:rsidRPr="00A2344C">
        <w:rPr>
          <w:rFonts w:ascii="Arial" w:hAnsi="Arial" w:cs="Arial"/>
          <w:noProof/>
        </w:rPr>
        <w:drawing>
          <wp:inline distT="0" distB="0" distL="0" distR="0" wp14:anchorId="14908D9F" wp14:editId="7DB65EF1">
            <wp:extent cx="5731510" cy="2178685"/>
            <wp:effectExtent l="0" t="0" r="0" b="5715"/>
            <wp:docPr id="1897218166"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7218166" name="Picture 2" descr="A screenshot of a computer&#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178685"/>
                    </a:xfrm>
                    <a:prstGeom prst="rect">
                      <a:avLst/>
                    </a:prstGeom>
                  </pic:spPr>
                </pic:pic>
              </a:graphicData>
            </a:graphic>
          </wp:inline>
        </w:drawing>
      </w:r>
    </w:p>
    <w:p w14:paraId="3581425A" w14:textId="77777777" w:rsidR="00673BB9" w:rsidRPr="00A2344C" w:rsidRDefault="00673BB9" w:rsidP="007E1DCB">
      <w:pPr>
        <w:spacing w:line="360" w:lineRule="auto"/>
        <w:jc w:val="both"/>
        <w:rPr>
          <w:rFonts w:ascii="Arial" w:hAnsi="Arial" w:cs="Arial"/>
        </w:rPr>
      </w:pPr>
    </w:p>
    <w:p w14:paraId="08128773" w14:textId="77777777" w:rsidR="00673BB9" w:rsidRPr="00A2344C" w:rsidRDefault="00673BB9" w:rsidP="007E1DCB">
      <w:pPr>
        <w:spacing w:line="360" w:lineRule="auto"/>
        <w:jc w:val="both"/>
        <w:rPr>
          <w:rFonts w:ascii="Arial" w:hAnsi="Arial" w:cs="Arial"/>
        </w:rPr>
      </w:pPr>
    </w:p>
    <w:p w14:paraId="3A7E268B" w14:textId="0420A82C" w:rsidR="006B287D" w:rsidRPr="00A2344C" w:rsidRDefault="0080671C" w:rsidP="007E1DCB">
      <w:pPr>
        <w:spacing w:line="360" w:lineRule="auto"/>
        <w:jc w:val="both"/>
        <w:rPr>
          <w:rFonts w:ascii="Arial" w:hAnsi="Arial" w:cs="Arial"/>
        </w:rPr>
      </w:pPr>
      <w:r w:rsidRPr="00A2344C">
        <w:rPr>
          <w:rFonts w:ascii="Arial" w:hAnsi="Arial" w:cs="Arial"/>
          <w:noProof/>
        </w:rPr>
        <w:lastRenderedPageBreak/>
        <w:drawing>
          <wp:inline distT="0" distB="0" distL="0" distR="0" wp14:anchorId="05FC97F1" wp14:editId="0BF7F2E2">
            <wp:extent cx="5731510" cy="2085340"/>
            <wp:effectExtent l="0" t="0" r="0" b="0"/>
            <wp:docPr id="251816492"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816492" name="Picture 3" descr="A screenshot of a computer&#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085340"/>
                    </a:xfrm>
                    <a:prstGeom prst="rect">
                      <a:avLst/>
                    </a:prstGeom>
                  </pic:spPr>
                </pic:pic>
              </a:graphicData>
            </a:graphic>
          </wp:inline>
        </w:drawing>
      </w:r>
    </w:p>
    <w:p w14:paraId="542A71A6" w14:textId="77777777" w:rsidR="00693B9B" w:rsidRPr="00A2344C" w:rsidRDefault="00693B9B" w:rsidP="007E1DCB">
      <w:pPr>
        <w:spacing w:line="360" w:lineRule="auto"/>
        <w:jc w:val="both"/>
        <w:rPr>
          <w:rFonts w:ascii="Arial" w:hAnsi="Arial" w:cs="Arial"/>
        </w:rPr>
      </w:pPr>
    </w:p>
    <w:p w14:paraId="4A4831F1" w14:textId="2C63D292" w:rsidR="00693B9B" w:rsidRPr="00A2344C" w:rsidRDefault="00693B9B" w:rsidP="007E1DCB">
      <w:pPr>
        <w:spacing w:line="360" w:lineRule="auto"/>
        <w:jc w:val="both"/>
        <w:rPr>
          <w:rFonts w:ascii="Arial" w:hAnsi="Arial" w:cs="Arial"/>
        </w:rPr>
      </w:pPr>
      <w:r w:rsidRPr="00A2344C">
        <w:rPr>
          <w:rFonts w:ascii="Arial" w:hAnsi="Arial" w:cs="Arial"/>
          <w:noProof/>
        </w:rPr>
        <w:drawing>
          <wp:inline distT="0" distB="0" distL="0" distR="0" wp14:anchorId="0C9206FB" wp14:editId="1C65987B">
            <wp:extent cx="5731510" cy="3668395"/>
            <wp:effectExtent l="0" t="0" r="0" b="1905"/>
            <wp:docPr id="51122132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1221325" name="Picture 511221325"/>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668395"/>
                    </a:xfrm>
                    <a:prstGeom prst="rect">
                      <a:avLst/>
                    </a:prstGeom>
                  </pic:spPr>
                </pic:pic>
              </a:graphicData>
            </a:graphic>
          </wp:inline>
        </w:drawing>
      </w:r>
    </w:p>
    <w:p w14:paraId="58E88D19" w14:textId="77777777" w:rsidR="007268AB" w:rsidRDefault="007268AB" w:rsidP="007E1DCB">
      <w:pPr>
        <w:spacing w:line="360" w:lineRule="auto"/>
        <w:jc w:val="both"/>
        <w:rPr>
          <w:rFonts w:ascii="Arial" w:hAnsi="Arial" w:cs="Arial"/>
        </w:rPr>
      </w:pPr>
    </w:p>
    <w:p w14:paraId="1FD14FF1" w14:textId="11BB48E7" w:rsidR="00564DC9" w:rsidRPr="00A2344C" w:rsidRDefault="00564DC9" w:rsidP="007E1DCB">
      <w:pPr>
        <w:spacing w:line="360" w:lineRule="auto"/>
        <w:jc w:val="both"/>
        <w:rPr>
          <w:rFonts w:ascii="Arial" w:hAnsi="Arial" w:cs="Arial"/>
        </w:rPr>
      </w:pPr>
      <w:r w:rsidRPr="00A2344C">
        <w:rPr>
          <w:rFonts w:ascii="Arial" w:hAnsi="Arial" w:cs="Arial"/>
        </w:rPr>
        <w:t>Crosstab analysis in SPSS is particularly useful for examining the relationships between categorical variables, such as marital status and the number of children. This method allows researchers to explore patterns and associations within the data, providing insights into the distribution of children across different family structures. These analyses are suitable in various research contexts, especially when the goal is to understand how one categorical variable relates to another. For instance, in this case, the researcher aims to investigate</w:t>
      </w:r>
      <w:r w:rsidRPr="00A2344C">
        <w:rPr>
          <w:rFonts w:ascii="Arial" w:hAnsi="Arial" w:cs="Arial"/>
        </w:rPr>
        <w:t xml:space="preserve"> how the number of children varies among </w:t>
      </w:r>
      <w:r w:rsidRPr="00A2344C">
        <w:rPr>
          <w:rFonts w:ascii="Arial" w:hAnsi="Arial" w:cs="Arial"/>
        </w:rPr>
        <w:lastRenderedPageBreak/>
        <w:t xml:space="preserve">married couples, single mothers and single fathers. </w:t>
      </w:r>
      <w:r w:rsidRPr="00A2344C">
        <w:rPr>
          <w:rFonts w:ascii="Arial" w:hAnsi="Arial" w:cs="Arial"/>
        </w:rPr>
        <w:t xml:space="preserve">By categorising the data in this way, the researcher can identify trends, such as whether single mothers tend to have </w:t>
      </w:r>
      <w:r w:rsidRPr="00A2344C">
        <w:rPr>
          <w:rFonts w:ascii="Arial" w:hAnsi="Arial" w:cs="Arial"/>
        </w:rPr>
        <w:t>more,</w:t>
      </w:r>
      <w:r w:rsidRPr="00A2344C">
        <w:rPr>
          <w:rFonts w:ascii="Arial" w:hAnsi="Arial" w:cs="Arial"/>
        </w:rPr>
        <w:t xml:space="preserve"> or fewer children compared to married couples or single fathers.</w:t>
      </w:r>
      <w:r w:rsidR="00B6230A" w:rsidRPr="00A2344C">
        <w:rPr>
          <w:rFonts w:ascii="Arial" w:hAnsi="Arial" w:cs="Arial"/>
        </w:rPr>
        <w:t xml:space="preserve"> </w:t>
      </w:r>
      <w:r w:rsidR="00B6230A" w:rsidRPr="00A2344C">
        <w:rPr>
          <w:rFonts w:ascii="Arial" w:hAnsi="Arial" w:cs="Arial"/>
        </w:rPr>
        <w:t>(Field, 2020)</w:t>
      </w:r>
    </w:p>
    <w:p w14:paraId="0ECF4D90" w14:textId="21F8509A" w:rsidR="006B287D" w:rsidRPr="00A2344C" w:rsidRDefault="00693B9B" w:rsidP="007E1DCB">
      <w:pPr>
        <w:spacing w:line="360" w:lineRule="auto"/>
        <w:jc w:val="both"/>
        <w:rPr>
          <w:rFonts w:ascii="Arial" w:hAnsi="Arial" w:cs="Arial"/>
        </w:rPr>
      </w:pPr>
      <w:r w:rsidRPr="00A2344C">
        <w:rPr>
          <w:rFonts w:ascii="Arial" w:hAnsi="Arial" w:cs="Arial"/>
          <w:noProof/>
        </w:rPr>
        <w:drawing>
          <wp:inline distT="0" distB="0" distL="0" distR="0" wp14:anchorId="6BBECE18" wp14:editId="3BC55549">
            <wp:extent cx="5731510" cy="2308225"/>
            <wp:effectExtent l="0" t="0" r="0" b="3175"/>
            <wp:docPr id="51204620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2046203" name="Picture 512046203"/>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308225"/>
                    </a:xfrm>
                    <a:prstGeom prst="rect">
                      <a:avLst/>
                    </a:prstGeom>
                  </pic:spPr>
                </pic:pic>
              </a:graphicData>
            </a:graphic>
          </wp:inline>
        </w:drawing>
      </w:r>
    </w:p>
    <w:p w14:paraId="3CF1579F" w14:textId="77777777" w:rsidR="007268AB" w:rsidRDefault="007268AB" w:rsidP="007E1DCB">
      <w:pPr>
        <w:spacing w:line="360" w:lineRule="auto"/>
        <w:jc w:val="both"/>
        <w:rPr>
          <w:rFonts w:ascii="Arial" w:hAnsi="Arial" w:cs="Arial"/>
        </w:rPr>
      </w:pPr>
    </w:p>
    <w:p w14:paraId="5A8C660B" w14:textId="776370F5" w:rsidR="00693B9B" w:rsidRPr="00A2344C" w:rsidRDefault="00751C84" w:rsidP="007E1DCB">
      <w:pPr>
        <w:spacing w:line="360" w:lineRule="auto"/>
        <w:jc w:val="both"/>
        <w:rPr>
          <w:rFonts w:ascii="Arial" w:hAnsi="Arial" w:cs="Arial"/>
        </w:rPr>
      </w:pPr>
      <w:r w:rsidRPr="00A2344C">
        <w:rPr>
          <w:rFonts w:ascii="Arial" w:hAnsi="Arial" w:cs="Arial"/>
        </w:rPr>
        <w:t>The primary purpose of the Chi-Square test is to determine if there is a significant relationship between two categorical variables. For instance, the interest here is if whether the marital status of the parent (married, single mother, or single father) is independent of the number of children they have. If the Chi-Square test indicates a significant association, it suggests that the distribution of children is not uniform across the family types, implying that one variable may influence or correlate with the other.</w:t>
      </w:r>
      <w:r w:rsidRPr="00A2344C">
        <w:rPr>
          <w:rFonts w:ascii="Arial" w:hAnsi="Arial" w:cs="Arial"/>
        </w:rPr>
        <w:t xml:space="preserve"> The Chi-Square test compares the observed frequencies (actual counts of children in each category) to the expected frequencies </w:t>
      </w:r>
      <w:r w:rsidRPr="00A2344C">
        <w:rPr>
          <w:rFonts w:ascii="Arial" w:hAnsi="Arial" w:cs="Arial"/>
        </w:rPr>
        <w:t>(theoretical counts based on the null hypothesis, which posits that there is no relationship between the variables). A significant difference between these two sets of frequencies can indicate that the observed distribution is not due to chance alone.</w:t>
      </w:r>
      <w:r w:rsidR="00C14B33" w:rsidRPr="00A2344C">
        <w:rPr>
          <w:rFonts w:ascii="Arial" w:hAnsi="Arial" w:cs="Arial"/>
        </w:rPr>
        <w:t xml:space="preserve"> </w:t>
      </w:r>
      <w:r w:rsidR="00C14B33" w:rsidRPr="00A2344C">
        <w:rPr>
          <w:rFonts w:ascii="Arial" w:hAnsi="Arial" w:cs="Arial"/>
        </w:rPr>
        <w:t>(Field, 2020)</w:t>
      </w:r>
    </w:p>
    <w:p w14:paraId="35C7872C" w14:textId="44535F21" w:rsidR="00A33B06" w:rsidRPr="00086E13" w:rsidRDefault="0077768A" w:rsidP="007E1DCB">
      <w:pPr>
        <w:pStyle w:val="Heading1"/>
        <w:spacing w:line="360" w:lineRule="auto"/>
        <w:jc w:val="both"/>
        <w:rPr>
          <w:rFonts w:ascii="Arial" w:hAnsi="Arial" w:cs="Arial"/>
          <w:b/>
          <w:bCs/>
          <w:color w:val="000000" w:themeColor="text1"/>
          <w:sz w:val="24"/>
          <w:szCs w:val="24"/>
        </w:rPr>
      </w:pPr>
      <w:bookmarkStart w:id="18" w:name="_Toc179221825"/>
      <w:r w:rsidRPr="00086E13">
        <w:rPr>
          <w:rFonts w:ascii="Arial" w:hAnsi="Arial" w:cs="Arial"/>
          <w:b/>
          <w:bCs/>
          <w:color w:val="000000" w:themeColor="text1"/>
          <w:sz w:val="24"/>
          <w:szCs w:val="24"/>
        </w:rPr>
        <w:t>Limitations</w:t>
      </w:r>
      <w:bookmarkEnd w:id="18"/>
    </w:p>
    <w:p w14:paraId="148372F6" w14:textId="77777777" w:rsidR="0077768A" w:rsidRPr="00A2344C" w:rsidRDefault="0077768A" w:rsidP="007E1DCB">
      <w:pPr>
        <w:spacing w:line="360" w:lineRule="auto"/>
        <w:jc w:val="both"/>
        <w:rPr>
          <w:rFonts w:ascii="Arial" w:hAnsi="Arial" w:cs="Arial"/>
        </w:rPr>
      </w:pPr>
      <w:r w:rsidRPr="00A2344C">
        <w:rPr>
          <w:rFonts w:ascii="Arial" w:hAnsi="Arial" w:cs="Arial"/>
        </w:rPr>
        <w:t xml:space="preserve">In conducting the SPSS analyses for this study, it is essential to acknowledge that the dataset utilized is derived from existing sources and was not created by the researcher. This reliance on a pre-existing database limits the ability to explore certain valuable variables, such as economic values and measures of satisfaction, which are critical for a comprehensive analysis of family dynamics and their implications for social vulnerability. The absence of these variable poses significant challenges, as </w:t>
      </w:r>
      <w:r w:rsidRPr="00A2344C">
        <w:rPr>
          <w:rFonts w:ascii="Arial" w:hAnsi="Arial" w:cs="Arial"/>
        </w:rPr>
        <w:lastRenderedPageBreak/>
        <w:t>neither economic indicators nor satisfaction metrics can be derived from the available data through variable combinations. Consequently, the lack of access to these critical dimensions restricts the analytical scope, making it impossible to fully assess the multifaceted nature of financial strain and its impact on educational outcomes within single-parent families. Prior studies have highlighted that economic stability and subjective well-being are vital components influencing family resilience and children's developmental trajectories. (</w:t>
      </w:r>
      <w:proofErr w:type="spellStart"/>
      <w:r w:rsidRPr="00A2344C">
        <w:rPr>
          <w:rFonts w:ascii="Arial" w:hAnsi="Arial" w:cs="Arial"/>
        </w:rPr>
        <w:t>Waismel</w:t>
      </w:r>
      <w:proofErr w:type="spellEnd"/>
      <w:r w:rsidRPr="00A2344C">
        <w:rPr>
          <w:rFonts w:ascii="Arial" w:hAnsi="Arial" w:cs="Arial"/>
        </w:rPr>
        <w:t>-Manor et al., 2016)</w:t>
      </w:r>
    </w:p>
    <w:p w14:paraId="2C93A9CC" w14:textId="77777777" w:rsidR="007E1DCB" w:rsidRDefault="0050172C" w:rsidP="007E1DCB">
      <w:pPr>
        <w:spacing w:line="360" w:lineRule="auto"/>
        <w:jc w:val="both"/>
        <w:rPr>
          <w:rFonts w:ascii="Arial" w:hAnsi="Arial" w:cs="Arial"/>
        </w:rPr>
      </w:pPr>
      <w:r w:rsidRPr="00A2344C">
        <w:rPr>
          <w:rFonts w:ascii="Arial" w:hAnsi="Arial" w:cs="Arial"/>
        </w:rPr>
        <w:t xml:space="preserve">One of the key challenges in this research is the use of secondary data, which is often designed for broad, general purposes rather than for specific research questions. </w:t>
      </w:r>
      <w:r w:rsidR="006746F0" w:rsidRPr="00A2344C">
        <w:rPr>
          <w:rFonts w:ascii="Arial" w:hAnsi="Arial" w:cs="Arial"/>
        </w:rPr>
        <w:t>(Cole &amp; Trinh, 2017)</w:t>
      </w:r>
      <w:r w:rsidR="00356CA6" w:rsidRPr="00A2344C">
        <w:rPr>
          <w:rFonts w:ascii="Arial" w:hAnsi="Arial" w:cs="Arial"/>
        </w:rPr>
        <w:t xml:space="preserve"> While secondary data sources offer advantages such as cost-effectiveness and time efficiency, they also come with limitations. In this case, the database lacked key indicators necessary to assess the relationship between single</w:t>
      </w:r>
      <w:r w:rsidR="00A2344C">
        <w:rPr>
          <w:rFonts w:ascii="Arial" w:hAnsi="Arial" w:cs="Arial"/>
        </w:rPr>
        <w:t xml:space="preserve"> </w:t>
      </w:r>
      <w:r w:rsidR="00356CA6" w:rsidRPr="00A2344C">
        <w:rPr>
          <w:rFonts w:ascii="Arial" w:hAnsi="Arial" w:cs="Arial"/>
        </w:rPr>
        <w:t>parents</w:t>
      </w:r>
      <w:r w:rsidR="00A2344C">
        <w:rPr>
          <w:rFonts w:ascii="Arial" w:hAnsi="Arial" w:cs="Arial"/>
        </w:rPr>
        <w:t xml:space="preserve">’ </w:t>
      </w:r>
      <w:r w:rsidR="00356CA6" w:rsidRPr="00A2344C">
        <w:rPr>
          <w:rFonts w:ascii="Arial" w:hAnsi="Arial" w:cs="Arial"/>
        </w:rPr>
        <w:t>families and vulnerabilities related to modern slavery. For instance, the database did not provide detailed information on education levels, income or specific vulnerabilities like debt or precarious employment that could make individuals more susceptible to exploitation. (Bryman, 2015)</w:t>
      </w:r>
    </w:p>
    <w:p w14:paraId="2A40D6F6" w14:textId="3B57A64D" w:rsidR="0077768A" w:rsidRPr="007E1DCB" w:rsidRDefault="003E004B" w:rsidP="007E1DCB">
      <w:pPr>
        <w:spacing w:line="360" w:lineRule="auto"/>
        <w:jc w:val="both"/>
        <w:rPr>
          <w:rFonts w:ascii="Arial" w:hAnsi="Arial" w:cs="Arial"/>
        </w:rPr>
      </w:pPr>
      <w:r w:rsidRPr="00086E13">
        <w:rPr>
          <w:rFonts w:ascii="Arial" w:hAnsi="Arial" w:cs="Arial"/>
          <w:b/>
          <w:bCs/>
          <w:color w:val="000000" w:themeColor="text1"/>
        </w:rPr>
        <w:t>Conclusion</w:t>
      </w:r>
    </w:p>
    <w:p w14:paraId="4C09F439" w14:textId="17955686" w:rsidR="003E004B" w:rsidRPr="00A2344C" w:rsidRDefault="003E004B" w:rsidP="007E1DCB">
      <w:pPr>
        <w:spacing w:line="360" w:lineRule="auto"/>
        <w:jc w:val="both"/>
        <w:rPr>
          <w:rFonts w:ascii="Arial" w:hAnsi="Arial" w:cs="Arial"/>
        </w:rPr>
      </w:pPr>
      <w:r w:rsidRPr="00A2344C">
        <w:rPr>
          <w:rFonts w:ascii="Arial" w:hAnsi="Arial" w:cs="Arial"/>
        </w:rPr>
        <w:t>The present research faced significant limitations due to the constraints imposed by the available database, making it impossible to scientifically confirm or deny the hypothesis that single-parent families are more vulnerable to modern slavery or vulnerabilities related to modern slavery factors such as poor education, financial difficulties, or other socio-economic stressors. This conclusion highlights the critical importance of having comprehensive and relevant data when studying complex social phenomena like modern slavery.</w:t>
      </w:r>
    </w:p>
    <w:p w14:paraId="0C1464E4" w14:textId="4293B41C" w:rsidR="003E004B" w:rsidRPr="00A2344C" w:rsidRDefault="003E004B" w:rsidP="007E1DCB">
      <w:pPr>
        <w:spacing w:line="360" w:lineRule="auto"/>
        <w:jc w:val="both"/>
        <w:rPr>
          <w:rFonts w:ascii="Arial" w:hAnsi="Arial" w:cs="Arial"/>
        </w:rPr>
      </w:pPr>
      <w:r w:rsidRPr="00A2344C">
        <w:rPr>
          <w:rFonts w:ascii="Arial" w:hAnsi="Arial" w:cs="Arial"/>
        </w:rPr>
        <w:t xml:space="preserve">The central hypothesis of this research posits that single-parent families, particularly those with lower socioeconomic status, face greater difficulties and are at higher risk of exploitation and vulnerabilities associated with modern slavery. Vulnerabilities such as poverty, limited educational opportunities and financial instability are often seen as factors that increase the susceptibility to exploitation. </w:t>
      </w:r>
      <w:r w:rsidRPr="00A2344C">
        <w:rPr>
          <w:rFonts w:ascii="Arial" w:hAnsi="Arial" w:cs="Arial"/>
        </w:rPr>
        <w:t>(Craig &amp; Balch, 2019)</w:t>
      </w:r>
      <w:r w:rsidR="00327142" w:rsidRPr="00A2344C">
        <w:rPr>
          <w:rFonts w:ascii="Arial" w:hAnsi="Arial" w:cs="Arial"/>
        </w:rPr>
        <w:t xml:space="preserve"> However, the inability to confirm the hypotheses through the current data set reflects the limitations inherent in relying on secondary data, which may not be specifically tailored to the unique research questions posed. </w:t>
      </w:r>
      <w:r w:rsidR="00327142" w:rsidRPr="00A2344C">
        <w:rPr>
          <w:rFonts w:ascii="Arial" w:hAnsi="Arial" w:cs="Arial"/>
        </w:rPr>
        <w:t>(Saunders et al., 2023)</w:t>
      </w:r>
      <w:r w:rsidR="00AF5A6F" w:rsidRPr="00A2344C">
        <w:rPr>
          <w:rFonts w:ascii="Arial" w:hAnsi="Arial" w:cs="Arial"/>
        </w:rPr>
        <w:t xml:space="preserve"> This highlights a key </w:t>
      </w:r>
      <w:r w:rsidR="00AF5A6F" w:rsidRPr="00A2344C">
        <w:rPr>
          <w:rFonts w:ascii="Arial" w:hAnsi="Arial" w:cs="Arial"/>
        </w:rPr>
        <w:lastRenderedPageBreak/>
        <w:t>methodological challenge</w:t>
      </w:r>
      <w:r w:rsidR="00570004" w:rsidRPr="00A2344C">
        <w:rPr>
          <w:rFonts w:ascii="Arial" w:hAnsi="Arial" w:cs="Arial"/>
        </w:rPr>
        <w:t xml:space="preserve"> which is the </w:t>
      </w:r>
      <w:r w:rsidR="00AF5A6F" w:rsidRPr="00A2344C">
        <w:rPr>
          <w:rFonts w:ascii="Arial" w:hAnsi="Arial" w:cs="Arial"/>
        </w:rPr>
        <w:t>mismatch between the data available and the specific needs of the research.</w:t>
      </w:r>
    </w:p>
    <w:p w14:paraId="130315DF" w14:textId="6A8B89AD" w:rsidR="00356CA6" w:rsidRPr="00A2344C" w:rsidRDefault="009F550C" w:rsidP="007E1DCB">
      <w:pPr>
        <w:spacing w:line="360" w:lineRule="auto"/>
        <w:jc w:val="both"/>
        <w:rPr>
          <w:rFonts w:ascii="Arial" w:hAnsi="Arial" w:cs="Arial"/>
        </w:rPr>
      </w:pPr>
      <w:r w:rsidRPr="00A2344C">
        <w:rPr>
          <w:rFonts w:ascii="Arial" w:hAnsi="Arial" w:cs="Arial"/>
        </w:rPr>
        <w:t>In quantitative research, the ability to confirm or deny a hypothesis relies heavily on the quality and relevance of the data. Hypotheses need to be tested against data that accurately represents the population and variables of interest. (Creswell &amp; Creswell, 2017).</w:t>
      </w:r>
    </w:p>
    <w:p w14:paraId="1D20C76E" w14:textId="37E8D7B5" w:rsidR="009F550C" w:rsidRPr="00A2344C" w:rsidRDefault="009F550C" w:rsidP="007E1DCB">
      <w:pPr>
        <w:spacing w:line="360" w:lineRule="auto"/>
        <w:jc w:val="both"/>
        <w:rPr>
          <w:rFonts w:ascii="Arial" w:hAnsi="Arial" w:cs="Arial"/>
        </w:rPr>
      </w:pPr>
      <w:r w:rsidRPr="00A2344C">
        <w:rPr>
          <w:rFonts w:ascii="Arial" w:hAnsi="Arial" w:cs="Arial"/>
        </w:rPr>
        <w:t xml:space="preserve">Furthermore, longitudinal analysis, which could track changes in vulnerabilities over time, was also not possible due to the absence of consistent data across multiple time points for key variables. </w:t>
      </w:r>
      <w:r w:rsidR="008C4FFF" w:rsidRPr="00A2344C">
        <w:rPr>
          <w:rFonts w:ascii="Arial" w:hAnsi="Arial" w:cs="Arial"/>
        </w:rPr>
        <w:t xml:space="preserve">Longitudinal studies are crucial for understanding how vulnerabilities develop and persist, particularly in context where socio-economic conditions can fluctuate over time. </w:t>
      </w:r>
      <w:r w:rsidR="006C78C9" w:rsidRPr="00A2344C">
        <w:rPr>
          <w:rFonts w:ascii="Arial" w:hAnsi="Arial" w:cs="Arial"/>
        </w:rPr>
        <w:t>(Heckman &amp; Mosso, 2014)</w:t>
      </w:r>
      <w:r w:rsidR="00A2344C" w:rsidRPr="00A2344C">
        <w:rPr>
          <w:rFonts w:ascii="Arial" w:hAnsi="Arial" w:cs="Arial"/>
        </w:rPr>
        <w:t xml:space="preserve"> Without this type of data, any analysis is inherently limited to a snapshot in time, which may not capture the evolving nature of vulnerabilities faced by single parents. </w:t>
      </w:r>
    </w:p>
    <w:p w14:paraId="022C0A33" w14:textId="3E4D9E68" w:rsidR="00A2344C" w:rsidRPr="00086E13" w:rsidRDefault="00A2344C" w:rsidP="007E1DCB">
      <w:pPr>
        <w:pStyle w:val="Heading1"/>
        <w:spacing w:line="360" w:lineRule="auto"/>
        <w:jc w:val="both"/>
        <w:rPr>
          <w:rFonts w:ascii="Arial" w:hAnsi="Arial" w:cs="Arial"/>
          <w:b/>
          <w:bCs/>
          <w:sz w:val="24"/>
          <w:szCs w:val="24"/>
        </w:rPr>
      </w:pPr>
      <w:bookmarkStart w:id="19" w:name="_Toc179221826"/>
      <w:r w:rsidRPr="00086E13">
        <w:rPr>
          <w:rFonts w:ascii="Arial" w:hAnsi="Arial" w:cs="Arial"/>
          <w:b/>
          <w:bCs/>
          <w:color w:val="000000" w:themeColor="text1"/>
          <w:sz w:val="24"/>
          <w:szCs w:val="24"/>
        </w:rPr>
        <w:t>Further research</w:t>
      </w:r>
      <w:bookmarkEnd w:id="19"/>
    </w:p>
    <w:p w14:paraId="6BC98C53" w14:textId="0A011E1F" w:rsidR="00A2344C" w:rsidRPr="00A2344C" w:rsidRDefault="00A2344C" w:rsidP="007E1DCB">
      <w:pPr>
        <w:spacing w:line="360" w:lineRule="auto"/>
        <w:jc w:val="both"/>
        <w:rPr>
          <w:rFonts w:ascii="Arial" w:hAnsi="Arial" w:cs="Arial"/>
        </w:rPr>
      </w:pPr>
      <w:r w:rsidRPr="00A2344C">
        <w:rPr>
          <w:rFonts w:ascii="Arial" w:hAnsi="Arial" w:cs="Arial"/>
        </w:rPr>
        <w:t xml:space="preserve">These limitations underscore the needs for more comprehensive data collection efforts in future research. Researcher should consider collecting primary data that directly address to the research and allow for a more nuanced understanding of the research topic. </w:t>
      </w:r>
    </w:p>
    <w:p w14:paraId="154AFCD8" w14:textId="606112CB" w:rsidR="00A33B06" w:rsidRPr="00086E13" w:rsidRDefault="00A33B06" w:rsidP="007E1DCB">
      <w:pPr>
        <w:pStyle w:val="Heading1"/>
        <w:spacing w:line="360" w:lineRule="auto"/>
        <w:jc w:val="both"/>
        <w:rPr>
          <w:rFonts w:ascii="Arial" w:hAnsi="Arial" w:cs="Arial"/>
          <w:b/>
          <w:bCs/>
          <w:sz w:val="24"/>
          <w:szCs w:val="24"/>
        </w:rPr>
      </w:pPr>
      <w:bookmarkStart w:id="20" w:name="_Toc179221827"/>
      <w:r w:rsidRPr="00086E13">
        <w:rPr>
          <w:rFonts w:ascii="Arial" w:hAnsi="Arial" w:cs="Arial"/>
          <w:b/>
          <w:bCs/>
          <w:color w:val="000000" w:themeColor="text1"/>
          <w:sz w:val="24"/>
          <w:szCs w:val="24"/>
        </w:rPr>
        <w:t>Reflexive Analysis of the Quantitative Methods Module</w:t>
      </w:r>
      <w:bookmarkEnd w:id="20"/>
    </w:p>
    <w:p w14:paraId="7387A861" w14:textId="64FA5F74" w:rsidR="00A33B06" w:rsidRPr="00A2344C" w:rsidRDefault="00A33B06" w:rsidP="007E1DCB">
      <w:pPr>
        <w:spacing w:line="360" w:lineRule="auto"/>
        <w:jc w:val="both"/>
        <w:rPr>
          <w:rFonts w:ascii="Arial" w:hAnsi="Arial" w:cs="Arial"/>
        </w:rPr>
      </w:pPr>
      <w:r w:rsidRPr="00A2344C">
        <w:rPr>
          <w:rFonts w:ascii="Arial" w:hAnsi="Arial" w:cs="Arial"/>
        </w:rPr>
        <w:t>The Quantitative Methods module has been a transformative component of my doctoral journey, enabling me to develop a more nuanced understanding of statistical analysis and its application in social research. This module has not only equipped me with essential technical skills but has also fostered a critical reflection on the role of quantitative methods in investigating complex social issues.</w:t>
      </w:r>
    </w:p>
    <w:p w14:paraId="773F4B78" w14:textId="5C1D7E21" w:rsidR="00A33B06" w:rsidRPr="00A2344C" w:rsidRDefault="00A33B06" w:rsidP="007E1DCB">
      <w:pPr>
        <w:spacing w:line="360" w:lineRule="auto"/>
        <w:jc w:val="both"/>
        <w:rPr>
          <w:rFonts w:ascii="Arial" w:hAnsi="Arial" w:cs="Arial"/>
        </w:rPr>
      </w:pPr>
      <w:r w:rsidRPr="00A2344C">
        <w:rPr>
          <w:rFonts w:ascii="Arial" w:hAnsi="Arial" w:cs="Arial"/>
        </w:rPr>
        <w:t xml:space="preserve">Initially, I approached the module with a mix of apprehension and curiosity. The quantitative landscape, with its various statistical techniques and software applications, seemed daunting. However, as I progressed through the curriculum, I began to appreciate the structured nature of quantitative research. The step-by-step approach to data collection, analysis, and interpretation provided a clear framework for understanding how numerical data can reveal patterns and relationships within </w:t>
      </w:r>
      <w:r w:rsidRPr="00A2344C">
        <w:rPr>
          <w:rFonts w:ascii="Arial" w:hAnsi="Arial" w:cs="Arial"/>
        </w:rPr>
        <w:lastRenderedPageBreak/>
        <w:t>social phenomena. This was particularly relevant for my research on modern slavery and single-parent families, where quantifiable data serves as a foundation for drawing meaningful conclusions.</w:t>
      </w:r>
    </w:p>
    <w:p w14:paraId="5A151D29" w14:textId="5771F70E" w:rsidR="00A33B06" w:rsidRPr="00A2344C" w:rsidRDefault="00A33B06" w:rsidP="007E1DCB">
      <w:pPr>
        <w:spacing w:line="360" w:lineRule="auto"/>
        <w:jc w:val="both"/>
        <w:rPr>
          <w:rFonts w:ascii="Arial" w:hAnsi="Arial" w:cs="Arial"/>
        </w:rPr>
      </w:pPr>
      <w:r w:rsidRPr="00A2344C">
        <w:rPr>
          <w:rFonts w:ascii="Arial" w:hAnsi="Arial" w:cs="Arial"/>
        </w:rPr>
        <w:t xml:space="preserve">The module’s emphasis on statistical software, specifically SPSS, was instrumental in bringing theory with practical application. Through hands-on experience, I learned how to navigate the complexities of data entry, manipulation, and analysis. The opportunity to conduct various analyses allowed </w:t>
      </w:r>
      <w:r w:rsidRPr="00A2344C">
        <w:rPr>
          <w:rFonts w:ascii="Arial" w:hAnsi="Arial" w:cs="Arial"/>
        </w:rPr>
        <w:t>me to explore relationships between variables and assess their significance. This not only bolstered my confidence in using statistical tools but also highlighted the importance of rigorous data handling in ensuring the validity of research findings.</w:t>
      </w:r>
    </w:p>
    <w:p w14:paraId="19100A7B" w14:textId="77777777" w:rsidR="00281F4A" w:rsidRPr="00A2344C" w:rsidRDefault="00F33669" w:rsidP="007E1DCB">
      <w:pPr>
        <w:spacing w:line="360" w:lineRule="auto"/>
        <w:jc w:val="both"/>
        <w:rPr>
          <w:rFonts w:ascii="Arial" w:hAnsi="Arial" w:cs="Arial"/>
        </w:rPr>
      </w:pPr>
      <w:r w:rsidRPr="00A2344C">
        <w:rPr>
          <w:rFonts w:ascii="Arial" w:hAnsi="Arial" w:cs="Arial"/>
        </w:rPr>
        <w:t>Reflecting on my experience in the quantitative methods module, I have come to understand the significant value of collecting my own data for research. Engaging directly with the data-gathering process enables me to focus on the exact points that are crucial for my research objectives. This personalised approach not only enhances the clarity of my analyses but also adds depth and meaning to my findings.</w:t>
      </w:r>
      <w:r w:rsidRPr="00A2344C">
        <w:rPr>
          <w:rFonts w:ascii="Arial" w:hAnsi="Arial" w:cs="Arial"/>
        </w:rPr>
        <w:t xml:space="preserve"> </w:t>
      </w:r>
      <w:r w:rsidR="00281F4A" w:rsidRPr="00A2344C">
        <w:rPr>
          <w:rFonts w:ascii="Arial" w:hAnsi="Arial" w:cs="Arial"/>
        </w:rPr>
        <w:t>Working with existing datasets can often present challenges, especially for someone who is not a professional statistician. The process of aggregating data, defining variables and grouping variables, trying to find something that suits to my hypothesis can be intricate and may lead to gaps in the information I need.</w:t>
      </w:r>
      <w:r w:rsidR="00281F4A" w:rsidRPr="00A2344C">
        <w:rPr>
          <w:rFonts w:ascii="Arial" w:hAnsi="Arial" w:cs="Arial"/>
        </w:rPr>
        <w:t xml:space="preserve"> </w:t>
      </w:r>
      <w:r w:rsidR="00281F4A" w:rsidRPr="00A2344C">
        <w:rPr>
          <w:rFonts w:ascii="Arial" w:hAnsi="Arial" w:cs="Arial"/>
        </w:rPr>
        <w:t>This experience has underscored the importance of having tailored data that aligns closely with my research questions. By collecting my own data, I can ensure its relevance and accuracy, thereby facilitating more robust and insightful analyses</w:t>
      </w:r>
      <w:r w:rsidR="00281F4A" w:rsidRPr="00A2344C">
        <w:rPr>
          <w:rFonts w:ascii="Arial" w:hAnsi="Arial" w:cs="Arial"/>
        </w:rPr>
        <w:t xml:space="preserve">. </w:t>
      </w:r>
      <w:r w:rsidR="00281F4A" w:rsidRPr="00A2344C">
        <w:rPr>
          <w:rFonts w:ascii="Arial" w:hAnsi="Arial" w:cs="Arial"/>
        </w:rPr>
        <w:t>Through this experience, I have gained a profound appreciation for the importance of data collection as a foundation for robust and impactful research.</w:t>
      </w:r>
    </w:p>
    <w:p w14:paraId="3FBF27A1" w14:textId="4367A980" w:rsidR="00281F4A" w:rsidRPr="00A2344C" w:rsidRDefault="00281F4A" w:rsidP="007E1DCB">
      <w:pPr>
        <w:spacing w:line="360" w:lineRule="auto"/>
        <w:jc w:val="both"/>
        <w:rPr>
          <w:rFonts w:ascii="Arial" w:hAnsi="Arial" w:cs="Arial"/>
        </w:rPr>
      </w:pPr>
      <w:r w:rsidRPr="00A2344C">
        <w:rPr>
          <w:rFonts w:ascii="Arial" w:hAnsi="Arial" w:cs="Arial"/>
        </w:rPr>
        <w:t>Overall, this module has significantly deepened my understanding of quantitative research methodologies and highlighted the importance of employing data collection strategies that align with my specific objectives. Additionally, I have acquired valuable insights into statistical tools and developed a more analytical way of thinking, which will undoubtedly enhance my future research endeavours.</w:t>
      </w:r>
    </w:p>
    <w:p w14:paraId="12FA4172" w14:textId="77777777" w:rsidR="00281F4A" w:rsidRDefault="00281F4A" w:rsidP="007E1DCB">
      <w:pPr>
        <w:spacing w:line="360" w:lineRule="auto"/>
        <w:jc w:val="both"/>
        <w:rPr>
          <w:rFonts w:ascii="Arial" w:hAnsi="Arial" w:cs="Arial"/>
          <w:b/>
          <w:bCs/>
        </w:rPr>
      </w:pPr>
    </w:p>
    <w:p w14:paraId="00DFBC95" w14:textId="6480349A" w:rsidR="00693B9B" w:rsidRPr="00086E13" w:rsidRDefault="00693B9B" w:rsidP="007E1DCB">
      <w:pPr>
        <w:pStyle w:val="Heading1"/>
        <w:spacing w:line="360" w:lineRule="auto"/>
        <w:jc w:val="both"/>
        <w:rPr>
          <w:rFonts w:ascii="Arial" w:hAnsi="Arial" w:cs="Arial"/>
          <w:b/>
          <w:bCs/>
          <w:color w:val="000000" w:themeColor="text1"/>
          <w:sz w:val="24"/>
          <w:szCs w:val="24"/>
        </w:rPr>
      </w:pPr>
      <w:bookmarkStart w:id="21" w:name="_Toc179221828"/>
      <w:r w:rsidRPr="00086E13">
        <w:rPr>
          <w:rFonts w:ascii="Arial" w:hAnsi="Arial" w:cs="Arial"/>
          <w:b/>
          <w:bCs/>
          <w:color w:val="000000" w:themeColor="text1"/>
          <w:sz w:val="24"/>
          <w:szCs w:val="24"/>
        </w:rPr>
        <w:lastRenderedPageBreak/>
        <w:t>References:</w:t>
      </w:r>
      <w:bookmarkEnd w:id="21"/>
    </w:p>
    <w:p w14:paraId="655B3740" w14:textId="77777777" w:rsidR="007268AB" w:rsidRDefault="00B41563" w:rsidP="007E1DCB">
      <w:pPr>
        <w:spacing w:line="360" w:lineRule="auto"/>
        <w:jc w:val="both"/>
        <w:rPr>
          <w:rFonts w:ascii="Arial" w:hAnsi="Arial" w:cs="Arial"/>
        </w:rPr>
      </w:pPr>
      <w:r w:rsidRPr="00C075F2">
        <w:rPr>
          <w:rFonts w:ascii="Arial" w:hAnsi="Arial" w:cs="Arial"/>
        </w:rPr>
        <w:t>ACT for Youth (2024) </w:t>
      </w:r>
      <w:r w:rsidRPr="00C075F2">
        <w:rPr>
          <w:rFonts w:ascii="Arial" w:hAnsi="Arial" w:cs="Arial"/>
          <w:i/>
          <w:iCs/>
        </w:rPr>
        <w:t>Youth statistics: Family structure and relationships</w:t>
      </w:r>
      <w:r w:rsidRPr="00C075F2">
        <w:rPr>
          <w:rFonts w:ascii="Arial" w:hAnsi="Arial" w:cs="Arial"/>
        </w:rPr>
        <w:t>, </w:t>
      </w:r>
      <w:r w:rsidRPr="00C075F2">
        <w:rPr>
          <w:rFonts w:ascii="Arial" w:hAnsi="Arial" w:cs="Arial"/>
          <w:i/>
          <w:iCs/>
        </w:rPr>
        <w:t>Youth Statistics: Family Structure and Relationships - ACT for Youth</w:t>
      </w:r>
      <w:r w:rsidRPr="00C075F2">
        <w:rPr>
          <w:rFonts w:ascii="Arial" w:hAnsi="Arial" w:cs="Arial"/>
        </w:rPr>
        <w:t>. Available at: https://actforyouth.net/adolescence/demographics/family.cfm (Accessed: 02 September 2024).</w:t>
      </w:r>
    </w:p>
    <w:p w14:paraId="5DFA1BAD" w14:textId="4E6DCCEB" w:rsidR="007268AB" w:rsidRDefault="00CB4824" w:rsidP="007E1DCB">
      <w:pPr>
        <w:spacing w:line="360" w:lineRule="auto"/>
        <w:jc w:val="both"/>
        <w:rPr>
          <w:rFonts w:ascii="Arial" w:hAnsi="Arial" w:cs="Arial"/>
        </w:rPr>
      </w:pPr>
      <w:r w:rsidRPr="00C075F2">
        <w:rPr>
          <w:rFonts w:ascii="Arial" w:hAnsi="Arial" w:cs="Arial"/>
        </w:rPr>
        <w:t>Akers, R. (2009) </w:t>
      </w:r>
      <w:r w:rsidRPr="00C075F2">
        <w:rPr>
          <w:rFonts w:ascii="Arial" w:hAnsi="Arial" w:cs="Arial"/>
          <w:i/>
          <w:iCs/>
        </w:rPr>
        <w:t xml:space="preserve">Social Learning and social structure a general theory of crime and deviance Ronald Akers </w:t>
      </w:r>
      <w:proofErr w:type="spellStart"/>
      <w:r w:rsidRPr="00C075F2">
        <w:rPr>
          <w:rFonts w:ascii="Arial" w:hAnsi="Arial" w:cs="Arial"/>
          <w:i/>
          <w:iCs/>
        </w:rPr>
        <w:t>Aut</w:t>
      </w:r>
      <w:proofErr w:type="spellEnd"/>
      <w:r w:rsidRPr="00C075F2">
        <w:rPr>
          <w:rFonts w:ascii="Arial" w:hAnsi="Arial" w:cs="Arial"/>
        </w:rPr>
        <w:t>. 1st ed. Abingdon, UK: Routledge.</w:t>
      </w:r>
    </w:p>
    <w:p w14:paraId="561E850C" w14:textId="7EE2CDB2" w:rsidR="007268AB" w:rsidRDefault="006E2865" w:rsidP="007E1DCB">
      <w:pPr>
        <w:spacing w:line="360" w:lineRule="auto"/>
        <w:jc w:val="both"/>
        <w:rPr>
          <w:rFonts w:ascii="Arial" w:hAnsi="Arial" w:cs="Arial"/>
        </w:rPr>
      </w:pPr>
      <w:r w:rsidRPr="00C075F2">
        <w:rPr>
          <w:rFonts w:ascii="Arial" w:hAnsi="Arial" w:cs="Arial"/>
        </w:rPr>
        <w:t>Amato, P.R., Patterson, S. and Beattie, B. (2015) ‘Single-parent households and Children’s educational achievement: A state-level analysis’, </w:t>
      </w:r>
      <w:r w:rsidRPr="00C075F2">
        <w:rPr>
          <w:rFonts w:ascii="Arial" w:hAnsi="Arial" w:cs="Arial"/>
          <w:i/>
          <w:iCs/>
        </w:rPr>
        <w:t>Social Science Research</w:t>
      </w:r>
      <w:r w:rsidRPr="00C075F2">
        <w:rPr>
          <w:rFonts w:ascii="Arial" w:hAnsi="Arial" w:cs="Arial"/>
        </w:rPr>
        <w:t xml:space="preserve">, 53, pp. 191–202. </w:t>
      </w:r>
      <w:proofErr w:type="gramStart"/>
      <w:r w:rsidRPr="00C075F2">
        <w:rPr>
          <w:rFonts w:ascii="Arial" w:hAnsi="Arial" w:cs="Arial"/>
        </w:rPr>
        <w:t>doi:10.1016/j.ssresearch</w:t>
      </w:r>
      <w:proofErr w:type="gramEnd"/>
      <w:r w:rsidRPr="00C075F2">
        <w:rPr>
          <w:rFonts w:ascii="Arial" w:hAnsi="Arial" w:cs="Arial"/>
        </w:rPr>
        <w:t>.2015.05.012.</w:t>
      </w:r>
    </w:p>
    <w:p w14:paraId="11C393A7" w14:textId="164E54F9" w:rsidR="007268AB" w:rsidRDefault="00323F8B" w:rsidP="007E1DCB">
      <w:pPr>
        <w:spacing w:line="360" w:lineRule="auto"/>
        <w:jc w:val="both"/>
        <w:rPr>
          <w:rFonts w:ascii="Arial" w:hAnsi="Arial" w:cs="Arial"/>
        </w:rPr>
      </w:pPr>
      <w:proofErr w:type="spellStart"/>
      <w:r w:rsidRPr="00C075F2">
        <w:rPr>
          <w:rFonts w:ascii="Arial" w:hAnsi="Arial" w:cs="Arial"/>
        </w:rPr>
        <w:t>Aspalter</w:t>
      </w:r>
      <w:proofErr w:type="spellEnd"/>
      <w:r w:rsidRPr="00C075F2">
        <w:rPr>
          <w:rFonts w:ascii="Arial" w:hAnsi="Arial" w:cs="Arial"/>
        </w:rPr>
        <w:t>, C. (2023) ‘Correction to: Ten worlds of welfare capitalism’, </w:t>
      </w:r>
      <w:r w:rsidRPr="00C075F2">
        <w:rPr>
          <w:rFonts w:ascii="Arial" w:hAnsi="Arial" w:cs="Arial"/>
          <w:i/>
          <w:iCs/>
        </w:rPr>
        <w:t>Ten Worlds of Welfare Capitalism</w:t>
      </w:r>
      <w:r w:rsidRPr="00C075F2">
        <w:rPr>
          <w:rFonts w:ascii="Arial" w:hAnsi="Arial" w:cs="Arial"/>
        </w:rPr>
        <w:t> [Preprint]. doi:10.1007/978-981-19-7863-0_8.</w:t>
      </w:r>
    </w:p>
    <w:p w14:paraId="39D60FAB" w14:textId="1FB58532" w:rsidR="007268AB" w:rsidRDefault="00F56C7B" w:rsidP="007E1DCB">
      <w:pPr>
        <w:spacing w:line="360" w:lineRule="auto"/>
        <w:jc w:val="both"/>
        <w:rPr>
          <w:rFonts w:ascii="Arial" w:hAnsi="Arial" w:cs="Arial"/>
        </w:rPr>
      </w:pPr>
      <w:proofErr w:type="spellStart"/>
      <w:r w:rsidRPr="00C075F2">
        <w:rPr>
          <w:rFonts w:ascii="Arial" w:hAnsi="Arial" w:cs="Arial"/>
        </w:rPr>
        <w:t>Bernardi</w:t>
      </w:r>
      <w:proofErr w:type="spellEnd"/>
      <w:r w:rsidRPr="00C075F2">
        <w:rPr>
          <w:rFonts w:ascii="Arial" w:hAnsi="Arial" w:cs="Arial"/>
        </w:rPr>
        <w:t xml:space="preserve">, L. and </w:t>
      </w:r>
      <w:proofErr w:type="spellStart"/>
      <w:r w:rsidRPr="00C075F2">
        <w:rPr>
          <w:rFonts w:ascii="Arial" w:hAnsi="Arial" w:cs="Arial"/>
        </w:rPr>
        <w:t>Mortelmans</w:t>
      </w:r>
      <w:proofErr w:type="spellEnd"/>
      <w:r w:rsidRPr="00C075F2">
        <w:rPr>
          <w:rFonts w:ascii="Arial" w:hAnsi="Arial" w:cs="Arial"/>
        </w:rPr>
        <w:t>, D. (2018) </w:t>
      </w:r>
      <w:r w:rsidRPr="00C075F2">
        <w:rPr>
          <w:rFonts w:ascii="Arial" w:hAnsi="Arial" w:cs="Arial"/>
          <w:i/>
          <w:iCs/>
        </w:rPr>
        <w:t>Lone Parenthood in the life course</w:t>
      </w:r>
      <w:r w:rsidRPr="00C075F2">
        <w:rPr>
          <w:rFonts w:ascii="Arial" w:hAnsi="Arial" w:cs="Arial"/>
        </w:rPr>
        <w:t> </w:t>
      </w:r>
      <w:r w:rsidRPr="00C075F2">
        <w:rPr>
          <w:rFonts w:ascii="Arial" w:hAnsi="Arial" w:cs="Arial"/>
          <w:i/>
          <w:iCs/>
        </w:rPr>
        <w:t>Vol 8</w:t>
      </w:r>
      <w:r w:rsidRPr="00C075F2">
        <w:rPr>
          <w:rFonts w:ascii="Arial" w:hAnsi="Arial" w:cs="Arial"/>
        </w:rPr>
        <w:t xml:space="preserve">. 1st ed. Cham, Germany: Springer International </w:t>
      </w:r>
      <w:r w:rsidR="007268AB" w:rsidRPr="00C075F2">
        <w:rPr>
          <w:rFonts w:ascii="Arial" w:hAnsi="Arial" w:cs="Arial"/>
        </w:rPr>
        <w:t>Publishing:</w:t>
      </w:r>
      <w:r w:rsidRPr="00C075F2">
        <w:rPr>
          <w:rFonts w:ascii="Arial" w:hAnsi="Arial" w:cs="Arial"/>
        </w:rPr>
        <w:t xml:space="preserve"> </w:t>
      </w:r>
      <w:proofErr w:type="gramStart"/>
      <w:r w:rsidRPr="00C075F2">
        <w:rPr>
          <w:rFonts w:ascii="Arial" w:hAnsi="Arial" w:cs="Arial"/>
        </w:rPr>
        <w:t>Imprint :</w:t>
      </w:r>
      <w:proofErr w:type="gramEnd"/>
      <w:r w:rsidRPr="00C075F2">
        <w:rPr>
          <w:rFonts w:ascii="Arial" w:hAnsi="Arial" w:cs="Arial"/>
        </w:rPr>
        <w:t xml:space="preserve"> Springer.</w:t>
      </w:r>
    </w:p>
    <w:p w14:paraId="69F10281" w14:textId="6927E055" w:rsidR="007268AB" w:rsidRDefault="003215DE" w:rsidP="007E1DCB">
      <w:pPr>
        <w:spacing w:line="360" w:lineRule="auto"/>
        <w:jc w:val="both"/>
        <w:rPr>
          <w:rFonts w:ascii="Arial" w:hAnsi="Arial" w:cs="Arial"/>
        </w:rPr>
      </w:pPr>
      <w:r w:rsidRPr="00C075F2">
        <w:rPr>
          <w:rFonts w:ascii="Arial" w:hAnsi="Arial" w:cs="Arial"/>
        </w:rPr>
        <w:t>Blaikie, N.W.H. (2019) </w:t>
      </w:r>
      <w:r w:rsidRPr="00C075F2">
        <w:rPr>
          <w:rFonts w:ascii="Arial" w:hAnsi="Arial" w:cs="Arial"/>
          <w:i/>
          <w:iCs/>
        </w:rPr>
        <w:t>Approaches to social enquiry</w:t>
      </w:r>
      <w:r w:rsidRPr="00C075F2">
        <w:rPr>
          <w:rFonts w:ascii="Arial" w:hAnsi="Arial" w:cs="Arial"/>
        </w:rPr>
        <w:t>. 2nd ed. Cambridge, UK: Polity Press.</w:t>
      </w:r>
    </w:p>
    <w:p w14:paraId="199FFA1F" w14:textId="447F7D26" w:rsidR="007268AB" w:rsidRDefault="005F5A65" w:rsidP="007E1DCB">
      <w:pPr>
        <w:spacing w:line="360" w:lineRule="auto"/>
        <w:jc w:val="both"/>
        <w:rPr>
          <w:rFonts w:ascii="Arial" w:hAnsi="Arial" w:cs="Arial"/>
        </w:rPr>
      </w:pPr>
      <w:r w:rsidRPr="00C075F2">
        <w:rPr>
          <w:rFonts w:ascii="Arial" w:hAnsi="Arial" w:cs="Arial"/>
        </w:rPr>
        <w:t>Bradshaw, J. (2006) </w:t>
      </w:r>
      <w:r w:rsidRPr="00C075F2">
        <w:rPr>
          <w:rFonts w:ascii="Arial" w:hAnsi="Arial" w:cs="Arial"/>
          <w:i/>
          <w:iCs/>
        </w:rPr>
        <w:t xml:space="preserve">A review of the </w:t>
      </w:r>
      <w:proofErr w:type="spellStart"/>
      <w:r w:rsidRPr="00C075F2">
        <w:rPr>
          <w:rFonts w:ascii="Arial" w:hAnsi="Arial" w:cs="Arial"/>
          <w:i/>
          <w:iCs/>
        </w:rPr>
        <w:t>cooparative</w:t>
      </w:r>
      <w:proofErr w:type="spellEnd"/>
      <w:r w:rsidRPr="00C075F2">
        <w:rPr>
          <w:rFonts w:ascii="Arial" w:hAnsi="Arial" w:cs="Arial"/>
          <w:i/>
          <w:iCs/>
        </w:rPr>
        <w:t xml:space="preserve"> evidence on child poverty</w:t>
      </w:r>
      <w:r w:rsidRPr="00C075F2">
        <w:rPr>
          <w:rFonts w:ascii="Arial" w:hAnsi="Arial" w:cs="Arial"/>
        </w:rPr>
        <w:t xml:space="preserve">. 1st </w:t>
      </w:r>
      <w:proofErr w:type="spellStart"/>
      <w:r w:rsidRPr="00C075F2">
        <w:rPr>
          <w:rFonts w:ascii="Arial" w:hAnsi="Arial" w:cs="Arial"/>
        </w:rPr>
        <w:t>edn</w:t>
      </w:r>
      <w:proofErr w:type="spellEnd"/>
      <w:r w:rsidRPr="00C075F2">
        <w:rPr>
          <w:rFonts w:ascii="Arial" w:hAnsi="Arial" w:cs="Arial"/>
        </w:rPr>
        <w:t>. York, UK: Joseph Rowntree Foundation.</w:t>
      </w:r>
    </w:p>
    <w:p w14:paraId="73516224" w14:textId="428F96FB" w:rsidR="007268AB" w:rsidRDefault="005E24E7" w:rsidP="007E1DCB">
      <w:pPr>
        <w:spacing w:line="360" w:lineRule="auto"/>
        <w:jc w:val="both"/>
        <w:rPr>
          <w:rFonts w:ascii="Arial" w:hAnsi="Arial" w:cs="Arial"/>
        </w:rPr>
      </w:pPr>
      <w:proofErr w:type="spellStart"/>
      <w:r w:rsidRPr="00C075F2">
        <w:rPr>
          <w:rFonts w:ascii="Arial" w:hAnsi="Arial" w:cs="Arial"/>
        </w:rPr>
        <w:t>Brauer</w:t>
      </w:r>
      <w:proofErr w:type="spellEnd"/>
      <w:r w:rsidRPr="00C075F2">
        <w:rPr>
          <w:rFonts w:ascii="Arial" w:hAnsi="Arial" w:cs="Arial"/>
        </w:rPr>
        <w:t>, J.R. (2009) ‘Testing social learning theory using reinforcement’s residue: A multilevel analysis of self</w:t>
      </w:r>
      <w:r w:rsidRPr="00C075F2">
        <w:rPr>
          <w:rFonts w:ascii="Cambria Math" w:hAnsi="Cambria Math" w:cs="Cambria Math"/>
        </w:rPr>
        <w:t>‐</w:t>
      </w:r>
      <w:r w:rsidRPr="00C075F2">
        <w:rPr>
          <w:rFonts w:ascii="Arial" w:hAnsi="Arial" w:cs="Arial"/>
        </w:rPr>
        <w:t>reported theft and marijuana use in the National Youth Survey*’, </w:t>
      </w:r>
      <w:r w:rsidRPr="00C075F2">
        <w:rPr>
          <w:rFonts w:ascii="Arial" w:hAnsi="Arial" w:cs="Arial"/>
          <w:i/>
          <w:iCs/>
        </w:rPr>
        <w:t>Criminology</w:t>
      </w:r>
      <w:r w:rsidRPr="00C075F2">
        <w:rPr>
          <w:rFonts w:ascii="Arial" w:hAnsi="Arial" w:cs="Arial"/>
        </w:rPr>
        <w:t>, 47(3), pp. 929–970. doi:10.1111/j.1745-9125.2009.</w:t>
      </w:r>
      <w:proofErr w:type="gramStart"/>
      <w:r w:rsidRPr="00C075F2">
        <w:rPr>
          <w:rFonts w:ascii="Arial" w:hAnsi="Arial" w:cs="Arial"/>
        </w:rPr>
        <w:t>00164.x.</w:t>
      </w:r>
      <w:proofErr w:type="gramEnd"/>
    </w:p>
    <w:p w14:paraId="68B4A50E" w14:textId="12AC33F1" w:rsidR="007268AB" w:rsidRDefault="00657EBC" w:rsidP="007E1DCB">
      <w:pPr>
        <w:spacing w:line="360" w:lineRule="auto"/>
        <w:jc w:val="both"/>
        <w:rPr>
          <w:rFonts w:ascii="Arial" w:hAnsi="Arial" w:cs="Arial"/>
        </w:rPr>
      </w:pPr>
      <w:r w:rsidRPr="00C075F2">
        <w:rPr>
          <w:rFonts w:ascii="Arial" w:hAnsi="Arial" w:cs="Arial"/>
        </w:rPr>
        <w:t>Bryman, A. (201</w:t>
      </w:r>
      <w:r w:rsidR="00CD0D03" w:rsidRPr="00C075F2">
        <w:rPr>
          <w:rFonts w:ascii="Arial" w:hAnsi="Arial" w:cs="Arial"/>
        </w:rPr>
        <w:t>5</w:t>
      </w:r>
      <w:r w:rsidRPr="00C075F2">
        <w:rPr>
          <w:rFonts w:ascii="Arial" w:hAnsi="Arial" w:cs="Arial"/>
        </w:rPr>
        <w:t>) </w:t>
      </w:r>
      <w:r w:rsidRPr="00C075F2">
        <w:rPr>
          <w:rFonts w:ascii="Arial" w:hAnsi="Arial" w:cs="Arial"/>
          <w:i/>
          <w:iCs/>
        </w:rPr>
        <w:t>Social Research Methods</w:t>
      </w:r>
      <w:r w:rsidRPr="00C075F2">
        <w:rPr>
          <w:rFonts w:ascii="Arial" w:hAnsi="Arial" w:cs="Arial"/>
        </w:rPr>
        <w:t>. 5th ed. Oxford, UK: Oxford University Press.</w:t>
      </w:r>
    </w:p>
    <w:p w14:paraId="5328153D" w14:textId="41C61F89" w:rsidR="007268AB" w:rsidRDefault="00D70B5F" w:rsidP="007E1DCB">
      <w:pPr>
        <w:spacing w:line="360" w:lineRule="auto"/>
        <w:jc w:val="both"/>
        <w:rPr>
          <w:rFonts w:ascii="Arial" w:hAnsi="Arial" w:cs="Arial"/>
        </w:rPr>
      </w:pPr>
      <w:r w:rsidRPr="00C075F2">
        <w:rPr>
          <w:rFonts w:ascii="Arial" w:hAnsi="Arial" w:cs="Arial"/>
        </w:rPr>
        <w:t xml:space="preserve">Carlson, M.J. and Corcoran, M.E. (2001) ‘Family structure and children’s </w:t>
      </w:r>
      <w:proofErr w:type="spellStart"/>
      <w:r w:rsidRPr="00C075F2">
        <w:rPr>
          <w:rFonts w:ascii="Arial" w:hAnsi="Arial" w:cs="Arial"/>
        </w:rPr>
        <w:t>behavioral</w:t>
      </w:r>
      <w:proofErr w:type="spellEnd"/>
      <w:r w:rsidRPr="00C075F2">
        <w:rPr>
          <w:rFonts w:ascii="Arial" w:hAnsi="Arial" w:cs="Arial"/>
        </w:rPr>
        <w:t xml:space="preserve"> and cognitive outcomes’, </w:t>
      </w:r>
      <w:r w:rsidRPr="00C075F2">
        <w:rPr>
          <w:rFonts w:ascii="Arial" w:hAnsi="Arial" w:cs="Arial"/>
          <w:i/>
          <w:iCs/>
        </w:rPr>
        <w:t>Journal of Marriage and Family</w:t>
      </w:r>
      <w:r w:rsidRPr="00C075F2">
        <w:rPr>
          <w:rFonts w:ascii="Arial" w:hAnsi="Arial" w:cs="Arial"/>
        </w:rPr>
        <w:t>, 63(3), pp. 779–792. doi:10.1111/j.1741-3737.2001.</w:t>
      </w:r>
      <w:proofErr w:type="gramStart"/>
      <w:r w:rsidRPr="00C075F2">
        <w:rPr>
          <w:rFonts w:ascii="Arial" w:hAnsi="Arial" w:cs="Arial"/>
        </w:rPr>
        <w:t>00779.x.</w:t>
      </w:r>
      <w:proofErr w:type="gramEnd"/>
    </w:p>
    <w:p w14:paraId="574913A4" w14:textId="6A156DF4" w:rsidR="00C075F2" w:rsidRDefault="006B21A5" w:rsidP="007E1DCB">
      <w:pPr>
        <w:spacing w:line="360" w:lineRule="auto"/>
        <w:jc w:val="both"/>
        <w:rPr>
          <w:rFonts w:ascii="Arial" w:hAnsi="Arial" w:cs="Arial"/>
        </w:rPr>
      </w:pPr>
      <w:r w:rsidRPr="00C075F2">
        <w:rPr>
          <w:rFonts w:ascii="Arial" w:hAnsi="Arial" w:cs="Arial"/>
        </w:rPr>
        <w:t xml:space="preserve">Chaudry, A. and </w:t>
      </w:r>
      <w:proofErr w:type="spellStart"/>
      <w:r w:rsidRPr="00C075F2">
        <w:rPr>
          <w:rFonts w:ascii="Arial" w:hAnsi="Arial" w:cs="Arial"/>
        </w:rPr>
        <w:t>Wimer</w:t>
      </w:r>
      <w:proofErr w:type="spellEnd"/>
      <w:r w:rsidRPr="00C075F2">
        <w:rPr>
          <w:rFonts w:ascii="Arial" w:hAnsi="Arial" w:cs="Arial"/>
        </w:rPr>
        <w:t>, C. (2016) ‘Poverty is not just an indicator: The relationship between income, poverty, and child well-being’, </w:t>
      </w:r>
      <w:r w:rsidRPr="00C075F2">
        <w:rPr>
          <w:rFonts w:ascii="Arial" w:hAnsi="Arial" w:cs="Arial"/>
          <w:i/>
          <w:iCs/>
        </w:rPr>
        <w:t xml:space="preserve">Academic </w:t>
      </w:r>
      <w:proofErr w:type="spellStart"/>
      <w:r w:rsidRPr="00C075F2">
        <w:rPr>
          <w:rFonts w:ascii="Arial" w:hAnsi="Arial" w:cs="Arial"/>
          <w:i/>
          <w:iCs/>
        </w:rPr>
        <w:t>Pediatrics</w:t>
      </w:r>
      <w:proofErr w:type="spellEnd"/>
      <w:r w:rsidRPr="00C075F2">
        <w:rPr>
          <w:rFonts w:ascii="Arial" w:hAnsi="Arial" w:cs="Arial"/>
        </w:rPr>
        <w:t xml:space="preserve">, 16(3). </w:t>
      </w:r>
      <w:proofErr w:type="gramStart"/>
      <w:r w:rsidRPr="00C075F2">
        <w:rPr>
          <w:rFonts w:ascii="Arial" w:hAnsi="Arial" w:cs="Arial"/>
        </w:rPr>
        <w:t>doi:10.1016/j.acap</w:t>
      </w:r>
      <w:proofErr w:type="gramEnd"/>
      <w:r w:rsidRPr="00C075F2">
        <w:rPr>
          <w:rFonts w:ascii="Arial" w:hAnsi="Arial" w:cs="Arial"/>
        </w:rPr>
        <w:t>.2015.12.010.</w:t>
      </w:r>
    </w:p>
    <w:p w14:paraId="27A1EC35" w14:textId="7E387763" w:rsidR="00C075F2" w:rsidRDefault="007C2C05" w:rsidP="007E1DCB">
      <w:pPr>
        <w:spacing w:line="360" w:lineRule="auto"/>
        <w:jc w:val="both"/>
        <w:rPr>
          <w:rFonts w:ascii="Arial" w:hAnsi="Arial" w:cs="Arial"/>
        </w:rPr>
      </w:pPr>
      <w:proofErr w:type="spellStart"/>
      <w:r w:rsidRPr="00C075F2">
        <w:rPr>
          <w:rFonts w:ascii="Arial" w:hAnsi="Arial" w:cs="Arial"/>
        </w:rPr>
        <w:lastRenderedPageBreak/>
        <w:t>Chavda</w:t>
      </w:r>
      <w:proofErr w:type="spellEnd"/>
      <w:r w:rsidRPr="00C075F2">
        <w:rPr>
          <w:rFonts w:ascii="Arial" w:hAnsi="Arial" w:cs="Arial"/>
        </w:rPr>
        <w:t xml:space="preserve">, K. and </w:t>
      </w:r>
      <w:proofErr w:type="spellStart"/>
      <w:r w:rsidRPr="00C075F2">
        <w:rPr>
          <w:rFonts w:ascii="Arial" w:hAnsi="Arial" w:cs="Arial"/>
        </w:rPr>
        <w:t>Nisarga</w:t>
      </w:r>
      <w:proofErr w:type="spellEnd"/>
      <w:r w:rsidRPr="00C075F2">
        <w:rPr>
          <w:rFonts w:ascii="Arial" w:hAnsi="Arial" w:cs="Arial"/>
        </w:rPr>
        <w:t>, V. (2023) ‘Single parenting: Impact on child’s development’, </w:t>
      </w:r>
      <w:r w:rsidRPr="00C075F2">
        <w:rPr>
          <w:rFonts w:ascii="Arial" w:hAnsi="Arial" w:cs="Arial"/>
          <w:i/>
          <w:iCs/>
        </w:rPr>
        <w:t>Journal of Indian Association for Child and Adolescent Mental Health</w:t>
      </w:r>
      <w:r w:rsidRPr="00C075F2">
        <w:rPr>
          <w:rFonts w:ascii="Arial" w:hAnsi="Arial" w:cs="Arial"/>
        </w:rPr>
        <w:t>, 19(1), pp. 14–20. doi:10.1177/09731342231179017.</w:t>
      </w:r>
    </w:p>
    <w:p w14:paraId="0D5891BB" w14:textId="3A0D3473" w:rsidR="00C075F2" w:rsidRDefault="00562A73" w:rsidP="007E1DCB">
      <w:pPr>
        <w:spacing w:line="360" w:lineRule="auto"/>
        <w:jc w:val="both"/>
        <w:rPr>
          <w:rFonts w:ascii="Arial" w:hAnsi="Arial" w:cs="Arial"/>
        </w:rPr>
      </w:pPr>
      <w:r w:rsidRPr="00C075F2">
        <w:rPr>
          <w:rFonts w:ascii="Arial" w:hAnsi="Arial" w:cs="Arial"/>
        </w:rPr>
        <w:t>Clark, T. (2021) </w:t>
      </w:r>
      <w:r w:rsidRPr="00C075F2">
        <w:rPr>
          <w:rFonts w:ascii="Arial" w:hAnsi="Arial" w:cs="Arial"/>
          <w:i/>
          <w:iCs/>
        </w:rPr>
        <w:t>Social Research Methods</w:t>
      </w:r>
      <w:r w:rsidRPr="00C075F2">
        <w:rPr>
          <w:rFonts w:ascii="Arial" w:hAnsi="Arial" w:cs="Arial"/>
        </w:rPr>
        <w:t>. 5th ed. Oxford, UK: Oxford University Press.</w:t>
      </w:r>
    </w:p>
    <w:p w14:paraId="16AE4EC4" w14:textId="6958C3B3" w:rsidR="00C075F2" w:rsidRDefault="000C10D9" w:rsidP="007E1DCB">
      <w:pPr>
        <w:spacing w:line="360" w:lineRule="auto"/>
        <w:jc w:val="both"/>
        <w:rPr>
          <w:rFonts w:ascii="Arial" w:hAnsi="Arial" w:cs="Arial"/>
        </w:rPr>
      </w:pPr>
      <w:r w:rsidRPr="00C075F2">
        <w:rPr>
          <w:rFonts w:ascii="Arial" w:hAnsi="Arial" w:cs="Arial"/>
        </w:rPr>
        <w:t xml:space="preserve">Cobb, A. and </w:t>
      </w:r>
      <w:proofErr w:type="spellStart"/>
      <w:r w:rsidRPr="00C075F2">
        <w:rPr>
          <w:rFonts w:ascii="Arial" w:hAnsi="Arial" w:cs="Arial"/>
        </w:rPr>
        <w:t>Sharfman</w:t>
      </w:r>
      <w:proofErr w:type="spellEnd"/>
      <w:r w:rsidRPr="00C075F2">
        <w:rPr>
          <w:rFonts w:ascii="Arial" w:hAnsi="Arial" w:cs="Arial"/>
        </w:rPr>
        <w:t>, P. (2023) </w:t>
      </w:r>
      <w:r w:rsidRPr="00C075F2">
        <w:rPr>
          <w:rFonts w:ascii="Arial" w:hAnsi="Arial" w:cs="Arial"/>
          <w:i/>
          <w:iCs/>
        </w:rPr>
        <w:t>Families and households in the UK: 2022</w:t>
      </w:r>
      <w:r w:rsidRPr="00C075F2">
        <w:rPr>
          <w:rFonts w:ascii="Arial" w:hAnsi="Arial" w:cs="Arial"/>
        </w:rPr>
        <w:t>, </w:t>
      </w:r>
      <w:r w:rsidRPr="00C075F2">
        <w:rPr>
          <w:rFonts w:ascii="Arial" w:hAnsi="Arial" w:cs="Arial"/>
          <w:i/>
          <w:iCs/>
        </w:rPr>
        <w:t>Families and households in the UK - Office for National Statistics</w:t>
      </w:r>
      <w:r w:rsidRPr="00C075F2">
        <w:rPr>
          <w:rFonts w:ascii="Arial" w:hAnsi="Arial" w:cs="Arial"/>
        </w:rPr>
        <w:t>. Available at: https://www.ons.gov.uk/peoplepopulationandcommunity/birthsdeathsandmarriages/families/bulletins/familiesandhouseholds/2022 (Accessed: 16 September 2024).</w:t>
      </w:r>
    </w:p>
    <w:p w14:paraId="34029AC6" w14:textId="345E09E4" w:rsidR="00C075F2" w:rsidRDefault="006746F0" w:rsidP="007E1DCB">
      <w:pPr>
        <w:spacing w:line="360" w:lineRule="auto"/>
        <w:jc w:val="both"/>
        <w:rPr>
          <w:rFonts w:ascii="Arial" w:hAnsi="Arial" w:cs="Arial"/>
        </w:rPr>
      </w:pPr>
      <w:r w:rsidRPr="006746F0">
        <w:rPr>
          <w:rFonts w:ascii="Arial" w:hAnsi="Arial" w:cs="Arial"/>
        </w:rPr>
        <w:t>Cole, A.P. and Trinh, Q.-D. (2017) ‘Secondary Data Analysis’, </w:t>
      </w:r>
      <w:r w:rsidRPr="006746F0">
        <w:rPr>
          <w:rFonts w:ascii="Arial" w:hAnsi="Arial" w:cs="Arial"/>
          <w:i/>
          <w:iCs/>
        </w:rPr>
        <w:t>Current Opinion in Urology</w:t>
      </w:r>
      <w:r w:rsidRPr="006746F0">
        <w:rPr>
          <w:rFonts w:ascii="Arial" w:hAnsi="Arial" w:cs="Arial"/>
        </w:rPr>
        <w:t>, 27(4), pp. 354–359. doi:10.1097/mou.0000000000000407.</w:t>
      </w:r>
    </w:p>
    <w:p w14:paraId="3567E547" w14:textId="1B29F758" w:rsidR="00C075F2" w:rsidRDefault="003E004B" w:rsidP="007E1DCB">
      <w:pPr>
        <w:spacing w:line="360" w:lineRule="auto"/>
        <w:jc w:val="both"/>
        <w:rPr>
          <w:rFonts w:ascii="Arial" w:hAnsi="Arial" w:cs="Arial"/>
        </w:rPr>
      </w:pPr>
      <w:r w:rsidRPr="003E004B">
        <w:rPr>
          <w:rFonts w:ascii="Arial" w:hAnsi="Arial" w:cs="Arial"/>
        </w:rPr>
        <w:t>Craig, G. and Balch, A. (2019) </w:t>
      </w:r>
      <w:r w:rsidRPr="003E004B">
        <w:rPr>
          <w:rFonts w:ascii="Arial" w:hAnsi="Arial" w:cs="Arial"/>
          <w:i/>
          <w:iCs/>
        </w:rPr>
        <w:t>The modern slavery agenda: Policy, politics and practice</w:t>
      </w:r>
      <w:r w:rsidRPr="003E004B">
        <w:rPr>
          <w:rFonts w:ascii="Arial" w:hAnsi="Arial" w:cs="Arial"/>
        </w:rPr>
        <w:t>. Bristol, UK: Policy Press.</w:t>
      </w:r>
    </w:p>
    <w:p w14:paraId="13A663E4" w14:textId="5F720CF4" w:rsidR="00C075F2" w:rsidRDefault="006B287D" w:rsidP="007E1DCB">
      <w:pPr>
        <w:spacing w:line="360" w:lineRule="auto"/>
        <w:jc w:val="both"/>
        <w:rPr>
          <w:rFonts w:ascii="Arial" w:hAnsi="Arial" w:cs="Arial"/>
        </w:rPr>
      </w:pPr>
      <w:r w:rsidRPr="00C075F2">
        <w:rPr>
          <w:rFonts w:ascii="Arial" w:hAnsi="Arial" w:cs="Arial"/>
        </w:rPr>
        <w:t>Cresswell, J.W. (2023) </w:t>
      </w:r>
      <w:r w:rsidRPr="00C075F2">
        <w:rPr>
          <w:rFonts w:ascii="Arial" w:hAnsi="Arial" w:cs="Arial"/>
          <w:i/>
          <w:iCs/>
        </w:rPr>
        <w:t>A concise introduction to mixed methods research</w:t>
      </w:r>
      <w:r w:rsidRPr="00C075F2">
        <w:rPr>
          <w:rFonts w:ascii="Arial" w:hAnsi="Arial" w:cs="Arial"/>
        </w:rPr>
        <w:t>. 5th ed. Thousand Oaks, CA, USA: SAGE Publications.</w:t>
      </w:r>
    </w:p>
    <w:p w14:paraId="6CCA7275" w14:textId="75CEA53F" w:rsidR="00C075F2" w:rsidRDefault="00B21BF1" w:rsidP="007E1DCB">
      <w:pPr>
        <w:spacing w:line="360" w:lineRule="auto"/>
        <w:jc w:val="both"/>
        <w:rPr>
          <w:rFonts w:ascii="Arial" w:hAnsi="Arial" w:cs="Arial"/>
        </w:rPr>
      </w:pPr>
      <w:r w:rsidRPr="00C075F2">
        <w:rPr>
          <w:rFonts w:ascii="Arial" w:hAnsi="Arial" w:cs="Arial"/>
        </w:rPr>
        <w:t>Creswell, J.W. and Creswell, J.D. (20</w:t>
      </w:r>
      <w:r w:rsidR="00AE4E95" w:rsidRPr="00C075F2">
        <w:rPr>
          <w:rFonts w:ascii="Arial" w:hAnsi="Arial" w:cs="Arial"/>
        </w:rPr>
        <w:t>17</w:t>
      </w:r>
      <w:r w:rsidRPr="00C075F2">
        <w:rPr>
          <w:rFonts w:ascii="Arial" w:hAnsi="Arial" w:cs="Arial"/>
        </w:rPr>
        <w:t>) </w:t>
      </w:r>
      <w:r w:rsidRPr="00C075F2">
        <w:rPr>
          <w:rFonts w:ascii="Arial" w:hAnsi="Arial" w:cs="Arial"/>
          <w:i/>
          <w:iCs/>
        </w:rPr>
        <w:t xml:space="preserve">Research design: Qualitative, quantitative, and mixed methods </w:t>
      </w:r>
      <w:proofErr w:type="gramStart"/>
      <w:r w:rsidRPr="00C075F2">
        <w:rPr>
          <w:rFonts w:ascii="Arial" w:hAnsi="Arial" w:cs="Arial"/>
          <w:i/>
          <w:iCs/>
        </w:rPr>
        <w:t>approaches</w:t>
      </w:r>
      <w:proofErr w:type="gramEnd"/>
      <w:r w:rsidR="00C075F2">
        <w:rPr>
          <w:rFonts w:ascii="Arial" w:hAnsi="Arial" w:cs="Arial"/>
        </w:rPr>
        <w:t xml:space="preserve"> </w:t>
      </w:r>
      <w:r w:rsidRPr="00C075F2">
        <w:rPr>
          <w:rFonts w:ascii="Arial" w:hAnsi="Arial" w:cs="Arial"/>
        </w:rPr>
        <w:t>6th ed. Thousand Oaks, CA, USA: SAGE Publications, Inc</w:t>
      </w:r>
      <w:r w:rsidR="00C075F2">
        <w:rPr>
          <w:rFonts w:ascii="Arial" w:hAnsi="Arial" w:cs="Arial"/>
        </w:rPr>
        <w:t>.</w:t>
      </w:r>
    </w:p>
    <w:p w14:paraId="5AA7A357" w14:textId="519F714D" w:rsidR="00C075F2" w:rsidRDefault="0027072B" w:rsidP="007E1DCB">
      <w:pPr>
        <w:spacing w:line="360" w:lineRule="auto"/>
        <w:jc w:val="both"/>
        <w:rPr>
          <w:rFonts w:ascii="Arial" w:hAnsi="Arial" w:cs="Arial"/>
        </w:rPr>
      </w:pPr>
      <w:r w:rsidRPr="00C075F2">
        <w:rPr>
          <w:rFonts w:ascii="Arial" w:hAnsi="Arial" w:cs="Arial"/>
        </w:rPr>
        <w:t>Field, A. (2020) </w:t>
      </w:r>
      <w:r w:rsidRPr="00C075F2">
        <w:rPr>
          <w:rFonts w:ascii="Arial" w:hAnsi="Arial" w:cs="Arial"/>
          <w:i/>
          <w:iCs/>
        </w:rPr>
        <w:t>Discovering statistics using IBM SPSS statistics</w:t>
      </w:r>
      <w:r w:rsidRPr="00C075F2">
        <w:rPr>
          <w:rFonts w:ascii="Arial" w:hAnsi="Arial" w:cs="Arial"/>
        </w:rPr>
        <w:t>. 5th ed. London, UK: Sage.</w:t>
      </w:r>
    </w:p>
    <w:p w14:paraId="7AE0D477" w14:textId="50D01AF9" w:rsidR="00C075F2" w:rsidRDefault="00B12D00" w:rsidP="007E1DCB">
      <w:pPr>
        <w:spacing w:line="360" w:lineRule="auto"/>
        <w:jc w:val="both"/>
        <w:rPr>
          <w:rFonts w:ascii="Arial" w:hAnsi="Arial" w:cs="Arial"/>
        </w:rPr>
      </w:pPr>
      <w:r w:rsidRPr="00C075F2">
        <w:rPr>
          <w:rFonts w:ascii="Arial" w:hAnsi="Arial" w:cs="Arial"/>
        </w:rPr>
        <w:t>Field, A.P. (2024) </w:t>
      </w:r>
      <w:r w:rsidRPr="00C075F2">
        <w:rPr>
          <w:rFonts w:ascii="Arial" w:hAnsi="Arial" w:cs="Arial"/>
          <w:i/>
          <w:iCs/>
        </w:rPr>
        <w:t>Discovering statistics using IBM SPSS statistics</w:t>
      </w:r>
      <w:r w:rsidRPr="00C075F2">
        <w:rPr>
          <w:rFonts w:ascii="Arial" w:hAnsi="Arial" w:cs="Arial"/>
        </w:rPr>
        <w:t>. 6th ed. London, UK: SAGE.</w:t>
      </w:r>
    </w:p>
    <w:p w14:paraId="3A7BA448" w14:textId="32E79F8E" w:rsidR="00C075F2" w:rsidRDefault="00E52C31" w:rsidP="007E1DCB">
      <w:pPr>
        <w:spacing w:line="360" w:lineRule="auto"/>
        <w:jc w:val="both"/>
        <w:rPr>
          <w:rFonts w:ascii="Arial" w:hAnsi="Arial" w:cs="Arial"/>
        </w:rPr>
      </w:pPr>
      <w:r w:rsidRPr="00C075F2">
        <w:rPr>
          <w:rFonts w:ascii="Arial" w:hAnsi="Arial" w:cs="Arial"/>
        </w:rPr>
        <w:t>George, D. and Mallery, P. (2022) </w:t>
      </w:r>
      <w:r w:rsidRPr="00C075F2">
        <w:rPr>
          <w:rFonts w:ascii="Arial" w:hAnsi="Arial" w:cs="Arial"/>
          <w:i/>
          <w:iCs/>
        </w:rPr>
        <w:t>IBM SPSS statistics 27 step by step: A simple guide and reference</w:t>
      </w:r>
      <w:r w:rsidRPr="00C075F2">
        <w:rPr>
          <w:rFonts w:ascii="Arial" w:hAnsi="Arial" w:cs="Arial"/>
        </w:rPr>
        <w:t>. 17th ed. New York, USA: Routledge, Taylor &amp; Francis Group.</w:t>
      </w:r>
    </w:p>
    <w:p w14:paraId="47CB03A0" w14:textId="7720A58A" w:rsidR="00C075F2" w:rsidRDefault="00971487" w:rsidP="007E1DCB">
      <w:pPr>
        <w:spacing w:line="360" w:lineRule="auto"/>
        <w:jc w:val="both"/>
        <w:rPr>
          <w:rFonts w:ascii="Arial" w:hAnsi="Arial" w:cs="Arial"/>
        </w:rPr>
      </w:pPr>
      <w:r w:rsidRPr="00C075F2">
        <w:rPr>
          <w:rFonts w:ascii="Arial" w:hAnsi="Arial" w:cs="Arial"/>
        </w:rPr>
        <w:t>George, D. and Mallery, P. (2024) </w:t>
      </w:r>
      <w:r w:rsidRPr="00C075F2">
        <w:rPr>
          <w:rFonts w:ascii="Arial" w:hAnsi="Arial" w:cs="Arial"/>
          <w:i/>
          <w:iCs/>
        </w:rPr>
        <w:t>IBM SPSS statistics 29 step by step a simple guide and reference</w:t>
      </w:r>
      <w:r w:rsidRPr="00C075F2">
        <w:rPr>
          <w:rFonts w:ascii="Arial" w:hAnsi="Arial" w:cs="Arial"/>
        </w:rPr>
        <w:t>. 18th ed. London, UK: Routledge.</w:t>
      </w:r>
    </w:p>
    <w:p w14:paraId="04945A49" w14:textId="6769255B" w:rsidR="00C075F2" w:rsidRDefault="00DE0275" w:rsidP="007E1DCB">
      <w:pPr>
        <w:spacing w:line="360" w:lineRule="auto"/>
        <w:jc w:val="both"/>
        <w:rPr>
          <w:rFonts w:ascii="Arial" w:hAnsi="Arial" w:cs="Arial"/>
        </w:rPr>
      </w:pPr>
      <w:r w:rsidRPr="00C075F2">
        <w:rPr>
          <w:rFonts w:ascii="Arial" w:hAnsi="Arial" w:cs="Arial"/>
        </w:rPr>
        <w:t xml:space="preserve">Greeff, A.P. and </w:t>
      </w:r>
      <w:proofErr w:type="spellStart"/>
      <w:r w:rsidRPr="00C075F2">
        <w:rPr>
          <w:rFonts w:ascii="Arial" w:hAnsi="Arial" w:cs="Arial"/>
        </w:rPr>
        <w:t>Fillis</w:t>
      </w:r>
      <w:proofErr w:type="spellEnd"/>
      <w:r w:rsidRPr="00C075F2">
        <w:rPr>
          <w:rFonts w:ascii="Arial" w:hAnsi="Arial" w:cs="Arial"/>
        </w:rPr>
        <w:t>, A.J.-A. (2009) ‘Resiliency in poor single-parent families’, </w:t>
      </w:r>
      <w:r w:rsidRPr="00C075F2">
        <w:rPr>
          <w:rFonts w:ascii="Arial" w:hAnsi="Arial" w:cs="Arial"/>
          <w:i/>
          <w:iCs/>
        </w:rPr>
        <w:t>Families in Society: The Journal of Contemporary Social Services</w:t>
      </w:r>
      <w:r w:rsidRPr="00C075F2">
        <w:rPr>
          <w:rFonts w:ascii="Arial" w:hAnsi="Arial" w:cs="Arial"/>
        </w:rPr>
        <w:t>, 90(3), pp. 279–285. doi:10.1606/1044-3894.3902.</w:t>
      </w:r>
    </w:p>
    <w:p w14:paraId="4D3622F8" w14:textId="3150D1FB" w:rsidR="00C075F2" w:rsidRDefault="006C78C9" w:rsidP="007E1DCB">
      <w:pPr>
        <w:spacing w:line="360" w:lineRule="auto"/>
        <w:jc w:val="both"/>
        <w:rPr>
          <w:rFonts w:ascii="Arial" w:hAnsi="Arial" w:cs="Arial"/>
        </w:rPr>
      </w:pPr>
      <w:r w:rsidRPr="006C78C9">
        <w:rPr>
          <w:rFonts w:ascii="Arial" w:hAnsi="Arial" w:cs="Arial"/>
        </w:rPr>
        <w:lastRenderedPageBreak/>
        <w:t>Heckman, J.J. and Mosso, S. (2014) ‘The Economics of Human Development and Social Mobility’, </w:t>
      </w:r>
      <w:r w:rsidRPr="006C78C9">
        <w:rPr>
          <w:rFonts w:ascii="Arial" w:hAnsi="Arial" w:cs="Arial"/>
          <w:i/>
          <w:iCs/>
        </w:rPr>
        <w:t>Annual Review of Economics</w:t>
      </w:r>
      <w:r w:rsidRPr="006C78C9">
        <w:rPr>
          <w:rFonts w:ascii="Arial" w:hAnsi="Arial" w:cs="Arial"/>
        </w:rPr>
        <w:t>, 6(1), pp. 689–733. doi:10.1146/annurev-economics-080213-040753.</w:t>
      </w:r>
    </w:p>
    <w:p w14:paraId="5081B282" w14:textId="4752C401" w:rsidR="00C075F2" w:rsidRDefault="0036711D" w:rsidP="007E1DCB">
      <w:pPr>
        <w:spacing w:line="360" w:lineRule="auto"/>
        <w:jc w:val="both"/>
        <w:rPr>
          <w:rFonts w:ascii="Arial" w:hAnsi="Arial" w:cs="Arial"/>
        </w:rPr>
      </w:pPr>
      <w:r w:rsidRPr="00C075F2">
        <w:rPr>
          <w:rFonts w:ascii="Arial" w:hAnsi="Arial" w:cs="Arial"/>
        </w:rPr>
        <w:t>Joseph Rowntree Foundation (2022) </w:t>
      </w:r>
      <w:r w:rsidRPr="00C075F2">
        <w:rPr>
          <w:rFonts w:ascii="Arial" w:hAnsi="Arial" w:cs="Arial"/>
          <w:i/>
          <w:iCs/>
        </w:rPr>
        <w:t>UK poverty 2022: The Essential Guide to Understanding Poverty in the UK</w:t>
      </w:r>
      <w:r w:rsidRPr="00C075F2">
        <w:rPr>
          <w:rFonts w:ascii="Arial" w:hAnsi="Arial" w:cs="Arial"/>
        </w:rPr>
        <w:t>, </w:t>
      </w:r>
      <w:r w:rsidRPr="00C075F2">
        <w:rPr>
          <w:rFonts w:ascii="Arial" w:hAnsi="Arial" w:cs="Arial"/>
          <w:i/>
          <w:iCs/>
        </w:rPr>
        <w:t>Joseph Rowntree Foundation</w:t>
      </w:r>
      <w:r w:rsidRPr="00C075F2">
        <w:rPr>
          <w:rFonts w:ascii="Arial" w:hAnsi="Arial" w:cs="Arial"/>
        </w:rPr>
        <w:t>. Available at: https://www.jrf.org.uk/uk-poverty-2022-the-essential-guide-to-understanding-poverty-in-the-uk (Accessed: 05 September 2024).</w:t>
      </w:r>
    </w:p>
    <w:p w14:paraId="781401D8" w14:textId="01A5CBA2" w:rsidR="00C075F2" w:rsidRDefault="00E00F94" w:rsidP="007E1DCB">
      <w:pPr>
        <w:spacing w:line="360" w:lineRule="auto"/>
        <w:jc w:val="both"/>
        <w:rPr>
          <w:rFonts w:ascii="Arial" w:hAnsi="Arial" w:cs="Arial"/>
        </w:rPr>
      </w:pPr>
      <w:r w:rsidRPr="00C075F2">
        <w:rPr>
          <w:rFonts w:ascii="Arial" w:hAnsi="Arial" w:cs="Arial"/>
        </w:rPr>
        <w:t>Joseph Rowntree Foundation (2023) </w:t>
      </w:r>
      <w:r w:rsidRPr="00C075F2">
        <w:rPr>
          <w:rFonts w:ascii="Arial" w:hAnsi="Arial" w:cs="Arial"/>
          <w:i/>
          <w:iCs/>
        </w:rPr>
        <w:t>Understanding poverty: New report from Joseph Rowntree Foundation</w:t>
      </w:r>
      <w:r w:rsidRPr="00C075F2">
        <w:rPr>
          <w:rFonts w:ascii="Arial" w:hAnsi="Arial" w:cs="Arial"/>
        </w:rPr>
        <w:t>, </w:t>
      </w:r>
      <w:r w:rsidRPr="00C075F2">
        <w:rPr>
          <w:rFonts w:ascii="Arial" w:hAnsi="Arial" w:cs="Arial"/>
          <w:i/>
          <w:iCs/>
        </w:rPr>
        <w:t>People’s Health Trust</w:t>
      </w:r>
      <w:r w:rsidRPr="00C075F2">
        <w:rPr>
          <w:rFonts w:ascii="Arial" w:hAnsi="Arial" w:cs="Arial"/>
        </w:rPr>
        <w:t>. Available at: https://www.peopleshealthtrust.org.uk/news/stories/understanding-poverty-new-report-from-joseph-rowntree-foundation (Accessed: 10 October 2024).</w:t>
      </w:r>
    </w:p>
    <w:p w14:paraId="1A3B3D42" w14:textId="526E99ED" w:rsidR="00C075F2" w:rsidRDefault="00CD0D03" w:rsidP="007E1DCB">
      <w:pPr>
        <w:spacing w:line="360" w:lineRule="auto"/>
        <w:jc w:val="both"/>
        <w:rPr>
          <w:rFonts w:ascii="Arial" w:hAnsi="Arial" w:cs="Arial"/>
        </w:rPr>
      </w:pPr>
      <w:proofErr w:type="spellStart"/>
      <w:r w:rsidRPr="00CD0D03">
        <w:rPr>
          <w:rFonts w:ascii="Arial" w:hAnsi="Arial" w:cs="Arial"/>
        </w:rPr>
        <w:t>Laerkner</w:t>
      </w:r>
      <w:proofErr w:type="spellEnd"/>
      <w:r w:rsidRPr="00CD0D03">
        <w:rPr>
          <w:rFonts w:ascii="Arial" w:hAnsi="Arial" w:cs="Arial"/>
        </w:rPr>
        <w:t xml:space="preserve">, E., </w:t>
      </w:r>
      <w:proofErr w:type="spellStart"/>
      <w:r w:rsidRPr="00CD0D03">
        <w:rPr>
          <w:rFonts w:ascii="Arial" w:hAnsi="Arial" w:cs="Arial"/>
        </w:rPr>
        <w:t>Egerod</w:t>
      </w:r>
      <w:proofErr w:type="spellEnd"/>
      <w:r w:rsidRPr="00CD0D03">
        <w:rPr>
          <w:rFonts w:ascii="Arial" w:hAnsi="Arial" w:cs="Arial"/>
        </w:rPr>
        <w:t>, I. and Hansen, H.P. (2015) ‘Nurses’ experiences of caring for critically ill, non-sedated, mechanically ventilated patients in the Intensive Care Unit: A qualitative study’, </w:t>
      </w:r>
      <w:r w:rsidRPr="00CD0D03">
        <w:rPr>
          <w:rFonts w:ascii="Arial" w:hAnsi="Arial" w:cs="Arial"/>
          <w:i/>
          <w:iCs/>
        </w:rPr>
        <w:t>Intensive and Critical Care Nursing</w:t>
      </w:r>
      <w:r w:rsidRPr="00CD0D03">
        <w:rPr>
          <w:rFonts w:ascii="Arial" w:hAnsi="Arial" w:cs="Arial"/>
        </w:rPr>
        <w:t xml:space="preserve">, 31(4), pp. 196–204. </w:t>
      </w:r>
      <w:proofErr w:type="gramStart"/>
      <w:r w:rsidRPr="00CD0D03">
        <w:rPr>
          <w:rFonts w:ascii="Arial" w:hAnsi="Arial" w:cs="Arial"/>
        </w:rPr>
        <w:t>doi:10.1016/j.iccn</w:t>
      </w:r>
      <w:proofErr w:type="gramEnd"/>
      <w:r w:rsidRPr="00CD0D03">
        <w:rPr>
          <w:rFonts w:ascii="Arial" w:hAnsi="Arial" w:cs="Arial"/>
        </w:rPr>
        <w:t>.2015.01.005.</w:t>
      </w:r>
    </w:p>
    <w:p w14:paraId="16387446" w14:textId="47581C1C" w:rsidR="00C075F2" w:rsidRDefault="00C9505F" w:rsidP="007E1DCB">
      <w:pPr>
        <w:spacing w:line="360" w:lineRule="auto"/>
        <w:jc w:val="both"/>
        <w:rPr>
          <w:rFonts w:ascii="Arial" w:hAnsi="Arial" w:cs="Arial"/>
        </w:rPr>
      </w:pPr>
      <w:proofErr w:type="spellStart"/>
      <w:r w:rsidRPr="00C075F2">
        <w:rPr>
          <w:rFonts w:ascii="Arial" w:hAnsi="Arial" w:cs="Arial"/>
        </w:rPr>
        <w:t>Lotfi</w:t>
      </w:r>
      <w:proofErr w:type="spellEnd"/>
      <w:r w:rsidRPr="00C075F2">
        <w:rPr>
          <w:rFonts w:ascii="Arial" w:hAnsi="Arial" w:cs="Arial"/>
        </w:rPr>
        <w:t>, M. and Pisa, N. (2024) ‘Child slavery in supply chains: Actors of the dirty scene’, </w:t>
      </w:r>
      <w:r w:rsidRPr="00C075F2">
        <w:rPr>
          <w:rFonts w:ascii="Arial" w:hAnsi="Arial" w:cs="Arial"/>
          <w:i/>
          <w:iCs/>
        </w:rPr>
        <w:t>Journal of Transport and Supply Chain Management</w:t>
      </w:r>
      <w:r w:rsidRPr="00C075F2">
        <w:rPr>
          <w:rFonts w:ascii="Arial" w:hAnsi="Arial" w:cs="Arial"/>
        </w:rPr>
        <w:t>, 18. doi:10.4102/</w:t>
      </w:r>
      <w:proofErr w:type="gramStart"/>
      <w:r w:rsidRPr="00C075F2">
        <w:rPr>
          <w:rFonts w:ascii="Arial" w:hAnsi="Arial" w:cs="Arial"/>
        </w:rPr>
        <w:t>jtscm.v</w:t>
      </w:r>
      <w:proofErr w:type="gramEnd"/>
      <w:r w:rsidRPr="00C075F2">
        <w:rPr>
          <w:rFonts w:ascii="Arial" w:hAnsi="Arial" w:cs="Arial"/>
        </w:rPr>
        <w:t>18i0.942.</w:t>
      </w:r>
    </w:p>
    <w:p w14:paraId="0E23E738" w14:textId="10F4B10A" w:rsidR="00C075F2" w:rsidRDefault="00B92952" w:rsidP="007E1DCB">
      <w:pPr>
        <w:spacing w:line="360" w:lineRule="auto"/>
        <w:jc w:val="both"/>
        <w:rPr>
          <w:rFonts w:ascii="Arial" w:hAnsi="Arial" w:cs="Arial"/>
        </w:rPr>
      </w:pPr>
      <w:r w:rsidRPr="00C075F2">
        <w:rPr>
          <w:rFonts w:ascii="Arial" w:hAnsi="Arial" w:cs="Arial"/>
        </w:rPr>
        <w:t>McHugh, M.L. (2013) ‘The chi-square test of Independence’, </w:t>
      </w:r>
      <w:proofErr w:type="spellStart"/>
      <w:r w:rsidRPr="00C075F2">
        <w:rPr>
          <w:rFonts w:ascii="Arial" w:hAnsi="Arial" w:cs="Arial"/>
          <w:i/>
          <w:iCs/>
        </w:rPr>
        <w:t>Biochemia</w:t>
      </w:r>
      <w:proofErr w:type="spellEnd"/>
      <w:r w:rsidRPr="00C075F2">
        <w:rPr>
          <w:rFonts w:ascii="Arial" w:hAnsi="Arial" w:cs="Arial"/>
          <w:i/>
          <w:iCs/>
        </w:rPr>
        <w:t xml:space="preserve"> Medica</w:t>
      </w:r>
      <w:r w:rsidRPr="00C075F2">
        <w:rPr>
          <w:rFonts w:ascii="Arial" w:hAnsi="Arial" w:cs="Arial"/>
        </w:rPr>
        <w:t>, pp. 143–149. doi:10.11613/bm.2013.018.</w:t>
      </w:r>
    </w:p>
    <w:p w14:paraId="640ABE29" w14:textId="20984F38" w:rsidR="00C075F2" w:rsidRDefault="000F73A4" w:rsidP="007E1DCB">
      <w:pPr>
        <w:spacing w:line="360" w:lineRule="auto"/>
        <w:jc w:val="both"/>
        <w:rPr>
          <w:rFonts w:ascii="Arial" w:hAnsi="Arial" w:cs="Arial"/>
        </w:rPr>
      </w:pPr>
      <w:proofErr w:type="spellStart"/>
      <w:r w:rsidRPr="000F73A4">
        <w:rPr>
          <w:rFonts w:ascii="Arial" w:hAnsi="Arial" w:cs="Arial"/>
        </w:rPr>
        <w:t>McLanahan</w:t>
      </w:r>
      <w:proofErr w:type="spellEnd"/>
      <w:r w:rsidRPr="000F73A4">
        <w:rPr>
          <w:rFonts w:ascii="Arial" w:hAnsi="Arial" w:cs="Arial"/>
        </w:rPr>
        <w:t xml:space="preserve">, S. and </w:t>
      </w:r>
      <w:proofErr w:type="spellStart"/>
      <w:r w:rsidRPr="000F73A4">
        <w:rPr>
          <w:rFonts w:ascii="Arial" w:hAnsi="Arial" w:cs="Arial"/>
        </w:rPr>
        <w:t>Sandefur</w:t>
      </w:r>
      <w:proofErr w:type="spellEnd"/>
      <w:r w:rsidRPr="000F73A4">
        <w:rPr>
          <w:rFonts w:ascii="Arial" w:hAnsi="Arial" w:cs="Arial"/>
        </w:rPr>
        <w:t>, G.D. (1996) </w:t>
      </w:r>
      <w:r w:rsidRPr="000F73A4">
        <w:rPr>
          <w:rFonts w:ascii="Arial" w:hAnsi="Arial" w:cs="Arial"/>
          <w:i/>
          <w:iCs/>
        </w:rPr>
        <w:t>Growing up with a single parent what hurts, what helps</w:t>
      </w:r>
      <w:r w:rsidRPr="000F73A4">
        <w:rPr>
          <w:rFonts w:ascii="Arial" w:hAnsi="Arial" w:cs="Arial"/>
        </w:rPr>
        <w:t xml:space="preserve">. 3rd </w:t>
      </w:r>
      <w:proofErr w:type="spellStart"/>
      <w:r w:rsidRPr="000F73A4">
        <w:rPr>
          <w:rFonts w:ascii="Arial" w:hAnsi="Arial" w:cs="Arial"/>
        </w:rPr>
        <w:t>edn</w:t>
      </w:r>
      <w:proofErr w:type="spellEnd"/>
      <w:r w:rsidRPr="000F73A4">
        <w:rPr>
          <w:rFonts w:ascii="Arial" w:hAnsi="Arial" w:cs="Arial"/>
        </w:rPr>
        <w:t>. Cambridge, Mass, USA: Harvard University Press.</w:t>
      </w:r>
    </w:p>
    <w:p w14:paraId="54410D12" w14:textId="21D784B4" w:rsidR="00C075F2" w:rsidRDefault="00F72414" w:rsidP="007E1DCB">
      <w:pPr>
        <w:spacing w:line="360" w:lineRule="auto"/>
        <w:jc w:val="both"/>
        <w:rPr>
          <w:rFonts w:ascii="Arial" w:hAnsi="Arial" w:cs="Arial"/>
        </w:rPr>
      </w:pPr>
      <w:proofErr w:type="spellStart"/>
      <w:r w:rsidRPr="00C075F2">
        <w:rPr>
          <w:rFonts w:ascii="Arial" w:hAnsi="Arial" w:cs="Arial"/>
        </w:rPr>
        <w:t>Masten</w:t>
      </w:r>
      <w:proofErr w:type="spellEnd"/>
      <w:r w:rsidRPr="00C075F2">
        <w:rPr>
          <w:rFonts w:ascii="Arial" w:hAnsi="Arial" w:cs="Arial"/>
        </w:rPr>
        <w:t>, A.S. (2018) ‘Resilience theory and research on children and families: Past, present, and promise’, </w:t>
      </w:r>
      <w:r w:rsidRPr="00C075F2">
        <w:rPr>
          <w:rFonts w:ascii="Arial" w:hAnsi="Arial" w:cs="Arial"/>
          <w:i/>
          <w:iCs/>
        </w:rPr>
        <w:t>Journal of Family Theory &amp;amp; Review</w:t>
      </w:r>
      <w:r w:rsidRPr="00C075F2">
        <w:rPr>
          <w:rFonts w:ascii="Arial" w:hAnsi="Arial" w:cs="Arial"/>
        </w:rPr>
        <w:t>, 10(1), pp. 12–31. doi:10.1111/jftr.12255.</w:t>
      </w:r>
    </w:p>
    <w:p w14:paraId="2AC5E317" w14:textId="6E2D2067" w:rsidR="00C075F2" w:rsidRDefault="00485B81" w:rsidP="007E1DCB">
      <w:pPr>
        <w:spacing w:line="360" w:lineRule="auto"/>
        <w:jc w:val="both"/>
        <w:rPr>
          <w:rFonts w:ascii="Arial" w:hAnsi="Arial" w:cs="Arial"/>
        </w:rPr>
      </w:pPr>
      <w:proofErr w:type="spellStart"/>
      <w:r w:rsidRPr="00485B81">
        <w:rPr>
          <w:rFonts w:ascii="Arial" w:hAnsi="Arial" w:cs="Arial"/>
        </w:rPr>
        <w:t>McLanahan</w:t>
      </w:r>
      <w:proofErr w:type="spellEnd"/>
      <w:r w:rsidRPr="00485B81">
        <w:rPr>
          <w:rFonts w:ascii="Arial" w:hAnsi="Arial" w:cs="Arial"/>
        </w:rPr>
        <w:t xml:space="preserve">, S. and </w:t>
      </w:r>
      <w:proofErr w:type="spellStart"/>
      <w:r w:rsidRPr="00485B81">
        <w:rPr>
          <w:rFonts w:ascii="Arial" w:hAnsi="Arial" w:cs="Arial"/>
        </w:rPr>
        <w:t>Sandefur</w:t>
      </w:r>
      <w:proofErr w:type="spellEnd"/>
      <w:r w:rsidRPr="00485B81">
        <w:rPr>
          <w:rFonts w:ascii="Arial" w:hAnsi="Arial" w:cs="Arial"/>
        </w:rPr>
        <w:t>, G.D. (1996) </w:t>
      </w:r>
      <w:r w:rsidRPr="00485B81">
        <w:rPr>
          <w:rFonts w:ascii="Arial" w:hAnsi="Arial" w:cs="Arial"/>
          <w:i/>
          <w:iCs/>
        </w:rPr>
        <w:t>Growing up with a single parent what hurts, what helps</w:t>
      </w:r>
      <w:r w:rsidRPr="00485B81">
        <w:rPr>
          <w:rFonts w:ascii="Arial" w:hAnsi="Arial" w:cs="Arial"/>
        </w:rPr>
        <w:t>. 3rd ed. Cambridge, Mass, USA: Harvard University Press.</w:t>
      </w:r>
    </w:p>
    <w:p w14:paraId="2E76DFBB" w14:textId="3B3992EA" w:rsidR="00C075F2" w:rsidRDefault="008C2D19" w:rsidP="007E1DCB">
      <w:pPr>
        <w:spacing w:line="360" w:lineRule="auto"/>
        <w:jc w:val="both"/>
        <w:rPr>
          <w:rFonts w:ascii="Arial" w:hAnsi="Arial" w:cs="Arial"/>
        </w:rPr>
      </w:pPr>
      <w:r w:rsidRPr="00C075F2">
        <w:rPr>
          <w:rFonts w:ascii="Arial" w:hAnsi="Arial" w:cs="Arial"/>
        </w:rPr>
        <w:t>Millar, J. (2008) ‘Making work pay, making tax credits work: An assessment with specific reference to lone</w:t>
      </w:r>
      <w:r w:rsidRPr="00C075F2">
        <w:rPr>
          <w:rFonts w:ascii="Cambria Math" w:hAnsi="Cambria Math" w:cs="Cambria Math"/>
        </w:rPr>
        <w:t>‐</w:t>
      </w:r>
      <w:r w:rsidRPr="00C075F2">
        <w:rPr>
          <w:rFonts w:ascii="Arial" w:hAnsi="Arial" w:cs="Arial"/>
        </w:rPr>
        <w:t>parent employment’, </w:t>
      </w:r>
      <w:r w:rsidRPr="00C075F2">
        <w:rPr>
          <w:rFonts w:ascii="Arial" w:hAnsi="Arial" w:cs="Arial"/>
          <w:i/>
          <w:iCs/>
        </w:rPr>
        <w:t>International Social Security Review</w:t>
      </w:r>
      <w:r w:rsidRPr="00C075F2">
        <w:rPr>
          <w:rFonts w:ascii="Arial" w:hAnsi="Arial" w:cs="Arial"/>
        </w:rPr>
        <w:t>, 61(2), pp. 21–38. doi:10.1111/j.1468-246x.2008.</w:t>
      </w:r>
      <w:proofErr w:type="gramStart"/>
      <w:r w:rsidRPr="00C075F2">
        <w:rPr>
          <w:rFonts w:ascii="Arial" w:hAnsi="Arial" w:cs="Arial"/>
        </w:rPr>
        <w:t>00308.x.</w:t>
      </w:r>
      <w:proofErr w:type="gramEnd"/>
    </w:p>
    <w:p w14:paraId="3A9F3AD0" w14:textId="2A021F48" w:rsidR="00C075F2" w:rsidRDefault="00CA26FC" w:rsidP="007E1DCB">
      <w:pPr>
        <w:spacing w:line="360" w:lineRule="auto"/>
        <w:jc w:val="both"/>
        <w:rPr>
          <w:rFonts w:ascii="Arial" w:hAnsi="Arial" w:cs="Arial"/>
        </w:rPr>
      </w:pPr>
      <w:proofErr w:type="spellStart"/>
      <w:r w:rsidRPr="00C075F2">
        <w:rPr>
          <w:rFonts w:ascii="Arial" w:hAnsi="Arial" w:cs="Arial"/>
        </w:rPr>
        <w:lastRenderedPageBreak/>
        <w:t>Narjinary</w:t>
      </w:r>
      <w:proofErr w:type="spellEnd"/>
      <w:r w:rsidRPr="00C075F2">
        <w:rPr>
          <w:rFonts w:ascii="Arial" w:hAnsi="Arial" w:cs="Arial"/>
        </w:rPr>
        <w:t xml:space="preserve">, G. and </w:t>
      </w:r>
      <w:proofErr w:type="spellStart"/>
      <w:r w:rsidRPr="00C075F2">
        <w:rPr>
          <w:rFonts w:ascii="Arial" w:hAnsi="Arial" w:cs="Arial"/>
        </w:rPr>
        <w:t>Goli</w:t>
      </w:r>
      <w:proofErr w:type="spellEnd"/>
      <w:r w:rsidRPr="00C075F2">
        <w:rPr>
          <w:rFonts w:ascii="Arial" w:hAnsi="Arial" w:cs="Arial"/>
        </w:rPr>
        <w:t>, S. (2024) ‘Diverging destinies: How children are faring under demographic transition’, </w:t>
      </w:r>
      <w:r w:rsidRPr="00C075F2">
        <w:rPr>
          <w:rFonts w:ascii="Arial" w:hAnsi="Arial" w:cs="Arial"/>
          <w:i/>
          <w:iCs/>
        </w:rPr>
        <w:t>Economics &amp;amp; Human Biology</w:t>
      </w:r>
      <w:r w:rsidRPr="00C075F2">
        <w:rPr>
          <w:rFonts w:ascii="Arial" w:hAnsi="Arial" w:cs="Arial"/>
        </w:rPr>
        <w:t xml:space="preserve">, 55, p. 101429. </w:t>
      </w:r>
      <w:proofErr w:type="gramStart"/>
      <w:r w:rsidRPr="00C075F2">
        <w:rPr>
          <w:rFonts w:ascii="Arial" w:hAnsi="Arial" w:cs="Arial"/>
        </w:rPr>
        <w:t>doi:10.1016/j.ehb</w:t>
      </w:r>
      <w:proofErr w:type="gramEnd"/>
      <w:r w:rsidRPr="00C075F2">
        <w:rPr>
          <w:rFonts w:ascii="Arial" w:hAnsi="Arial" w:cs="Arial"/>
        </w:rPr>
        <w:t>.2024.101429.</w:t>
      </w:r>
    </w:p>
    <w:p w14:paraId="587ACE77" w14:textId="2C2FA37A" w:rsidR="00C075F2" w:rsidRDefault="001C0298" w:rsidP="007E1DCB">
      <w:pPr>
        <w:spacing w:line="360" w:lineRule="auto"/>
        <w:jc w:val="both"/>
        <w:rPr>
          <w:rFonts w:ascii="Arial" w:hAnsi="Arial" w:cs="Arial"/>
        </w:rPr>
      </w:pPr>
      <w:proofErr w:type="spellStart"/>
      <w:r w:rsidRPr="00C075F2">
        <w:rPr>
          <w:rFonts w:ascii="Arial" w:hAnsi="Arial" w:cs="Arial"/>
        </w:rPr>
        <w:t>Nieuwenhuis</w:t>
      </w:r>
      <w:proofErr w:type="spellEnd"/>
      <w:r w:rsidRPr="00C075F2">
        <w:rPr>
          <w:rFonts w:ascii="Arial" w:hAnsi="Arial" w:cs="Arial"/>
        </w:rPr>
        <w:t>, R. and Maldonado, L.C. (2018) </w:t>
      </w:r>
      <w:r w:rsidRPr="00C075F2">
        <w:rPr>
          <w:rFonts w:ascii="Arial" w:hAnsi="Arial" w:cs="Arial"/>
          <w:i/>
          <w:iCs/>
        </w:rPr>
        <w:t>The triple bind of single-parent families: Resources, employment and policies to improve wellbeing</w:t>
      </w:r>
      <w:r w:rsidRPr="00C075F2">
        <w:rPr>
          <w:rFonts w:ascii="Arial" w:hAnsi="Arial" w:cs="Arial"/>
        </w:rPr>
        <w:t>. 1st ed. Bristol, UK: Policy Press.</w:t>
      </w:r>
    </w:p>
    <w:p w14:paraId="550A8904" w14:textId="31B3C434" w:rsidR="00C075F2" w:rsidRDefault="00F23D7E" w:rsidP="007E1DCB">
      <w:pPr>
        <w:spacing w:line="360" w:lineRule="auto"/>
        <w:jc w:val="both"/>
        <w:rPr>
          <w:rFonts w:ascii="Arial" w:hAnsi="Arial" w:cs="Arial"/>
        </w:rPr>
      </w:pPr>
      <w:r w:rsidRPr="00C075F2">
        <w:rPr>
          <w:rFonts w:ascii="Arial" w:hAnsi="Arial" w:cs="Arial"/>
        </w:rPr>
        <w:t>ONS (2024) </w:t>
      </w:r>
      <w:r w:rsidRPr="00C075F2">
        <w:rPr>
          <w:rFonts w:ascii="Arial" w:hAnsi="Arial" w:cs="Arial"/>
          <w:i/>
          <w:iCs/>
        </w:rPr>
        <w:t>Families and households in the UK: 2023</w:t>
      </w:r>
      <w:r w:rsidRPr="00C075F2">
        <w:rPr>
          <w:rFonts w:ascii="Arial" w:hAnsi="Arial" w:cs="Arial"/>
        </w:rPr>
        <w:t>, </w:t>
      </w:r>
      <w:r w:rsidRPr="00C075F2">
        <w:rPr>
          <w:rFonts w:ascii="Arial" w:hAnsi="Arial" w:cs="Arial"/>
          <w:i/>
          <w:iCs/>
        </w:rPr>
        <w:t>Families and households in the UK - Office for National Statistics</w:t>
      </w:r>
      <w:r w:rsidRPr="00C075F2">
        <w:rPr>
          <w:rFonts w:ascii="Arial" w:hAnsi="Arial" w:cs="Arial"/>
        </w:rPr>
        <w:t>. Available at: https://www.ons.gov.uk/peoplepopulationandcommunity/birthsdeathsandmarriages/families/bulletins/familiesandhouseholds/2023 (Accessed: 03 September 2024).</w:t>
      </w:r>
    </w:p>
    <w:p w14:paraId="6B862F3C" w14:textId="68DBD86C" w:rsidR="00C075F2" w:rsidRDefault="006A7A7C" w:rsidP="007E1DCB">
      <w:pPr>
        <w:spacing w:line="360" w:lineRule="auto"/>
        <w:jc w:val="both"/>
        <w:rPr>
          <w:rFonts w:ascii="Arial" w:hAnsi="Arial" w:cs="Arial"/>
        </w:rPr>
      </w:pPr>
      <w:proofErr w:type="spellStart"/>
      <w:r w:rsidRPr="006A7A7C">
        <w:rPr>
          <w:rFonts w:ascii="Arial" w:hAnsi="Arial" w:cs="Arial"/>
        </w:rPr>
        <w:t>Pallant</w:t>
      </w:r>
      <w:proofErr w:type="spellEnd"/>
      <w:r w:rsidRPr="006A7A7C">
        <w:rPr>
          <w:rFonts w:ascii="Arial" w:hAnsi="Arial" w:cs="Arial"/>
        </w:rPr>
        <w:t>, J. (2020) </w:t>
      </w:r>
      <w:r w:rsidRPr="006A7A7C">
        <w:rPr>
          <w:rFonts w:ascii="Arial" w:hAnsi="Arial" w:cs="Arial"/>
          <w:i/>
          <w:iCs/>
        </w:rPr>
        <w:t>SPSS survival manual</w:t>
      </w:r>
      <w:r w:rsidRPr="006A7A7C">
        <w:rPr>
          <w:rFonts w:ascii="Arial" w:hAnsi="Arial" w:cs="Arial"/>
        </w:rPr>
        <w:t> [Preprint]. doi:10.4324/9781003117452.</w:t>
      </w:r>
    </w:p>
    <w:p w14:paraId="3E343519" w14:textId="585FBA98" w:rsidR="00C075F2" w:rsidRDefault="000B26F0" w:rsidP="007E1DCB">
      <w:pPr>
        <w:spacing w:line="360" w:lineRule="auto"/>
        <w:jc w:val="both"/>
        <w:rPr>
          <w:rFonts w:ascii="Arial" w:hAnsi="Arial" w:cs="Arial"/>
        </w:rPr>
      </w:pPr>
      <w:r w:rsidRPr="00C075F2">
        <w:rPr>
          <w:rFonts w:ascii="Arial" w:hAnsi="Arial" w:cs="Arial"/>
        </w:rPr>
        <w:t>Pederson, L. </w:t>
      </w:r>
      <w:r w:rsidRPr="00C075F2">
        <w:rPr>
          <w:rFonts w:ascii="Arial" w:hAnsi="Arial" w:cs="Arial"/>
          <w:i/>
          <w:iCs/>
        </w:rPr>
        <w:t>et al.</w:t>
      </w:r>
      <w:r w:rsidRPr="00C075F2">
        <w:rPr>
          <w:rFonts w:ascii="Arial" w:hAnsi="Arial" w:cs="Arial"/>
        </w:rPr>
        <w:t> (2020) ‘Use of secondary data analyses in research: Pros and cons’, </w:t>
      </w:r>
      <w:r w:rsidRPr="00C075F2">
        <w:rPr>
          <w:rFonts w:ascii="Arial" w:hAnsi="Arial" w:cs="Arial"/>
          <w:i/>
          <w:iCs/>
        </w:rPr>
        <w:t>Journal of Addiction Medicine and Therapeutic Science</w:t>
      </w:r>
      <w:r w:rsidRPr="00C075F2">
        <w:rPr>
          <w:rFonts w:ascii="Arial" w:hAnsi="Arial" w:cs="Arial"/>
        </w:rPr>
        <w:t>, pp. 058–060. doi:10.17352/2455-3484.000039.</w:t>
      </w:r>
    </w:p>
    <w:p w14:paraId="0A111746" w14:textId="4D57D932" w:rsidR="00C075F2" w:rsidRDefault="0077768A" w:rsidP="007E1DCB">
      <w:pPr>
        <w:spacing w:line="360" w:lineRule="auto"/>
        <w:jc w:val="both"/>
        <w:rPr>
          <w:rFonts w:ascii="Arial" w:hAnsi="Arial" w:cs="Arial"/>
        </w:rPr>
      </w:pPr>
      <w:r w:rsidRPr="0077768A">
        <w:rPr>
          <w:rFonts w:ascii="Arial" w:hAnsi="Arial" w:cs="Arial"/>
        </w:rPr>
        <w:t>Polit, D.F. and Beck, C.T. (2017) </w:t>
      </w:r>
      <w:r w:rsidRPr="0077768A">
        <w:rPr>
          <w:rFonts w:ascii="Arial" w:hAnsi="Arial" w:cs="Arial"/>
          <w:i/>
          <w:iCs/>
        </w:rPr>
        <w:t>Nursing research: Generating and assessing evidence for nursing practice</w:t>
      </w:r>
      <w:r w:rsidRPr="0077768A">
        <w:rPr>
          <w:rFonts w:ascii="Arial" w:hAnsi="Arial" w:cs="Arial"/>
        </w:rPr>
        <w:t>. 10th ed. Philadelphia, USA: Wolters Kluwer Health.</w:t>
      </w:r>
    </w:p>
    <w:p w14:paraId="71D6ECD4" w14:textId="78FC81EB" w:rsidR="00C075F2" w:rsidRDefault="00075FBB" w:rsidP="007E1DCB">
      <w:pPr>
        <w:spacing w:line="360" w:lineRule="auto"/>
        <w:jc w:val="both"/>
        <w:rPr>
          <w:rFonts w:ascii="Arial" w:hAnsi="Arial" w:cs="Arial"/>
        </w:rPr>
      </w:pPr>
      <w:r w:rsidRPr="00C075F2">
        <w:rPr>
          <w:rFonts w:ascii="Arial" w:hAnsi="Arial" w:cs="Arial"/>
        </w:rPr>
        <w:t>Proctor, R.K. and Niemeyer, R.E. (2020) ‘Retrofitting social learning theory with contemporary understandings of learning and memory derived from cognitive psychology and Neuroscience’, </w:t>
      </w:r>
      <w:r w:rsidRPr="00C075F2">
        <w:rPr>
          <w:rFonts w:ascii="Arial" w:hAnsi="Arial" w:cs="Arial"/>
          <w:i/>
          <w:iCs/>
        </w:rPr>
        <w:t>Journal of Criminal Justice</w:t>
      </w:r>
      <w:r w:rsidRPr="00C075F2">
        <w:rPr>
          <w:rFonts w:ascii="Arial" w:hAnsi="Arial" w:cs="Arial"/>
        </w:rPr>
        <w:t xml:space="preserve">, 66, p. 101655. </w:t>
      </w:r>
      <w:proofErr w:type="gramStart"/>
      <w:r w:rsidRPr="00C075F2">
        <w:rPr>
          <w:rFonts w:ascii="Arial" w:hAnsi="Arial" w:cs="Arial"/>
        </w:rPr>
        <w:t>doi:10.1016/j.jcrimjus</w:t>
      </w:r>
      <w:proofErr w:type="gramEnd"/>
      <w:r w:rsidRPr="00C075F2">
        <w:rPr>
          <w:rFonts w:ascii="Arial" w:hAnsi="Arial" w:cs="Arial"/>
        </w:rPr>
        <w:t>.2019.101655.</w:t>
      </w:r>
    </w:p>
    <w:p w14:paraId="0D498BC7" w14:textId="7274470F" w:rsidR="00C075F2" w:rsidRDefault="00B23BC6" w:rsidP="007E1DCB">
      <w:pPr>
        <w:spacing w:line="360" w:lineRule="auto"/>
        <w:jc w:val="both"/>
        <w:rPr>
          <w:rFonts w:ascii="Arial" w:hAnsi="Arial" w:cs="Arial"/>
        </w:rPr>
      </w:pPr>
      <w:r w:rsidRPr="00C075F2">
        <w:rPr>
          <w:rFonts w:ascii="Arial" w:hAnsi="Arial" w:cs="Arial"/>
        </w:rPr>
        <w:t xml:space="preserve">Rahman, A. and </w:t>
      </w:r>
      <w:proofErr w:type="spellStart"/>
      <w:r w:rsidRPr="00C075F2">
        <w:rPr>
          <w:rFonts w:ascii="Arial" w:hAnsi="Arial" w:cs="Arial"/>
        </w:rPr>
        <w:t>Muktadir</w:t>
      </w:r>
      <w:proofErr w:type="spellEnd"/>
      <w:r w:rsidRPr="00C075F2">
        <w:rPr>
          <w:rFonts w:ascii="Arial" w:hAnsi="Arial" w:cs="Arial"/>
        </w:rPr>
        <w:t xml:space="preserve">, </w:t>
      </w:r>
      <w:proofErr w:type="spellStart"/>
      <w:r w:rsidRPr="00C075F2">
        <w:rPr>
          <w:rFonts w:ascii="Arial" w:hAnsi="Arial" w:cs="Arial"/>
        </w:rPr>
        <w:t>Md.G</w:t>
      </w:r>
      <w:proofErr w:type="spellEnd"/>
      <w:r w:rsidRPr="00C075F2">
        <w:rPr>
          <w:rFonts w:ascii="Arial" w:hAnsi="Arial" w:cs="Arial"/>
        </w:rPr>
        <w:t>. (2021) ‘SPSS: An Imperative Quantitative Data Analysis Tool for Social Science Research’, </w:t>
      </w:r>
      <w:r w:rsidRPr="00C075F2">
        <w:rPr>
          <w:rFonts w:ascii="Arial" w:hAnsi="Arial" w:cs="Arial"/>
          <w:i/>
          <w:iCs/>
        </w:rPr>
        <w:t>International Journal of Research and Innovation in Social Science</w:t>
      </w:r>
      <w:r w:rsidRPr="00C075F2">
        <w:rPr>
          <w:rFonts w:ascii="Arial" w:hAnsi="Arial" w:cs="Arial"/>
        </w:rPr>
        <w:t>, 05(10), pp. 300–302. doi:10.47772/ijriss.2021.51012.</w:t>
      </w:r>
    </w:p>
    <w:p w14:paraId="289FCB25" w14:textId="54DF1586" w:rsidR="00C075F2" w:rsidRDefault="00822D51" w:rsidP="007E1DCB">
      <w:pPr>
        <w:spacing w:line="360" w:lineRule="auto"/>
        <w:jc w:val="both"/>
        <w:rPr>
          <w:rFonts w:ascii="Arial" w:hAnsi="Arial" w:cs="Arial"/>
        </w:rPr>
      </w:pPr>
      <w:proofErr w:type="spellStart"/>
      <w:r w:rsidRPr="00C075F2">
        <w:rPr>
          <w:rFonts w:ascii="Arial" w:hAnsi="Arial" w:cs="Arial"/>
        </w:rPr>
        <w:t>Rothbaum</w:t>
      </w:r>
      <w:proofErr w:type="spellEnd"/>
      <w:r w:rsidRPr="00C075F2">
        <w:rPr>
          <w:rFonts w:ascii="Arial" w:hAnsi="Arial" w:cs="Arial"/>
        </w:rPr>
        <w:t>, F. </w:t>
      </w:r>
      <w:r w:rsidRPr="00C075F2">
        <w:rPr>
          <w:rFonts w:ascii="Arial" w:hAnsi="Arial" w:cs="Arial"/>
          <w:i/>
          <w:iCs/>
        </w:rPr>
        <w:t>et al.</w:t>
      </w:r>
      <w:r w:rsidRPr="00C075F2">
        <w:rPr>
          <w:rFonts w:ascii="Arial" w:hAnsi="Arial" w:cs="Arial"/>
        </w:rPr>
        <w:t> (2002) ‘Family systems theory, attachment theory, and culture*’, </w:t>
      </w:r>
      <w:r w:rsidRPr="00C075F2">
        <w:rPr>
          <w:rFonts w:ascii="Arial" w:hAnsi="Arial" w:cs="Arial"/>
          <w:i/>
          <w:iCs/>
        </w:rPr>
        <w:t>Family Process</w:t>
      </w:r>
      <w:r w:rsidRPr="00C075F2">
        <w:rPr>
          <w:rFonts w:ascii="Arial" w:hAnsi="Arial" w:cs="Arial"/>
        </w:rPr>
        <w:t>, 41(3), pp. 328–350. doi:10.1111/j.1545-5300.2002.</w:t>
      </w:r>
      <w:proofErr w:type="gramStart"/>
      <w:r w:rsidRPr="00C075F2">
        <w:rPr>
          <w:rFonts w:ascii="Arial" w:hAnsi="Arial" w:cs="Arial"/>
        </w:rPr>
        <w:t>41305.x.</w:t>
      </w:r>
      <w:proofErr w:type="gramEnd"/>
    </w:p>
    <w:p w14:paraId="3445D804" w14:textId="6A35AFA2" w:rsidR="00C075F2" w:rsidRDefault="001B0AAD" w:rsidP="007E1DCB">
      <w:pPr>
        <w:spacing w:line="360" w:lineRule="auto"/>
        <w:jc w:val="both"/>
        <w:rPr>
          <w:rFonts w:ascii="Arial" w:hAnsi="Arial" w:cs="Arial"/>
        </w:rPr>
      </w:pPr>
      <w:r w:rsidRPr="00C075F2">
        <w:rPr>
          <w:rFonts w:ascii="Arial" w:hAnsi="Arial" w:cs="Arial"/>
        </w:rPr>
        <w:t>Rothwell, D.W. and McEwen, A. (2017) ‘Comparing child poverty risk by family structure during the 2008 recession’, </w:t>
      </w:r>
      <w:r w:rsidRPr="00C075F2">
        <w:rPr>
          <w:rFonts w:ascii="Arial" w:hAnsi="Arial" w:cs="Arial"/>
          <w:i/>
          <w:iCs/>
        </w:rPr>
        <w:t>Journal of Marriage and Family</w:t>
      </w:r>
      <w:r w:rsidRPr="00C075F2">
        <w:rPr>
          <w:rFonts w:ascii="Arial" w:hAnsi="Arial" w:cs="Arial"/>
        </w:rPr>
        <w:t>, 79(5), pp. 1224–1240. doi:10.1111/jomf.12421.</w:t>
      </w:r>
    </w:p>
    <w:p w14:paraId="3C859F51" w14:textId="19AA45D6" w:rsidR="0074396A" w:rsidRPr="00C075F2" w:rsidRDefault="0074396A" w:rsidP="007E1DCB">
      <w:pPr>
        <w:spacing w:line="360" w:lineRule="auto"/>
        <w:jc w:val="both"/>
        <w:rPr>
          <w:rFonts w:ascii="Arial" w:hAnsi="Arial" w:cs="Arial"/>
        </w:rPr>
      </w:pPr>
      <w:r w:rsidRPr="00C075F2">
        <w:rPr>
          <w:rFonts w:ascii="Arial" w:hAnsi="Arial" w:cs="Arial"/>
        </w:rPr>
        <w:t>Sampson, R.J. (1999) ‘Techniques of research neutralization’, </w:t>
      </w:r>
      <w:r w:rsidRPr="00C075F2">
        <w:rPr>
          <w:rFonts w:ascii="Arial" w:hAnsi="Arial" w:cs="Arial"/>
          <w:i/>
          <w:iCs/>
        </w:rPr>
        <w:t>Theoretical Criminology</w:t>
      </w:r>
      <w:r w:rsidRPr="00C075F2">
        <w:rPr>
          <w:rFonts w:ascii="Arial" w:hAnsi="Arial" w:cs="Arial"/>
        </w:rPr>
        <w:t>, 3(4), pp. 438–451. doi:10.1177/1362480699003004004. </w:t>
      </w:r>
    </w:p>
    <w:p w14:paraId="5F3677D9" w14:textId="77777777" w:rsidR="00C075F2" w:rsidRDefault="00327142" w:rsidP="007E1DCB">
      <w:pPr>
        <w:spacing w:line="360" w:lineRule="auto"/>
        <w:jc w:val="both"/>
        <w:rPr>
          <w:rFonts w:ascii="Arial" w:hAnsi="Arial" w:cs="Arial"/>
        </w:rPr>
      </w:pPr>
      <w:r w:rsidRPr="00327142">
        <w:rPr>
          <w:rFonts w:ascii="Arial" w:hAnsi="Arial" w:cs="Arial"/>
        </w:rPr>
        <w:lastRenderedPageBreak/>
        <w:t>Saunders, M.N.K., Lewis, P. and Thornhill, A. (2023) </w:t>
      </w:r>
      <w:r w:rsidRPr="00327142">
        <w:rPr>
          <w:rFonts w:ascii="Arial" w:hAnsi="Arial" w:cs="Arial"/>
          <w:i/>
          <w:iCs/>
        </w:rPr>
        <w:t>Research methods for business students</w:t>
      </w:r>
      <w:r w:rsidRPr="00327142">
        <w:rPr>
          <w:rFonts w:ascii="Arial" w:hAnsi="Arial" w:cs="Arial"/>
        </w:rPr>
        <w:t>. 9th ed. Harlow, England, UK: Pearson.</w:t>
      </w:r>
    </w:p>
    <w:p w14:paraId="6A6D4114" w14:textId="1C75687E" w:rsidR="00C075F2" w:rsidRDefault="003503B1" w:rsidP="007E1DCB">
      <w:pPr>
        <w:spacing w:line="360" w:lineRule="auto"/>
        <w:jc w:val="both"/>
        <w:rPr>
          <w:rFonts w:ascii="Arial" w:hAnsi="Arial" w:cs="Arial"/>
        </w:rPr>
      </w:pPr>
      <w:r w:rsidRPr="00C075F2">
        <w:rPr>
          <w:rFonts w:ascii="Arial" w:hAnsi="Arial" w:cs="Arial"/>
        </w:rPr>
        <w:t>Singer, J.D. and Willett, J.B. (2009) </w:t>
      </w:r>
      <w:r w:rsidRPr="00C075F2">
        <w:rPr>
          <w:rFonts w:ascii="Arial" w:hAnsi="Arial" w:cs="Arial"/>
          <w:i/>
          <w:iCs/>
        </w:rPr>
        <w:t xml:space="preserve">Applied Longitudinal Data Analysis: </w:t>
      </w:r>
      <w:r w:rsidR="00C075F2" w:rsidRPr="00C075F2">
        <w:rPr>
          <w:rFonts w:ascii="Arial" w:hAnsi="Arial" w:cs="Arial"/>
          <w:i/>
          <w:iCs/>
        </w:rPr>
        <w:t>Modelling</w:t>
      </w:r>
      <w:r w:rsidRPr="00C075F2">
        <w:rPr>
          <w:rFonts w:ascii="Arial" w:hAnsi="Arial" w:cs="Arial"/>
          <w:i/>
          <w:iCs/>
        </w:rPr>
        <w:t xml:space="preserve"> Change and event occurrence</w:t>
      </w:r>
      <w:r w:rsidRPr="00C075F2">
        <w:rPr>
          <w:rFonts w:ascii="Arial" w:hAnsi="Arial" w:cs="Arial"/>
        </w:rPr>
        <w:t>. 1st ed. Oxford, New York: Oxford Scholarship Online.</w:t>
      </w:r>
    </w:p>
    <w:p w14:paraId="1CA04D17" w14:textId="29F656D0" w:rsidR="00C075F2" w:rsidRDefault="006B287D" w:rsidP="007E1DCB">
      <w:pPr>
        <w:spacing w:line="360" w:lineRule="auto"/>
        <w:jc w:val="both"/>
        <w:rPr>
          <w:rFonts w:ascii="Arial" w:hAnsi="Arial" w:cs="Arial"/>
        </w:rPr>
      </w:pPr>
      <w:r w:rsidRPr="00C075F2">
        <w:rPr>
          <w:rFonts w:ascii="Arial" w:hAnsi="Arial" w:cs="Arial"/>
        </w:rPr>
        <w:t>Stack, R.J. and Meredith, A. (2017) ‘The impact of financial hardship on single parents: An exploration of the journey from social distress to seeking help’, </w:t>
      </w:r>
      <w:r w:rsidRPr="00C075F2">
        <w:rPr>
          <w:rFonts w:ascii="Arial" w:hAnsi="Arial" w:cs="Arial"/>
          <w:i/>
          <w:iCs/>
        </w:rPr>
        <w:t>Journal of Family and Economic Issues</w:t>
      </w:r>
      <w:r w:rsidRPr="00C075F2">
        <w:rPr>
          <w:rFonts w:ascii="Arial" w:hAnsi="Arial" w:cs="Arial"/>
        </w:rPr>
        <w:t>, 39(2), pp. 233–242. doi:10.1007/s10834-017-9551-6.</w:t>
      </w:r>
    </w:p>
    <w:p w14:paraId="4FB6BC2C" w14:textId="1739B9F9" w:rsidR="00C075F2" w:rsidRDefault="006B287D" w:rsidP="007E1DCB">
      <w:pPr>
        <w:spacing w:line="360" w:lineRule="auto"/>
        <w:jc w:val="both"/>
        <w:rPr>
          <w:rFonts w:ascii="Arial" w:hAnsi="Arial" w:cs="Arial"/>
        </w:rPr>
      </w:pPr>
      <w:r w:rsidRPr="00C075F2">
        <w:rPr>
          <w:rFonts w:ascii="Arial" w:hAnsi="Arial" w:cs="Arial"/>
        </w:rPr>
        <w:t>Sussman, M. and Hanson, S. (2014) </w:t>
      </w:r>
      <w:r w:rsidRPr="00C075F2">
        <w:rPr>
          <w:rFonts w:ascii="Arial" w:hAnsi="Arial" w:cs="Arial"/>
          <w:i/>
          <w:iCs/>
        </w:rPr>
        <w:t>Single Parent Families</w:t>
      </w:r>
      <w:r w:rsidRPr="00C075F2">
        <w:rPr>
          <w:rFonts w:ascii="Arial" w:hAnsi="Arial" w:cs="Arial"/>
        </w:rPr>
        <w:t>. 1st ed. Routledge. Available at: https://www.perlego.com/book/1550016 (Accessed: 21 September 2024).</w:t>
      </w:r>
    </w:p>
    <w:p w14:paraId="108B502B" w14:textId="53B7DD6F" w:rsidR="00C075F2" w:rsidRDefault="00B46061" w:rsidP="007E1DCB">
      <w:pPr>
        <w:spacing w:line="360" w:lineRule="auto"/>
        <w:jc w:val="both"/>
        <w:rPr>
          <w:rFonts w:ascii="Arial" w:hAnsi="Arial" w:cs="Arial"/>
        </w:rPr>
      </w:pPr>
      <w:r w:rsidRPr="00B46061">
        <w:rPr>
          <w:rFonts w:ascii="Arial" w:hAnsi="Arial" w:cs="Arial"/>
        </w:rPr>
        <w:t>Trochim, W.M.K., Donnelly, J.P. and Arora, K. (2016) </w:t>
      </w:r>
      <w:r w:rsidRPr="00B46061">
        <w:rPr>
          <w:rFonts w:ascii="Arial" w:hAnsi="Arial" w:cs="Arial"/>
          <w:i/>
          <w:iCs/>
        </w:rPr>
        <w:t>Research methods: The essential knowledge base</w:t>
      </w:r>
      <w:r w:rsidRPr="00B46061">
        <w:rPr>
          <w:rFonts w:ascii="Arial" w:hAnsi="Arial" w:cs="Arial"/>
        </w:rPr>
        <w:t>. 2nd ed. Boston, MA, USA: Cengage Learning.</w:t>
      </w:r>
    </w:p>
    <w:p w14:paraId="0307A873" w14:textId="02DDC2EB" w:rsidR="00C075F2" w:rsidRDefault="00031DEF" w:rsidP="007E1DCB">
      <w:pPr>
        <w:spacing w:line="360" w:lineRule="auto"/>
        <w:jc w:val="both"/>
        <w:rPr>
          <w:rFonts w:ascii="Arial" w:hAnsi="Arial" w:cs="Arial"/>
        </w:rPr>
      </w:pPr>
      <w:r w:rsidRPr="00C075F2">
        <w:rPr>
          <w:rFonts w:ascii="Arial" w:hAnsi="Arial" w:cs="Arial"/>
        </w:rPr>
        <w:t>United Nations Office on Drugs and Crime (2020) </w:t>
      </w:r>
      <w:r w:rsidRPr="00C075F2">
        <w:rPr>
          <w:rFonts w:ascii="Arial" w:hAnsi="Arial" w:cs="Arial"/>
          <w:i/>
          <w:iCs/>
        </w:rPr>
        <w:t>Global report on trafficking in persons 2020</w:t>
      </w:r>
      <w:r w:rsidRPr="00C075F2">
        <w:rPr>
          <w:rFonts w:ascii="Arial" w:hAnsi="Arial" w:cs="Arial"/>
        </w:rPr>
        <w:t>. 1st ed. New York, USA: United Nations.</w:t>
      </w:r>
    </w:p>
    <w:p w14:paraId="58D44F65" w14:textId="577A1F17" w:rsidR="00C075F2" w:rsidRDefault="0031754F" w:rsidP="007E1DCB">
      <w:pPr>
        <w:spacing w:line="360" w:lineRule="auto"/>
        <w:jc w:val="both"/>
        <w:rPr>
          <w:rFonts w:ascii="Arial" w:hAnsi="Arial" w:cs="Arial"/>
        </w:rPr>
      </w:pPr>
      <w:r w:rsidRPr="00C075F2">
        <w:rPr>
          <w:rFonts w:ascii="Arial" w:hAnsi="Arial" w:cs="Arial"/>
        </w:rPr>
        <w:t>Varga, I. (2021) ‘The impact of single-parent families’ social vulnerabilities on children’, </w:t>
      </w:r>
      <w:r w:rsidRPr="00C075F2">
        <w:rPr>
          <w:rFonts w:ascii="Arial" w:hAnsi="Arial" w:cs="Arial"/>
          <w:i/>
          <w:iCs/>
        </w:rPr>
        <w:t>The Annals of the University of Oradea. Economic Science</w:t>
      </w:r>
      <w:r w:rsidRPr="00C075F2">
        <w:rPr>
          <w:rFonts w:ascii="Arial" w:hAnsi="Arial" w:cs="Arial"/>
        </w:rPr>
        <w:t>, 30(2), pp. 166–173. doi:10.47535/1991auoes30(2)018.</w:t>
      </w:r>
    </w:p>
    <w:p w14:paraId="725339EF" w14:textId="0780F089" w:rsidR="00C075F2" w:rsidRDefault="00831FC7" w:rsidP="007E1DCB">
      <w:pPr>
        <w:spacing w:line="360" w:lineRule="auto"/>
        <w:jc w:val="both"/>
        <w:rPr>
          <w:rFonts w:ascii="Arial" w:hAnsi="Arial" w:cs="Arial"/>
        </w:rPr>
      </w:pPr>
      <w:proofErr w:type="spellStart"/>
      <w:r w:rsidRPr="00C075F2">
        <w:rPr>
          <w:rFonts w:ascii="Arial" w:hAnsi="Arial" w:cs="Arial"/>
        </w:rPr>
        <w:t>Vartanian</w:t>
      </w:r>
      <w:proofErr w:type="spellEnd"/>
      <w:r w:rsidRPr="00C075F2">
        <w:rPr>
          <w:rFonts w:ascii="Arial" w:hAnsi="Arial" w:cs="Arial"/>
        </w:rPr>
        <w:t>, T.P. (2011) </w:t>
      </w:r>
      <w:r w:rsidRPr="00C075F2">
        <w:rPr>
          <w:rFonts w:ascii="Arial" w:hAnsi="Arial" w:cs="Arial"/>
          <w:i/>
          <w:iCs/>
        </w:rPr>
        <w:t>Secondary Data Analysis</w:t>
      </w:r>
      <w:r w:rsidRPr="00C075F2">
        <w:rPr>
          <w:rFonts w:ascii="Arial" w:hAnsi="Arial" w:cs="Arial"/>
        </w:rPr>
        <w:t>. 2nd ed. New York, USA: Oxford University Press.</w:t>
      </w:r>
    </w:p>
    <w:p w14:paraId="25CF1D89" w14:textId="513B7DBA" w:rsidR="00C075F2" w:rsidRDefault="001809C4" w:rsidP="007E1DCB">
      <w:pPr>
        <w:spacing w:line="360" w:lineRule="auto"/>
        <w:jc w:val="both"/>
        <w:rPr>
          <w:rFonts w:ascii="Arial" w:hAnsi="Arial" w:cs="Arial"/>
        </w:rPr>
      </w:pPr>
      <w:proofErr w:type="spellStart"/>
      <w:r w:rsidRPr="00C075F2">
        <w:rPr>
          <w:rFonts w:ascii="Arial" w:hAnsi="Arial" w:cs="Arial"/>
        </w:rPr>
        <w:t>Waismel</w:t>
      </w:r>
      <w:proofErr w:type="spellEnd"/>
      <w:r w:rsidRPr="00C075F2">
        <w:rPr>
          <w:rFonts w:ascii="Arial" w:hAnsi="Arial" w:cs="Arial"/>
        </w:rPr>
        <w:t xml:space="preserve">-Manor, R., </w:t>
      </w:r>
      <w:proofErr w:type="spellStart"/>
      <w:r w:rsidRPr="00C075F2">
        <w:rPr>
          <w:rFonts w:ascii="Arial" w:hAnsi="Arial" w:cs="Arial"/>
        </w:rPr>
        <w:t>Levanon</w:t>
      </w:r>
      <w:proofErr w:type="spellEnd"/>
      <w:r w:rsidRPr="00C075F2">
        <w:rPr>
          <w:rFonts w:ascii="Arial" w:hAnsi="Arial" w:cs="Arial"/>
        </w:rPr>
        <w:t>, A. and Tolbert, P.S. (2016) ‘The impact of family economic structure on dual-earners’ career and family satisfaction’, </w:t>
      </w:r>
      <w:r w:rsidRPr="00C075F2">
        <w:rPr>
          <w:rFonts w:ascii="Arial" w:hAnsi="Arial" w:cs="Arial"/>
          <w:i/>
          <w:iCs/>
        </w:rPr>
        <w:t>Sex Roles</w:t>
      </w:r>
      <w:r w:rsidRPr="00C075F2">
        <w:rPr>
          <w:rFonts w:ascii="Arial" w:hAnsi="Arial" w:cs="Arial"/>
        </w:rPr>
        <w:t>, 75(7–8), pp. 349–362. doi:10.1007/s11199-016-0620-3.</w:t>
      </w:r>
    </w:p>
    <w:p w14:paraId="43690189" w14:textId="5436F8A6" w:rsidR="00C075F2" w:rsidRDefault="00FA1ACB" w:rsidP="007E1DCB">
      <w:pPr>
        <w:spacing w:line="360" w:lineRule="auto"/>
        <w:jc w:val="both"/>
        <w:rPr>
          <w:rFonts w:ascii="Arial" w:hAnsi="Arial" w:cs="Arial"/>
        </w:rPr>
      </w:pPr>
      <w:proofErr w:type="spellStart"/>
      <w:r w:rsidRPr="00C075F2">
        <w:rPr>
          <w:rFonts w:ascii="Arial" w:hAnsi="Arial" w:cs="Arial"/>
        </w:rPr>
        <w:t>Witz</w:t>
      </w:r>
      <w:proofErr w:type="spellEnd"/>
      <w:r w:rsidRPr="00C075F2">
        <w:rPr>
          <w:rFonts w:ascii="Arial" w:hAnsi="Arial" w:cs="Arial"/>
        </w:rPr>
        <w:t>, K. </w:t>
      </w:r>
      <w:r w:rsidRPr="00C075F2">
        <w:rPr>
          <w:rFonts w:ascii="Arial" w:hAnsi="Arial" w:cs="Arial"/>
          <w:i/>
          <w:iCs/>
        </w:rPr>
        <w:t>et al.</w:t>
      </w:r>
      <w:r w:rsidRPr="00C075F2">
        <w:rPr>
          <w:rFonts w:ascii="Arial" w:hAnsi="Arial" w:cs="Arial"/>
        </w:rPr>
        <w:t> (1990) ‘Applied Statistics for the behavio</w:t>
      </w:r>
      <w:r w:rsidR="00C075F2">
        <w:rPr>
          <w:rFonts w:ascii="Arial" w:hAnsi="Arial" w:cs="Arial"/>
        </w:rPr>
        <w:t>ur</w:t>
      </w:r>
      <w:r w:rsidRPr="00C075F2">
        <w:rPr>
          <w:rFonts w:ascii="Arial" w:hAnsi="Arial" w:cs="Arial"/>
        </w:rPr>
        <w:t>al sciences’, </w:t>
      </w:r>
      <w:r w:rsidRPr="00C075F2">
        <w:rPr>
          <w:rFonts w:ascii="Arial" w:hAnsi="Arial" w:cs="Arial"/>
          <w:i/>
          <w:iCs/>
        </w:rPr>
        <w:t>Journal of Educational Statistics</w:t>
      </w:r>
      <w:r w:rsidRPr="00C075F2">
        <w:rPr>
          <w:rFonts w:ascii="Arial" w:hAnsi="Arial" w:cs="Arial"/>
        </w:rPr>
        <w:t>, 15(1), p. 84. doi:10.2307/1164825.</w:t>
      </w:r>
    </w:p>
    <w:p w14:paraId="433330F8" w14:textId="20813018" w:rsidR="0070115B" w:rsidRPr="00C075F2" w:rsidRDefault="00472100" w:rsidP="007E1DCB">
      <w:pPr>
        <w:spacing w:line="360" w:lineRule="auto"/>
        <w:jc w:val="both"/>
        <w:rPr>
          <w:rFonts w:ascii="Arial" w:hAnsi="Arial" w:cs="Arial"/>
        </w:rPr>
      </w:pPr>
      <w:r w:rsidRPr="00C075F2">
        <w:rPr>
          <w:rFonts w:ascii="Arial" w:hAnsi="Arial" w:cs="Arial"/>
        </w:rPr>
        <w:t xml:space="preserve">Yoshikawa, H., Aber, J.L. and </w:t>
      </w:r>
      <w:proofErr w:type="spellStart"/>
      <w:r w:rsidRPr="00C075F2">
        <w:rPr>
          <w:rFonts w:ascii="Arial" w:hAnsi="Arial" w:cs="Arial"/>
        </w:rPr>
        <w:t>Beardslee</w:t>
      </w:r>
      <w:proofErr w:type="spellEnd"/>
      <w:r w:rsidRPr="00C075F2">
        <w:rPr>
          <w:rFonts w:ascii="Arial" w:hAnsi="Arial" w:cs="Arial"/>
        </w:rPr>
        <w:t>, W.R. (2012) ‘The effects of poverty on the mental, emotional, and behavio</w:t>
      </w:r>
      <w:r w:rsidR="00C075F2">
        <w:rPr>
          <w:rFonts w:ascii="Arial" w:hAnsi="Arial" w:cs="Arial"/>
        </w:rPr>
        <w:t>u</w:t>
      </w:r>
      <w:r w:rsidRPr="00C075F2">
        <w:rPr>
          <w:rFonts w:ascii="Arial" w:hAnsi="Arial" w:cs="Arial"/>
        </w:rPr>
        <w:t>ral health of children and youth: Implications for prevention.’, </w:t>
      </w:r>
      <w:r w:rsidRPr="00C075F2">
        <w:rPr>
          <w:rFonts w:ascii="Arial" w:hAnsi="Arial" w:cs="Arial"/>
          <w:i/>
          <w:iCs/>
        </w:rPr>
        <w:t>American Psychologist</w:t>
      </w:r>
      <w:r w:rsidRPr="00C075F2">
        <w:rPr>
          <w:rFonts w:ascii="Arial" w:hAnsi="Arial" w:cs="Arial"/>
        </w:rPr>
        <w:t>, 67(4), pp. 272–284. doi:10.1037/a0028015.</w:t>
      </w:r>
    </w:p>
    <w:sectPr w:rsidR="0070115B" w:rsidRPr="00C075F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pitch w:val="default"/>
  </w:font>
  <w:font w:name="Cambria Math">
    <w:panose1 w:val="02040503050406030204"/>
    <w:charset w:val="00"/>
    <w:family w:val="roman"/>
    <w:pitch w:val="variable"/>
    <w:sig w:usb0="E00002FF" w:usb1="42002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56651D"/>
    <w:multiLevelType w:val="multilevel"/>
    <w:tmpl w:val="B48A98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12207F"/>
    <w:multiLevelType w:val="multilevel"/>
    <w:tmpl w:val="BF7EDB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BD6912"/>
    <w:multiLevelType w:val="multilevel"/>
    <w:tmpl w:val="69985AA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0E6464"/>
    <w:multiLevelType w:val="multilevel"/>
    <w:tmpl w:val="2F88D7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64D7487"/>
    <w:multiLevelType w:val="multilevel"/>
    <w:tmpl w:val="67A48D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96807F3"/>
    <w:multiLevelType w:val="multilevel"/>
    <w:tmpl w:val="26B2F8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980200F"/>
    <w:multiLevelType w:val="multilevel"/>
    <w:tmpl w:val="4A7615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ABD2BFB"/>
    <w:multiLevelType w:val="multilevel"/>
    <w:tmpl w:val="EDA0D2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AD95F91"/>
    <w:multiLevelType w:val="multilevel"/>
    <w:tmpl w:val="F12A7408"/>
    <w:lvl w:ilvl="0">
      <w:start w:val="1"/>
      <w:numFmt w:val="decimal"/>
      <w:lvlText w:val="%1."/>
      <w:lvlJc w:val="left"/>
      <w:pPr>
        <w:tabs>
          <w:tab w:val="num" w:pos="720"/>
        </w:tabs>
        <w:ind w:left="720" w:hanging="360"/>
      </w:pPr>
      <w:rPr>
        <w:rFonts w:asciiTheme="minorHAnsi" w:eastAsiaTheme="minorHAnsi" w:hAnsiTheme="minorHAnsi" w:cstheme="minorBidi"/>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E6746B2"/>
    <w:multiLevelType w:val="multilevel"/>
    <w:tmpl w:val="A17ED2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0B1061F"/>
    <w:multiLevelType w:val="multilevel"/>
    <w:tmpl w:val="2104F9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1BA3411"/>
    <w:multiLevelType w:val="multilevel"/>
    <w:tmpl w:val="55CCE5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2073F6B"/>
    <w:multiLevelType w:val="multilevel"/>
    <w:tmpl w:val="7D3E57A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20F6B89"/>
    <w:multiLevelType w:val="multilevel"/>
    <w:tmpl w:val="8E1689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3443C05"/>
    <w:multiLevelType w:val="multilevel"/>
    <w:tmpl w:val="9CC499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3A30370"/>
    <w:multiLevelType w:val="multilevel"/>
    <w:tmpl w:val="0750F1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40953EF"/>
    <w:multiLevelType w:val="multilevel"/>
    <w:tmpl w:val="60261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4443C01"/>
    <w:multiLevelType w:val="multilevel"/>
    <w:tmpl w:val="7D9658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A6F528F"/>
    <w:multiLevelType w:val="multilevel"/>
    <w:tmpl w:val="0408002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AEB5C19"/>
    <w:multiLevelType w:val="multilevel"/>
    <w:tmpl w:val="968E735C"/>
    <w:lvl w:ilvl="0">
      <w:start w:val="1"/>
      <w:numFmt w:val="decimal"/>
      <w:lvlText w:val="%1."/>
      <w:lvlJc w:val="left"/>
      <w:pPr>
        <w:tabs>
          <w:tab w:val="num" w:pos="720"/>
        </w:tabs>
        <w:ind w:left="720" w:hanging="360"/>
      </w:pPr>
      <w:rPr>
        <w:rFonts w:asciiTheme="minorHAnsi" w:eastAsiaTheme="minorHAnsi" w:hAnsiTheme="minorHAnsi" w:cstheme="minorBidi"/>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D1A2FDD"/>
    <w:multiLevelType w:val="multilevel"/>
    <w:tmpl w:val="C7046E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1DBD201E"/>
    <w:multiLevelType w:val="multilevel"/>
    <w:tmpl w:val="9FB4451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1EAF4707"/>
    <w:multiLevelType w:val="multilevel"/>
    <w:tmpl w:val="4C001F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852118B"/>
    <w:multiLevelType w:val="hybridMultilevel"/>
    <w:tmpl w:val="7DBE7BBE"/>
    <w:lvl w:ilvl="0" w:tplc="CE52DFCA">
      <w:start w:val="1"/>
      <w:numFmt w:val="decimal"/>
      <w:lvlText w:val="%1."/>
      <w:lvlJc w:val="left"/>
      <w:pPr>
        <w:ind w:left="720" w:hanging="360"/>
      </w:pPr>
      <w:rPr>
        <w:rFonts w:asciiTheme="minorHAnsi" w:eastAsiaTheme="minorHAnsi" w:hAnsiTheme="minorHAnsi" w:cstheme="minorBidi"/>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2BB6157F"/>
    <w:multiLevelType w:val="multilevel"/>
    <w:tmpl w:val="BB9CCA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CDC3F85"/>
    <w:multiLevelType w:val="multilevel"/>
    <w:tmpl w:val="397CC4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2DF43748"/>
    <w:multiLevelType w:val="multilevel"/>
    <w:tmpl w:val="F0463D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07B2E84"/>
    <w:multiLevelType w:val="multilevel"/>
    <w:tmpl w:val="6AE6941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3B13C7B"/>
    <w:multiLevelType w:val="multilevel"/>
    <w:tmpl w:val="E9CCF5E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decimal"/>
      <w:lvlText w:val="%3."/>
      <w:lvlJc w:val="left"/>
      <w:pPr>
        <w:tabs>
          <w:tab w:val="num" w:pos="2160"/>
        </w:tabs>
        <w:ind w:left="2160" w:hanging="360"/>
      </w:p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34805C10"/>
    <w:multiLevelType w:val="multilevel"/>
    <w:tmpl w:val="4B74F44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361B73FF"/>
    <w:multiLevelType w:val="multilevel"/>
    <w:tmpl w:val="8B3A96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369953C7"/>
    <w:multiLevelType w:val="multilevel"/>
    <w:tmpl w:val="9676A4F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39B75DA4"/>
    <w:multiLevelType w:val="multilevel"/>
    <w:tmpl w:val="6168265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3EB26C7E"/>
    <w:multiLevelType w:val="multilevel"/>
    <w:tmpl w:val="C93C87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10F1B09"/>
    <w:multiLevelType w:val="multilevel"/>
    <w:tmpl w:val="B9244A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4316551E"/>
    <w:multiLevelType w:val="multilevel"/>
    <w:tmpl w:val="FDB8FF6A"/>
    <w:lvl w:ilvl="0">
      <w:start w:val="1"/>
      <w:numFmt w:val="decimal"/>
      <w:lvlText w:val="%1."/>
      <w:lvlJc w:val="left"/>
      <w:pPr>
        <w:tabs>
          <w:tab w:val="num" w:pos="720"/>
        </w:tabs>
        <w:ind w:left="720" w:hanging="360"/>
      </w:pPr>
      <w:rPr>
        <w:rFonts w:asciiTheme="minorHAnsi" w:eastAsiaTheme="minorHAnsi" w:hAnsiTheme="minorHAnsi" w:cstheme="minorBidi"/>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4C9C4496"/>
    <w:multiLevelType w:val="multilevel"/>
    <w:tmpl w:val="FC7A9E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4F1514C0"/>
    <w:multiLevelType w:val="multilevel"/>
    <w:tmpl w:val="7CB0E0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502D0321"/>
    <w:multiLevelType w:val="multilevel"/>
    <w:tmpl w:val="882A4C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5031357E"/>
    <w:multiLevelType w:val="multilevel"/>
    <w:tmpl w:val="35E615E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decimal"/>
      <w:lvlText w:val="%3."/>
      <w:lvlJc w:val="left"/>
      <w:pPr>
        <w:ind w:left="2160" w:hanging="360"/>
      </w:pPr>
      <w:rPr>
        <w:rFonts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51057B08"/>
    <w:multiLevelType w:val="multilevel"/>
    <w:tmpl w:val="48241F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510C7806"/>
    <w:multiLevelType w:val="multilevel"/>
    <w:tmpl w:val="94646A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52F8417D"/>
    <w:multiLevelType w:val="multilevel"/>
    <w:tmpl w:val="1D407D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56EA1E26"/>
    <w:multiLevelType w:val="hybridMultilevel"/>
    <w:tmpl w:val="27CC2E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581D24B8"/>
    <w:multiLevelType w:val="multilevel"/>
    <w:tmpl w:val="B838B78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598762C9"/>
    <w:multiLevelType w:val="multilevel"/>
    <w:tmpl w:val="FC6C60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59D87D89"/>
    <w:multiLevelType w:val="multilevel"/>
    <w:tmpl w:val="9ECC8D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5A541FEB"/>
    <w:multiLevelType w:val="multilevel"/>
    <w:tmpl w:val="584CD1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5A7A4720"/>
    <w:multiLevelType w:val="multilevel"/>
    <w:tmpl w:val="9F04C3E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60630335"/>
    <w:multiLevelType w:val="multilevel"/>
    <w:tmpl w:val="8B56F8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60ED3BAF"/>
    <w:multiLevelType w:val="multilevel"/>
    <w:tmpl w:val="E1ECBFF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61595489"/>
    <w:multiLevelType w:val="multilevel"/>
    <w:tmpl w:val="8E6C50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64376CC5"/>
    <w:multiLevelType w:val="multilevel"/>
    <w:tmpl w:val="19D683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69372E35"/>
    <w:multiLevelType w:val="multilevel"/>
    <w:tmpl w:val="A98E3F3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6A144A82"/>
    <w:multiLevelType w:val="multilevel"/>
    <w:tmpl w:val="665EBCA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6A371977"/>
    <w:multiLevelType w:val="multilevel"/>
    <w:tmpl w:val="40CC46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6BF159A9"/>
    <w:multiLevelType w:val="multilevel"/>
    <w:tmpl w:val="ECD68B1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6C507512"/>
    <w:multiLevelType w:val="multilevel"/>
    <w:tmpl w:val="1720AB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8" w15:restartNumberingAfterBreak="0">
    <w:nsid w:val="6CE737D2"/>
    <w:multiLevelType w:val="multilevel"/>
    <w:tmpl w:val="4080DE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6D1D3E2D"/>
    <w:multiLevelType w:val="multilevel"/>
    <w:tmpl w:val="F3F81CB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6DDD0D78"/>
    <w:multiLevelType w:val="multilevel"/>
    <w:tmpl w:val="BD2A69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79854241"/>
    <w:multiLevelType w:val="multilevel"/>
    <w:tmpl w:val="62D27AA2"/>
    <w:lvl w:ilvl="0">
      <w:start w:val="1"/>
      <w:numFmt w:val="decimal"/>
      <w:lvlText w:val="%1."/>
      <w:lvlJc w:val="left"/>
      <w:pPr>
        <w:tabs>
          <w:tab w:val="num" w:pos="720"/>
        </w:tabs>
        <w:ind w:left="720" w:hanging="360"/>
      </w:pPr>
      <w:rPr>
        <w:rFonts w:asciiTheme="minorHAnsi" w:eastAsiaTheme="minorHAnsi" w:hAnsiTheme="minorHAnsi" w:cstheme="minorBidi"/>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7A241ABD"/>
    <w:multiLevelType w:val="multilevel"/>
    <w:tmpl w:val="FF78344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7AE20D96"/>
    <w:multiLevelType w:val="multilevel"/>
    <w:tmpl w:val="8848BBA6"/>
    <w:lvl w:ilvl="0">
      <w:start w:val="1"/>
      <w:numFmt w:val="decimal"/>
      <w:lvlText w:val="%1."/>
      <w:lvlJc w:val="left"/>
      <w:pPr>
        <w:tabs>
          <w:tab w:val="num" w:pos="720"/>
        </w:tabs>
        <w:ind w:left="720" w:hanging="360"/>
      </w:pPr>
      <w:rPr>
        <w:rFonts w:asciiTheme="minorHAnsi" w:eastAsiaTheme="minorHAnsi" w:hAnsiTheme="minorHAnsi" w:cstheme="minorBidi"/>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7C1D2B79"/>
    <w:multiLevelType w:val="multilevel"/>
    <w:tmpl w:val="17E04A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7C6340C0"/>
    <w:multiLevelType w:val="hybridMultilevel"/>
    <w:tmpl w:val="1D4072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6" w15:restartNumberingAfterBreak="0">
    <w:nsid w:val="7C9A02A1"/>
    <w:multiLevelType w:val="hybridMultilevel"/>
    <w:tmpl w:val="2C3A0E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7" w15:restartNumberingAfterBreak="0">
    <w:nsid w:val="7F3B4AB4"/>
    <w:multiLevelType w:val="multilevel"/>
    <w:tmpl w:val="30F48C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7FD73045"/>
    <w:multiLevelType w:val="multilevel"/>
    <w:tmpl w:val="1B98FD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7FDB43FA"/>
    <w:multiLevelType w:val="multilevel"/>
    <w:tmpl w:val="292602E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7FEE318D"/>
    <w:multiLevelType w:val="multilevel"/>
    <w:tmpl w:val="535C69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87805849">
    <w:abstractNumId w:val="66"/>
  </w:num>
  <w:num w:numId="2" w16cid:durableId="497817341">
    <w:abstractNumId w:val="43"/>
  </w:num>
  <w:num w:numId="3" w16cid:durableId="1628467862">
    <w:abstractNumId w:val="23"/>
  </w:num>
  <w:num w:numId="4" w16cid:durableId="2043625214">
    <w:abstractNumId w:val="8"/>
  </w:num>
  <w:num w:numId="5" w16cid:durableId="756169071">
    <w:abstractNumId w:val="61"/>
  </w:num>
  <w:num w:numId="6" w16cid:durableId="210654348">
    <w:abstractNumId w:val="19"/>
  </w:num>
  <w:num w:numId="7" w16cid:durableId="1905752449">
    <w:abstractNumId w:val="63"/>
  </w:num>
  <w:num w:numId="8" w16cid:durableId="134372759">
    <w:abstractNumId w:val="35"/>
  </w:num>
  <w:num w:numId="9" w16cid:durableId="1934897691">
    <w:abstractNumId w:val="13"/>
  </w:num>
  <w:num w:numId="10" w16cid:durableId="1108544147">
    <w:abstractNumId w:val="3"/>
  </w:num>
  <w:num w:numId="11" w16cid:durableId="1700080898">
    <w:abstractNumId w:val="41"/>
  </w:num>
  <w:num w:numId="12" w16cid:durableId="816457293">
    <w:abstractNumId w:val="60"/>
  </w:num>
  <w:num w:numId="13" w16cid:durableId="1249578166">
    <w:abstractNumId w:val="7"/>
  </w:num>
  <w:num w:numId="14" w16cid:durableId="1501198123">
    <w:abstractNumId w:val="47"/>
  </w:num>
  <w:num w:numId="15" w16cid:durableId="1107114474">
    <w:abstractNumId w:val="67"/>
  </w:num>
  <w:num w:numId="16" w16cid:durableId="769932250">
    <w:abstractNumId w:val="10"/>
  </w:num>
  <w:num w:numId="17" w16cid:durableId="998114731">
    <w:abstractNumId w:val="14"/>
  </w:num>
  <w:num w:numId="18" w16cid:durableId="152530584">
    <w:abstractNumId w:val="28"/>
  </w:num>
  <w:num w:numId="19" w16cid:durableId="1147630409">
    <w:abstractNumId w:val="28"/>
    <w:lvlOverride w:ilvl="1">
      <w:lvl w:ilvl="1">
        <w:numFmt w:val="decimal"/>
        <w:lvlText w:val="%2."/>
        <w:lvlJc w:val="left"/>
      </w:lvl>
    </w:lvlOverride>
  </w:num>
  <w:num w:numId="20" w16cid:durableId="362901361">
    <w:abstractNumId w:val="69"/>
  </w:num>
  <w:num w:numId="21" w16cid:durableId="1776707447">
    <w:abstractNumId w:val="16"/>
  </w:num>
  <w:num w:numId="22" w16cid:durableId="2043824331">
    <w:abstractNumId w:val="0"/>
  </w:num>
  <w:num w:numId="23" w16cid:durableId="465701990">
    <w:abstractNumId w:val="52"/>
  </w:num>
  <w:num w:numId="24" w16cid:durableId="827328702">
    <w:abstractNumId w:val="38"/>
  </w:num>
  <w:num w:numId="25" w16cid:durableId="2107844827">
    <w:abstractNumId w:val="68"/>
  </w:num>
  <w:num w:numId="26" w16cid:durableId="479468400">
    <w:abstractNumId w:val="55"/>
  </w:num>
  <w:num w:numId="27" w16cid:durableId="94640219">
    <w:abstractNumId w:val="45"/>
  </w:num>
  <w:num w:numId="28" w16cid:durableId="201140867">
    <w:abstractNumId w:val="1"/>
  </w:num>
  <w:num w:numId="29" w16cid:durableId="814177616">
    <w:abstractNumId w:val="22"/>
  </w:num>
  <w:num w:numId="30" w16cid:durableId="157160115">
    <w:abstractNumId w:val="4"/>
  </w:num>
  <w:num w:numId="31" w16cid:durableId="559170491">
    <w:abstractNumId w:val="9"/>
  </w:num>
  <w:num w:numId="32" w16cid:durableId="1400442181">
    <w:abstractNumId w:val="20"/>
  </w:num>
  <w:num w:numId="33" w16cid:durableId="2136093846">
    <w:abstractNumId w:val="27"/>
  </w:num>
  <w:num w:numId="34" w16cid:durableId="1220165532">
    <w:abstractNumId w:val="12"/>
  </w:num>
  <w:num w:numId="35" w16cid:durableId="895355786">
    <w:abstractNumId w:val="62"/>
  </w:num>
  <w:num w:numId="36" w16cid:durableId="520165506">
    <w:abstractNumId w:val="44"/>
  </w:num>
  <w:num w:numId="37" w16cid:durableId="1188980621">
    <w:abstractNumId w:val="53"/>
  </w:num>
  <w:num w:numId="38" w16cid:durableId="2127311287">
    <w:abstractNumId w:val="48"/>
  </w:num>
  <w:num w:numId="39" w16cid:durableId="989679223">
    <w:abstractNumId w:val="59"/>
  </w:num>
  <w:num w:numId="40" w16cid:durableId="1747263584">
    <w:abstractNumId w:val="57"/>
  </w:num>
  <w:num w:numId="41" w16cid:durableId="1231815605">
    <w:abstractNumId w:val="25"/>
  </w:num>
  <w:num w:numId="42" w16cid:durableId="191841941">
    <w:abstractNumId w:val="26"/>
  </w:num>
  <w:num w:numId="43" w16cid:durableId="968391019">
    <w:abstractNumId w:val="5"/>
  </w:num>
  <w:num w:numId="44" w16cid:durableId="614823191">
    <w:abstractNumId w:val="49"/>
  </w:num>
  <w:num w:numId="45" w16cid:durableId="24988733">
    <w:abstractNumId w:val="34"/>
  </w:num>
  <w:num w:numId="46" w16cid:durableId="87704319">
    <w:abstractNumId w:val="64"/>
  </w:num>
  <w:num w:numId="47" w16cid:durableId="1498111456">
    <w:abstractNumId w:val="58"/>
  </w:num>
  <w:num w:numId="48" w16cid:durableId="1665548097">
    <w:abstractNumId w:val="15"/>
  </w:num>
  <w:num w:numId="49" w16cid:durableId="201481282">
    <w:abstractNumId w:val="51"/>
  </w:num>
  <w:num w:numId="50" w16cid:durableId="251472249">
    <w:abstractNumId w:val="18"/>
  </w:num>
  <w:num w:numId="51" w16cid:durableId="1845320426">
    <w:abstractNumId w:val="40"/>
  </w:num>
  <w:num w:numId="52" w16cid:durableId="40904140">
    <w:abstractNumId w:val="2"/>
  </w:num>
  <w:num w:numId="53" w16cid:durableId="572814777">
    <w:abstractNumId w:val="36"/>
  </w:num>
  <w:num w:numId="54" w16cid:durableId="1761753495">
    <w:abstractNumId w:val="6"/>
  </w:num>
  <w:num w:numId="55" w16cid:durableId="1242760640">
    <w:abstractNumId w:val="17"/>
  </w:num>
  <w:num w:numId="56" w16cid:durableId="104204076">
    <w:abstractNumId w:val="29"/>
  </w:num>
  <w:num w:numId="57" w16cid:durableId="1612316972">
    <w:abstractNumId w:val="46"/>
  </w:num>
  <w:num w:numId="58" w16cid:durableId="330834776">
    <w:abstractNumId w:val="31"/>
  </w:num>
  <w:num w:numId="59" w16cid:durableId="333841626">
    <w:abstractNumId w:val="11"/>
  </w:num>
  <w:num w:numId="60" w16cid:durableId="1301031887">
    <w:abstractNumId w:val="24"/>
  </w:num>
  <w:num w:numId="61" w16cid:durableId="593854327">
    <w:abstractNumId w:val="37"/>
  </w:num>
  <w:num w:numId="62" w16cid:durableId="180357010">
    <w:abstractNumId w:val="33"/>
  </w:num>
  <w:num w:numId="63" w16cid:durableId="2092002099">
    <w:abstractNumId w:val="70"/>
  </w:num>
  <w:num w:numId="64" w16cid:durableId="2036806462">
    <w:abstractNumId w:val="65"/>
  </w:num>
  <w:num w:numId="65" w16cid:durableId="778182793">
    <w:abstractNumId w:val="30"/>
  </w:num>
  <w:num w:numId="66" w16cid:durableId="117069853">
    <w:abstractNumId w:val="42"/>
  </w:num>
  <w:num w:numId="67" w16cid:durableId="2126390870">
    <w:abstractNumId w:val="21"/>
  </w:num>
  <w:num w:numId="68" w16cid:durableId="108480100">
    <w:abstractNumId w:val="50"/>
  </w:num>
  <w:num w:numId="69" w16cid:durableId="932053427">
    <w:abstractNumId w:val="32"/>
  </w:num>
  <w:num w:numId="70" w16cid:durableId="135536830">
    <w:abstractNumId w:val="54"/>
  </w:num>
  <w:num w:numId="71" w16cid:durableId="412359597">
    <w:abstractNumId w:val="39"/>
  </w:num>
  <w:num w:numId="72" w16cid:durableId="850678433">
    <w:abstractNumId w:val="5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7469"/>
    <w:rsid w:val="00003308"/>
    <w:rsid w:val="00015B24"/>
    <w:rsid w:val="00031DEF"/>
    <w:rsid w:val="00040E3E"/>
    <w:rsid w:val="0005098C"/>
    <w:rsid w:val="00054B02"/>
    <w:rsid w:val="00075997"/>
    <w:rsid w:val="00075FBB"/>
    <w:rsid w:val="00086E13"/>
    <w:rsid w:val="00093D02"/>
    <w:rsid w:val="000947A0"/>
    <w:rsid w:val="000B0982"/>
    <w:rsid w:val="000B26F0"/>
    <w:rsid w:val="000C10D9"/>
    <w:rsid w:val="000F5DB8"/>
    <w:rsid w:val="000F73A4"/>
    <w:rsid w:val="00106877"/>
    <w:rsid w:val="00123611"/>
    <w:rsid w:val="00171E61"/>
    <w:rsid w:val="00173951"/>
    <w:rsid w:val="001809C4"/>
    <w:rsid w:val="001A66B5"/>
    <w:rsid w:val="001B0AAD"/>
    <w:rsid w:val="001C0298"/>
    <w:rsid w:val="001C02D7"/>
    <w:rsid w:val="001C7664"/>
    <w:rsid w:val="001D6361"/>
    <w:rsid w:val="00203DF2"/>
    <w:rsid w:val="002271DE"/>
    <w:rsid w:val="00260763"/>
    <w:rsid w:val="0027072B"/>
    <w:rsid w:val="0027677D"/>
    <w:rsid w:val="00281F4A"/>
    <w:rsid w:val="00301867"/>
    <w:rsid w:val="00305C67"/>
    <w:rsid w:val="003111A1"/>
    <w:rsid w:val="003118A1"/>
    <w:rsid w:val="0031754F"/>
    <w:rsid w:val="003215DE"/>
    <w:rsid w:val="003231B3"/>
    <w:rsid w:val="00323F8B"/>
    <w:rsid w:val="003253C9"/>
    <w:rsid w:val="00327142"/>
    <w:rsid w:val="0033590C"/>
    <w:rsid w:val="003503B1"/>
    <w:rsid w:val="00350DC8"/>
    <w:rsid w:val="00352A06"/>
    <w:rsid w:val="00356CA6"/>
    <w:rsid w:val="00362E90"/>
    <w:rsid w:val="0036711D"/>
    <w:rsid w:val="00392195"/>
    <w:rsid w:val="003923F9"/>
    <w:rsid w:val="00393553"/>
    <w:rsid w:val="003968B7"/>
    <w:rsid w:val="00397469"/>
    <w:rsid w:val="003A10AF"/>
    <w:rsid w:val="003B1720"/>
    <w:rsid w:val="003B22D8"/>
    <w:rsid w:val="003E004B"/>
    <w:rsid w:val="003E23EA"/>
    <w:rsid w:val="003F1EE7"/>
    <w:rsid w:val="003F1FFA"/>
    <w:rsid w:val="00427D33"/>
    <w:rsid w:val="004437E9"/>
    <w:rsid w:val="00465985"/>
    <w:rsid w:val="00471171"/>
    <w:rsid w:val="00472100"/>
    <w:rsid w:val="0048205D"/>
    <w:rsid w:val="00485B81"/>
    <w:rsid w:val="004B6070"/>
    <w:rsid w:val="004C7448"/>
    <w:rsid w:val="0050172C"/>
    <w:rsid w:val="005051A4"/>
    <w:rsid w:val="00530043"/>
    <w:rsid w:val="00552A29"/>
    <w:rsid w:val="00562A73"/>
    <w:rsid w:val="00564DC9"/>
    <w:rsid w:val="00570004"/>
    <w:rsid w:val="005A50E3"/>
    <w:rsid w:val="005D157E"/>
    <w:rsid w:val="005E24E7"/>
    <w:rsid w:val="005E6D9B"/>
    <w:rsid w:val="005E6E25"/>
    <w:rsid w:val="005F21C5"/>
    <w:rsid w:val="005F5A65"/>
    <w:rsid w:val="00615B33"/>
    <w:rsid w:val="006214D6"/>
    <w:rsid w:val="00627AE3"/>
    <w:rsid w:val="00654680"/>
    <w:rsid w:val="00657EBC"/>
    <w:rsid w:val="0066064A"/>
    <w:rsid w:val="006704E8"/>
    <w:rsid w:val="00673BB9"/>
    <w:rsid w:val="006746F0"/>
    <w:rsid w:val="00683B07"/>
    <w:rsid w:val="00693B9B"/>
    <w:rsid w:val="006A7A7C"/>
    <w:rsid w:val="006B21A5"/>
    <w:rsid w:val="006B287D"/>
    <w:rsid w:val="006C78C9"/>
    <w:rsid w:val="006E2865"/>
    <w:rsid w:val="006F30D2"/>
    <w:rsid w:val="0070115B"/>
    <w:rsid w:val="00701613"/>
    <w:rsid w:val="0070438A"/>
    <w:rsid w:val="007268AB"/>
    <w:rsid w:val="0074396A"/>
    <w:rsid w:val="00751C84"/>
    <w:rsid w:val="007702FB"/>
    <w:rsid w:val="0077208C"/>
    <w:rsid w:val="0077768A"/>
    <w:rsid w:val="007B0C2C"/>
    <w:rsid w:val="007B4D82"/>
    <w:rsid w:val="007C2C05"/>
    <w:rsid w:val="007C4C2D"/>
    <w:rsid w:val="007E1DCB"/>
    <w:rsid w:val="007F09C9"/>
    <w:rsid w:val="0080463F"/>
    <w:rsid w:val="0080671C"/>
    <w:rsid w:val="008132A9"/>
    <w:rsid w:val="00822D51"/>
    <w:rsid w:val="00831FC7"/>
    <w:rsid w:val="00833537"/>
    <w:rsid w:val="00834D6A"/>
    <w:rsid w:val="008364D5"/>
    <w:rsid w:val="00882C29"/>
    <w:rsid w:val="008A58D1"/>
    <w:rsid w:val="008B0935"/>
    <w:rsid w:val="008B451D"/>
    <w:rsid w:val="008C2D19"/>
    <w:rsid w:val="008C4FFF"/>
    <w:rsid w:val="008C5463"/>
    <w:rsid w:val="008D52C2"/>
    <w:rsid w:val="008E29AB"/>
    <w:rsid w:val="008F45AD"/>
    <w:rsid w:val="008F52F3"/>
    <w:rsid w:val="008F7580"/>
    <w:rsid w:val="0090533A"/>
    <w:rsid w:val="00927379"/>
    <w:rsid w:val="009456AF"/>
    <w:rsid w:val="0096010F"/>
    <w:rsid w:val="00966F79"/>
    <w:rsid w:val="00971487"/>
    <w:rsid w:val="009B4FE8"/>
    <w:rsid w:val="009B5A27"/>
    <w:rsid w:val="009C34E3"/>
    <w:rsid w:val="009F550C"/>
    <w:rsid w:val="00A07AB7"/>
    <w:rsid w:val="00A13F19"/>
    <w:rsid w:val="00A2344C"/>
    <w:rsid w:val="00A33B06"/>
    <w:rsid w:val="00A47022"/>
    <w:rsid w:val="00A74608"/>
    <w:rsid w:val="00A971B5"/>
    <w:rsid w:val="00AD1AE6"/>
    <w:rsid w:val="00AD4C00"/>
    <w:rsid w:val="00AE4E95"/>
    <w:rsid w:val="00AF4F7E"/>
    <w:rsid w:val="00AF5A6F"/>
    <w:rsid w:val="00B12D00"/>
    <w:rsid w:val="00B17284"/>
    <w:rsid w:val="00B20CA1"/>
    <w:rsid w:val="00B21BF1"/>
    <w:rsid w:val="00B23BC6"/>
    <w:rsid w:val="00B3121E"/>
    <w:rsid w:val="00B41563"/>
    <w:rsid w:val="00B42FE6"/>
    <w:rsid w:val="00B45478"/>
    <w:rsid w:val="00B46061"/>
    <w:rsid w:val="00B503A6"/>
    <w:rsid w:val="00B6230A"/>
    <w:rsid w:val="00B92952"/>
    <w:rsid w:val="00BA6544"/>
    <w:rsid w:val="00BD7B44"/>
    <w:rsid w:val="00BE57C0"/>
    <w:rsid w:val="00C00E6E"/>
    <w:rsid w:val="00C075F2"/>
    <w:rsid w:val="00C14B33"/>
    <w:rsid w:val="00C73063"/>
    <w:rsid w:val="00C9505F"/>
    <w:rsid w:val="00C96F13"/>
    <w:rsid w:val="00CA26FC"/>
    <w:rsid w:val="00CA7055"/>
    <w:rsid w:val="00CB22A5"/>
    <w:rsid w:val="00CB4824"/>
    <w:rsid w:val="00CD027B"/>
    <w:rsid w:val="00CD0D03"/>
    <w:rsid w:val="00CE0042"/>
    <w:rsid w:val="00CF37F6"/>
    <w:rsid w:val="00CF7366"/>
    <w:rsid w:val="00D0023D"/>
    <w:rsid w:val="00D01DFF"/>
    <w:rsid w:val="00D119AA"/>
    <w:rsid w:val="00D626D8"/>
    <w:rsid w:val="00D70B5F"/>
    <w:rsid w:val="00D8157E"/>
    <w:rsid w:val="00DB7D7D"/>
    <w:rsid w:val="00DC18CD"/>
    <w:rsid w:val="00DE0275"/>
    <w:rsid w:val="00E00F94"/>
    <w:rsid w:val="00E07C13"/>
    <w:rsid w:val="00E41D5A"/>
    <w:rsid w:val="00E42ABC"/>
    <w:rsid w:val="00E52C31"/>
    <w:rsid w:val="00E63A14"/>
    <w:rsid w:val="00E70B0A"/>
    <w:rsid w:val="00E90352"/>
    <w:rsid w:val="00E969EB"/>
    <w:rsid w:val="00EA2E47"/>
    <w:rsid w:val="00F234C7"/>
    <w:rsid w:val="00F23D7E"/>
    <w:rsid w:val="00F33669"/>
    <w:rsid w:val="00F54E2C"/>
    <w:rsid w:val="00F56C7B"/>
    <w:rsid w:val="00F72414"/>
    <w:rsid w:val="00FA1ACB"/>
    <w:rsid w:val="00FA4918"/>
    <w:rsid w:val="00FD65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4BB29F"/>
  <w15:chartTrackingRefBased/>
  <w15:docId w15:val="{5941C087-9899-F141-85CC-7415D70071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746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9746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9746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9746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9746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9746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746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746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746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746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9746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9746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9746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9746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9746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9746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9746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97469"/>
    <w:rPr>
      <w:rFonts w:eastAsiaTheme="majorEastAsia" w:cstheme="majorBidi"/>
      <w:color w:val="272727" w:themeColor="text1" w:themeTint="D8"/>
    </w:rPr>
  </w:style>
  <w:style w:type="paragraph" w:styleId="Title">
    <w:name w:val="Title"/>
    <w:basedOn w:val="Normal"/>
    <w:next w:val="Normal"/>
    <w:link w:val="TitleChar"/>
    <w:uiPriority w:val="10"/>
    <w:qFormat/>
    <w:rsid w:val="0039746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746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746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746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7469"/>
    <w:pPr>
      <w:spacing w:before="160"/>
      <w:jc w:val="center"/>
    </w:pPr>
    <w:rPr>
      <w:i/>
      <w:iCs/>
      <w:color w:val="404040" w:themeColor="text1" w:themeTint="BF"/>
    </w:rPr>
  </w:style>
  <w:style w:type="character" w:customStyle="1" w:styleId="QuoteChar">
    <w:name w:val="Quote Char"/>
    <w:basedOn w:val="DefaultParagraphFont"/>
    <w:link w:val="Quote"/>
    <w:uiPriority w:val="29"/>
    <w:rsid w:val="00397469"/>
    <w:rPr>
      <w:i/>
      <w:iCs/>
      <w:color w:val="404040" w:themeColor="text1" w:themeTint="BF"/>
    </w:rPr>
  </w:style>
  <w:style w:type="paragraph" w:styleId="ListParagraph">
    <w:name w:val="List Paragraph"/>
    <w:basedOn w:val="Normal"/>
    <w:uiPriority w:val="34"/>
    <w:qFormat/>
    <w:rsid w:val="00397469"/>
    <w:pPr>
      <w:ind w:left="720"/>
      <w:contextualSpacing/>
    </w:pPr>
  </w:style>
  <w:style w:type="character" w:styleId="IntenseEmphasis">
    <w:name w:val="Intense Emphasis"/>
    <w:basedOn w:val="DefaultParagraphFont"/>
    <w:uiPriority w:val="21"/>
    <w:qFormat/>
    <w:rsid w:val="00397469"/>
    <w:rPr>
      <w:i/>
      <w:iCs/>
      <w:color w:val="0F4761" w:themeColor="accent1" w:themeShade="BF"/>
    </w:rPr>
  </w:style>
  <w:style w:type="paragraph" w:styleId="IntenseQuote">
    <w:name w:val="Intense Quote"/>
    <w:basedOn w:val="Normal"/>
    <w:next w:val="Normal"/>
    <w:link w:val="IntenseQuoteChar"/>
    <w:uiPriority w:val="30"/>
    <w:qFormat/>
    <w:rsid w:val="0039746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97469"/>
    <w:rPr>
      <w:i/>
      <w:iCs/>
      <w:color w:val="0F4761" w:themeColor="accent1" w:themeShade="BF"/>
    </w:rPr>
  </w:style>
  <w:style w:type="character" w:styleId="IntenseReference">
    <w:name w:val="Intense Reference"/>
    <w:basedOn w:val="DefaultParagraphFont"/>
    <w:uiPriority w:val="32"/>
    <w:qFormat/>
    <w:rsid w:val="00397469"/>
    <w:rPr>
      <w:b/>
      <w:bCs/>
      <w:smallCaps/>
      <w:color w:val="0F4761" w:themeColor="accent1" w:themeShade="BF"/>
      <w:spacing w:val="5"/>
    </w:rPr>
  </w:style>
  <w:style w:type="paragraph" w:styleId="TOCHeading">
    <w:name w:val="TOC Heading"/>
    <w:basedOn w:val="Heading1"/>
    <w:next w:val="Normal"/>
    <w:uiPriority w:val="39"/>
    <w:unhideWhenUsed/>
    <w:qFormat/>
    <w:rsid w:val="00086E13"/>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086E13"/>
    <w:pPr>
      <w:spacing w:before="120" w:after="0"/>
    </w:pPr>
    <w:rPr>
      <w:b/>
      <w:bCs/>
      <w:i/>
      <w:iCs/>
    </w:rPr>
  </w:style>
  <w:style w:type="paragraph" w:styleId="TOC2">
    <w:name w:val="toc 2"/>
    <w:basedOn w:val="Normal"/>
    <w:next w:val="Normal"/>
    <w:autoRedefine/>
    <w:uiPriority w:val="39"/>
    <w:unhideWhenUsed/>
    <w:rsid w:val="00086E13"/>
    <w:pPr>
      <w:spacing w:before="120" w:after="0"/>
      <w:ind w:left="240"/>
    </w:pPr>
    <w:rPr>
      <w:b/>
      <w:bCs/>
      <w:sz w:val="22"/>
      <w:szCs w:val="22"/>
    </w:rPr>
  </w:style>
  <w:style w:type="character" w:styleId="Hyperlink">
    <w:name w:val="Hyperlink"/>
    <w:basedOn w:val="DefaultParagraphFont"/>
    <w:uiPriority w:val="99"/>
    <w:unhideWhenUsed/>
    <w:rsid w:val="00086E13"/>
    <w:rPr>
      <w:color w:val="467886" w:themeColor="hyperlink"/>
      <w:u w:val="single"/>
    </w:rPr>
  </w:style>
  <w:style w:type="paragraph" w:styleId="TOC3">
    <w:name w:val="toc 3"/>
    <w:basedOn w:val="Normal"/>
    <w:next w:val="Normal"/>
    <w:autoRedefine/>
    <w:uiPriority w:val="39"/>
    <w:semiHidden/>
    <w:unhideWhenUsed/>
    <w:rsid w:val="00086E13"/>
    <w:pPr>
      <w:spacing w:after="0"/>
      <w:ind w:left="480"/>
    </w:pPr>
    <w:rPr>
      <w:sz w:val="20"/>
      <w:szCs w:val="20"/>
    </w:rPr>
  </w:style>
  <w:style w:type="paragraph" w:styleId="TOC4">
    <w:name w:val="toc 4"/>
    <w:basedOn w:val="Normal"/>
    <w:next w:val="Normal"/>
    <w:autoRedefine/>
    <w:uiPriority w:val="39"/>
    <w:semiHidden/>
    <w:unhideWhenUsed/>
    <w:rsid w:val="00086E13"/>
    <w:pPr>
      <w:spacing w:after="0"/>
      <w:ind w:left="720"/>
    </w:pPr>
    <w:rPr>
      <w:sz w:val="20"/>
      <w:szCs w:val="20"/>
    </w:rPr>
  </w:style>
  <w:style w:type="paragraph" w:styleId="TOC5">
    <w:name w:val="toc 5"/>
    <w:basedOn w:val="Normal"/>
    <w:next w:val="Normal"/>
    <w:autoRedefine/>
    <w:uiPriority w:val="39"/>
    <w:semiHidden/>
    <w:unhideWhenUsed/>
    <w:rsid w:val="00086E13"/>
    <w:pPr>
      <w:spacing w:after="0"/>
      <w:ind w:left="960"/>
    </w:pPr>
    <w:rPr>
      <w:sz w:val="20"/>
      <w:szCs w:val="20"/>
    </w:rPr>
  </w:style>
  <w:style w:type="paragraph" w:styleId="TOC6">
    <w:name w:val="toc 6"/>
    <w:basedOn w:val="Normal"/>
    <w:next w:val="Normal"/>
    <w:autoRedefine/>
    <w:uiPriority w:val="39"/>
    <w:semiHidden/>
    <w:unhideWhenUsed/>
    <w:rsid w:val="00086E13"/>
    <w:pPr>
      <w:spacing w:after="0"/>
      <w:ind w:left="1200"/>
    </w:pPr>
    <w:rPr>
      <w:sz w:val="20"/>
      <w:szCs w:val="20"/>
    </w:rPr>
  </w:style>
  <w:style w:type="paragraph" w:styleId="TOC7">
    <w:name w:val="toc 7"/>
    <w:basedOn w:val="Normal"/>
    <w:next w:val="Normal"/>
    <w:autoRedefine/>
    <w:uiPriority w:val="39"/>
    <w:semiHidden/>
    <w:unhideWhenUsed/>
    <w:rsid w:val="00086E13"/>
    <w:pPr>
      <w:spacing w:after="0"/>
      <w:ind w:left="1440"/>
    </w:pPr>
    <w:rPr>
      <w:sz w:val="20"/>
      <w:szCs w:val="20"/>
    </w:rPr>
  </w:style>
  <w:style w:type="paragraph" w:styleId="TOC8">
    <w:name w:val="toc 8"/>
    <w:basedOn w:val="Normal"/>
    <w:next w:val="Normal"/>
    <w:autoRedefine/>
    <w:uiPriority w:val="39"/>
    <w:semiHidden/>
    <w:unhideWhenUsed/>
    <w:rsid w:val="00086E13"/>
    <w:pPr>
      <w:spacing w:after="0"/>
      <w:ind w:left="1680"/>
    </w:pPr>
    <w:rPr>
      <w:sz w:val="20"/>
      <w:szCs w:val="20"/>
    </w:rPr>
  </w:style>
  <w:style w:type="paragraph" w:styleId="TOC9">
    <w:name w:val="toc 9"/>
    <w:basedOn w:val="Normal"/>
    <w:next w:val="Normal"/>
    <w:autoRedefine/>
    <w:uiPriority w:val="39"/>
    <w:semiHidden/>
    <w:unhideWhenUsed/>
    <w:rsid w:val="00086E13"/>
    <w:pPr>
      <w:spacing w:after="0"/>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35342">
      <w:bodyDiv w:val="1"/>
      <w:marLeft w:val="0"/>
      <w:marRight w:val="0"/>
      <w:marTop w:val="0"/>
      <w:marBottom w:val="0"/>
      <w:divBdr>
        <w:top w:val="none" w:sz="0" w:space="0" w:color="auto"/>
        <w:left w:val="none" w:sz="0" w:space="0" w:color="auto"/>
        <w:bottom w:val="none" w:sz="0" w:space="0" w:color="auto"/>
        <w:right w:val="none" w:sz="0" w:space="0" w:color="auto"/>
      </w:divBdr>
    </w:div>
    <w:div w:id="5979837">
      <w:bodyDiv w:val="1"/>
      <w:marLeft w:val="0"/>
      <w:marRight w:val="0"/>
      <w:marTop w:val="0"/>
      <w:marBottom w:val="0"/>
      <w:divBdr>
        <w:top w:val="none" w:sz="0" w:space="0" w:color="auto"/>
        <w:left w:val="none" w:sz="0" w:space="0" w:color="auto"/>
        <w:bottom w:val="none" w:sz="0" w:space="0" w:color="auto"/>
        <w:right w:val="none" w:sz="0" w:space="0" w:color="auto"/>
      </w:divBdr>
    </w:div>
    <w:div w:id="10029664">
      <w:bodyDiv w:val="1"/>
      <w:marLeft w:val="0"/>
      <w:marRight w:val="0"/>
      <w:marTop w:val="0"/>
      <w:marBottom w:val="0"/>
      <w:divBdr>
        <w:top w:val="none" w:sz="0" w:space="0" w:color="auto"/>
        <w:left w:val="none" w:sz="0" w:space="0" w:color="auto"/>
        <w:bottom w:val="none" w:sz="0" w:space="0" w:color="auto"/>
        <w:right w:val="none" w:sz="0" w:space="0" w:color="auto"/>
      </w:divBdr>
    </w:div>
    <w:div w:id="25837203">
      <w:bodyDiv w:val="1"/>
      <w:marLeft w:val="0"/>
      <w:marRight w:val="0"/>
      <w:marTop w:val="0"/>
      <w:marBottom w:val="0"/>
      <w:divBdr>
        <w:top w:val="none" w:sz="0" w:space="0" w:color="auto"/>
        <w:left w:val="none" w:sz="0" w:space="0" w:color="auto"/>
        <w:bottom w:val="none" w:sz="0" w:space="0" w:color="auto"/>
        <w:right w:val="none" w:sz="0" w:space="0" w:color="auto"/>
      </w:divBdr>
    </w:div>
    <w:div w:id="48500161">
      <w:bodyDiv w:val="1"/>
      <w:marLeft w:val="0"/>
      <w:marRight w:val="0"/>
      <w:marTop w:val="0"/>
      <w:marBottom w:val="0"/>
      <w:divBdr>
        <w:top w:val="none" w:sz="0" w:space="0" w:color="auto"/>
        <w:left w:val="none" w:sz="0" w:space="0" w:color="auto"/>
        <w:bottom w:val="none" w:sz="0" w:space="0" w:color="auto"/>
        <w:right w:val="none" w:sz="0" w:space="0" w:color="auto"/>
      </w:divBdr>
    </w:div>
    <w:div w:id="68698799">
      <w:bodyDiv w:val="1"/>
      <w:marLeft w:val="0"/>
      <w:marRight w:val="0"/>
      <w:marTop w:val="0"/>
      <w:marBottom w:val="0"/>
      <w:divBdr>
        <w:top w:val="none" w:sz="0" w:space="0" w:color="auto"/>
        <w:left w:val="none" w:sz="0" w:space="0" w:color="auto"/>
        <w:bottom w:val="none" w:sz="0" w:space="0" w:color="auto"/>
        <w:right w:val="none" w:sz="0" w:space="0" w:color="auto"/>
      </w:divBdr>
    </w:div>
    <w:div w:id="87821717">
      <w:bodyDiv w:val="1"/>
      <w:marLeft w:val="0"/>
      <w:marRight w:val="0"/>
      <w:marTop w:val="0"/>
      <w:marBottom w:val="0"/>
      <w:divBdr>
        <w:top w:val="none" w:sz="0" w:space="0" w:color="auto"/>
        <w:left w:val="none" w:sz="0" w:space="0" w:color="auto"/>
        <w:bottom w:val="none" w:sz="0" w:space="0" w:color="auto"/>
        <w:right w:val="none" w:sz="0" w:space="0" w:color="auto"/>
      </w:divBdr>
    </w:div>
    <w:div w:id="95054415">
      <w:bodyDiv w:val="1"/>
      <w:marLeft w:val="0"/>
      <w:marRight w:val="0"/>
      <w:marTop w:val="0"/>
      <w:marBottom w:val="0"/>
      <w:divBdr>
        <w:top w:val="none" w:sz="0" w:space="0" w:color="auto"/>
        <w:left w:val="none" w:sz="0" w:space="0" w:color="auto"/>
        <w:bottom w:val="none" w:sz="0" w:space="0" w:color="auto"/>
        <w:right w:val="none" w:sz="0" w:space="0" w:color="auto"/>
      </w:divBdr>
    </w:div>
    <w:div w:id="100347156">
      <w:bodyDiv w:val="1"/>
      <w:marLeft w:val="0"/>
      <w:marRight w:val="0"/>
      <w:marTop w:val="0"/>
      <w:marBottom w:val="0"/>
      <w:divBdr>
        <w:top w:val="none" w:sz="0" w:space="0" w:color="auto"/>
        <w:left w:val="none" w:sz="0" w:space="0" w:color="auto"/>
        <w:bottom w:val="none" w:sz="0" w:space="0" w:color="auto"/>
        <w:right w:val="none" w:sz="0" w:space="0" w:color="auto"/>
      </w:divBdr>
    </w:div>
    <w:div w:id="109280007">
      <w:bodyDiv w:val="1"/>
      <w:marLeft w:val="0"/>
      <w:marRight w:val="0"/>
      <w:marTop w:val="0"/>
      <w:marBottom w:val="0"/>
      <w:divBdr>
        <w:top w:val="none" w:sz="0" w:space="0" w:color="auto"/>
        <w:left w:val="none" w:sz="0" w:space="0" w:color="auto"/>
        <w:bottom w:val="none" w:sz="0" w:space="0" w:color="auto"/>
        <w:right w:val="none" w:sz="0" w:space="0" w:color="auto"/>
      </w:divBdr>
    </w:div>
    <w:div w:id="113644248">
      <w:bodyDiv w:val="1"/>
      <w:marLeft w:val="0"/>
      <w:marRight w:val="0"/>
      <w:marTop w:val="0"/>
      <w:marBottom w:val="0"/>
      <w:divBdr>
        <w:top w:val="none" w:sz="0" w:space="0" w:color="auto"/>
        <w:left w:val="none" w:sz="0" w:space="0" w:color="auto"/>
        <w:bottom w:val="none" w:sz="0" w:space="0" w:color="auto"/>
        <w:right w:val="none" w:sz="0" w:space="0" w:color="auto"/>
      </w:divBdr>
    </w:div>
    <w:div w:id="117918532">
      <w:bodyDiv w:val="1"/>
      <w:marLeft w:val="0"/>
      <w:marRight w:val="0"/>
      <w:marTop w:val="0"/>
      <w:marBottom w:val="0"/>
      <w:divBdr>
        <w:top w:val="none" w:sz="0" w:space="0" w:color="auto"/>
        <w:left w:val="none" w:sz="0" w:space="0" w:color="auto"/>
        <w:bottom w:val="none" w:sz="0" w:space="0" w:color="auto"/>
        <w:right w:val="none" w:sz="0" w:space="0" w:color="auto"/>
      </w:divBdr>
    </w:div>
    <w:div w:id="174811432">
      <w:bodyDiv w:val="1"/>
      <w:marLeft w:val="0"/>
      <w:marRight w:val="0"/>
      <w:marTop w:val="0"/>
      <w:marBottom w:val="0"/>
      <w:divBdr>
        <w:top w:val="none" w:sz="0" w:space="0" w:color="auto"/>
        <w:left w:val="none" w:sz="0" w:space="0" w:color="auto"/>
        <w:bottom w:val="none" w:sz="0" w:space="0" w:color="auto"/>
        <w:right w:val="none" w:sz="0" w:space="0" w:color="auto"/>
      </w:divBdr>
    </w:div>
    <w:div w:id="178205476">
      <w:bodyDiv w:val="1"/>
      <w:marLeft w:val="0"/>
      <w:marRight w:val="0"/>
      <w:marTop w:val="0"/>
      <w:marBottom w:val="0"/>
      <w:divBdr>
        <w:top w:val="none" w:sz="0" w:space="0" w:color="auto"/>
        <w:left w:val="none" w:sz="0" w:space="0" w:color="auto"/>
        <w:bottom w:val="none" w:sz="0" w:space="0" w:color="auto"/>
        <w:right w:val="none" w:sz="0" w:space="0" w:color="auto"/>
      </w:divBdr>
    </w:div>
    <w:div w:id="195119273">
      <w:bodyDiv w:val="1"/>
      <w:marLeft w:val="0"/>
      <w:marRight w:val="0"/>
      <w:marTop w:val="0"/>
      <w:marBottom w:val="0"/>
      <w:divBdr>
        <w:top w:val="none" w:sz="0" w:space="0" w:color="auto"/>
        <w:left w:val="none" w:sz="0" w:space="0" w:color="auto"/>
        <w:bottom w:val="none" w:sz="0" w:space="0" w:color="auto"/>
        <w:right w:val="none" w:sz="0" w:space="0" w:color="auto"/>
      </w:divBdr>
    </w:div>
    <w:div w:id="242229508">
      <w:bodyDiv w:val="1"/>
      <w:marLeft w:val="0"/>
      <w:marRight w:val="0"/>
      <w:marTop w:val="0"/>
      <w:marBottom w:val="0"/>
      <w:divBdr>
        <w:top w:val="none" w:sz="0" w:space="0" w:color="auto"/>
        <w:left w:val="none" w:sz="0" w:space="0" w:color="auto"/>
        <w:bottom w:val="none" w:sz="0" w:space="0" w:color="auto"/>
        <w:right w:val="none" w:sz="0" w:space="0" w:color="auto"/>
      </w:divBdr>
    </w:div>
    <w:div w:id="257105029">
      <w:bodyDiv w:val="1"/>
      <w:marLeft w:val="0"/>
      <w:marRight w:val="0"/>
      <w:marTop w:val="0"/>
      <w:marBottom w:val="0"/>
      <w:divBdr>
        <w:top w:val="none" w:sz="0" w:space="0" w:color="auto"/>
        <w:left w:val="none" w:sz="0" w:space="0" w:color="auto"/>
        <w:bottom w:val="none" w:sz="0" w:space="0" w:color="auto"/>
        <w:right w:val="none" w:sz="0" w:space="0" w:color="auto"/>
      </w:divBdr>
    </w:div>
    <w:div w:id="282427080">
      <w:bodyDiv w:val="1"/>
      <w:marLeft w:val="0"/>
      <w:marRight w:val="0"/>
      <w:marTop w:val="0"/>
      <w:marBottom w:val="0"/>
      <w:divBdr>
        <w:top w:val="none" w:sz="0" w:space="0" w:color="auto"/>
        <w:left w:val="none" w:sz="0" w:space="0" w:color="auto"/>
        <w:bottom w:val="none" w:sz="0" w:space="0" w:color="auto"/>
        <w:right w:val="none" w:sz="0" w:space="0" w:color="auto"/>
      </w:divBdr>
    </w:div>
    <w:div w:id="285703547">
      <w:bodyDiv w:val="1"/>
      <w:marLeft w:val="0"/>
      <w:marRight w:val="0"/>
      <w:marTop w:val="0"/>
      <w:marBottom w:val="0"/>
      <w:divBdr>
        <w:top w:val="none" w:sz="0" w:space="0" w:color="auto"/>
        <w:left w:val="none" w:sz="0" w:space="0" w:color="auto"/>
        <w:bottom w:val="none" w:sz="0" w:space="0" w:color="auto"/>
        <w:right w:val="none" w:sz="0" w:space="0" w:color="auto"/>
      </w:divBdr>
    </w:div>
    <w:div w:id="286014562">
      <w:bodyDiv w:val="1"/>
      <w:marLeft w:val="0"/>
      <w:marRight w:val="0"/>
      <w:marTop w:val="0"/>
      <w:marBottom w:val="0"/>
      <w:divBdr>
        <w:top w:val="none" w:sz="0" w:space="0" w:color="auto"/>
        <w:left w:val="none" w:sz="0" w:space="0" w:color="auto"/>
        <w:bottom w:val="none" w:sz="0" w:space="0" w:color="auto"/>
        <w:right w:val="none" w:sz="0" w:space="0" w:color="auto"/>
      </w:divBdr>
    </w:div>
    <w:div w:id="358429278">
      <w:bodyDiv w:val="1"/>
      <w:marLeft w:val="0"/>
      <w:marRight w:val="0"/>
      <w:marTop w:val="0"/>
      <w:marBottom w:val="0"/>
      <w:divBdr>
        <w:top w:val="none" w:sz="0" w:space="0" w:color="auto"/>
        <w:left w:val="none" w:sz="0" w:space="0" w:color="auto"/>
        <w:bottom w:val="none" w:sz="0" w:space="0" w:color="auto"/>
        <w:right w:val="none" w:sz="0" w:space="0" w:color="auto"/>
      </w:divBdr>
    </w:div>
    <w:div w:id="379475273">
      <w:bodyDiv w:val="1"/>
      <w:marLeft w:val="0"/>
      <w:marRight w:val="0"/>
      <w:marTop w:val="0"/>
      <w:marBottom w:val="0"/>
      <w:divBdr>
        <w:top w:val="none" w:sz="0" w:space="0" w:color="auto"/>
        <w:left w:val="none" w:sz="0" w:space="0" w:color="auto"/>
        <w:bottom w:val="none" w:sz="0" w:space="0" w:color="auto"/>
        <w:right w:val="none" w:sz="0" w:space="0" w:color="auto"/>
      </w:divBdr>
    </w:div>
    <w:div w:id="382869536">
      <w:bodyDiv w:val="1"/>
      <w:marLeft w:val="0"/>
      <w:marRight w:val="0"/>
      <w:marTop w:val="0"/>
      <w:marBottom w:val="0"/>
      <w:divBdr>
        <w:top w:val="none" w:sz="0" w:space="0" w:color="auto"/>
        <w:left w:val="none" w:sz="0" w:space="0" w:color="auto"/>
        <w:bottom w:val="none" w:sz="0" w:space="0" w:color="auto"/>
        <w:right w:val="none" w:sz="0" w:space="0" w:color="auto"/>
      </w:divBdr>
    </w:div>
    <w:div w:id="403187671">
      <w:bodyDiv w:val="1"/>
      <w:marLeft w:val="0"/>
      <w:marRight w:val="0"/>
      <w:marTop w:val="0"/>
      <w:marBottom w:val="0"/>
      <w:divBdr>
        <w:top w:val="none" w:sz="0" w:space="0" w:color="auto"/>
        <w:left w:val="none" w:sz="0" w:space="0" w:color="auto"/>
        <w:bottom w:val="none" w:sz="0" w:space="0" w:color="auto"/>
        <w:right w:val="none" w:sz="0" w:space="0" w:color="auto"/>
      </w:divBdr>
    </w:div>
    <w:div w:id="410078593">
      <w:bodyDiv w:val="1"/>
      <w:marLeft w:val="0"/>
      <w:marRight w:val="0"/>
      <w:marTop w:val="0"/>
      <w:marBottom w:val="0"/>
      <w:divBdr>
        <w:top w:val="none" w:sz="0" w:space="0" w:color="auto"/>
        <w:left w:val="none" w:sz="0" w:space="0" w:color="auto"/>
        <w:bottom w:val="none" w:sz="0" w:space="0" w:color="auto"/>
        <w:right w:val="none" w:sz="0" w:space="0" w:color="auto"/>
      </w:divBdr>
    </w:div>
    <w:div w:id="450707857">
      <w:bodyDiv w:val="1"/>
      <w:marLeft w:val="0"/>
      <w:marRight w:val="0"/>
      <w:marTop w:val="0"/>
      <w:marBottom w:val="0"/>
      <w:divBdr>
        <w:top w:val="none" w:sz="0" w:space="0" w:color="auto"/>
        <w:left w:val="none" w:sz="0" w:space="0" w:color="auto"/>
        <w:bottom w:val="none" w:sz="0" w:space="0" w:color="auto"/>
        <w:right w:val="none" w:sz="0" w:space="0" w:color="auto"/>
      </w:divBdr>
    </w:div>
    <w:div w:id="480780847">
      <w:bodyDiv w:val="1"/>
      <w:marLeft w:val="0"/>
      <w:marRight w:val="0"/>
      <w:marTop w:val="0"/>
      <w:marBottom w:val="0"/>
      <w:divBdr>
        <w:top w:val="none" w:sz="0" w:space="0" w:color="auto"/>
        <w:left w:val="none" w:sz="0" w:space="0" w:color="auto"/>
        <w:bottom w:val="none" w:sz="0" w:space="0" w:color="auto"/>
        <w:right w:val="none" w:sz="0" w:space="0" w:color="auto"/>
      </w:divBdr>
    </w:div>
    <w:div w:id="480928043">
      <w:bodyDiv w:val="1"/>
      <w:marLeft w:val="0"/>
      <w:marRight w:val="0"/>
      <w:marTop w:val="0"/>
      <w:marBottom w:val="0"/>
      <w:divBdr>
        <w:top w:val="none" w:sz="0" w:space="0" w:color="auto"/>
        <w:left w:val="none" w:sz="0" w:space="0" w:color="auto"/>
        <w:bottom w:val="none" w:sz="0" w:space="0" w:color="auto"/>
        <w:right w:val="none" w:sz="0" w:space="0" w:color="auto"/>
      </w:divBdr>
    </w:div>
    <w:div w:id="493565993">
      <w:bodyDiv w:val="1"/>
      <w:marLeft w:val="0"/>
      <w:marRight w:val="0"/>
      <w:marTop w:val="0"/>
      <w:marBottom w:val="0"/>
      <w:divBdr>
        <w:top w:val="none" w:sz="0" w:space="0" w:color="auto"/>
        <w:left w:val="none" w:sz="0" w:space="0" w:color="auto"/>
        <w:bottom w:val="none" w:sz="0" w:space="0" w:color="auto"/>
        <w:right w:val="none" w:sz="0" w:space="0" w:color="auto"/>
      </w:divBdr>
    </w:div>
    <w:div w:id="495724902">
      <w:bodyDiv w:val="1"/>
      <w:marLeft w:val="0"/>
      <w:marRight w:val="0"/>
      <w:marTop w:val="0"/>
      <w:marBottom w:val="0"/>
      <w:divBdr>
        <w:top w:val="none" w:sz="0" w:space="0" w:color="auto"/>
        <w:left w:val="none" w:sz="0" w:space="0" w:color="auto"/>
        <w:bottom w:val="none" w:sz="0" w:space="0" w:color="auto"/>
        <w:right w:val="none" w:sz="0" w:space="0" w:color="auto"/>
      </w:divBdr>
    </w:div>
    <w:div w:id="520779846">
      <w:bodyDiv w:val="1"/>
      <w:marLeft w:val="0"/>
      <w:marRight w:val="0"/>
      <w:marTop w:val="0"/>
      <w:marBottom w:val="0"/>
      <w:divBdr>
        <w:top w:val="none" w:sz="0" w:space="0" w:color="auto"/>
        <w:left w:val="none" w:sz="0" w:space="0" w:color="auto"/>
        <w:bottom w:val="none" w:sz="0" w:space="0" w:color="auto"/>
        <w:right w:val="none" w:sz="0" w:space="0" w:color="auto"/>
      </w:divBdr>
    </w:div>
    <w:div w:id="527138717">
      <w:bodyDiv w:val="1"/>
      <w:marLeft w:val="0"/>
      <w:marRight w:val="0"/>
      <w:marTop w:val="0"/>
      <w:marBottom w:val="0"/>
      <w:divBdr>
        <w:top w:val="none" w:sz="0" w:space="0" w:color="auto"/>
        <w:left w:val="none" w:sz="0" w:space="0" w:color="auto"/>
        <w:bottom w:val="none" w:sz="0" w:space="0" w:color="auto"/>
        <w:right w:val="none" w:sz="0" w:space="0" w:color="auto"/>
      </w:divBdr>
    </w:div>
    <w:div w:id="546602304">
      <w:bodyDiv w:val="1"/>
      <w:marLeft w:val="0"/>
      <w:marRight w:val="0"/>
      <w:marTop w:val="0"/>
      <w:marBottom w:val="0"/>
      <w:divBdr>
        <w:top w:val="none" w:sz="0" w:space="0" w:color="auto"/>
        <w:left w:val="none" w:sz="0" w:space="0" w:color="auto"/>
        <w:bottom w:val="none" w:sz="0" w:space="0" w:color="auto"/>
        <w:right w:val="none" w:sz="0" w:space="0" w:color="auto"/>
      </w:divBdr>
    </w:div>
    <w:div w:id="547881285">
      <w:bodyDiv w:val="1"/>
      <w:marLeft w:val="0"/>
      <w:marRight w:val="0"/>
      <w:marTop w:val="0"/>
      <w:marBottom w:val="0"/>
      <w:divBdr>
        <w:top w:val="none" w:sz="0" w:space="0" w:color="auto"/>
        <w:left w:val="none" w:sz="0" w:space="0" w:color="auto"/>
        <w:bottom w:val="none" w:sz="0" w:space="0" w:color="auto"/>
        <w:right w:val="none" w:sz="0" w:space="0" w:color="auto"/>
      </w:divBdr>
    </w:div>
    <w:div w:id="555699175">
      <w:bodyDiv w:val="1"/>
      <w:marLeft w:val="0"/>
      <w:marRight w:val="0"/>
      <w:marTop w:val="0"/>
      <w:marBottom w:val="0"/>
      <w:divBdr>
        <w:top w:val="none" w:sz="0" w:space="0" w:color="auto"/>
        <w:left w:val="none" w:sz="0" w:space="0" w:color="auto"/>
        <w:bottom w:val="none" w:sz="0" w:space="0" w:color="auto"/>
        <w:right w:val="none" w:sz="0" w:space="0" w:color="auto"/>
      </w:divBdr>
    </w:div>
    <w:div w:id="558903707">
      <w:bodyDiv w:val="1"/>
      <w:marLeft w:val="0"/>
      <w:marRight w:val="0"/>
      <w:marTop w:val="0"/>
      <w:marBottom w:val="0"/>
      <w:divBdr>
        <w:top w:val="none" w:sz="0" w:space="0" w:color="auto"/>
        <w:left w:val="none" w:sz="0" w:space="0" w:color="auto"/>
        <w:bottom w:val="none" w:sz="0" w:space="0" w:color="auto"/>
        <w:right w:val="none" w:sz="0" w:space="0" w:color="auto"/>
      </w:divBdr>
    </w:div>
    <w:div w:id="579681996">
      <w:bodyDiv w:val="1"/>
      <w:marLeft w:val="0"/>
      <w:marRight w:val="0"/>
      <w:marTop w:val="0"/>
      <w:marBottom w:val="0"/>
      <w:divBdr>
        <w:top w:val="none" w:sz="0" w:space="0" w:color="auto"/>
        <w:left w:val="none" w:sz="0" w:space="0" w:color="auto"/>
        <w:bottom w:val="none" w:sz="0" w:space="0" w:color="auto"/>
        <w:right w:val="none" w:sz="0" w:space="0" w:color="auto"/>
      </w:divBdr>
    </w:div>
    <w:div w:id="584850578">
      <w:bodyDiv w:val="1"/>
      <w:marLeft w:val="0"/>
      <w:marRight w:val="0"/>
      <w:marTop w:val="0"/>
      <w:marBottom w:val="0"/>
      <w:divBdr>
        <w:top w:val="none" w:sz="0" w:space="0" w:color="auto"/>
        <w:left w:val="none" w:sz="0" w:space="0" w:color="auto"/>
        <w:bottom w:val="none" w:sz="0" w:space="0" w:color="auto"/>
        <w:right w:val="none" w:sz="0" w:space="0" w:color="auto"/>
      </w:divBdr>
    </w:div>
    <w:div w:id="597522202">
      <w:bodyDiv w:val="1"/>
      <w:marLeft w:val="0"/>
      <w:marRight w:val="0"/>
      <w:marTop w:val="0"/>
      <w:marBottom w:val="0"/>
      <w:divBdr>
        <w:top w:val="none" w:sz="0" w:space="0" w:color="auto"/>
        <w:left w:val="none" w:sz="0" w:space="0" w:color="auto"/>
        <w:bottom w:val="none" w:sz="0" w:space="0" w:color="auto"/>
        <w:right w:val="none" w:sz="0" w:space="0" w:color="auto"/>
      </w:divBdr>
    </w:div>
    <w:div w:id="619149271">
      <w:bodyDiv w:val="1"/>
      <w:marLeft w:val="0"/>
      <w:marRight w:val="0"/>
      <w:marTop w:val="0"/>
      <w:marBottom w:val="0"/>
      <w:divBdr>
        <w:top w:val="none" w:sz="0" w:space="0" w:color="auto"/>
        <w:left w:val="none" w:sz="0" w:space="0" w:color="auto"/>
        <w:bottom w:val="none" w:sz="0" w:space="0" w:color="auto"/>
        <w:right w:val="none" w:sz="0" w:space="0" w:color="auto"/>
      </w:divBdr>
    </w:div>
    <w:div w:id="642974584">
      <w:bodyDiv w:val="1"/>
      <w:marLeft w:val="0"/>
      <w:marRight w:val="0"/>
      <w:marTop w:val="0"/>
      <w:marBottom w:val="0"/>
      <w:divBdr>
        <w:top w:val="none" w:sz="0" w:space="0" w:color="auto"/>
        <w:left w:val="none" w:sz="0" w:space="0" w:color="auto"/>
        <w:bottom w:val="none" w:sz="0" w:space="0" w:color="auto"/>
        <w:right w:val="none" w:sz="0" w:space="0" w:color="auto"/>
      </w:divBdr>
    </w:div>
    <w:div w:id="648167677">
      <w:bodyDiv w:val="1"/>
      <w:marLeft w:val="0"/>
      <w:marRight w:val="0"/>
      <w:marTop w:val="0"/>
      <w:marBottom w:val="0"/>
      <w:divBdr>
        <w:top w:val="none" w:sz="0" w:space="0" w:color="auto"/>
        <w:left w:val="none" w:sz="0" w:space="0" w:color="auto"/>
        <w:bottom w:val="none" w:sz="0" w:space="0" w:color="auto"/>
        <w:right w:val="none" w:sz="0" w:space="0" w:color="auto"/>
      </w:divBdr>
    </w:div>
    <w:div w:id="650259533">
      <w:bodyDiv w:val="1"/>
      <w:marLeft w:val="0"/>
      <w:marRight w:val="0"/>
      <w:marTop w:val="0"/>
      <w:marBottom w:val="0"/>
      <w:divBdr>
        <w:top w:val="none" w:sz="0" w:space="0" w:color="auto"/>
        <w:left w:val="none" w:sz="0" w:space="0" w:color="auto"/>
        <w:bottom w:val="none" w:sz="0" w:space="0" w:color="auto"/>
        <w:right w:val="none" w:sz="0" w:space="0" w:color="auto"/>
      </w:divBdr>
    </w:div>
    <w:div w:id="656807885">
      <w:bodyDiv w:val="1"/>
      <w:marLeft w:val="0"/>
      <w:marRight w:val="0"/>
      <w:marTop w:val="0"/>
      <w:marBottom w:val="0"/>
      <w:divBdr>
        <w:top w:val="none" w:sz="0" w:space="0" w:color="auto"/>
        <w:left w:val="none" w:sz="0" w:space="0" w:color="auto"/>
        <w:bottom w:val="none" w:sz="0" w:space="0" w:color="auto"/>
        <w:right w:val="none" w:sz="0" w:space="0" w:color="auto"/>
      </w:divBdr>
    </w:div>
    <w:div w:id="688023440">
      <w:bodyDiv w:val="1"/>
      <w:marLeft w:val="0"/>
      <w:marRight w:val="0"/>
      <w:marTop w:val="0"/>
      <w:marBottom w:val="0"/>
      <w:divBdr>
        <w:top w:val="none" w:sz="0" w:space="0" w:color="auto"/>
        <w:left w:val="none" w:sz="0" w:space="0" w:color="auto"/>
        <w:bottom w:val="none" w:sz="0" w:space="0" w:color="auto"/>
        <w:right w:val="none" w:sz="0" w:space="0" w:color="auto"/>
      </w:divBdr>
    </w:div>
    <w:div w:id="721948822">
      <w:bodyDiv w:val="1"/>
      <w:marLeft w:val="0"/>
      <w:marRight w:val="0"/>
      <w:marTop w:val="0"/>
      <w:marBottom w:val="0"/>
      <w:divBdr>
        <w:top w:val="none" w:sz="0" w:space="0" w:color="auto"/>
        <w:left w:val="none" w:sz="0" w:space="0" w:color="auto"/>
        <w:bottom w:val="none" w:sz="0" w:space="0" w:color="auto"/>
        <w:right w:val="none" w:sz="0" w:space="0" w:color="auto"/>
      </w:divBdr>
    </w:div>
    <w:div w:id="724452871">
      <w:bodyDiv w:val="1"/>
      <w:marLeft w:val="0"/>
      <w:marRight w:val="0"/>
      <w:marTop w:val="0"/>
      <w:marBottom w:val="0"/>
      <w:divBdr>
        <w:top w:val="none" w:sz="0" w:space="0" w:color="auto"/>
        <w:left w:val="none" w:sz="0" w:space="0" w:color="auto"/>
        <w:bottom w:val="none" w:sz="0" w:space="0" w:color="auto"/>
        <w:right w:val="none" w:sz="0" w:space="0" w:color="auto"/>
      </w:divBdr>
    </w:div>
    <w:div w:id="765539166">
      <w:bodyDiv w:val="1"/>
      <w:marLeft w:val="0"/>
      <w:marRight w:val="0"/>
      <w:marTop w:val="0"/>
      <w:marBottom w:val="0"/>
      <w:divBdr>
        <w:top w:val="none" w:sz="0" w:space="0" w:color="auto"/>
        <w:left w:val="none" w:sz="0" w:space="0" w:color="auto"/>
        <w:bottom w:val="none" w:sz="0" w:space="0" w:color="auto"/>
        <w:right w:val="none" w:sz="0" w:space="0" w:color="auto"/>
      </w:divBdr>
    </w:div>
    <w:div w:id="776100384">
      <w:bodyDiv w:val="1"/>
      <w:marLeft w:val="0"/>
      <w:marRight w:val="0"/>
      <w:marTop w:val="0"/>
      <w:marBottom w:val="0"/>
      <w:divBdr>
        <w:top w:val="none" w:sz="0" w:space="0" w:color="auto"/>
        <w:left w:val="none" w:sz="0" w:space="0" w:color="auto"/>
        <w:bottom w:val="none" w:sz="0" w:space="0" w:color="auto"/>
        <w:right w:val="none" w:sz="0" w:space="0" w:color="auto"/>
      </w:divBdr>
    </w:div>
    <w:div w:id="776752694">
      <w:bodyDiv w:val="1"/>
      <w:marLeft w:val="0"/>
      <w:marRight w:val="0"/>
      <w:marTop w:val="0"/>
      <w:marBottom w:val="0"/>
      <w:divBdr>
        <w:top w:val="none" w:sz="0" w:space="0" w:color="auto"/>
        <w:left w:val="none" w:sz="0" w:space="0" w:color="auto"/>
        <w:bottom w:val="none" w:sz="0" w:space="0" w:color="auto"/>
        <w:right w:val="none" w:sz="0" w:space="0" w:color="auto"/>
      </w:divBdr>
    </w:div>
    <w:div w:id="781925772">
      <w:bodyDiv w:val="1"/>
      <w:marLeft w:val="0"/>
      <w:marRight w:val="0"/>
      <w:marTop w:val="0"/>
      <w:marBottom w:val="0"/>
      <w:divBdr>
        <w:top w:val="none" w:sz="0" w:space="0" w:color="auto"/>
        <w:left w:val="none" w:sz="0" w:space="0" w:color="auto"/>
        <w:bottom w:val="none" w:sz="0" w:space="0" w:color="auto"/>
        <w:right w:val="none" w:sz="0" w:space="0" w:color="auto"/>
      </w:divBdr>
    </w:div>
    <w:div w:id="795369520">
      <w:bodyDiv w:val="1"/>
      <w:marLeft w:val="0"/>
      <w:marRight w:val="0"/>
      <w:marTop w:val="0"/>
      <w:marBottom w:val="0"/>
      <w:divBdr>
        <w:top w:val="none" w:sz="0" w:space="0" w:color="auto"/>
        <w:left w:val="none" w:sz="0" w:space="0" w:color="auto"/>
        <w:bottom w:val="none" w:sz="0" w:space="0" w:color="auto"/>
        <w:right w:val="none" w:sz="0" w:space="0" w:color="auto"/>
      </w:divBdr>
    </w:div>
    <w:div w:id="825702206">
      <w:bodyDiv w:val="1"/>
      <w:marLeft w:val="0"/>
      <w:marRight w:val="0"/>
      <w:marTop w:val="0"/>
      <w:marBottom w:val="0"/>
      <w:divBdr>
        <w:top w:val="none" w:sz="0" w:space="0" w:color="auto"/>
        <w:left w:val="none" w:sz="0" w:space="0" w:color="auto"/>
        <w:bottom w:val="none" w:sz="0" w:space="0" w:color="auto"/>
        <w:right w:val="none" w:sz="0" w:space="0" w:color="auto"/>
      </w:divBdr>
    </w:div>
    <w:div w:id="839928786">
      <w:bodyDiv w:val="1"/>
      <w:marLeft w:val="0"/>
      <w:marRight w:val="0"/>
      <w:marTop w:val="0"/>
      <w:marBottom w:val="0"/>
      <w:divBdr>
        <w:top w:val="none" w:sz="0" w:space="0" w:color="auto"/>
        <w:left w:val="none" w:sz="0" w:space="0" w:color="auto"/>
        <w:bottom w:val="none" w:sz="0" w:space="0" w:color="auto"/>
        <w:right w:val="none" w:sz="0" w:space="0" w:color="auto"/>
      </w:divBdr>
    </w:div>
    <w:div w:id="842671026">
      <w:bodyDiv w:val="1"/>
      <w:marLeft w:val="0"/>
      <w:marRight w:val="0"/>
      <w:marTop w:val="0"/>
      <w:marBottom w:val="0"/>
      <w:divBdr>
        <w:top w:val="none" w:sz="0" w:space="0" w:color="auto"/>
        <w:left w:val="none" w:sz="0" w:space="0" w:color="auto"/>
        <w:bottom w:val="none" w:sz="0" w:space="0" w:color="auto"/>
        <w:right w:val="none" w:sz="0" w:space="0" w:color="auto"/>
      </w:divBdr>
    </w:div>
    <w:div w:id="853496991">
      <w:bodyDiv w:val="1"/>
      <w:marLeft w:val="0"/>
      <w:marRight w:val="0"/>
      <w:marTop w:val="0"/>
      <w:marBottom w:val="0"/>
      <w:divBdr>
        <w:top w:val="none" w:sz="0" w:space="0" w:color="auto"/>
        <w:left w:val="none" w:sz="0" w:space="0" w:color="auto"/>
        <w:bottom w:val="none" w:sz="0" w:space="0" w:color="auto"/>
        <w:right w:val="none" w:sz="0" w:space="0" w:color="auto"/>
      </w:divBdr>
    </w:div>
    <w:div w:id="857356517">
      <w:bodyDiv w:val="1"/>
      <w:marLeft w:val="0"/>
      <w:marRight w:val="0"/>
      <w:marTop w:val="0"/>
      <w:marBottom w:val="0"/>
      <w:divBdr>
        <w:top w:val="none" w:sz="0" w:space="0" w:color="auto"/>
        <w:left w:val="none" w:sz="0" w:space="0" w:color="auto"/>
        <w:bottom w:val="none" w:sz="0" w:space="0" w:color="auto"/>
        <w:right w:val="none" w:sz="0" w:space="0" w:color="auto"/>
      </w:divBdr>
    </w:div>
    <w:div w:id="862717011">
      <w:bodyDiv w:val="1"/>
      <w:marLeft w:val="0"/>
      <w:marRight w:val="0"/>
      <w:marTop w:val="0"/>
      <w:marBottom w:val="0"/>
      <w:divBdr>
        <w:top w:val="none" w:sz="0" w:space="0" w:color="auto"/>
        <w:left w:val="none" w:sz="0" w:space="0" w:color="auto"/>
        <w:bottom w:val="none" w:sz="0" w:space="0" w:color="auto"/>
        <w:right w:val="none" w:sz="0" w:space="0" w:color="auto"/>
      </w:divBdr>
    </w:div>
    <w:div w:id="878515523">
      <w:bodyDiv w:val="1"/>
      <w:marLeft w:val="0"/>
      <w:marRight w:val="0"/>
      <w:marTop w:val="0"/>
      <w:marBottom w:val="0"/>
      <w:divBdr>
        <w:top w:val="none" w:sz="0" w:space="0" w:color="auto"/>
        <w:left w:val="none" w:sz="0" w:space="0" w:color="auto"/>
        <w:bottom w:val="none" w:sz="0" w:space="0" w:color="auto"/>
        <w:right w:val="none" w:sz="0" w:space="0" w:color="auto"/>
      </w:divBdr>
    </w:div>
    <w:div w:id="889614640">
      <w:bodyDiv w:val="1"/>
      <w:marLeft w:val="0"/>
      <w:marRight w:val="0"/>
      <w:marTop w:val="0"/>
      <w:marBottom w:val="0"/>
      <w:divBdr>
        <w:top w:val="none" w:sz="0" w:space="0" w:color="auto"/>
        <w:left w:val="none" w:sz="0" w:space="0" w:color="auto"/>
        <w:bottom w:val="none" w:sz="0" w:space="0" w:color="auto"/>
        <w:right w:val="none" w:sz="0" w:space="0" w:color="auto"/>
      </w:divBdr>
    </w:div>
    <w:div w:id="895243014">
      <w:bodyDiv w:val="1"/>
      <w:marLeft w:val="0"/>
      <w:marRight w:val="0"/>
      <w:marTop w:val="0"/>
      <w:marBottom w:val="0"/>
      <w:divBdr>
        <w:top w:val="none" w:sz="0" w:space="0" w:color="auto"/>
        <w:left w:val="none" w:sz="0" w:space="0" w:color="auto"/>
        <w:bottom w:val="none" w:sz="0" w:space="0" w:color="auto"/>
        <w:right w:val="none" w:sz="0" w:space="0" w:color="auto"/>
      </w:divBdr>
    </w:div>
    <w:div w:id="906109689">
      <w:bodyDiv w:val="1"/>
      <w:marLeft w:val="0"/>
      <w:marRight w:val="0"/>
      <w:marTop w:val="0"/>
      <w:marBottom w:val="0"/>
      <w:divBdr>
        <w:top w:val="none" w:sz="0" w:space="0" w:color="auto"/>
        <w:left w:val="none" w:sz="0" w:space="0" w:color="auto"/>
        <w:bottom w:val="none" w:sz="0" w:space="0" w:color="auto"/>
        <w:right w:val="none" w:sz="0" w:space="0" w:color="auto"/>
      </w:divBdr>
    </w:div>
    <w:div w:id="909535247">
      <w:bodyDiv w:val="1"/>
      <w:marLeft w:val="0"/>
      <w:marRight w:val="0"/>
      <w:marTop w:val="0"/>
      <w:marBottom w:val="0"/>
      <w:divBdr>
        <w:top w:val="none" w:sz="0" w:space="0" w:color="auto"/>
        <w:left w:val="none" w:sz="0" w:space="0" w:color="auto"/>
        <w:bottom w:val="none" w:sz="0" w:space="0" w:color="auto"/>
        <w:right w:val="none" w:sz="0" w:space="0" w:color="auto"/>
      </w:divBdr>
    </w:div>
    <w:div w:id="922223775">
      <w:bodyDiv w:val="1"/>
      <w:marLeft w:val="0"/>
      <w:marRight w:val="0"/>
      <w:marTop w:val="0"/>
      <w:marBottom w:val="0"/>
      <w:divBdr>
        <w:top w:val="none" w:sz="0" w:space="0" w:color="auto"/>
        <w:left w:val="none" w:sz="0" w:space="0" w:color="auto"/>
        <w:bottom w:val="none" w:sz="0" w:space="0" w:color="auto"/>
        <w:right w:val="none" w:sz="0" w:space="0" w:color="auto"/>
      </w:divBdr>
    </w:div>
    <w:div w:id="946346556">
      <w:bodyDiv w:val="1"/>
      <w:marLeft w:val="0"/>
      <w:marRight w:val="0"/>
      <w:marTop w:val="0"/>
      <w:marBottom w:val="0"/>
      <w:divBdr>
        <w:top w:val="none" w:sz="0" w:space="0" w:color="auto"/>
        <w:left w:val="none" w:sz="0" w:space="0" w:color="auto"/>
        <w:bottom w:val="none" w:sz="0" w:space="0" w:color="auto"/>
        <w:right w:val="none" w:sz="0" w:space="0" w:color="auto"/>
      </w:divBdr>
    </w:div>
    <w:div w:id="972519748">
      <w:bodyDiv w:val="1"/>
      <w:marLeft w:val="0"/>
      <w:marRight w:val="0"/>
      <w:marTop w:val="0"/>
      <w:marBottom w:val="0"/>
      <w:divBdr>
        <w:top w:val="none" w:sz="0" w:space="0" w:color="auto"/>
        <w:left w:val="none" w:sz="0" w:space="0" w:color="auto"/>
        <w:bottom w:val="none" w:sz="0" w:space="0" w:color="auto"/>
        <w:right w:val="none" w:sz="0" w:space="0" w:color="auto"/>
      </w:divBdr>
    </w:div>
    <w:div w:id="981538053">
      <w:bodyDiv w:val="1"/>
      <w:marLeft w:val="0"/>
      <w:marRight w:val="0"/>
      <w:marTop w:val="0"/>
      <w:marBottom w:val="0"/>
      <w:divBdr>
        <w:top w:val="none" w:sz="0" w:space="0" w:color="auto"/>
        <w:left w:val="none" w:sz="0" w:space="0" w:color="auto"/>
        <w:bottom w:val="none" w:sz="0" w:space="0" w:color="auto"/>
        <w:right w:val="none" w:sz="0" w:space="0" w:color="auto"/>
      </w:divBdr>
    </w:div>
    <w:div w:id="985428655">
      <w:bodyDiv w:val="1"/>
      <w:marLeft w:val="0"/>
      <w:marRight w:val="0"/>
      <w:marTop w:val="0"/>
      <w:marBottom w:val="0"/>
      <w:divBdr>
        <w:top w:val="none" w:sz="0" w:space="0" w:color="auto"/>
        <w:left w:val="none" w:sz="0" w:space="0" w:color="auto"/>
        <w:bottom w:val="none" w:sz="0" w:space="0" w:color="auto"/>
        <w:right w:val="none" w:sz="0" w:space="0" w:color="auto"/>
      </w:divBdr>
    </w:div>
    <w:div w:id="995451755">
      <w:bodyDiv w:val="1"/>
      <w:marLeft w:val="0"/>
      <w:marRight w:val="0"/>
      <w:marTop w:val="0"/>
      <w:marBottom w:val="0"/>
      <w:divBdr>
        <w:top w:val="none" w:sz="0" w:space="0" w:color="auto"/>
        <w:left w:val="none" w:sz="0" w:space="0" w:color="auto"/>
        <w:bottom w:val="none" w:sz="0" w:space="0" w:color="auto"/>
        <w:right w:val="none" w:sz="0" w:space="0" w:color="auto"/>
      </w:divBdr>
    </w:div>
    <w:div w:id="996496548">
      <w:bodyDiv w:val="1"/>
      <w:marLeft w:val="0"/>
      <w:marRight w:val="0"/>
      <w:marTop w:val="0"/>
      <w:marBottom w:val="0"/>
      <w:divBdr>
        <w:top w:val="none" w:sz="0" w:space="0" w:color="auto"/>
        <w:left w:val="none" w:sz="0" w:space="0" w:color="auto"/>
        <w:bottom w:val="none" w:sz="0" w:space="0" w:color="auto"/>
        <w:right w:val="none" w:sz="0" w:space="0" w:color="auto"/>
      </w:divBdr>
    </w:div>
    <w:div w:id="1010178142">
      <w:bodyDiv w:val="1"/>
      <w:marLeft w:val="0"/>
      <w:marRight w:val="0"/>
      <w:marTop w:val="0"/>
      <w:marBottom w:val="0"/>
      <w:divBdr>
        <w:top w:val="none" w:sz="0" w:space="0" w:color="auto"/>
        <w:left w:val="none" w:sz="0" w:space="0" w:color="auto"/>
        <w:bottom w:val="none" w:sz="0" w:space="0" w:color="auto"/>
        <w:right w:val="none" w:sz="0" w:space="0" w:color="auto"/>
      </w:divBdr>
    </w:div>
    <w:div w:id="1016732080">
      <w:bodyDiv w:val="1"/>
      <w:marLeft w:val="0"/>
      <w:marRight w:val="0"/>
      <w:marTop w:val="0"/>
      <w:marBottom w:val="0"/>
      <w:divBdr>
        <w:top w:val="none" w:sz="0" w:space="0" w:color="auto"/>
        <w:left w:val="none" w:sz="0" w:space="0" w:color="auto"/>
        <w:bottom w:val="none" w:sz="0" w:space="0" w:color="auto"/>
        <w:right w:val="none" w:sz="0" w:space="0" w:color="auto"/>
      </w:divBdr>
    </w:div>
    <w:div w:id="1019621312">
      <w:bodyDiv w:val="1"/>
      <w:marLeft w:val="0"/>
      <w:marRight w:val="0"/>
      <w:marTop w:val="0"/>
      <w:marBottom w:val="0"/>
      <w:divBdr>
        <w:top w:val="none" w:sz="0" w:space="0" w:color="auto"/>
        <w:left w:val="none" w:sz="0" w:space="0" w:color="auto"/>
        <w:bottom w:val="none" w:sz="0" w:space="0" w:color="auto"/>
        <w:right w:val="none" w:sz="0" w:space="0" w:color="auto"/>
      </w:divBdr>
    </w:div>
    <w:div w:id="1022704119">
      <w:bodyDiv w:val="1"/>
      <w:marLeft w:val="0"/>
      <w:marRight w:val="0"/>
      <w:marTop w:val="0"/>
      <w:marBottom w:val="0"/>
      <w:divBdr>
        <w:top w:val="none" w:sz="0" w:space="0" w:color="auto"/>
        <w:left w:val="none" w:sz="0" w:space="0" w:color="auto"/>
        <w:bottom w:val="none" w:sz="0" w:space="0" w:color="auto"/>
        <w:right w:val="none" w:sz="0" w:space="0" w:color="auto"/>
      </w:divBdr>
    </w:div>
    <w:div w:id="1043754895">
      <w:bodyDiv w:val="1"/>
      <w:marLeft w:val="0"/>
      <w:marRight w:val="0"/>
      <w:marTop w:val="0"/>
      <w:marBottom w:val="0"/>
      <w:divBdr>
        <w:top w:val="none" w:sz="0" w:space="0" w:color="auto"/>
        <w:left w:val="none" w:sz="0" w:space="0" w:color="auto"/>
        <w:bottom w:val="none" w:sz="0" w:space="0" w:color="auto"/>
        <w:right w:val="none" w:sz="0" w:space="0" w:color="auto"/>
      </w:divBdr>
    </w:div>
    <w:div w:id="1055162177">
      <w:bodyDiv w:val="1"/>
      <w:marLeft w:val="0"/>
      <w:marRight w:val="0"/>
      <w:marTop w:val="0"/>
      <w:marBottom w:val="0"/>
      <w:divBdr>
        <w:top w:val="none" w:sz="0" w:space="0" w:color="auto"/>
        <w:left w:val="none" w:sz="0" w:space="0" w:color="auto"/>
        <w:bottom w:val="none" w:sz="0" w:space="0" w:color="auto"/>
        <w:right w:val="none" w:sz="0" w:space="0" w:color="auto"/>
      </w:divBdr>
    </w:div>
    <w:div w:id="1057706978">
      <w:bodyDiv w:val="1"/>
      <w:marLeft w:val="0"/>
      <w:marRight w:val="0"/>
      <w:marTop w:val="0"/>
      <w:marBottom w:val="0"/>
      <w:divBdr>
        <w:top w:val="none" w:sz="0" w:space="0" w:color="auto"/>
        <w:left w:val="none" w:sz="0" w:space="0" w:color="auto"/>
        <w:bottom w:val="none" w:sz="0" w:space="0" w:color="auto"/>
        <w:right w:val="none" w:sz="0" w:space="0" w:color="auto"/>
      </w:divBdr>
    </w:div>
    <w:div w:id="1061489230">
      <w:bodyDiv w:val="1"/>
      <w:marLeft w:val="0"/>
      <w:marRight w:val="0"/>
      <w:marTop w:val="0"/>
      <w:marBottom w:val="0"/>
      <w:divBdr>
        <w:top w:val="none" w:sz="0" w:space="0" w:color="auto"/>
        <w:left w:val="none" w:sz="0" w:space="0" w:color="auto"/>
        <w:bottom w:val="none" w:sz="0" w:space="0" w:color="auto"/>
        <w:right w:val="none" w:sz="0" w:space="0" w:color="auto"/>
      </w:divBdr>
    </w:div>
    <w:div w:id="1073551097">
      <w:bodyDiv w:val="1"/>
      <w:marLeft w:val="0"/>
      <w:marRight w:val="0"/>
      <w:marTop w:val="0"/>
      <w:marBottom w:val="0"/>
      <w:divBdr>
        <w:top w:val="none" w:sz="0" w:space="0" w:color="auto"/>
        <w:left w:val="none" w:sz="0" w:space="0" w:color="auto"/>
        <w:bottom w:val="none" w:sz="0" w:space="0" w:color="auto"/>
        <w:right w:val="none" w:sz="0" w:space="0" w:color="auto"/>
      </w:divBdr>
    </w:div>
    <w:div w:id="1113479674">
      <w:bodyDiv w:val="1"/>
      <w:marLeft w:val="0"/>
      <w:marRight w:val="0"/>
      <w:marTop w:val="0"/>
      <w:marBottom w:val="0"/>
      <w:divBdr>
        <w:top w:val="none" w:sz="0" w:space="0" w:color="auto"/>
        <w:left w:val="none" w:sz="0" w:space="0" w:color="auto"/>
        <w:bottom w:val="none" w:sz="0" w:space="0" w:color="auto"/>
        <w:right w:val="none" w:sz="0" w:space="0" w:color="auto"/>
      </w:divBdr>
    </w:div>
    <w:div w:id="1114859681">
      <w:bodyDiv w:val="1"/>
      <w:marLeft w:val="0"/>
      <w:marRight w:val="0"/>
      <w:marTop w:val="0"/>
      <w:marBottom w:val="0"/>
      <w:divBdr>
        <w:top w:val="none" w:sz="0" w:space="0" w:color="auto"/>
        <w:left w:val="none" w:sz="0" w:space="0" w:color="auto"/>
        <w:bottom w:val="none" w:sz="0" w:space="0" w:color="auto"/>
        <w:right w:val="none" w:sz="0" w:space="0" w:color="auto"/>
      </w:divBdr>
    </w:div>
    <w:div w:id="1115371433">
      <w:bodyDiv w:val="1"/>
      <w:marLeft w:val="0"/>
      <w:marRight w:val="0"/>
      <w:marTop w:val="0"/>
      <w:marBottom w:val="0"/>
      <w:divBdr>
        <w:top w:val="none" w:sz="0" w:space="0" w:color="auto"/>
        <w:left w:val="none" w:sz="0" w:space="0" w:color="auto"/>
        <w:bottom w:val="none" w:sz="0" w:space="0" w:color="auto"/>
        <w:right w:val="none" w:sz="0" w:space="0" w:color="auto"/>
      </w:divBdr>
    </w:div>
    <w:div w:id="1116364437">
      <w:bodyDiv w:val="1"/>
      <w:marLeft w:val="0"/>
      <w:marRight w:val="0"/>
      <w:marTop w:val="0"/>
      <w:marBottom w:val="0"/>
      <w:divBdr>
        <w:top w:val="none" w:sz="0" w:space="0" w:color="auto"/>
        <w:left w:val="none" w:sz="0" w:space="0" w:color="auto"/>
        <w:bottom w:val="none" w:sz="0" w:space="0" w:color="auto"/>
        <w:right w:val="none" w:sz="0" w:space="0" w:color="auto"/>
      </w:divBdr>
    </w:div>
    <w:div w:id="1123689794">
      <w:bodyDiv w:val="1"/>
      <w:marLeft w:val="0"/>
      <w:marRight w:val="0"/>
      <w:marTop w:val="0"/>
      <w:marBottom w:val="0"/>
      <w:divBdr>
        <w:top w:val="none" w:sz="0" w:space="0" w:color="auto"/>
        <w:left w:val="none" w:sz="0" w:space="0" w:color="auto"/>
        <w:bottom w:val="none" w:sz="0" w:space="0" w:color="auto"/>
        <w:right w:val="none" w:sz="0" w:space="0" w:color="auto"/>
      </w:divBdr>
    </w:div>
    <w:div w:id="1155878494">
      <w:bodyDiv w:val="1"/>
      <w:marLeft w:val="0"/>
      <w:marRight w:val="0"/>
      <w:marTop w:val="0"/>
      <w:marBottom w:val="0"/>
      <w:divBdr>
        <w:top w:val="none" w:sz="0" w:space="0" w:color="auto"/>
        <w:left w:val="none" w:sz="0" w:space="0" w:color="auto"/>
        <w:bottom w:val="none" w:sz="0" w:space="0" w:color="auto"/>
        <w:right w:val="none" w:sz="0" w:space="0" w:color="auto"/>
      </w:divBdr>
    </w:div>
    <w:div w:id="1160539726">
      <w:bodyDiv w:val="1"/>
      <w:marLeft w:val="0"/>
      <w:marRight w:val="0"/>
      <w:marTop w:val="0"/>
      <w:marBottom w:val="0"/>
      <w:divBdr>
        <w:top w:val="none" w:sz="0" w:space="0" w:color="auto"/>
        <w:left w:val="none" w:sz="0" w:space="0" w:color="auto"/>
        <w:bottom w:val="none" w:sz="0" w:space="0" w:color="auto"/>
        <w:right w:val="none" w:sz="0" w:space="0" w:color="auto"/>
      </w:divBdr>
    </w:div>
    <w:div w:id="1190921980">
      <w:bodyDiv w:val="1"/>
      <w:marLeft w:val="0"/>
      <w:marRight w:val="0"/>
      <w:marTop w:val="0"/>
      <w:marBottom w:val="0"/>
      <w:divBdr>
        <w:top w:val="none" w:sz="0" w:space="0" w:color="auto"/>
        <w:left w:val="none" w:sz="0" w:space="0" w:color="auto"/>
        <w:bottom w:val="none" w:sz="0" w:space="0" w:color="auto"/>
        <w:right w:val="none" w:sz="0" w:space="0" w:color="auto"/>
      </w:divBdr>
    </w:div>
    <w:div w:id="1200626301">
      <w:bodyDiv w:val="1"/>
      <w:marLeft w:val="0"/>
      <w:marRight w:val="0"/>
      <w:marTop w:val="0"/>
      <w:marBottom w:val="0"/>
      <w:divBdr>
        <w:top w:val="none" w:sz="0" w:space="0" w:color="auto"/>
        <w:left w:val="none" w:sz="0" w:space="0" w:color="auto"/>
        <w:bottom w:val="none" w:sz="0" w:space="0" w:color="auto"/>
        <w:right w:val="none" w:sz="0" w:space="0" w:color="auto"/>
      </w:divBdr>
    </w:div>
    <w:div w:id="1220242379">
      <w:bodyDiv w:val="1"/>
      <w:marLeft w:val="0"/>
      <w:marRight w:val="0"/>
      <w:marTop w:val="0"/>
      <w:marBottom w:val="0"/>
      <w:divBdr>
        <w:top w:val="none" w:sz="0" w:space="0" w:color="auto"/>
        <w:left w:val="none" w:sz="0" w:space="0" w:color="auto"/>
        <w:bottom w:val="none" w:sz="0" w:space="0" w:color="auto"/>
        <w:right w:val="none" w:sz="0" w:space="0" w:color="auto"/>
      </w:divBdr>
    </w:div>
    <w:div w:id="1225339244">
      <w:bodyDiv w:val="1"/>
      <w:marLeft w:val="0"/>
      <w:marRight w:val="0"/>
      <w:marTop w:val="0"/>
      <w:marBottom w:val="0"/>
      <w:divBdr>
        <w:top w:val="none" w:sz="0" w:space="0" w:color="auto"/>
        <w:left w:val="none" w:sz="0" w:space="0" w:color="auto"/>
        <w:bottom w:val="none" w:sz="0" w:space="0" w:color="auto"/>
        <w:right w:val="none" w:sz="0" w:space="0" w:color="auto"/>
      </w:divBdr>
    </w:div>
    <w:div w:id="1235779549">
      <w:bodyDiv w:val="1"/>
      <w:marLeft w:val="0"/>
      <w:marRight w:val="0"/>
      <w:marTop w:val="0"/>
      <w:marBottom w:val="0"/>
      <w:divBdr>
        <w:top w:val="none" w:sz="0" w:space="0" w:color="auto"/>
        <w:left w:val="none" w:sz="0" w:space="0" w:color="auto"/>
        <w:bottom w:val="none" w:sz="0" w:space="0" w:color="auto"/>
        <w:right w:val="none" w:sz="0" w:space="0" w:color="auto"/>
      </w:divBdr>
    </w:div>
    <w:div w:id="1239942706">
      <w:bodyDiv w:val="1"/>
      <w:marLeft w:val="0"/>
      <w:marRight w:val="0"/>
      <w:marTop w:val="0"/>
      <w:marBottom w:val="0"/>
      <w:divBdr>
        <w:top w:val="none" w:sz="0" w:space="0" w:color="auto"/>
        <w:left w:val="none" w:sz="0" w:space="0" w:color="auto"/>
        <w:bottom w:val="none" w:sz="0" w:space="0" w:color="auto"/>
        <w:right w:val="none" w:sz="0" w:space="0" w:color="auto"/>
      </w:divBdr>
    </w:div>
    <w:div w:id="1244484027">
      <w:bodyDiv w:val="1"/>
      <w:marLeft w:val="0"/>
      <w:marRight w:val="0"/>
      <w:marTop w:val="0"/>
      <w:marBottom w:val="0"/>
      <w:divBdr>
        <w:top w:val="none" w:sz="0" w:space="0" w:color="auto"/>
        <w:left w:val="none" w:sz="0" w:space="0" w:color="auto"/>
        <w:bottom w:val="none" w:sz="0" w:space="0" w:color="auto"/>
        <w:right w:val="none" w:sz="0" w:space="0" w:color="auto"/>
      </w:divBdr>
    </w:div>
    <w:div w:id="1246770254">
      <w:bodyDiv w:val="1"/>
      <w:marLeft w:val="0"/>
      <w:marRight w:val="0"/>
      <w:marTop w:val="0"/>
      <w:marBottom w:val="0"/>
      <w:divBdr>
        <w:top w:val="none" w:sz="0" w:space="0" w:color="auto"/>
        <w:left w:val="none" w:sz="0" w:space="0" w:color="auto"/>
        <w:bottom w:val="none" w:sz="0" w:space="0" w:color="auto"/>
        <w:right w:val="none" w:sz="0" w:space="0" w:color="auto"/>
      </w:divBdr>
    </w:div>
    <w:div w:id="1296369288">
      <w:bodyDiv w:val="1"/>
      <w:marLeft w:val="0"/>
      <w:marRight w:val="0"/>
      <w:marTop w:val="0"/>
      <w:marBottom w:val="0"/>
      <w:divBdr>
        <w:top w:val="none" w:sz="0" w:space="0" w:color="auto"/>
        <w:left w:val="none" w:sz="0" w:space="0" w:color="auto"/>
        <w:bottom w:val="none" w:sz="0" w:space="0" w:color="auto"/>
        <w:right w:val="none" w:sz="0" w:space="0" w:color="auto"/>
      </w:divBdr>
    </w:div>
    <w:div w:id="1301761854">
      <w:bodyDiv w:val="1"/>
      <w:marLeft w:val="0"/>
      <w:marRight w:val="0"/>
      <w:marTop w:val="0"/>
      <w:marBottom w:val="0"/>
      <w:divBdr>
        <w:top w:val="none" w:sz="0" w:space="0" w:color="auto"/>
        <w:left w:val="none" w:sz="0" w:space="0" w:color="auto"/>
        <w:bottom w:val="none" w:sz="0" w:space="0" w:color="auto"/>
        <w:right w:val="none" w:sz="0" w:space="0" w:color="auto"/>
      </w:divBdr>
    </w:div>
    <w:div w:id="1323002155">
      <w:bodyDiv w:val="1"/>
      <w:marLeft w:val="0"/>
      <w:marRight w:val="0"/>
      <w:marTop w:val="0"/>
      <w:marBottom w:val="0"/>
      <w:divBdr>
        <w:top w:val="none" w:sz="0" w:space="0" w:color="auto"/>
        <w:left w:val="none" w:sz="0" w:space="0" w:color="auto"/>
        <w:bottom w:val="none" w:sz="0" w:space="0" w:color="auto"/>
        <w:right w:val="none" w:sz="0" w:space="0" w:color="auto"/>
      </w:divBdr>
    </w:div>
    <w:div w:id="1325623817">
      <w:bodyDiv w:val="1"/>
      <w:marLeft w:val="0"/>
      <w:marRight w:val="0"/>
      <w:marTop w:val="0"/>
      <w:marBottom w:val="0"/>
      <w:divBdr>
        <w:top w:val="none" w:sz="0" w:space="0" w:color="auto"/>
        <w:left w:val="none" w:sz="0" w:space="0" w:color="auto"/>
        <w:bottom w:val="none" w:sz="0" w:space="0" w:color="auto"/>
        <w:right w:val="none" w:sz="0" w:space="0" w:color="auto"/>
      </w:divBdr>
    </w:div>
    <w:div w:id="1331982141">
      <w:bodyDiv w:val="1"/>
      <w:marLeft w:val="0"/>
      <w:marRight w:val="0"/>
      <w:marTop w:val="0"/>
      <w:marBottom w:val="0"/>
      <w:divBdr>
        <w:top w:val="none" w:sz="0" w:space="0" w:color="auto"/>
        <w:left w:val="none" w:sz="0" w:space="0" w:color="auto"/>
        <w:bottom w:val="none" w:sz="0" w:space="0" w:color="auto"/>
        <w:right w:val="none" w:sz="0" w:space="0" w:color="auto"/>
      </w:divBdr>
    </w:div>
    <w:div w:id="1336375853">
      <w:bodyDiv w:val="1"/>
      <w:marLeft w:val="0"/>
      <w:marRight w:val="0"/>
      <w:marTop w:val="0"/>
      <w:marBottom w:val="0"/>
      <w:divBdr>
        <w:top w:val="none" w:sz="0" w:space="0" w:color="auto"/>
        <w:left w:val="none" w:sz="0" w:space="0" w:color="auto"/>
        <w:bottom w:val="none" w:sz="0" w:space="0" w:color="auto"/>
        <w:right w:val="none" w:sz="0" w:space="0" w:color="auto"/>
      </w:divBdr>
    </w:div>
    <w:div w:id="1338073477">
      <w:bodyDiv w:val="1"/>
      <w:marLeft w:val="0"/>
      <w:marRight w:val="0"/>
      <w:marTop w:val="0"/>
      <w:marBottom w:val="0"/>
      <w:divBdr>
        <w:top w:val="none" w:sz="0" w:space="0" w:color="auto"/>
        <w:left w:val="none" w:sz="0" w:space="0" w:color="auto"/>
        <w:bottom w:val="none" w:sz="0" w:space="0" w:color="auto"/>
        <w:right w:val="none" w:sz="0" w:space="0" w:color="auto"/>
      </w:divBdr>
    </w:div>
    <w:div w:id="1355378982">
      <w:bodyDiv w:val="1"/>
      <w:marLeft w:val="0"/>
      <w:marRight w:val="0"/>
      <w:marTop w:val="0"/>
      <w:marBottom w:val="0"/>
      <w:divBdr>
        <w:top w:val="none" w:sz="0" w:space="0" w:color="auto"/>
        <w:left w:val="none" w:sz="0" w:space="0" w:color="auto"/>
        <w:bottom w:val="none" w:sz="0" w:space="0" w:color="auto"/>
        <w:right w:val="none" w:sz="0" w:space="0" w:color="auto"/>
      </w:divBdr>
    </w:div>
    <w:div w:id="1360006150">
      <w:bodyDiv w:val="1"/>
      <w:marLeft w:val="0"/>
      <w:marRight w:val="0"/>
      <w:marTop w:val="0"/>
      <w:marBottom w:val="0"/>
      <w:divBdr>
        <w:top w:val="none" w:sz="0" w:space="0" w:color="auto"/>
        <w:left w:val="none" w:sz="0" w:space="0" w:color="auto"/>
        <w:bottom w:val="none" w:sz="0" w:space="0" w:color="auto"/>
        <w:right w:val="none" w:sz="0" w:space="0" w:color="auto"/>
      </w:divBdr>
    </w:div>
    <w:div w:id="1376735339">
      <w:bodyDiv w:val="1"/>
      <w:marLeft w:val="0"/>
      <w:marRight w:val="0"/>
      <w:marTop w:val="0"/>
      <w:marBottom w:val="0"/>
      <w:divBdr>
        <w:top w:val="none" w:sz="0" w:space="0" w:color="auto"/>
        <w:left w:val="none" w:sz="0" w:space="0" w:color="auto"/>
        <w:bottom w:val="none" w:sz="0" w:space="0" w:color="auto"/>
        <w:right w:val="none" w:sz="0" w:space="0" w:color="auto"/>
      </w:divBdr>
    </w:div>
    <w:div w:id="1387408071">
      <w:bodyDiv w:val="1"/>
      <w:marLeft w:val="0"/>
      <w:marRight w:val="0"/>
      <w:marTop w:val="0"/>
      <w:marBottom w:val="0"/>
      <w:divBdr>
        <w:top w:val="none" w:sz="0" w:space="0" w:color="auto"/>
        <w:left w:val="none" w:sz="0" w:space="0" w:color="auto"/>
        <w:bottom w:val="none" w:sz="0" w:space="0" w:color="auto"/>
        <w:right w:val="none" w:sz="0" w:space="0" w:color="auto"/>
      </w:divBdr>
    </w:div>
    <w:div w:id="1396783176">
      <w:bodyDiv w:val="1"/>
      <w:marLeft w:val="0"/>
      <w:marRight w:val="0"/>
      <w:marTop w:val="0"/>
      <w:marBottom w:val="0"/>
      <w:divBdr>
        <w:top w:val="none" w:sz="0" w:space="0" w:color="auto"/>
        <w:left w:val="none" w:sz="0" w:space="0" w:color="auto"/>
        <w:bottom w:val="none" w:sz="0" w:space="0" w:color="auto"/>
        <w:right w:val="none" w:sz="0" w:space="0" w:color="auto"/>
      </w:divBdr>
    </w:div>
    <w:div w:id="1401370077">
      <w:bodyDiv w:val="1"/>
      <w:marLeft w:val="0"/>
      <w:marRight w:val="0"/>
      <w:marTop w:val="0"/>
      <w:marBottom w:val="0"/>
      <w:divBdr>
        <w:top w:val="none" w:sz="0" w:space="0" w:color="auto"/>
        <w:left w:val="none" w:sz="0" w:space="0" w:color="auto"/>
        <w:bottom w:val="none" w:sz="0" w:space="0" w:color="auto"/>
        <w:right w:val="none" w:sz="0" w:space="0" w:color="auto"/>
      </w:divBdr>
    </w:div>
    <w:div w:id="1417095388">
      <w:bodyDiv w:val="1"/>
      <w:marLeft w:val="0"/>
      <w:marRight w:val="0"/>
      <w:marTop w:val="0"/>
      <w:marBottom w:val="0"/>
      <w:divBdr>
        <w:top w:val="none" w:sz="0" w:space="0" w:color="auto"/>
        <w:left w:val="none" w:sz="0" w:space="0" w:color="auto"/>
        <w:bottom w:val="none" w:sz="0" w:space="0" w:color="auto"/>
        <w:right w:val="none" w:sz="0" w:space="0" w:color="auto"/>
      </w:divBdr>
    </w:div>
    <w:div w:id="1426456730">
      <w:bodyDiv w:val="1"/>
      <w:marLeft w:val="0"/>
      <w:marRight w:val="0"/>
      <w:marTop w:val="0"/>
      <w:marBottom w:val="0"/>
      <w:divBdr>
        <w:top w:val="none" w:sz="0" w:space="0" w:color="auto"/>
        <w:left w:val="none" w:sz="0" w:space="0" w:color="auto"/>
        <w:bottom w:val="none" w:sz="0" w:space="0" w:color="auto"/>
        <w:right w:val="none" w:sz="0" w:space="0" w:color="auto"/>
      </w:divBdr>
    </w:div>
    <w:div w:id="1451588453">
      <w:bodyDiv w:val="1"/>
      <w:marLeft w:val="0"/>
      <w:marRight w:val="0"/>
      <w:marTop w:val="0"/>
      <w:marBottom w:val="0"/>
      <w:divBdr>
        <w:top w:val="none" w:sz="0" w:space="0" w:color="auto"/>
        <w:left w:val="none" w:sz="0" w:space="0" w:color="auto"/>
        <w:bottom w:val="none" w:sz="0" w:space="0" w:color="auto"/>
        <w:right w:val="none" w:sz="0" w:space="0" w:color="auto"/>
      </w:divBdr>
    </w:div>
    <w:div w:id="1482848837">
      <w:bodyDiv w:val="1"/>
      <w:marLeft w:val="0"/>
      <w:marRight w:val="0"/>
      <w:marTop w:val="0"/>
      <w:marBottom w:val="0"/>
      <w:divBdr>
        <w:top w:val="none" w:sz="0" w:space="0" w:color="auto"/>
        <w:left w:val="none" w:sz="0" w:space="0" w:color="auto"/>
        <w:bottom w:val="none" w:sz="0" w:space="0" w:color="auto"/>
        <w:right w:val="none" w:sz="0" w:space="0" w:color="auto"/>
      </w:divBdr>
    </w:div>
    <w:div w:id="1499887879">
      <w:bodyDiv w:val="1"/>
      <w:marLeft w:val="0"/>
      <w:marRight w:val="0"/>
      <w:marTop w:val="0"/>
      <w:marBottom w:val="0"/>
      <w:divBdr>
        <w:top w:val="none" w:sz="0" w:space="0" w:color="auto"/>
        <w:left w:val="none" w:sz="0" w:space="0" w:color="auto"/>
        <w:bottom w:val="none" w:sz="0" w:space="0" w:color="auto"/>
        <w:right w:val="none" w:sz="0" w:space="0" w:color="auto"/>
      </w:divBdr>
    </w:div>
    <w:div w:id="1553924212">
      <w:bodyDiv w:val="1"/>
      <w:marLeft w:val="0"/>
      <w:marRight w:val="0"/>
      <w:marTop w:val="0"/>
      <w:marBottom w:val="0"/>
      <w:divBdr>
        <w:top w:val="none" w:sz="0" w:space="0" w:color="auto"/>
        <w:left w:val="none" w:sz="0" w:space="0" w:color="auto"/>
        <w:bottom w:val="none" w:sz="0" w:space="0" w:color="auto"/>
        <w:right w:val="none" w:sz="0" w:space="0" w:color="auto"/>
      </w:divBdr>
    </w:div>
    <w:div w:id="1558778849">
      <w:bodyDiv w:val="1"/>
      <w:marLeft w:val="0"/>
      <w:marRight w:val="0"/>
      <w:marTop w:val="0"/>
      <w:marBottom w:val="0"/>
      <w:divBdr>
        <w:top w:val="none" w:sz="0" w:space="0" w:color="auto"/>
        <w:left w:val="none" w:sz="0" w:space="0" w:color="auto"/>
        <w:bottom w:val="none" w:sz="0" w:space="0" w:color="auto"/>
        <w:right w:val="none" w:sz="0" w:space="0" w:color="auto"/>
      </w:divBdr>
    </w:div>
    <w:div w:id="1607226926">
      <w:bodyDiv w:val="1"/>
      <w:marLeft w:val="0"/>
      <w:marRight w:val="0"/>
      <w:marTop w:val="0"/>
      <w:marBottom w:val="0"/>
      <w:divBdr>
        <w:top w:val="none" w:sz="0" w:space="0" w:color="auto"/>
        <w:left w:val="none" w:sz="0" w:space="0" w:color="auto"/>
        <w:bottom w:val="none" w:sz="0" w:space="0" w:color="auto"/>
        <w:right w:val="none" w:sz="0" w:space="0" w:color="auto"/>
      </w:divBdr>
    </w:div>
    <w:div w:id="1608148612">
      <w:bodyDiv w:val="1"/>
      <w:marLeft w:val="0"/>
      <w:marRight w:val="0"/>
      <w:marTop w:val="0"/>
      <w:marBottom w:val="0"/>
      <w:divBdr>
        <w:top w:val="none" w:sz="0" w:space="0" w:color="auto"/>
        <w:left w:val="none" w:sz="0" w:space="0" w:color="auto"/>
        <w:bottom w:val="none" w:sz="0" w:space="0" w:color="auto"/>
        <w:right w:val="none" w:sz="0" w:space="0" w:color="auto"/>
      </w:divBdr>
    </w:div>
    <w:div w:id="1611165783">
      <w:bodyDiv w:val="1"/>
      <w:marLeft w:val="0"/>
      <w:marRight w:val="0"/>
      <w:marTop w:val="0"/>
      <w:marBottom w:val="0"/>
      <w:divBdr>
        <w:top w:val="none" w:sz="0" w:space="0" w:color="auto"/>
        <w:left w:val="none" w:sz="0" w:space="0" w:color="auto"/>
        <w:bottom w:val="none" w:sz="0" w:space="0" w:color="auto"/>
        <w:right w:val="none" w:sz="0" w:space="0" w:color="auto"/>
      </w:divBdr>
    </w:div>
    <w:div w:id="1616449184">
      <w:bodyDiv w:val="1"/>
      <w:marLeft w:val="0"/>
      <w:marRight w:val="0"/>
      <w:marTop w:val="0"/>
      <w:marBottom w:val="0"/>
      <w:divBdr>
        <w:top w:val="none" w:sz="0" w:space="0" w:color="auto"/>
        <w:left w:val="none" w:sz="0" w:space="0" w:color="auto"/>
        <w:bottom w:val="none" w:sz="0" w:space="0" w:color="auto"/>
        <w:right w:val="none" w:sz="0" w:space="0" w:color="auto"/>
      </w:divBdr>
    </w:div>
    <w:div w:id="1620063692">
      <w:bodyDiv w:val="1"/>
      <w:marLeft w:val="0"/>
      <w:marRight w:val="0"/>
      <w:marTop w:val="0"/>
      <w:marBottom w:val="0"/>
      <w:divBdr>
        <w:top w:val="none" w:sz="0" w:space="0" w:color="auto"/>
        <w:left w:val="none" w:sz="0" w:space="0" w:color="auto"/>
        <w:bottom w:val="none" w:sz="0" w:space="0" w:color="auto"/>
        <w:right w:val="none" w:sz="0" w:space="0" w:color="auto"/>
      </w:divBdr>
    </w:div>
    <w:div w:id="1621914413">
      <w:bodyDiv w:val="1"/>
      <w:marLeft w:val="0"/>
      <w:marRight w:val="0"/>
      <w:marTop w:val="0"/>
      <w:marBottom w:val="0"/>
      <w:divBdr>
        <w:top w:val="none" w:sz="0" w:space="0" w:color="auto"/>
        <w:left w:val="none" w:sz="0" w:space="0" w:color="auto"/>
        <w:bottom w:val="none" w:sz="0" w:space="0" w:color="auto"/>
        <w:right w:val="none" w:sz="0" w:space="0" w:color="auto"/>
      </w:divBdr>
    </w:div>
    <w:div w:id="1627085460">
      <w:bodyDiv w:val="1"/>
      <w:marLeft w:val="0"/>
      <w:marRight w:val="0"/>
      <w:marTop w:val="0"/>
      <w:marBottom w:val="0"/>
      <w:divBdr>
        <w:top w:val="none" w:sz="0" w:space="0" w:color="auto"/>
        <w:left w:val="none" w:sz="0" w:space="0" w:color="auto"/>
        <w:bottom w:val="none" w:sz="0" w:space="0" w:color="auto"/>
        <w:right w:val="none" w:sz="0" w:space="0" w:color="auto"/>
      </w:divBdr>
    </w:div>
    <w:div w:id="1674331750">
      <w:bodyDiv w:val="1"/>
      <w:marLeft w:val="0"/>
      <w:marRight w:val="0"/>
      <w:marTop w:val="0"/>
      <w:marBottom w:val="0"/>
      <w:divBdr>
        <w:top w:val="none" w:sz="0" w:space="0" w:color="auto"/>
        <w:left w:val="none" w:sz="0" w:space="0" w:color="auto"/>
        <w:bottom w:val="none" w:sz="0" w:space="0" w:color="auto"/>
        <w:right w:val="none" w:sz="0" w:space="0" w:color="auto"/>
      </w:divBdr>
    </w:div>
    <w:div w:id="1682732967">
      <w:bodyDiv w:val="1"/>
      <w:marLeft w:val="0"/>
      <w:marRight w:val="0"/>
      <w:marTop w:val="0"/>
      <w:marBottom w:val="0"/>
      <w:divBdr>
        <w:top w:val="none" w:sz="0" w:space="0" w:color="auto"/>
        <w:left w:val="none" w:sz="0" w:space="0" w:color="auto"/>
        <w:bottom w:val="none" w:sz="0" w:space="0" w:color="auto"/>
        <w:right w:val="none" w:sz="0" w:space="0" w:color="auto"/>
      </w:divBdr>
    </w:div>
    <w:div w:id="1683780549">
      <w:bodyDiv w:val="1"/>
      <w:marLeft w:val="0"/>
      <w:marRight w:val="0"/>
      <w:marTop w:val="0"/>
      <w:marBottom w:val="0"/>
      <w:divBdr>
        <w:top w:val="none" w:sz="0" w:space="0" w:color="auto"/>
        <w:left w:val="none" w:sz="0" w:space="0" w:color="auto"/>
        <w:bottom w:val="none" w:sz="0" w:space="0" w:color="auto"/>
        <w:right w:val="none" w:sz="0" w:space="0" w:color="auto"/>
      </w:divBdr>
    </w:div>
    <w:div w:id="1697460339">
      <w:bodyDiv w:val="1"/>
      <w:marLeft w:val="0"/>
      <w:marRight w:val="0"/>
      <w:marTop w:val="0"/>
      <w:marBottom w:val="0"/>
      <w:divBdr>
        <w:top w:val="none" w:sz="0" w:space="0" w:color="auto"/>
        <w:left w:val="none" w:sz="0" w:space="0" w:color="auto"/>
        <w:bottom w:val="none" w:sz="0" w:space="0" w:color="auto"/>
        <w:right w:val="none" w:sz="0" w:space="0" w:color="auto"/>
      </w:divBdr>
    </w:div>
    <w:div w:id="1713967132">
      <w:bodyDiv w:val="1"/>
      <w:marLeft w:val="0"/>
      <w:marRight w:val="0"/>
      <w:marTop w:val="0"/>
      <w:marBottom w:val="0"/>
      <w:divBdr>
        <w:top w:val="none" w:sz="0" w:space="0" w:color="auto"/>
        <w:left w:val="none" w:sz="0" w:space="0" w:color="auto"/>
        <w:bottom w:val="none" w:sz="0" w:space="0" w:color="auto"/>
        <w:right w:val="none" w:sz="0" w:space="0" w:color="auto"/>
      </w:divBdr>
    </w:div>
    <w:div w:id="1724865018">
      <w:bodyDiv w:val="1"/>
      <w:marLeft w:val="0"/>
      <w:marRight w:val="0"/>
      <w:marTop w:val="0"/>
      <w:marBottom w:val="0"/>
      <w:divBdr>
        <w:top w:val="none" w:sz="0" w:space="0" w:color="auto"/>
        <w:left w:val="none" w:sz="0" w:space="0" w:color="auto"/>
        <w:bottom w:val="none" w:sz="0" w:space="0" w:color="auto"/>
        <w:right w:val="none" w:sz="0" w:space="0" w:color="auto"/>
      </w:divBdr>
    </w:div>
    <w:div w:id="1754551744">
      <w:bodyDiv w:val="1"/>
      <w:marLeft w:val="0"/>
      <w:marRight w:val="0"/>
      <w:marTop w:val="0"/>
      <w:marBottom w:val="0"/>
      <w:divBdr>
        <w:top w:val="none" w:sz="0" w:space="0" w:color="auto"/>
        <w:left w:val="none" w:sz="0" w:space="0" w:color="auto"/>
        <w:bottom w:val="none" w:sz="0" w:space="0" w:color="auto"/>
        <w:right w:val="none" w:sz="0" w:space="0" w:color="auto"/>
      </w:divBdr>
    </w:div>
    <w:div w:id="1768425574">
      <w:bodyDiv w:val="1"/>
      <w:marLeft w:val="0"/>
      <w:marRight w:val="0"/>
      <w:marTop w:val="0"/>
      <w:marBottom w:val="0"/>
      <w:divBdr>
        <w:top w:val="none" w:sz="0" w:space="0" w:color="auto"/>
        <w:left w:val="none" w:sz="0" w:space="0" w:color="auto"/>
        <w:bottom w:val="none" w:sz="0" w:space="0" w:color="auto"/>
        <w:right w:val="none" w:sz="0" w:space="0" w:color="auto"/>
      </w:divBdr>
    </w:div>
    <w:div w:id="1802990525">
      <w:bodyDiv w:val="1"/>
      <w:marLeft w:val="0"/>
      <w:marRight w:val="0"/>
      <w:marTop w:val="0"/>
      <w:marBottom w:val="0"/>
      <w:divBdr>
        <w:top w:val="none" w:sz="0" w:space="0" w:color="auto"/>
        <w:left w:val="none" w:sz="0" w:space="0" w:color="auto"/>
        <w:bottom w:val="none" w:sz="0" w:space="0" w:color="auto"/>
        <w:right w:val="none" w:sz="0" w:space="0" w:color="auto"/>
      </w:divBdr>
    </w:div>
    <w:div w:id="1848401527">
      <w:bodyDiv w:val="1"/>
      <w:marLeft w:val="0"/>
      <w:marRight w:val="0"/>
      <w:marTop w:val="0"/>
      <w:marBottom w:val="0"/>
      <w:divBdr>
        <w:top w:val="none" w:sz="0" w:space="0" w:color="auto"/>
        <w:left w:val="none" w:sz="0" w:space="0" w:color="auto"/>
        <w:bottom w:val="none" w:sz="0" w:space="0" w:color="auto"/>
        <w:right w:val="none" w:sz="0" w:space="0" w:color="auto"/>
      </w:divBdr>
    </w:div>
    <w:div w:id="1866480643">
      <w:bodyDiv w:val="1"/>
      <w:marLeft w:val="0"/>
      <w:marRight w:val="0"/>
      <w:marTop w:val="0"/>
      <w:marBottom w:val="0"/>
      <w:divBdr>
        <w:top w:val="none" w:sz="0" w:space="0" w:color="auto"/>
        <w:left w:val="none" w:sz="0" w:space="0" w:color="auto"/>
        <w:bottom w:val="none" w:sz="0" w:space="0" w:color="auto"/>
        <w:right w:val="none" w:sz="0" w:space="0" w:color="auto"/>
      </w:divBdr>
    </w:div>
    <w:div w:id="1880048823">
      <w:bodyDiv w:val="1"/>
      <w:marLeft w:val="0"/>
      <w:marRight w:val="0"/>
      <w:marTop w:val="0"/>
      <w:marBottom w:val="0"/>
      <w:divBdr>
        <w:top w:val="none" w:sz="0" w:space="0" w:color="auto"/>
        <w:left w:val="none" w:sz="0" w:space="0" w:color="auto"/>
        <w:bottom w:val="none" w:sz="0" w:space="0" w:color="auto"/>
        <w:right w:val="none" w:sz="0" w:space="0" w:color="auto"/>
      </w:divBdr>
    </w:div>
    <w:div w:id="1883440281">
      <w:bodyDiv w:val="1"/>
      <w:marLeft w:val="0"/>
      <w:marRight w:val="0"/>
      <w:marTop w:val="0"/>
      <w:marBottom w:val="0"/>
      <w:divBdr>
        <w:top w:val="none" w:sz="0" w:space="0" w:color="auto"/>
        <w:left w:val="none" w:sz="0" w:space="0" w:color="auto"/>
        <w:bottom w:val="none" w:sz="0" w:space="0" w:color="auto"/>
        <w:right w:val="none" w:sz="0" w:space="0" w:color="auto"/>
      </w:divBdr>
    </w:div>
    <w:div w:id="1909723025">
      <w:bodyDiv w:val="1"/>
      <w:marLeft w:val="0"/>
      <w:marRight w:val="0"/>
      <w:marTop w:val="0"/>
      <w:marBottom w:val="0"/>
      <w:divBdr>
        <w:top w:val="none" w:sz="0" w:space="0" w:color="auto"/>
        <w:left w:val="none" w:sz="0" w:space="0" w:color="auto"/>
        <w:bottom w:val="none" w:sz="0" w:space="0" w:color="auto"/>
        <w:right w:val="none" w:sz="0" w:space="0" w:color="auto"/>
      </w:divBdr>
    </w:div>
    <w:div w:id="1920870218">
      <w:bodyDiv w:val="1"/>
      <w:marLeft w:val="0"/>
      <w:marRight w:val="0"/>
      <w:marTop w:val="0"/>
      <w:marBottom w:val="0"/>
      <w:divBdr>
        <w:top w:val="none" w:sz="0" w:space="0" w:color="auto"/>
        <w:left w:val="none" w:sz="0" w:space="0" w:color="auto"/>
        <w:bottom w:val="none" w:sz="0" w:space="0" w:color="auto"/>
        <w:right w:val="none" w:sz="0" w:space="0" w:color="auto"/>
      </w:divBdr>
    </w:div>
    <w:div w:id="1940601998">
      <w:bodyDiv w:val="1"/>
      <w:marLeft w:val="0"/>
      <w:marRight w:val="0"/>
      <w:marTop w:val="0"/>
      <w:marBottom w:val="0"/>
      <w:divBdr>
        <w:top w:val="none" w:sz="0" w:space="0" w:color="auto"/>
        <w:left w:val="none" w:sz="0" w:space="0" w:color="auto"/>
        <w:bottom w:val="none" w:sz="0" w:space="0" w:color="auto"/>
        <w:right w:val="none" w:sz="0" w:space="0" w:color="auto"/>
      </w:divBdr>
    </w:div>
    <w:div w:id="1970822487">
      <w:bodyDiv w:val="1"/>
      <w:marLeft w:val="0"/>
      <w:marRight w:val="0"/>
      <w:marTop w:val="0"/>
      <w:marBottom w:val="0"/>
      <w:divBdr>
        <w:top w:val="none" w:sz="0" w:space="0" w:color="auto"/>
        <w:left w:val="none" w:sz="0" w:space="0" w:color="auto"/>
        <w:bottom w:val="none" w:sz="0" w:space="0" w:color="auto"/>
        <w:right w:val="none" w:sz="0" w:space="0" w:color="auto"/>
      </w:divBdr>
    </w:div>
    <w:div w:id="1988703701">
      <w:bodyDiv w:val="1"/>
      <w:marLeft w:val="0"/>
      <w:marRight w:val="0"/>
      <w:marTop w:val="0"/>
      <w:marBottom w:val="0"/>
      <w:divBdr>
        <w:top w:val="none" w:sz="0" w:space="0" w:color="auto"/>
        <w:left w:val="none" w:sz="0" w:space="0" w:color="auto"/>
        <w:bottom w:val="none" w:sz="0" w:space="0" w:color="auto"/>
        <w:right w:val="none" w:sz="0" w:space="0" w:color="auto"/>
      </w:divBdr>
    </w:div>
    <w:div w:id="2028871606">
      <w:bodyDiv w:val="1"/>
      <w:marLeft w:val="0"/>
      <w:marRight w:val="0"/>
      <w:marTop w:val="0"/>
      <w:marBottom w:val="0"/>
      <w:divBdr>
        <w:top w:val="none" w:sz="0" w:space="0" w:color="auto"/>
        <w:left w:val="none" w:sz="0" w:space="0" w:color="auto"/>
        <w:bottom w:val="none" w:sz="0" w:space="0" w:color="auto"/>
        <w:right w:val="none" w:sz="0" w:space="0" w:color="auto"/>
      </w:divBdr>
    </w:div>
    <w:div w:id="2063362412">
      <w:bodyDiv w:val="1"/>
      <w:marLeft w:val="0"/>
      <w:marRight w:val="0"/>
      <w:marTop w:val="0"/>
      <w:marBottom w:val="0"/>
      <w:divBdr>
        <w:top w:val="none" w:sz="0" w:space="0" w:color="auto"/>
        <w:left w:val="none" w:sz="0" w:space="0" w:color="auto"/>
        <w:bottom w:val="none" w:sz="0" w:space="0" w:color="auto"/>
        <w:right w:val="none" w:sz="0" w:space="0" w:color="auto"/>
      </w:divBdr>
    </w:div>
    <w:div w:id="2069188680">
      <w:bodyDiv w:val="1"/>
      <w:marLeft w:val="0"/>
      <w:marRight w:val="0"/>
      <w:marTop w:val="0"/>
      <w:marBottom w:val="0"/>
      <w:divBdr>
        <w:top w:val="none" w:sz="0" w:space="0" w:color="auto"/>
        <w:left w:val="none" w:sz="0" w:space="0" w:color="auto"/>
        <w:bottom w:val="none" w:sz="0" w:space="0" w:color="auto"/>
        <w:right w:val="none" w:sz="0" w:space="0" w:color="auto"/>
      </w:divBdr>
    </w:div>
    <w:div w:id="2071465052">
      <w:bodyDiv w:val="1"/>
      <w:marLeft w:val="0"/>
      <w:marRight w:val="0"/>
      <w:marTop w:val="0"/>
      <w:marBottom w:val="0"/>
      <w:divBdr>
        <w:top w:val="none" w:sz="0" w:space="0" w:color="auto"/>
        <w:left w:val="none" w:sz="0" w:space="0" w:color="auto"/>
        <w:bottom w:val="none" w:sz="0" w:space="0" w:color="auto"/>
        <w:right w:val="none" w:sz="0" w:space="0" w:color="auto"/>
      </w:divBdr>
    </w:div>
    <w:div w:id="2105806157">
      <w:bodyDiv w:val="1"/>
      <w:marLeft w:val="0"/>
      <w:marRight w:val="0"/>
      <w:marTop w:val="0"/>
      <w:marBottom w:val="0"/>
      <w:divBdr>
        <w:top w:val="none" w:sz="0" w:space="0" w:color="auto"/>
        <w:left w:val="none" w:sz="0" w:space="0" w:color="auto"/>
        <w:bottom w:val="none" w:sz="0" w:space="0" w:color="auto"/>
        <w:right w:val="none" w:sz="0" w:space="0" w:color="auto"/>
      </w:divBdr>
    </w:div>
    <w:div w:id="2120711838">
      <w:bodyDiv w:val="1"/>
      <w:marLeft w:val="0"/>
      <w:marRight w:val="0"/>
      <w:marTop w:val="0"/>
      <w:marBottom w:val="0"/>
      <w:divBdr>
        <w:top w:val="none" w:sz="0" w:space="0" w:color="auto"/>
        <w:left w:val="none" w:sz="0" w:space="0" w:color="auto"/>
        <w:bottom w:val="none" w:sz="0" w:space="0" w:color="auto"/>
        <w:right w:val="none" w:sz="0" w:space="0" w:color="auto"/>
      </w:divBdr>
    </w:div>
    <w:div w:id="2132042738">
      <w:bodyDiv w:val="1"/>
      <w:marLeft w:val="0"/>
      <w:marRight w:val="0"/>
      <w:marTop w:val="0"/>
      <w:marBottom w:val="0"/>
      <w:divBdr>
        <w:top w:val="none" w:sz="0" w:space="0" w:color="auto"/>
        <w:left w:val="none" w:sz="0" w:space="0" w:color="auto"/>
        <w:bottom w:val="none" w:sz="0" w:space="0" w:color="auto"/>
        <w:right w:val="none" w:sz="0" w:space="0" w:color="auto"/>
      </w:divBdr>
    </w:div>
    <w:div w:id="2133010568">
      <w:bodyDiv w:val="1"/>
      <w:marLeft w:val="0"/>
      <w:marRight w:val="0"/>
      <w:marTop w:val="0"/>
      <w:marBottom w:val="0"/>
      <w:divBdr>
        <w:top w:val="none" w:sz="0" w:space="0" w:color="auto"/>
        <w:left w:val="none" w:sz="0" w:space="0" w:color="auto"/>
        <w:bottom w:val="none" w:sz="0" w:space="0" w:color="auto"/>
        <w:right w:val="none" w:sz="0" w:space="0" w:color="auto"/>
      </w:divBdr>
    </w:div>
    <w:div w:id="21341283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D9B6BF-074E-EA40-973F-9848A19DFF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765</TotalTime>
  <Pages>32</Pages>
  <Words>10032</Words>
  <Characters>57189</Characters>
  <Application>Microsoft Office Word</Application>
  <DocSecurity>0</DocSecurity>
  <Lines>476</Lines>
  <Paragraphs>134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Marilena Stan (1812196)</dc:creator>
  <cp:keywords/>
  <dc:description/>
  <cp:lastModifiedBy>Marilena Stan (1812196)</cp:lastModifiedBy>
  <cp:revision>152</cp:revision>
  <dcterms:created xsi:type="dcterms:W3CDTF">2024-09-21T12:16:00Z</dcterms:created>
  <dcterms:modified xsi:type="dcterms:W3CDTF">2024-10-07T17:59:00Z</dcterms:modified>
</cp:coreProperties>
</file>