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579E1" w14:textId="77777777" w:rsidR="00ED2C5E" w:rsidRPr="004D5943" w:rsidRDefault="00ED2C5E" w:rsidP="00ED2C5E">
      <w:pPr>
        <w:spacing w:line="360" w:lineRule="auto"/>
        <w:jc w:val="center"/>
        <w:rPr>
          <w:rFonts w:cs="Arial"/>
          <w:b/>
          <w:bCs/>
          <w:color w:val="0D0D0D" w:themeColor="text1" w:themeTint="F2"/>
          <w:sz w:val="40"/>
          <w:szCs w:val="40"/>
        </w:rPr>
      </w:pPr>
      <w:r w:rsidRPr="004D5943">
        <w:rPr>
          <w:rFonts w:cs="Arial"/>
          <w:b/>
          <w:bCs/>
          <w:color w:val="0D0D0D" w:themeColor="text1" w:themeTint="F2"/>
          <w:sz w:val="40"/>
          <w:szCs w:val="40"/>
        </w:rPr>
        <w:t>Module Name: </w:t>
      </w:r>
      <w:r w:rsidRPr="004D5943">
        <w:rPr>
          <w:rFonts w:cs="Arial"/>
          <w:color w:val="0D0D0D" w:themeColor="text1" w:themeTint="F2"/>
          <w:sz w:val="40"/>
          <w:szCs w:val="40"/>
        </w:rPr>
        <w:t>Social Epidemiology and Public Health Development</w:t>
      </w:r>
    </w:p>
    <w:p w14:paraId="12280499" w14:textId="77777777" w:rsidR="002445D3" w:rsidRPr="00D2298B" w:rsidRDefault="002445D3" w:rsidP="00ED2C5E">
      <w:pPr>
        <w:spacing w:line="360" w:lineRule="auto"/>
        <w:jc w:val="center"/>
        <w:rPr>
          <w:rFonts w:cs="Arial"/>
          <w:color w:val="0D0D0D" w:themeColor="text1" w:themeTint="F2"/>
          <w:sz w:val="40"/>
          <w:szCs w:val="40"/>
        </w:rPr>
      </w:pPr>
    </w:p>
    <w:p w14:paraId="01C18A67" w14:textId="77777777" w:rsidR="00ED2C5E" w:rsidRPr="004D5943" w:rsidRDefault="00ED2C5E" w:rsidP="00ED2C5E">
      <w:pPr>
        <w:spacing w:line="360" w:lineRule="auto"/>
        <w:jc w:val="center"/>
        <w:rPr>
          <w:rFonts w:cs="Arial"/>
          <w:color w:val="0D0D0D" w:themeColor="text1" w:themeTint="F2"/>
          <w:sz w:val="40"/>
          <w:szCs w:val="40"/>
        </w:rPr>
      </w:pPr>
      <w:r w:rsidRPr="004D5943">
        <w:rPr>
          <w:rFonts w:cs="Arial"/>
          <w:b/>
          <w:bCs/>
          <w:color w:val="0D0D0D" w:themeColor="text1" w:themeTint="F2"/>
          <w:sz w:val="40"/>
          <w:szCs w:val="40"/>
        </w:rPr>
        <w:t>Module Code: </w:t>
      </w:r>
      <w:r w:rsidRPr="004D5943">
        <w:rPr>
          <w:rFonts w:cs="Arial"/>
          <w:color w:val="0D0D0D" w:themeColor="text1" w:themeTint="F2"/>
          <w:sz w:val="40"/>
          <w:szCs w:val="40"/>
        </w:rPr>
        <w:t>LCHS7000</w:t>
      </w:r>
    </w:p>
    <w:p w14:paraId="78E746D7" w14:textId="77777777" w:rsidR="00ED2C5E" w:rsidRPr="00D2298B" w:rsidRDefault="00ED2C5E" w:rsidP="00ED2C5E">
      <w:pPr>
        <w:spacing w:line="360" w:lineRule="auto"/>
        <w:jc w:val="center"/>
        <w:rPr>
          <w:rFonts w:cs="Arial"/>
          <w:color w:val="0D0D0D" w:themeColor="text1" w:themeTint="F2"/>
          <w:sz w:val="40"/>
          <w:szCs w:val="40"/>
        </w:rPr>
      </w:pPr>
    </w:p>
    <w:p w14:paraId="5B959380" w14:textId="77777777" w:rsidR="00ED2C5E" w:rsidRPr="004D5943" w:rsidRDefault="00ED2C5E" w:rsidP="00ED2C5E">
      <w:pPr>
        <w:spacing w:line="360" w:lineRule="auto"/>
        <w:jc w:val="center"/>
        <w:rPr>
          <w:rFonts w:cs="Arial"/>
          <w:b/>
          <w:bCs/>
          <w:color w:val="0D0D0D" w:themeColor="text1" w:themeTint="F2"/>
          <w:sz w:val="40"/>
          <w:szCs w:val="40"/>
        </w:rPr>
      </w:pPr>
      <w:r w:rsidRPr="004D5943">
        <w:rPr>
          <w:rFonts w:cs="Arial"/>
          <w:b/>
          <w:bCs/>
          <w:color w:val="0D0D0D" w:themeColor="text1" w:themeTint="F2"/>
          <w:sz w:val="40"/>
          <w:szCs w:val="40"/>
        </w:rPr>
        <w:t>Lecturer Name: </w:t>
      </w:r>
      <w:proofErr w:type="spellStart"/>
      <w:r w:rsidRPr="004D5943">
        <w:rPr>
          <w:rFonts w:cs="Arial"/>
          <w:b/>
          <w:bCs/>
          <w:color w:val="0D0D0D" w:themeColor="text1" w:themeTint="F2"/>
          <w:sz w:val="40"/>
          <w:szCs w:val="40"/>
        </w:rPr>
        <w:t>Dr.</w:t>
      </w:r>
      <w:proofErr w:type="spellEnd"/>
      <w:r w:rsidRPr="004D5943">
        <w:rPr>
          <w:rFonts w:cs="Arial"/>
          <w:b/>
          <w:bCs/>
          <w:color w:val="0D0D0D" w:themeColor="text1" w:themeTint="F2"/>
          <w:sz w:val="40"/>
          <w:szCs w:val="40"/>
        </w:rPr>
        <w:t xml:space="preserve"> Hamdi Hussain</w:t>
      </w:r>
    </w:p>
    <w:p w14:paraId="14488DC3" w14:textId="77777777" w:rsidR="00ED2C5E" w:rsidRPr="00D2298B" w:rsidRDefault="00ED2C5E" w:rsidP="00ED2C5E">
      <w:pPr>
        <w:spacing w:line="360" w:lineRule="auto"/>
        <w:jc w:val="center"/>
        <w:rPr>
          <w:rFonts w:cs="Arial"/>
          <w:color w:val="0D0D0D" w:themeColor="text1" w:themeTint="F2"/>
          <w:sz w:val="40"/>
          <w:szCs w:val="40"/>
        </w:rPr>
      </w:pPr>
    </w:p>
    <w:p w14:paraId="3E7339C5" w14:textId="77777777" w:rsidR="00ED2C5E" w:rsidRPr="004D5943" w:rsidRDefault="00ED2C5E" w:rsidP="00ED2C5E">
      <w:pPr>
        <w:spacing w:line="360" w:lineRule="auto"/>
        <w:jc w:val="center"/>
        <w:rPr>
          <w:rFonts w:cs="Arial"/>
          <w:color w:val="0D0D0D" w:themeColor="text1" w:themeTint="F2"/>
          <w:sz w:val="40"/>
          <w:szCs w:val="40"/>
        </w:rPr>
      </w:pPr>
      <w:r w:rsidRPr="004D5943">
        <w:rPr>
          <w:rFonts w:cs="Arial"/>
          <w:b/>
          <w:bCs/>
          <w:color w:val="0D0D0D" w:themeColor="text1" w:themeTint="F2"/>
          <w:sz w:val="40"/>
          <w:szCs w:val="40"/>
        </w:rPr>
        <w:t xml:space="preserve">Assignment Title: </w:t>
      </w:r>
      <w:r w:rsidRPr="004D5943">
        <w:rPr>
          <w:rFonts w:cs="Arial"/>
          <w:color w:val="0D0D0D" w:themeColor="text1" w:themeTint="F2"/>
          <w:sz w:val="40"/>
          <w:szCs w:val="40"/>
        </w:rPr>
        <w:t>Analytic Report</w:t>
      </w:r>
    </w:p>
    <w:p w14:paraId="0CD4E921" w14:textId="77777777" w:rsidR="002445D3" w:rsidRPr="004D5943" w:rsidRDefault="002445D3" w:rsidP="00ED2C5E">
      <w:pPr>
        <w:spacing w:line="360" w:lineRule="auto"/>
        <w:jc w:val="center"/>
        <w:rPr>
          <w:rFonts w:cs="Arial"/>
          <w:b/>
          <w:bCs/>
          <w:color w:val="0D0D0D" w:themeColor="text1" w:themeTint="F2"/>
          <w:sz w:val="40"/>
          <w:szCs w:val="40"/>
        </w:rPr>
      </w:pPr>
    </w:p>
    <w:p w14:paraId="657C22CA" w14:textId="77777777" w:rsidR="00ED2C5E" w:rsidRPr="00D2298B" w:rsidRDefault="00ED2C5E" w:rsidP="00ED2C5E">
      <w:pPr>
        <w:spacing w:line="360" w:lineRule="auto"/>
        <w:jc w:val="center"/>
        <w:rPr>
          <w:rFonts w:cs="Arial"/>
          <w:color w:val="0D0D0D" w:themeColor="text1" w:themeTint="F2"/>
          <w:sz w:val="40"/>
          <w:szCs w:val="40"/>
        </w:rPr>
      </w:pPr>
      <w:r w:rsidRPr="004D5943">
        <w:rPr>
          <w:rFonts w:cs="Arial"/>
          <w:b/>
          <w:bCs/>
          <w:color w:val="0D0D0D" w:themeColor="text1" w:themeTint="F2"/>
          <w:sz w:val="40"/>
          <w:szCs w:val="40"/>
          <w:lang w:val="en-US"/>
        </w:rPr>
        <w:t xml:space="preserve">Student Name: </w:t>
      </w:r>
      <w:proofErr w:type="spellStart"/>
      <w:r w:rsidRPr="004D5943">
        <w:rPr>
          <w:rFonts w:cs="Arial"/>
          <w:color w:val="0D0D0D" w:themeColor="text1" w:themeTint="F2"/>
          <w:sz w:val="40"/>
          <w:szCs w:val="40"/>
          <w:lang w:val="en-US"/>
        </w:rPr>
        <w:t>Abeer</w:t>
      </w:r>
      <w:proofErr w:type="spellEnd"/>
      <w:r w:rsidRPr="004D5943">
        <w:rPr>
          <w:rFonts w:cs="Arial"/>
          <w:color w:val="0D0D0D" w:themeColor="text1" w:themeTint="F2"/>
          <w:sz w:val="40"/>
          <w:szCs w:val="40"/>
          <w:lang w:val="en-US"/>
        </w:rPr>
        <w:t xml:space="preserve"> </w:t>
      </w:r>
      <w:proofErr w:type="spellStart"/>
      <w:r w:rsidRPr="004D5943">
        <w:rPr>
          <w:rFonts w:cs="Arial"/>
          <w:color w:val="0D0D0D" w:themeColor="text1" w:themeTint="F2"/>
          <w:sz w:val="40"/>
          <w:szCs w:val="40"/>
          <w:lang w:val="en-US"/>
        </w:rPr>
        <w:t>Ishal</w:t>
      </w:r>
      <w:proofErr w:type="spellEnd"/>
    </w:p>
    <w:p w14:paraId="664F929F" w14:textId="77777777" w:rsidR="00ED2C5E" w:rsidRPr="00D2298B" w:rsidRDefault="00ED2C5E" w:rsidP="00ED2C5E">
      <w:pPr>
        <w:spacing w:line="360" w:lineRule="auto"/>
        <w:jc w:val="center"/>
        <w:rPr>
          <w:rFonts w:cs="Arial"/>
          <w:color w:val="0D0D0D" w:themeColor="text1" w:themeTint="F2"/>
          <w:sz w:val="40"/>
          <w:szCs w:val="40"/>
        </w:rPr>
      </w:pPr>
      <w:r w:rsidRPr="004D5943">
        <w:rPr>
          <w:rFonts w:cs="Arial"/>
          <w:b/>
          <w:bCs/>
          <w:color w:val="0D0D0D" w:themeColor="text1" w:themeTint="F2"/>
          <w:sz w:val="40"/>
          <w:szCs w:val="40"/>
          <w:lang w:val="en-US"/>
        </w:rPr>
        <w:t xml:space="preserve">Student Number: </w:t>
      </w:r>
      <w:r w:rsidRPr="004D5943">
        <w:rPr>
          <w:rFonts w:cs="Arial"/>
          <w:color w:val="0D0D0D" w:themeColor="text1" w:themeTint="F2"/>
          <w:sz w:val="40"/>
          <w:szCs w:val="40"/>
          <w:lang w:val="en-US"/>
        </w:rPr>
        <w:t>2128229</w:t>
      </w:r>
    </w:p>
    <w:p w14:paraId="15B8C58A" w14:textId="77777777" w:rsidR="00ED2C5E" w:rsidRPr="00D2298B" w:rsidRDefault="00ED2C5E" w:rsidP="00ED2C5E">
      <w:pPr>
        <w:spacing w:line="360" w:lineRule="auto"/>
        <w:rPr>
          <w:rFonts w:cs="Arial"/>
          <w:color w:val="0D0D0D" w:themeColor="text1" w:themeTint="F2"/>
        </w:rPr>
      </w:pPr>
    </w:p>
    <w:p w14:paraId="6C7F088F" w14:textId="77777777" w:rsidR="00ED2C5E" w:rsidRPr="004D5943" w:rsidRDefault="00ED2C5E" w:rsidP="00ED2C5E">
      <w:pPr>
        <w:spacing w:line="360" w:lineRule="auto"/>
        <w:rPr>
          <w:rFonts w:cs="Arial"/>
          <w:color w:val="0D0D0D" w:themeColor="text1" w:themeTint="F2"/>
        </w:rPr>
      </w:pPr>
    </w:p>
    <w:p w14:paraId="60785673" w14:textId="77777777" w:rsidR="00ED2C5E" w:rsidRPr="004D5943" w:rsidRDefault="00ED2C5E" w:rsidP="00ED2C5E">
      <w:pPr>
        <w:spacing w:line="360" w:lineRule="auto"/>
        <w:rPr>
          <w:rFonts w:cs="Arial"/>
          <w:color w:val="0D0D0D" w:themeColor="text1" w:themeTint="F2"/>
        </w:rPr>
      </w:pPr>
    </w:p>
    <w:p w14:paraId="03996767" w14:textId="77777777" w:rsidR="00ED2C5E" w:rsidRPr="004D5943" w:rsidRDefault="00ED2C5E" w:rsidP="00ED2C5E">
      <w:pPr>
        <w:spacing w:line="360" w:lineRule="auto"/>
        <w:rPr>
          <w:rFonts w:cs="Arial"/>
          <w:color w:val="0D0D0D" w:themeColor="text1" w:themeTint="F2"/>
        </w:rPr>
      </w:pPr>
    </w:p>
    <w:p w14:paraId="2F2083EE" w14:textId="77777777" w:rsidR="00ED2C5E" w:rsidRPr="004D5943" w:rsidRDefault="00ED2C5E" w:rsidP="00ED2C5E">
      <w:pPr>
        <w:rPr>
          <w:rFonts w:cs="Arial"/>
          <w:color w:val="0D0D0D" w:themeColor="text1" w:themeTint="F2"/>
        </w:rPr>
      </w:pPr>
    </w:p>
    <w:p w14:paraId="0D720D11" w14:textId="77777777" w:rsidR="00ED2C5E" w:rsidRPr="004D5943" w:rsidRDefault="00ED2C5E" w:rsidP="00ED2C5E">
      <w:pPr>
        <w:rPr>
          <w:rFonts w:cs="Arial"/>
          <w:color w:val="0D0D0D" w:themeColor="text1" w:themeTint="F2"/>
        </w:rPr>
      </w:pPr>
    </w:p>
    <w:p w14:paraId="6B6C0337" w14:textId="77777777" w:rsidR="00ED2C5E" w:rsidRPr="004D5943" w:rsidRDefault="00ED2C5E" w:rsidP="00ED2C5E">
      <w:pPr>
        <w:rPr>
          <w:rFonts w:cs="Arial"/>
          <w:color w:val="0D0D0D" w:themeColor="text1" w:themeTint="F2"/>
        </w:rPr>
      </w:pPr>
    </w:p>
    <w:p w14:paraId="29C43E1B" w14:textId="77777777" w:rsidR="00ED2C5E" w:rsidRPr="004D5943" w:rsidRDefault="00ED2C5E" w:rsidP="00ED2C5E">
      <w:pPr>
        <w:rPr>
          <w:rFonts w:cs="Arial"/>
          <w:color w:val="0D0D0D" w:themeColor="text1" w:themeTint="F2"/>
        </w:rPr>
      </w:pPr>
    </w:p>
    <w:p w14:paraId="688F65A7" w14:textId="77777777" w:rsidR="00ED2C5E" w:rsidRPr="004D5943" w:rsidRDefault="00ED2C5E" w:rsidP="00ED2C5E">
      <w:pPr>
        <w:rPr>
          <w:rFonts w:cs="Arial"/>
          <w:color w:val="0D0D0D" w:themeColor="text1" w:themeTint="F2"/>
        </w:rPr>
      </w:pPr>
    </w:p>
    <w:p w14:paraId="603B9B52" w14:textId="77777777" w:rsidR="00ED2C5E" w:rsidRPr="004D5943" w:rsidRDefault="00ED2C5E" w:rsidP="00ED2C5E">
      <w:pPr>
        <w:rPr>
          <w:rFonts w:cs="Arial"/>
          <w:color w:val="0D0D0D" w:themeColor="text1" w:themeTint="F2"/>
        </w:rPr>
      </w:pPr>
    </w:p>
    <w:p w14:paraId="69C288F4" w14:textId="77777777" w:rsidR="00ED2C5E" w:rsidRPr="004D5943" w:rsidRDefault="00ED2C5E" w:rsidP="00ED2C5E">
      <w:pPr>
        <w:rPr>
          <w:rFonts w:cs="Arial"/>
          <w:color w:val="0D0D0D" w:themeColor="text1" w:themeTint="F2"/>
        </w:rPr>
      </w:pPr>
    </w:p>
    <w:p w14:paraId="670CF59E" w14:textId="77777777" w:rsidR="00ED2C5E" w:rsidRPr="004D5943" w:rsidRDefault="00ED2C5E" w:rsidP="00ED2C5E">
      <w:pPr>
        <w:rPr>
          <w:rFonts w:cs="Arial"/>
          <w:color w:val="0D0D0D" w:themeColor="text1" w:themeTint="F2"/>
        </w:rPr>
      </w:pPr>
    </w:p>
    <w:p w14:paraId="7737ADB3" w14:textId="77777777" w:rsidR="00ED2C5E" w:rsidRPr="004D5943" w:rsidRDefault="00ED2C5E" w:rsidP="00ED2C5E">
      <w:pPr>
        <w:rPr>
          <w:rFonts w:cs="Arial"/>
          <w:color w:val="0D0D0D" w:themeColor="text1" w:themeTint="F2"/>
        </w:rPr>
      </w:pPr>
    </w:p>
    <w:p w14:paraId="09CFEE39" w14:textId="77777777" w:rsidR="00ED2C5E" w:rsidRPr="004D5943" w:rsidRDefault="00ED2C5E" w:rsidP="00F44659">
      <w:pPr>
        <w:spacing w:line="360" w:lineRule="auto"/>
        <w:rPr>
          <w:rFonts w:cs="Arial"/>
          <w:b/>
          <w:bCs/>
          <w:color w:val="0D0D0D" w:themeColor="text1" w:themeTint="F2"/>
          <w:szCs w:val="23"/>
        </w:rPr>
      </w:pPr>
    </w:p>
    <w:p w14:paraId="39EFA088" w14:textId="77777777" w:rsidR="00ED2C5E" w:rsidRPr="004D5943" w:rsidRDefault="00ED2C5E" w:rsidP="00F44659">
      <w:pPr>
        <w:spacing w:line="360" w:lineRule="auto"/>
        <w:rPr>
          <w:rFonts w:cs="Arial"/>
          <w:b/>
          <w:bCs/>
          <w:color w:val="0D0D0D" w:themeColor="text1" w:themeTint="F2"/>
          <w:szCs w:val="23"/>
        </w:rPr>
      </w:pPr>
    </w:p>
    <w:p w14:paraId="2CE15E08" w14:textId="77777777" w:rsidR="00ED2C5E" w:rsidRPr="004D5943" w:rsidRDefault="00ED2C5E" w:rsidP="00F44659">
      <w:pPr>
        <w:spacing w:line="360" w:lineRule="auto"/>
        <w:rPr>
          <w:rFonts w:cs="Arial"/>
          <w:b/>
          <w:bCs/>
          <w:color w:val="0D0D0D" w:themeColor="text1" w:themeTint="F2"/>
          <w:szCs w:val="23"/>
        </w:rPr>
      </w:pPr>
    </w:p>
    <w:p w14:paraId="1E0E07F8" w14:textId="77777777" w:rsidR="002445D3" w:rsidRPr="004D5943" w:rsidRDefault="002445D3" w:rsidP="00F44659">
      <w:pPr>
        <w:spacing w:line="360" w:lineRule="auto"/>
        <w:rPr>
          <w:rFonts w:cs="Arial"/>
          <w:b/>
          <w:bCs/>
          <w:color w:val="0D0D0D" w:themeColor="text1" w:themeTint="F2"/>
          <w:szCs w:val="23"/>
        </w:rPr>
      </w:pPr>
    </w:p>
    <w:p w14:paraId="64DF07B9" w14:textId="77777777" w:rsidR="00C92A32" w:rsidRPr="004D5943" w:rsidRDefault="00C92A32" w:rsidP="00F44659">
      <w:pPr>
        <w:spacing w:line="360" w:lineRule="auto"/>
        <w:rPr>
          <w:rFonts w:cs="Arial"/>
          <w:b/>
          <w:bCs/>
          <w:color w:val="0D0D0D" w:themeColor="text1" w:themeTint="F2"/>
          <w:szCs w:val="23"/>
        </w:rPr>
      </w:pPr>
    </w:p>
    <w:p w14:paraId="5B29CA2F" w14:textId="70E3B4B5" w:rsidR="00BB0E0C" w:rsidRPr="004D5943" w:rsidRDefault="00643C20" w:rsidP="00237D7C">
      <w:pPr>
        <w:spacing w:line="360" w:lineRule="auto"/>
        <w:rPr>
          <w:rFonts w:cs="Arial"/>
          <w:b/>
          <w:bCs/>
          <w:color w:val="0D0D0D" w:themeColor="text1" w:themeTint="F2"/>
          <w:szCs w:val="23"/>
        </w:rPr>
      </w:pPr>
      <w:r w:rsidRPr="004D5943">
        <w:rPr>
          <w:rFonts w:cs="Arial"/>
          <w:b/>
          <w:bCs/>
          <w:color w:val="0D0D0D" w:themeColor="text1" w:themeTint="F2"/>
          <w:szCs w:val="23"/>
        </w:rPr>
        <w:lastRenderedPageBreak/>
        <w:t>Examining</w:t>
      </w:r>
      <w:r w:rsidR="00BB0E0C" w:rsidRPr="004D5943">
        <w:rPr>
          <w:rFonts w:cs="Arial"/>
          <w:b/>
          <w:bCs/>
          <w:color w:val="0D0D0D" w:themeColor="text1" w:themeTint="F2"/>
          <w:szCs w:val="23"/>
        </w:rPr>
        <w:t xml:space="preserve"> the Correlations Between Male Suicide, Self-Injury, and </w:t>
      </w:r>
      <w:r w:rsidR="00BA0D6B" w:rsidRPr="004D5943">
        <w:rPr>
          <w:rFonts w:cs="Arial"/>
          <w:b/>
          <w:bCs/>
          <w:color w:val="0D0D0D" w:themeColor="text1" w:themeTint="F2"/>
          <w:szCs w:val="23"/>
        </w:rPr>
        <w:t>E</w:t>
      </w:r>
      <w:r w:rsidR="00334DB8" w:rsidRPr="004D5943">
        <w:rPr>
          <w:rFonts w:cs="Arial"/>
          <w:b/>
          <w:bCs/>
          <w:color w:val="0D0D0D" w:themeColor="text1" w:themeTint="F2"/>
          <w:szCs w:val="23"/>
        </w:rPr>
        <w:t>ating</w:t>
      </w:r>
      <w:r w:rsidRPr="004D5943">
        <w:rPr>
          <w:rFonts w:cs="Arial"/>
          <w:b/>
          <w:bCs/>
          <w:color w:val="0D0D0D" w:themeColor="text1" w:themeTint="F2"/>
          <w:szCs w:val="23"/>
        </w:rPr>
        <w:t>-</w:t>
      </w:r>
      <w:r w:rsidR="00BA0D6B" w:rsidRPr="004D5943">
        <w:rPr>
          <w:rFonts w:cs="Arial"/>
          <w:b/>
          <w:bCs/>
          <w:color w:val="0D0D0D" w:themeColor="text1" w:themeTint="F2"/>
          <w:szCs w:val="23"/>
        </w:rPr>
        <w:t>D</w:t>
      </w:r>
      <w:r w:rsidR="00334DB8" w:rsidRPr="004D5943">
        <w:rPr>
          <w:rFonts w:cs="Arial"/>
          <w:b/>
          <w:bCs/>
          <w:color w:val="0D0D0D" w:themeColor="text1" w:themeTint="F2"/>
          <w:szCs w:val="23"/>
        </w:rPr>
        <w:t>isorders</w:t>
      </w:r>
      <w:r w:rsidR="00BB0E0C" w:rsidRPr="004D5943">
        <w:rPr>
          <w:rFonts w:cs="Arial"/>
          <w:b/>
          <w:bCs/>
          <w:color w:val="0D0D0D" w:themeColor="text1" w:themeTint="F2"/>
          <w:szCs w:val="23"/>
        </w:rPr>
        <w:t xml:space="preserve"> in Women: </w:t>
      </w:r>
      <w:r w:rsidR="00BA6506" w:rsidRPr="004D5943">
        <w:rPr>
          <w:rFonts w:cs="Arial"/>
          <w:b/>
          <w:bCs/>
          <w:color w:val="0D0D0D" w:themeColor="text1" w:themeTint="F2"/>
          <w:szCs w:val="23"/>
        </w:rPr>
        <w:t xml:space="preserve">An </w:t>
      </w:r>
      <w:r w:rsidR="00F05CC3" w:rsidRPr="004D5943">
        <w:rPr>
          <w:rFonts w:cs="Arial"/>
          <w:b/>
          <w:bCs/>
          <w:color w:val="0D0D0D" w:themeColor="text1" w:themeTint="F2"/>
          <w:szCs w:val="23"/>
        </w:rPr>
        <w:t>Analytical Report on Gender Inequality</w:t>
      </w:r>
    </w:p>
    <w:p w14:paraId="431DA267" w14:textId="77777777" w:rsidR="00693BF7" w:rsidRPr="004D5943" w:rsidRDefault="00693BF7" w:rsidP="00237D7C">
      <w:pPr>
        <w:spacing w:line="360" w:lineRule="auto"/>
        <w:rPr>
          <w:rFonts w:cs="Arial"/>
          <w:b/>
          <w:bCs/>
          <w:color w:val="0D0D0D" w:themeColor="text1" w:themeTint="F2"/>
          <w:szCs w:val="23"/>
        </w:rPr>
      </w:pPr>
    </w:p>
    <w:p w14:paraId="185B4C1A" w14:textId="09B014E1" w:rsidR="00622E97" w:rsidRPr="004D5943" w:rsidRDefault="00583849" w:rsidP="00237D7C">
      <w:pPr>
        <w:spacing w:line="360" w:lineRule="auto"/>
        <w:rPr>
          <w:rFonts w:cs="Arial"/>
          <w:b/>
          <w:bCs/>
          <w:color w:val="0D0D0D" w:themeColor="text1" w:themeTint="F2"/>
          <w:szCs w:val="23"/>
        </w:rPr>
      </w:pPr>
      <w:r w:rsidRPr="004D5943">
        <w:rPr>
          <w:rFonts w:cs="Arial"/>
          <w:b/>
          <w:bCs/>
          <w:color w:val="0D0D0D" w:themeColor="text1" w:themeTint="F2"/>
          <w:szCs w:val="23"/>
        </w:rPr>
        <w:t>I</w:t>
      </w:r>
      <w:r w:rsidRPr="004D5943">
        <w:rPr>
          <w:rFonts w:cs="Arial"/>
          <w:b/>
          <w:bCs/>
          <w:color w:val="0D0D0D" w:themeColor="text1" w:themeTint="F2"/>
          <w:szCs w:val="23"/>
        </w:rPr>
        <w:t>ntroduction</w:t>
      </w:r>
    </w:p>
    <w:p w14:paraId="1365D908" w14:textId="619481BF" w:rsidR="00CE280D" w:rsidRPr="004D5943" w:rsidRDefault="00265F3C" w:rsidP="00237D7C">
      <w:pPr>
        <w:spacing w:line="360" w:lineRule="auto"/>
        <w:rPr>
          <w:rFonts w:cs="Arial"/>
          <w:color w:val="0D0D0D" w:themeColor="text1" w:themeTint="F2"/>
          <w:szCs w:val="23"/>
        </w:rPr>
      </w:pPr>
      <w:r w:rsidRPr="004D5943">
        <w:rPr>
          <w:rFonts w:cs="Arial"/>
          <w:color w:val="0D0D0D" w:themeColor="text1" w:themeTint="F2"/>
          <w:szCs w:val="23"/>
        </w:rPr>
        <w:t xml:space="preserve">Male suicide, defined as death from intentional self-harm, accounts for 73.9% of all suicides in England and Wales between 2011–2021 (Ward </w:t>
      </w:r>
      <w:r w:rsidRPr="004D5943">
        <w:rPr>
          <w:rFonts w:cs="Arial"/>
          <w:i/>
          <w:iCs/>
          <w:color w:val="0D0D0D" w:themeColor="text1" w:themeTint="F2"/>
          <w:szCs w:val="23"/>
        </w:rPr>
        <w:t>et al.,</w:t>
      </w:r>
      <w:r w:rsidRPr="004D5943">
        <w:rPr>
          <w:rFonts w:cs="Arial"/>
          <w:color w:val="0D0D0D" w:themeColor="text1" w:themeTint="F2"/>
          <w:szCs w:val="23"/>
        </w:rPr>
        <w:t xml:space="preserve"> 2024). Warning signs include suicide ideation, planning, and withdrawal (Knipe </w:t>
      </w:r>
      <w:r w:rsidRPr="004D5943">
        <w:rPr>
          <w:rFonts w:cs="Arial"/>
          <w:i/>
          <w:iCs/>
          <w:color w:val="0D0D0D" w:themeColor="text1" w:themeTint="F2"/>
          <w:szCs w:val="23"/>
        </w:rPr>
        <w:t xml:space="preserve">et al., </w:t>
      </w:r>
      <w:r w:rsidRPr="004D5943">
        <w:rPr>
          <w:rFonts w:cs="Arial"/>
          <w:color w:val="0D0D0D" w:themeColor="text1" w:themeTint="F2"/>
          <w:szCs w:val="23"/>
        </w:rPr>
        <w:t xml:space="preserve">2022). While men have a higher tendency for suicide (Ward </w:t>
      </w:r>
      <w:r w:rsidRPr="004D5943">
        <w:rPr>
          <w:rFonts w:cs="Arial"/>
          <w:i/>
          <w:iCs/>
          <w:color w:val="0D0D0D" w:themeColor="text1" w:themeTint="F2"/>
          <w:szCs w:val="23"/>
        </w:rPr>
        <w:t>et al.</w:t>
      </w:r>
      <w:r w:rsidRPr="004D5943">
        <w:rPr>
          <w:rFonts w:cs="Arial"/>
          <w:color w:val="0D0D0D" w:themeColor="text1" w:themeTint="F2"/>
          <w:szCs w:val="23"/>
        </w:rPr>
        <w:t xml:space="preserve"> 2024), women exhibit increased rates of non-fatal self-harm (Clements et al. 2025), defined as deliberate self-injury irrespective of intent. Among middle-aged women, 435 out of 100,000 engage in non-fatal self-harm (Clements </w:t>
      </w:r>
      <w:r w:rsidRPr="004D5943">
        <w:rPr>
          <w:rFonts w:cs="Arial"/>
          <w:i/>
          <w:iCs/>
          <w:color w:val="0D0D0D" w:themeColor="text1" w:themeTint="F2"/>
          <w:szCs w:val="23"/>
        </w:rPr>
        <w:t>et al.</w:t>
      </w:r>
      <w:r w:rsidRPr="004D5943">
        <w:rPr>
          <w:rFonts w:cs="Arial"/>
          <w:color w:val="0D0D0D" w:themeColor="text1" w:themeTint="F2"/>
          <w:szCs w:val="23"/>
        </w:rPr>
        <w:t xml:space="preserve"> 2025), a figure even more prevalent among younger populations (NHS, 2025). Eating disorders, marked by disruptions in eating patterns and body image, contribute to self-harm and have the highest fatality rate of any psychiatric disorder (NICE, 2024</w:t>
      </w:r>
      <w:r w:rsidR="001C4807" w:rsidRPr="004D5943">
        <w:rPr>
          <w:rFonts w:cs="Arial"/>
          <w:color w:val="0D0D0D" w:themeColor="text1" w:themeTint="F2"/>
          <w:szCs w:val="23"/>
        </w:rPr>
        <w:t xml:space="preserve">; </w:t>
      </w:r>
      <w:r w:rsidR="001C4807" w:rsidRPr="004D5943">
        <w:rPr>
          <w:rFonts w:cs="Arial"/>
          <w:color w:val="0D0D0D" w:themeColor="text1" w:themeTint="F2"/>
          <w:szCs w:val="23"/>
        </w:rPr>
        <w:t xml:space="preserve">Morgan, </w:t>
      </w:r>
      <w:r w:rsidR="001C4807" w:rsidRPr="004D5943">
        <w:rPr>
          <w:rFonts w:cs="Arial"/>
          <w:i/>
          <w:iCs/>
          <w:color w:val="0D0D0D" w:themeColor="text1" w:themeTint="F2"/>
          <w:szCs w:val="23"/>
        </w:rPr>
        <w:t>et al.,</w:t>
      </w:r>
      <w:r w:rsidR="001C4807" w:rsidRPr="004D5943">
        <w:rPr>
          <w:rFonts w:cs="Arial"/>
          <w:color w:val="0D0D0D" w:themeColor="text1" w:themeTint="F2"/>
          <w:szCs w:val="23"/>
        </w:rPr>
        <w:t xml:space="preserve"> 2025</w:t>
      </w:r>
      <w:r w:rsidRPr="004D5943">
        <w:rPr>
          <w:rFonts w:cs="Arial"/>
          <w:color w:val="0D0D0D" w:themeColor="text1" w:themeTint="F2"/>
          <w:szCs w:val="23"/>
        </w:rPr>
        <w:t>).</w:t>
      </w:r>
      <w:r w:rsidR="00622E97" w:rsidRPr="004D5943">
        <w:rPr>
          <w:rFonts w:cs="Arial"/>
          <w:color w:val="0D0D0D" w:themeColor="text1" w:themeTint="F2"/>
          <w:szCs w:val="23"/>
        </w:rPr>
        <w:t xml:space="preserve"> </w:t>
      </w:r>
      <w:r w:rsidR="00CE280D" w:rsidRPr="004D5943">
        <w:rPr>
          <w:rFonts w:cs="Arial"/>
          <w:color w:val="0D0D0D" w:themeColor="text1" w:themeTint="F2"/>
          <w:szCs w:val="23"/>
        </w:rPr>
        <w:t>This research will analyse epidemiological data and gender-specific trends in mental health, concentrating on male suicide and self-harm and eating disorders, which predominantly affect females.</w:t>
      </w:r>
      <w:r w:rsidR="00CA7AEE" w:rsidRPr="004D5943">
        <w:rPr>
          <w:rFonts w:cs="Arial"/>
          <w:color w:val="0D0D0D" w:themeColor="text1" w:themeTint="F2"/>
          <w:szCs w:val="23"/>
        </w:rPr>
        <w:t xml:space="preserve"> </w:t>
      </w:r>
      <w:r w:rsidR="00CA7AEE" w:rsidRPr="004D5943">
        <w:rPr>
          <w:rFonts w:cs="Arial"/>
          <w:color w:val="0D0D0D" w:themeColor="text1" w:themeTint="F2"/>
          <w:szCs w:val="23"/>
        </w:rPr>
        <w:t xml:space="preserve">UK national responses will </w:t>
      </w:r>
      <w:r w:rsidR="00CA7AEE" w:rsidRPr="004D5943">
        <w:rPr>
          <w:rFonts w:cs="Arial"/>
          <w:color w:val="0D0D0D" w:themeColor="text1" w:themeTint="F2"/>
          <w:szCs w:val="23"/>
        </w:rPr>
        <w:t xml:space="preserve">also </w:t>
      </w:r>
      <w:r w:rsidR="00CA7AEE" w:rsidRPr="004D5943">
        <w:rPr>
          <w:rFonts w:cs="Arial"/>
          <w:color w:val="0D0D0D" w:themeColor="text1" w:themeTint="F2"/>
          <w:szCs w:val="23"/>
        </w:rPr>
        <w:t>be evaluated, including organisational initiatives</w:t>
      </w:r>
      <w:r w:rsidR="00FF31B5" w:rsidRPr="004D5943">
        <w:rPr>
          <w:rFonts w:cs="Arial"/>
          <w:color w:val="0D0D0D" w:themeColor="text1" w:themeTint="F2"/>
          <w:szCs w:val="23"/>
        </w:rPr>
        <w:t xml:space="preserve"> such as </w:t>
      </w:r>
      <w:r w:rsidR="00CA7AEE" w:rsidRPr="004D5943">
        <w:rPr>
          <w:rFonts w:cs="Arial"/>
          <w:color w:val="0D0D0D" w:themeColor="text1" w:themeTint="F2"/>
          <w:szCs w:val="23"/>
        </w:rPr>
        <w:t>CALM</w:t>
      </w:r>
      <w:r w:rsidR="00FF31B5" w:rsidRPr="004D5943">
        <w:rPr>
          <w:rFonts w:cs="Arial"/>
          <w:color w:val="0D0D0D" w:themeColor="text1" w:themeTint="F2"/>
          <w:szCs w:val="23"/>
        </w:rPr>
        <w:t>,</w:t>
      </w:r>
      <w:r w:rsidR="00CA7AEE" w:rsidRPr="004D5943">
        <w:rPr>
          <w:rFonts w:cs="Arial"/>
          <w:color w:val="0D0D0D" w:themeColor="text1" w:themeTint="F2"/>
          <w:szCs w:val="23"/>
        </w:rPr>
        <w:t xml:space="preserve"> Beat and SIFT.  </w:t>
      </w:r>
    </w:p>
    <w:p w14:paraId="6E6DE080" w14:textId="77777777" w:rsidR="009B7C7F" w:rsidRPr="004D5943" w:rsidRDefault="009B7C7F" w:rsidP="00237D7C">
      <w:pPr>
        <w:spacing w:line="360" w:lineRule="auto"/>
        <w:rPr>
          <w:rFonts w:cs="Arial"/>
          <w:color w:val="0D0D0D" w:themeColor="text1" w:themeTint="F2"/>
          <w:szCs w:val="23"/>
        </w:rPr>
      </w:pPr>
    </w:p>
    <w:p w14:paraId="271D4949" w14:textId="77777777" w:rsidR="00103054" w:rsidRPr="004D5943" w:rsidRDefault="00103054" w:rsidP="00237D7C">
      <w:pPr>
        <w:spacing w:line="360" w:lineRule="auto"/>
        <w:rPr>
          <w:rFonts w:cs="Arial"/>
          <w:b/>
          <w:bCs/>
          <w:color w:val="0D0D0D" w:themeColor="text1" w:themeTint="F2"/>
          <w:szCs w:val="23"/>
        </w:rPr>
      </w:pPr>
      <w:r w:rsidRPr="004D5943">
        <w:rPr>
          <w:rFonts w:cs="Arial"/>
          <w:b/>
          <w:bCs/>
          <w:color w:val="0D0D0D" w:themeColor="text1" w:themeTint="F2"/>
          <w:szCs w:val="23"/>
        </w:rPr>
        <w:t>Stigma avoidance and masculine norms are key drivers to male suicide.</w:t>
      </w:r>
    </w:p>
    <w:p w14:paraId="5128D918" w14:textId="77777777" w:rsidR="00103054" w:rsidRPr="004D5943" w:rsidRDefault="00103054" w:rsidP="00237D7C">
      <w:pPr>
        <w:spacing w:line="360" w:lineRule="auto"/>
        <w:rPr>
          <w:rFonts w:cs="Arial"/>
          <w:color w:val="0D0D0D" w:themeColor="text1" w:themeTint="F2"/>
          <w:szCs w:val="23"/>
        </w:rPr>
      </w:pPr>
    </w:p>
    <w:p w14:paraId="0674C1B1" w14:textId="77777777" w:rsidR="009E0C65" w:rsidRPr="004D5943" w:rsidRDefault="00580D10" w:rsidP="00237D7C">
      <w:pPr>
        <w:spacing w:line="360" w:lineRule="auto"/>
        <w:rPr>
          <w:rFonts w:cs="Arial"/>
          <w:b/>
          <w:bCs/>
          <w:color w:val="0D0D0D" w:themeColor="text1" w:themeTint="F2"/>
          <w:szCs w:val="23"/>
        </w:rPr>
      </w:pPr>
      <w:r w:rsidRPr="004D5943">
        <w:rPr>
          <w:rFonts w:cs="Arial"/>
          <w:b/>
          <w:bCs/>
          <w:color w:val="0D0D0D" w:themeColor="text1" w:themeTint="F2"/>
          <w:szCs w:val="23"/>
        </w:rPr>
        <w:t>Social challenges</w:t>
      </w:r>
    </w:p>
    <w:p w14:paraId="2C96E07D" w14:textId="71633853" w:rsidR="009B7C7F" w:rsidRPr="004D5943" w:rsidRDefault="009B7C7F" w:rsidP="00237D7C">
      <w:pPr>
        <w:spacing w:line="360" w:lineRule="auto"/>
        <w:rPr>
          <w:rFonts w:cs="Arial"/>
          <w:color w:val="0D0D0D" w:themeColor="text1" w:themeTint="F2"/>
          <w:szCs w:val="23"/>
        </w:rPr>
      </w:pPr>
      <w:r w:rsidRPr="004D5943">
        <w:rPr>
          <w:rFonts w:cs="Arial"/>
          <w:color w:val="0D0D0D" w:themeColor="text1" w:themeTint="F2"/>
          <w:szCs w:val="23"/>
        </w:rPr>
        <w:t xml:space="preserve">According to O'Donnell </w:t>
      </w:r>
      <w:r w:rsidRPr="004D5943">
        <w:rPr>
          <w:rFonts w:cs="Arial"/>
          <w:i/>
          <w:iCs/>
          <w:color w:val="0D0D0D" w:themeColor="text1" w:themeTint="F2"/>
          <w:szCs w:val="23"/>
        </w:rPr>
        <w:t>et al.</w:t>
      </w:r>
      <w:r w:rsidRPr="004D5943">
        <w:rPr>
          <w:rFonts w:cs="Arial"/>
          <w:color w:val="0D0D0D" w:themeColor="text1" w:themeTint="F2"/>
          <w:szCs w:val="23"/>
        </w:rPr>
        <w:t xml:space="preserve"> (2025), societal expectations of male emotional restraint and self-sufficiency can lead to stigma, reduced suicide literacy, and discouraged help-seeking, ultimately preventing</w:t>
      </w:r>
      <w:r w:rsidR="00FE45CF" w:rsidRPr="004D5943">
        <w:rPr>
          <w:rFonts w:cs="Arial"/>
          <w:color w:val="0D0D0D" w:themeColor="text1" w:themeTint="F2"/>
          <w:szCs w:val="23"/>
        </w:rPr>
        <w:t xml:space="preserve"> </w:t>
      </w:r>
      <w:r w:rsidRPr="004D5943">
        <w:rPr>
          <w:rFonts w:cs="Arial"/>
          <w:color w:val="0D0D0D" w:themeColor="text1" w:themeTint="F2"/>
          <w:szCs w:val="23"/>
        </w:rPr>
        <w:t>emotional openness</w:t>
      </w:r>
      <w:r w:rsidR="00FE45CF" w:rsidRPr="004D5943">
        <w:rPr>
          <w:rFonts w:cs="Arial"/>
          <w:color w:val="0D0D0D" w:themeColor="text1" w:themeTint="F2"/>
          <w:szCs w:val="23"/>
        </w:rPr>
        <w:t xml:space="preserve"> in men</w:t>
      </w:r>
      <w:r w:rsidR="0071418C" w:rsidRPr="004D5943">
        <w:rPr>
          <w:rFonts w:cs="Arial"/>
          <w:color w:val="0D0D0D" w:themeColor="text1" w:themeTint="F2"/>
          <w:szCs w:val="23"/>
        </w:rPr>
        <w:t xml:space="preserve"> for fear of being weak</w:t>
      </w:r>
      <w:r w:rsidRPr="004D5943">
        <w:rPr>
          <w:rFonts w:cs="Arial"/>
          <w:color w:val="0D0D0D" w:themeColor="text1" w:themeTint="F2"/>
          <w:szCs w:val="23"/>
        </w:rPr>
        <w:t>.</w:t>
      </w:r>
      <w:r w:rsidRPr="004D5943">
        <w:rPr>
          <w:rFonts w:cs="Arial"/>
          <w:color w:val="0D0D0D" w:themeColor="text1" w:themeTint="F2"/>
          <w:szCs w:val="23"/>
        </w:rPr>
        <w:t xml:space="preserve"> </w:t>
      </w:r>
      <w:r w:rsidR="00853D18" w:rsidRPr="004D5943">
        <w:rPr>
          <w:rFonts w:cs="Arial"/>
          <w:color w:val="0D0D0D" w:themeColor="text1" w:themeTint="F2"/>
          <w:szCs w:val="23"/>
        </w:rPr>
        <w:t>Furthermore</w:t>
      </w:r>
      <w:r w:rsidR="00853D18" w:rsidRPr="004D5943">
        <w:rPr>
          <w:rFonts w:cs="Arial"/>
          <w:color w:val="0D0D0D" w:themeColor="text1" w:themeTint="F2"/>
          <w:szCs w:val="23"/>
        </w:rPr>
        <w:t>, the interplay of unemployment, financial constraints, and bigotry may be poorly examined in existing data (</w:t>
      </w:r>
      <w:proofErr w:type="spellStart"/>
      <w:r w:rsidR="00853D18" w:rsidRPr="004D5943">
        <w:rPr>
          <w:rFonts w:cs="Arial"/>
          <w:color w:val="0D0D0D" w:themeColor="text1" w:themeTint="F2"/>
          <w:szCs w:val="23"/>
        </w:rPr>
        <w:t>Arowosegbe</w:t>
      </w:r>
      <w:proofErr w:type="spellEnd"/>
      <w:r w:rsidR="00853D18" w:rsidRPr="004D5943">
        <w:rPr>
          <w:rFonts w:cs="Arial"/>
          <w:color w:val="0D0D0D" w:themeColor="text1" w:themeTint="F2"/>
          <w:szCs w:val="23"/>
        </w:rPr>
        <w:t xml:space="preserve"> and </w:t>
      </w:r>
      <w:proofErr w:type="spellStart"/>
      <w:r w:rsidR="00853D18" w:rsidRPr="004D5943">
        <w:rPr>
          <w:rFonts w:cs="Arial"/>
          <w:color w:val="0D0D0D" w:themeColor="text1" w:themeTint="F2"/>
          <w:szCs w:val="23"/>
        </w:rPr>
        <w:t>Oyelade</w:t>
      </w:r>
      <w:proofErr w:type="spellEnd"/>
      <w:r w:rsidR="00853D18" w:rsidRPr="004D5943">
        <w:rPr>
          <w:rFonts w:cs="Arial"/>
          <w:color w:val="0D0D0D" w:themeColor="text1" w:themeTint="F2"/>
          <w:szCs w:val="23"/>
        </w:rPr>
        <w:t>, 2023; GBD 2021 Suicide Collaborators, 2025).</w:t>
      </w:r>
      <w:r w:rsidR="00853D18" w:rsidRPr="004D5943">
        <w:rPr>
          <w:rFonts w:cs="Arial"/>
          <w:color w:val="0D0D0D" w:themeColor="text1" w:themeTint="F2"/>
          <w:szCs w:val="23"/>
        </w:rPr>
        <w:t xml:space="preserve"> </w:t>
      </w:r>
    </w:p>
    <w:p w14:paraId="2CB82C59" w14:textId="77777777" w:rsidR="00670439" w:rsidRPr="004D5943" w:rsidRDefault="00670439" w:rsidP="00237D7C">
      <w:pPr>
        <w:spacing w:line="360" w:lineRule="auto"/>
        <w:rPr>
          <w:rFonts w:cs="Arial"/>
          <w:b/>
          <w:bCs/>
          <w:color w:val="0D0D0D" w:themeColor="text1" w:themeTint="F2"/>
          <w:szCs w:val="23"/>
        </w:rPr>
      </w:pPr>
    </w:p>
    <w:p w14:paraId="560A807F" w14:textId="77777777" w:rsidR="009E0C65" w:rsidRPr="004D5943" w:rsidRDefault="00F84574" w:rsidP="00237D7C">
      <w:pPr>
        <w:spacing w:line="360" w:lineRule="auto"/>
        <w:rPr>
          <w:rFonts w:cs="Arial"/>
          <w:b/>
          <w:bCs/>
          <w:color w:val="0D0D0D" w:themeColor="text1" w:themeTint="F2"/>
          <w:szCs w:val="23"/>
        </w:rPr>
      </w:pPr>
      <w:r w:rsidRPr="004D5943">
        <w:rPr>
          <w:rFonts w:cs="Arial"/>
          <w:b/>
          <w:bCs/>
          <w:color w:val="0D0D0D" w:themeColor="text1" w:themeTint="F2"/>
          <w:szCs w:val="23"/>
        </w:rPr>
        <w:t>Statistics</w:t>
      </w:r>
    </w:p>
    <w:p w14:paraId="0F4AD37C" w14:textId="63BDDBCC" w:rsidR="009E0C65" w:rsidRPr="004D5943" w:rsidRDefault="009D1ACD" w:rsidP="00237D7C">
      <w:pPr>
        <w:spacing w:line="360" w:lineRule="auto"/>
        <w:rPr>
          <w:rFonts w:cs="Arial"/>
          <w:color w:val="0D0D0D" w:themeColor="text1" w:themeTint="F2"/>
          <w:szCs w:val="23"/>
        </w:rPr>
      </w:pPr>
      <w:r w:rsidRPr="004D5943">
        <w:rPr>
          <w:rFonts w:cs="Arial"/>
          <w:color w:val="0D0D0D" w:themeColor="text1" w:themeTint="F2"/>
          <w:szCs w:val="23"/>
        </w:rPr>
        <w:t xml:space="preserve">Over five thousand male suicides occur annually in the UK, </w:t>
      </w:r>
      <w:r w:rsidR="00382086" w:rsidRPr="004D5943">
        <w:rPr>
          <w:rFonts w:cs="Arial"/>
          <w:color w:val="0D0D0D" w:themeColor="text1" w:themeTint="F2"/>
          <w:szCs w:val="23"/>
        </w:rPr>
        <w:t xml:space="preserve">73.9% of all suicides </w:t>
      </w:r>
      <w:r w:rsidR="00E97B32" w:rsidRPr="004D5943">
        <w:rPr>
          <w:rFonts w:cs="Arial"/>
          <w:color w:val="0D0D0D" w:themeColor="text1" w:themeTint="F2"/>
          <w:szCs w:val="23"/>
        </w:rPr>
        <w:t xml:space="preserve">are men, </w:t>
      </w:r>
      <w:r w:rsidRPr="004D5943">
        <w:rPr>
          <w:rFonts w:cs="Arial"/>
          <w:color w:val="0D0D0D" w:themeColor="text1" w:themeTint="F2"/>
          <w:szCs w:val="23"/>
        </w:rPr>
        <w:t>a figure often intensified by pervasive societal masculine pressures that systematically hinder help-seeking behaviours (</w:t>
      </w:r>
      <w:proofErr w:type="spellStart"/>
      <w:r w:rsidRPr="004D5943">
        <w:rPr>
          <w:rFonts w:cs="Arial"/>
          <w:color w:val="0D0D0D" w:themeColor="text1" w:themeTint="F2"/>
          <w:szCs w:val="23"/>
        </w:rPr>
        <w:t>Arowosegbe</w:t>
      </w:r>
      <w:proofErr w:type="spellEnd"/>
      <w:r w:rsidRPr="004D5943">
        <w:rPr>
          <w:rFonts w:cs="Arial"/>
          <w:color w:val="0D0D0D" w:themeColor="text1" w:themeTint="F2"/>
          <w:szCs w:val="23"/>
        </w:rPr>
        <w:t xml:space="preserve"> and </w:t>
      </w:r>
      <w:proofErr w:type="spellStart"/>
      <w:r w:rsidRPr="004D5943">
        <w:rPr>
          <w:rFonts w:cs="Arial"/>
          <w:color w:val="0D0D0D" w:themeColor="text1" w:themeTint="F2"/>
          <w:szCs w:val="23"/>
        </w:rPr>
        <w:t>Oyelade</w:t>
      </w:r>
      <w:proofErr w:type="spellEnd"/>
      <w:r w:rsidRPr="004D5943">
        <w:rPr>
          <w:rFonts w:cs="Arial"/>
          <w:color w:val="0D0D0D" w:themeColor="text1" w:themeTint="F2"/>
          <w:szCs w:val="23"/>
        </w:rPr>
        <w:t xml:space="preserve">, 2023).  </w:t>
      </w:r>
      <w:r w:rsidR="00F84574" w:rsidRPr="004D5943">
        <w:rPr>
          <w:rFonts w:cs="Arial"/>
          <w:color w:val="0D0D0D" w:themeColor="text1" w:themeTint="F2"/>
          <w:szCs w:val="23"/>
        </w:rPr>
        <w:t xml:space="preserve">Globally, 519,000 male suicides occurred in 2021 (GBD 2021 Suicide Collaborators, 2025). </w:t>
      </w:r>
      <w:r w:rsidR="00A211BE" w:rsidRPr="004D5943">
        <w:rPr>
          <w:rFonts w:cs="Arial"/>
          <w:color w:val="0D0D0D" w:themeColor="text1" w:themeTint="F2"/>
          <w:szCs w:val="23"/>
        </w:rPr>
        <w:t>These data reveal a significant public health failure, entrenched masculine stereotypes continue to produce preventable deaths</w:t>
      </w:r>
      <w:r w:rsidR="00A52F0F" w:rsidRPr="004D5943">
        <w:rPr>
          <w:rFonts w:cs="Arial"/>
          <w:color w:val="0D0D0D" w:themeColor="text1" w:themeTint="F2"/>
          <w:szCs w:val="23"/>
        </w:rPr>
        <w:t>.</w:t>
      </w:r>
      <w:r w:rsidR="00F05FBB" w:rsidRPr="004D5943">
        <w:rPr>
          <w:rFonts w:cs="Arial"/>
          <w:color w:val="0D0D0D" w:themeColor="text1" w:themeTint="F2"/>
          <w:szCs w:val="23"/>
        </w:rPr>
        <w:t xml:space="preserve"> </w:t>
      </w:r>
    </w:p>
    <w:p w14:paraId="1D513074" w14:textId="77777777" w:rsidR="009E0C65" w:rsidRPr="004D5943" w:rsidRDefault="00581E46" w:rsidP="00237D7C">
      <w:pPr>
        <w:spacing w:line="360" w:lineRule="auto"/>
        <w:rPr>
          <w:rFonts w:cs="Arial"/>
          <w:b/>
          <w:bCs/>
          <w:color w:val="0D0D0D" w:themeColor="text1" w:themeTint="F2"/>
          <w:szCs w:val="23"/>
        </w:rPr>
      </w:pPr>
      <w:r w:rsidRPr="004D5943">
        <w:rPr>
          <w:rFonts w:cs="Arial"/>
          <w:b/>
          <w:bCs/>
          <w:color w:val="0D0D0D" w:themeColor="text1" w:themeTint="F2"/>
          <w:szCs w:val="23"/>
        </w:rPr>
        <w:lastRenderedPageBreak/>
        <w:t>National Responses</w:t>
      </w:r>
    </w:p>
    <w:p w14:paraId="7AE0E10B" w14:textId="7FE55DEC" w:rsidR="00581E46" w:rsidRPr="004D5943" w:rsidRDefault="00581E46" w:rsidP="00237D7C">
      <w:pPr>
        <w:spacing w:line="360" w:lineRule="auto"/>
        <w:rPr>
          <w:rFonts w:cs="Arial"/>
          <w:color w:val="0D0D0D" w:themeColor="text1" w:themeTint="F2"/>
          <w:szCs w:val="23"/>
        </w:rPr>
      </w:pPr>
      <w:r w:rsidRPr="004D5943">
        <w:rPr>
          <w:rFonts w:cs="Arial"/>
          <w:color w:val="0D0D0D" w:themeColor="text1" w:themeTint="F2"/>
          <w:szCs w:val="23"/>
        </w:rPr>
        <w:t xml:space="preserve"> Effective prevention strategies, including the Stay Alive app, awareness initiatives, and peer support networks like Andy's Man Club, helped reduce annual suicides by an estimated 20% in the London Borough of Barnet (</w:t>
      </w:r>
      <w:proofErr w:type="spellStart"/>
      <w:r w:rsidRPr="004D5943">
        <w:rPr>
          <w:rFonts w:cs="Arial"/>
          <w:color w:val="0D0D0D" w:themeColor="text1" w:themeTint="F2"/>
          <w:szCs w:val="23"/>
        </w:rPr>
        <w:t>Chabé</w:t>
      </w:r>
      <w:proofErr w:type="spellEnd"/>
      <w:r w:rsidRPr="004D5943">
        <w:rPr>
          <w:rFonts w:cs="Arial"/>
          <w:color w:val="0D0D0D" w:themeColor="text1" w:themeTint="F2"/>
          <w:szCs w:val="23"/>
        </w:rPr>
        <w:t>-Ferret and Marzano, 2025). Organisations such as CALM also provide suicide prevention support for men (CALM, 2025). Yet support remains inadequate, interventions must address the structural factors undermining men's well-being and offer support systems that resonate with masculine identity, including men's groups and practical assistance (Price, 2025).</w:t>
      </w:r>
    </w:p>
    <w:p w14:paraId="365AD11C" w14:textId="77777777" w:rsidR="00581E46" w:rsidRPr="004D5943" w:rsidRDefault="00581E46" w:rsidP="00237D7C">
      <w:pPr>
        <w:spacing w:line="360" w:lineRule="auto"/>
        <w:rPr>
          <w:rFonts w:cs="Arial"/>
          <w:color w:val="0D0D0D" w:themeColor="text1" w:themeTint="F2"/>
          <w:szCs w:val="23"/>
        </w:rPr>
      </w:pPr>
    </w:p>
    <w:p w14:paraId="078F2738" w14:textId="77777777" w:rsidR="00E051CF" w:rsidRPr="004D5943" w:rsidRDefault="00E051CF" w:rsidP="00237D7C">
      <w:pPr>
        <w:spacing w:line="360" w:lineRule="auto"/>
        <w:rPr>
          <w:rFonts w:cs="Arial"/>
          <w:b/>
          <w:bCs/>
          <w:color w:val="0D0D0D" w:themeColor="text1" w:themeTint="F2"/>
          <w:szCs w:val="23"/>
        </w:rPr>
      </w:pPr>
      <w:r w:rsidRPr="004D5943">
        <w:rPr>
          <w:rFonts w:cs="Arial"/>
          <w:b/>
          <w:bCs/>
          <w:color w:val="0D0D0D" w:themeColor="text1" w:themeTint="F2"/>
          <w:szCs w:val="23"/>
        </w:rPr>
        <w:t>Female Self-Harm: The Impact of Childhood Adversity</w:t>
      </w:r>
    </w:p>
    <w:p w14:paraId="19E033D6" w14:textId="77777777" w:rsidR="00E051CF" w:rsidRPr="004D5943" w:rsidRDefault="00E051CF" w:rsidP="00237D7C">
      <w:pPr>
        <w:spacing w:line="360" w:lineRule="auto"/>
        <w:rPr>
          <w:rFonts w:cs="Arial"/>
          <w:color w:val="0D0D0D" w:themeColor="text1" w:themeTint="F2"/>
          <w:szCs w:val="23"/>
        </w:rPr>
      </w:pPr>
    </w:p>
    <w:p w14:paraId="19EE5BFE" w14:textId="77777777" w:rsidR="005B67FE" w:rsidRPr="004D5943" w:rsidRDefault="00B50CE4" w:rsidP="00237D7C">
      <w:pPr>
        <w:spacing w:line="360" w:lineRule="auto"/>
        <w:rPr>
          <w:rFonts w:cs="Arial"/>
          <w:b/>
          <w:bCs/>
          <w:color w:val="0D0D0D" w:themeColor="text1" w:themeTint="F2"/>
          <w:szCs w:val="23"/>
        </w:rPr>
      </w:pPr>
      <w:r w:rsidRPr="004D5943">
        <w:rPr>
          <w:rFonts w:cs="Arial"/>
          <w:b/>
          <w:bCs/>
          <w:color w:val="0D0D0D" w:themeColor="text1" w:themeTint="F2"/>
          <w:szCs w:val="23"/>
        </w:rPr>
        <w:t>Social challenges</w:t>
      </w:r>
    </w:p>
    <w:p w14:paraId="2927C068" w14:textId="2E6560D0" w:rsidR="00E051CF" w:rsidRPr="004D5943" w:rsidRDefault="00E051CF" w:rsidP="00237D7C">
      <w:pPr>
        <w:spacing w:line="360" w:lineRule="auto"/>
        <w:rPr>
          <w:rFonts w:cs="Arial"/>
          <w:b/>
          <w:bCs/>
          <w:color w:val="0D0D0D" w:themeColor="text1" w:themeTint="F2"/>
          <w:szCs w:val="23"/>
        </w:rPr>
      </w:pPr>
      <w:r w:rsidRPr="004D5943">
        <w:rPr>
          <w:rFonts w:cs="Arial"/>
          <w:color w:val="0D0D0D" w:themeColor="text1" w:themeTint="F2"/>
          <w:szCs w:val="23"/>
        </w:rPr>
        <w:t xml:space="preserve">Non-suicidal self-injury (NSSI) </w:t>
      </w:r>
      <w:r w:rsidR="00D87FA5" w:rsidRPr="004D5943">
        <w:rPr>
          <w:rFonts w:cs="Arial"/>
          <w:color w:val="0D0D0D" w:themeColor="text1" w:themeTint="F2"/>
          <w:szCs w:val="23"/>
        </w:rPr>
        <w:t xml:space="preserve">is when an </w:t>
      </w:r>
      <w:r w:rsidR="00D87FA5" w:rsidRPr="004D5943">
        <w:rPr>
          <w:rFonts w:cs="Arial"/>
          <w:color w:val="0D0D0D" w:themeColor="text1" w:themeTint="F2"/>
          <w:szCs w:val="23"/>
        </w:rPr>
        <w:t>individual deliberately causes harm to their own body without any conscious desire to commit suicide</w:t>
      </w:r>
      <w:r w:rsidR="00D87FA5" w:rsidRPr="004D5943">
        <w:rPr>
          <w:rFonts w:cs="Arial"/>
          <w:color w:val="0D0D0D" w:themeColor="text1" w:themeTint="F2"/>
          <w:szCs w:val="23"/>
        </w:rPr>
        <w:t xml:space="preserve"> </w:t>
      </w:r>
      <w:r w:rsidR="00D87FA5" w:rsidRPr="004D5943">
        <w:rPr>
          <w:rFonts w:cs="Arial"/>
          <w:color w:val="0D0D0D" w:themeColor="text1" w:themeTint="F2"/>
          <w:szCs w:val="23"/>
        </w:rPr>
        <w:t xml:space="preserve">(Lane, </w:t>
      </w:r>
      <w:r w:rsidR="00332212" w:rsidRPr="004D5943">
        <w:rPr>
          <w:rFonts w:cs="Arial"/>
          <w:color w:val="0D0D0D" w:themeColor="text1" w:themeTint="F2"/>
          <w:szCs w:val="23"/>
        </w:rPr>
        <w:t>Merrick,</w:t>
      </w:r>
      <w:r w:rsidR="00D87FA5" w:rsidRPr="004D5943">
        <w:rPr>
          <w:rFonts w:cs="Arial"/>
          <w:color w:val="0D0D0D" w:themeColor="text1" w:themeTint="F2"/>
          <w:szCs w:val="23"/>
        </w:rPr>
        <w:t xml:space="preserve"> and Narayan, 2025).</w:t>
      </w:r>
      <w:r w:rsidR="00D87FA5" w:rsidRPr="004D5943">
        <w:rPr>
          <w:rFonts w:cs="Arial"/>
          <w:color w:val="0D0D0D" w:themeColor="text1" w:themeTint="F2"/>
          <w:szCs w:val="23"/>
        </w:rPr>
        <w:t xml:space="preserve"> </w:t>
      </w:r>
      <w:r w:rsidR="00E701E6" w:rsidRPr="004D5943">
        <w:rPr>
          <w:rFonts w:cs="Arial"/>
          <w:color w:val="0D0D0D" w:themeColor="text1" w:themeTint="F2"/>
          <w:szCs w:val="23"/>
        </w:rPr>
        <w:t>NSSI</w:t>
      </w:r>
      <w:r w:rsidR="00D87FA5" w:rsidRPr="004D5943">
        <w:rPr>
          <w:rFonts w:cs="Arial"/>
          <w:color w:val="0D0D0D" w:themeColor="text1" w:themeTint="F2"/>
          <w:szCs w:val="23"/>
        </w:rPr>
        <w:t xml:space="preserve"> </w:t>
      </w:r>
      <w:r w:rsidRPr="004D5943">
        <w:rPr>
          <w:rFonts w:cs="Arial"/>
          <w:color w:val="0D0D0D" w:themeColor="text1" w:themeTint="F2"/>
          <w:szCs w:val="23"/>
        </w:rPr>
        <w:t xml:space="preserve">arises from </w:t>
      </w:r>
      <w:r w:rsidR="00D87FA5" w:rsidRPr="004D5943">
        <w:rPr>
          <w:rFonts w:cs="Arial"/>
          <w:color w:val="0D0D0D" w:themeColor="text1" w:themeTint="F2"/>
          <w:szCs w:val="23"/>
        </w:rPr>
        <w:t xml:space="preserve">a </w:t>
      </w:r>
      <w:r w:rsidRPr="004D5943">
        <w:rPr>
          <w:rFonts w:cs="Arial"/>
          <w:color w:val="0D0D0D" w:themeColor="text1" w:themeTint="F2"/>
          <w:szCs w:val="23"/>
        </w:rPr>
        <w:t xml:space="preserve">complex childhood trauma, impaired emotional regulation, and psychiatric comorbidities, functioning as a maladaptive coping mechanism (Lane, </w:t>
      </w:r>
      <w:r w:rsidR="00332212" w:rsidRPr="004D5943">
        <w:rPr>
          <w:rFonts w:cs="Arial"/>
          <w:color w:val="0D0D0D" w:themeColor="text1" w:themeTint="F2"/>
          <w:szCs w:val="23"/>
        </w:rPr>
        <w:t>Merrick,</w:t>
      </w:r>
      <w:r w:rsidR="0044442E" w:rsidRPr="004D5943">
        <w:rPr>
          <w:rFonts w:cs="Arial"/>
          <w:color w:val="0D0D0D" w:themeColor="text1" w:themeTint="F2"/>
          <w:szCs w:val="23"/>
        </w:rPr>
        <w:t xml:space="preserve"> </w:t>
      </w:r>
      <w:r w:rsidRPr="004D5943">
        <w:rPr>
          <w:rFonts w:cs="Arial"/>
          <w:color w:val="0D0D0D" w:themeColor="text1" w:themeTint="F2"/>
          <w:szCs w:val="23"/>
        </w:rPr>
        <w:t xml:space="preserve">and Narayan, 2025).  </w:t>
      </w:r>
    </w:p>
    <w:p w14:paraId="481F84F7" w14:textId="77777777" w:rsidR="002C0329" w:rsidRPr="004D5943" w:rsidRDefault="002C0329" w:rsidP="00237D7C">
      <w:pPr>
        <w:spacing w:line="360" w:lineRule="auto"/>
        <w:rPr>
          <w:rFonts w:cs="Arial"/>
          <w:color w:val="0D0D0D" w:themeColor="text1" w:themeTint="F2"/>
          <w:szCs w:val="23"/>
        </w:rPr>
      </w:pPr>
    </w:p>
    <w:p w14:paraId="61806B77" w14:textId="4875AE4F" w:rsidR="00B87798" w:rsidRPr="004D5943" w:rsidRDefault="00E701E6" w:rsidP="00237D7C">
      <w:pPr>
        <w:spacing w:line="360" w:lineRule="auto"/>
        <w:rPr>
          <w:rFonts w:cs="Arial"/>
          <w:b/>
          <w:bCs/>
          <w:color w:val="0D0D0D" w:themeColor="text1" w:themeTint="F2"/>
          <w:szCs w:val="23"/>
        </w:rPr>
      </w:pPr>
      <w:r w:rsidRPr="004D5943">
        <w:rPr>
          <w:rFonts w:cs="Arial"/>
          <w:b/>
          <w:bCs/>
          <w:color w:val="0D0D0D" w:themeColor="text1" w:themeTint="F2"/>
          <w:szCs w:val="23"/>
        </w:rPr>
        <w:t>Statistics</w:t>
      </w:r>
    </w:p>
    <w:p w14:paraId="7EBAEF4D" w14:textId="7DCEA3CD" w:rsidR="00900284" w:rsidRPr="004D5943" w:rsidRDefault="00D442F1" w:rsidP="00237D7C">
      <w:pPr>
        <w:spacing w:line="360" w:lineRule="auto"/>
        <w:rPr>
          <w:rFonts w:cs="Arial"/>
          <w:color w:val="0D0D0D" w:themeColor="text1" w:themeTint="F2"/>
          <w:szCs w:val="23"/>
        </w:rPr>
      </w:pPr>
      <w:r w:rsidRPr="004D5943">
        <w:rPr>
          <w:rFonts w:cs="Arial"/>
          <w:color w:val="0D0D0D" w:themeColor="text1" w:themeTint="F2"/>
          <w:szCs w:val="23"/>
        </w:rPr>
        <w:t xml:space="preserve">Emergency departments in England receive 200,000 annual self-harm admissions, with 20% relapsing within a year (NICE, 2024). </w:t>
      </w:r>
      <w:r w:rsidR="005D55EF" w:rsidRPr="004D5943">
        <w:rPr>
          <w:rFonts w:cs="Arial"/>
          <w:color w:val="0D0D0D" w:themeColor="text1" w:themeTint="F2"/>
          <w:szCs w:val="23"/>
        </w:rPr>
        <w:t>NSSI among 16–74-year-olds rose from 2.4% in 2000 to 6.4% in 2014, affecting</w:t>
      </w:r>
      <w:r w:rsidR="00E97930" w:rsidRPr="004D5943">
        <w:rPr>
          <w:rFonts w:cs="Arial"/>
          <w:color w:val="0D0D0D" w:themeColor="text1" w:themeTint="F2"/>
          <w:szCs w:val="23"/>
        </w:rPr>
        <w:t xml:space="preserve"> predominantly &gt;</w:t>
      </w:r>
      <w:r w:rsidR="005D55EF" w:rsidRPr="004D5943">
        <w:rPr>
          <w:rFonts w:cs="Arial"/>
          <w:color w:val="0D0D0D" w:themeColor="text1" w:themeTint="F2"/>
          <w:szCs w:val="23"/>
        </w:rPr>
        <w:t xml:space="preserve">25% of females aged 16–24, double the male rate of </w:t>
      </w:r>
      <w:r w:rsidR="00E97930" w:rsidRPr="004D5943">
        <w:rPr>
          <w:rFonts w:cs="Arial"/>
          <w:color w:val="0D0D0D" w:themeColor="text1" w:themeTint="F2"/>
          <w:szCs w:val="23"/>
        </w:rPr>
        <w:t>&gt;</w:t>
      </w:r>
      <w:r w:rsidR="005D55EF" w:rsidRPr="004D5943">
        <w:rPr>
          <w:rFonts w:cs="Arial"/>
          <w:color w:val="0D0D0D" w:themeColor="text1" w:themeTint="F2"/>
          <w:szCs w:val="23"/>
        </w:rPr>
        <w:t>9% (NICE, 202</w:t>
      </w:r>
      <w:r w:rsidR="00972A71" w:rsidRPr="004D5943">
        <w:rPr>
          <w:rFonts w:cs="Arial"/>
          <w:color w:val="0D0D0D" w:themeColor="text1" w:themeTint="F2"/>
          <w:szCs w:val="23"/>
        </w:rPr>
        <w:t>4</w:t>
      </w:r>
      <w:r w:rsidR="005D55EF" w:rsidRPr="004D5943">
        <w:rPr>
          <w:rFonts w:cs="Arial"/>
          <w:color w:val="0D0D0D" w:themeColor="text1" w:themeTint="F2"/>
          <w:szCs w:val="23"/>
        </w:rPr>
        <w:t xml:space="preserve">). </w:t>
      </w:r>
      <w:r w:rsidR="005F6EDF" w:rsidRPr="004D5943">
        <w:rPr>
          <w:rFonts w:cs="Arial"/>
          <w:color w:val="0D0D0D" w:themeColor="text1" w:themeTint="F2"/>
          <w:szCs w:val="23"/>
        </w:rPr>
        <w:t>W</w:t>
      </w:r>
      <w:r w:rsidR="00744164" w:rsidRPr="004D5943">
        <w:rPr>
          <w:rFonts w:cs="Arial"/>
          <w:color w:val="0D0D0D" w:themeColor="text1" w:themeTint="F2"/>
          <w:szCs w:val="23"/>
        </w:rPr>
        <w:t xml:space="preserve">omen aged 40–59 self-harm at 435 per 100,000 due to financial issues, alcohol abuse, and physical health </w:t>
      </w:r>
      <w:r w:rsidR="00900284" w:rsidRPr="004D5943">
        <w:rPr>
          <w:rFonts w:cs="Arial"/>
          <w:color w:val="0D0D0D" w:themeColor="text1" w:themeTint="F2"/>
          <w:szCs w:val="23"/>
        </w:rPr>
        <w:t xml:space="preserve">challenges </w:t>
      </w:r>
      <w:r w:rsidR="00744164" w:rsidRPr="004D5943">
        <w:rPr>
          <w:rFonts w:cs="Arial"/>
          <w:color w:val="0D0D0D" w:themeColor="text1" w:themeTint="F2"/>
          <w:szCs w:val="23"/>
        </w:rPr>
        <w:t xml:space="preserve">(Clements </w:t>
      </w:r>
      <w:r w:rsidR="00744164" w:rsidRPr="004D5943">
        <w:rPr>
          <w:rFonts w:cs="Arial"/>
          <w:i/>
          <w:iCs/>
          <w:color w:val="0D0D0D" w:themeColor="text1" w:themeTint="F2"/>
          <w:szCs w:val="23"/>
        </w:rPr>
        <w:t>et al.,</w:t>
      </w:r>
      <w:r w:rsidR="00744164" w:rsidRPr="004D5943">
        <w:rPr>
          <w:rFonts w:cs="Arial"/>
          <w:color w:val="0D0D0D" w:themeColor="text1" w:themeTint="F2"/>
          <w:szCs w:val="23"/>
        </w:rPr>
        <w:t xml:space="preserve"> 2025). </w:t>
      </w:r>
      <w:r w:rsidR="005F6EDF" w:rsidRPr="004D5943">
        <w:rPr>
          <w:rFonts w:cs="Arial"/>
          <w:color w:val="0D0D0D" w:themeColor="text1" w:themeTint="F2"/>
          <w:szCs w:val="23"/>
        </w:rPr>
        <w:t xml:space="preserve">However, </w:t>
      </w:r>
      <w:r w:rsidR="0028746A" w:rsidRPr="004D5943">
        <w:rPr>
          <w:rFonts w:cs="Arial"/>
          <w:color w:val="0D0D0D" w:themeColor="text1" w:themeTint="F2"/>
          <w:szCs w:val="23"/>
        </w:rPr>
        <w:t xml:space="preserve">NSSI </w:t>
      </w:r>
      <w:r w:rsidR="005F6EDF" w:rsidRPr="004D5943">
        <w:rPr>
          <w:rFonts w:cs="Arial"/>
          <w:color w:val="0D0D0D" w:themeColor="text1" w:themeTint="F2"/>
          <w:szCs w:val="23"/>
        </w:rPr>
        <w:t>among the younge</w:t>
      </w:r>
      <w:r w:rsidR="007923C7" w:rsidRPr="004D5943">
        <w:rPr>
          <w:rFonts w:cs="Arial"/>
          <w:color w:val="0D0D0D" w:themeColor="text1" w:themeTint="F2"/>
          <w:szCs w:val="23"/>
        </w:rPr>
        <w:t>st</w:t>
      </w:r>
      <w:r w:rsidR="005F6EDF" w:rsidRPr="004D5943">
        <w:rPr>
          <w:rFonts w:cs="Arial"/>
          <w:color w:val="0D0D0D" w:themeColor="text1" w:themeTint="F2"/>
          <w:szCs w:val="23"/>
        </w:rPr>
        <w:t xml:space="preserve"> populations is even more prevalent </w:t>
      </w:r>
      <w:r w:rsidR="00A71336" w:rsidRPr="004D5943">
        <w:rPr>
          <w:rFonts w:cs="Arial"/>
          <w:color w:val="0D0D0D" w:themeColor="text1" w:themeTint="F2"/>
          <w:szCs w:val="23"/>
        </w:rPr>
        <w:t xml:space="preserve">as </w:t>
      </w:r>
      <w:r w:rsidRPr="004D5943">
        <w:rPr>
          <w:rFonts w:cs="Arial"/>
          <w:color w:val="0D0D0D" w:themeColor="text1" w:themeTint="F2"/>
          <w:szCs w:val="23"/>
        </w:rPr>
        <w:t xml:space="preserve">Self-harm </w:t>
      </w:r>
      <w:r w:rsidR="007923C7" w:rsidRPr="004D5943">
        <w:rPr>
          <w:rFonts w:cs="Arial"/>
          <w:color w:val="0D0D0D" w:themeColor="text1" w:themeTint="F2"/>
          <w:szCs w:val="23"/>
        </w:rPr>
        <w:t>spiked</w:t>
      </w:r>
      <w:r w:rsidRPr="004D5943">
        <w:rPr>
          <w:rFonts w:cs="Arial"/>
          <w:color w:val="0D0D0D" w:themeColor="text1" w:themeTint="F2"/>
          <w:szCs w:val="23"/>
        </w:rPr>
        <w:t xml:space="preserve"> among 15-year-olds from 22% </w:t>
      </w:r>
      <w:r w:rsidR="007923C7" w:rsidRPr="004D5943">
        <w:rPr>
          <w:rFonts w:cs="Arial"/>
          <w:color w:val="0D0D0D" w:themeColor="text1" w:themeTint="F2"/>
          <w:szCs w:val="23"/>
        </w:rPr>
        <w:t xml:space="preserve">in </w:t>
      </w:r>
      <w:r w:rsidRPr="004D5943">
        <w:rPr>
          <w:rFonts w:cs="Arial"/>
          <w:color w:val="0D0D0D" w:themeColor="text1" w:themeTint="F2"/>
          <w:szCs w:val="23"/>
        </w:rPr>
        <w:t xml:space="preserve">2014 to 34% </w:t>
      </w:r>
      <w:r w:rsidR="00A94C81" w:rsidRPr="004D5943">
        <w:rPr>
          <w:rFonts w:cs="Arial"/>
          <w:color w:val="0D0D0D" w:themeColor="text1" w:themeTint="F2"/>
          <w:szCs w:val="23"/>
        </w:rPr>
        <w:t xml:space="preserve">in </w:t>
      </w:r>
      <w:r w:rsidRPr="004D5943">
        <w:rPr>
          <w:rFonts w:cs="Arial"/>
          <w:color w:val="0D0D0D" w:themeColor="text1" w:themeTint="F2"/>
          <w:szCs w:val="23"/>
        </w:rPr>
        <w:t xml:space="preserve">2021 (Burn et </w:t>
      </w:r>
      <w:r w:rsidRPr="004D5943">
        <w:rPr>
          <w:rFonts w:cs="Arial"/>
          <w:i/>
          <w:iCs/>
          <w:color w:val="0D0D0D" w:themeColor="text1" w:themeTint="F2"/>
          <w:szCs w:val="23"/>
        </w:rPr>
        <w:t xml:space="preserve">al. </w:t>
      </w:r>
      <w:r w:rsidRPr="004D5943">
        <w:rPr>
          <w:rFonts w:cs="Arial"/>
          <w:color w:val="0D0D0D" w:themeColor="text1" w:themeTint="F2"/>
          <w:szCs w:val="23"/>
        </w:rPr>
        <w:t>2025)</w:t>
      </w:r>
      <w:r w:rsidR="00255543" w:rsidRPr="004D5943">
        <w:rPr>
          <w:rFonts w:cs="Arial"/>
          <w:color w:val="0D0D0D" w:themeColor="text1" w:themeTint="F2"/>
          <w:szCs w:val="23"/>
        </w:rPr>
        <w:t>, and it</w:t>
      </w:r>
      <w:r w:rsidR="00B72823" w:rsidRPr="004D5943">
        <w:rPr>
          <w:rFonts w:cs="Arial"/>
          <w:color w:val="0D0D0D" w:themeColor="text1" w:themeTint="F2"/>
          <w:szCs w:val="23"/>
        </w:rPr>
        <w:t xml:space="preserve"> i</w:t>
      </w:r>
      <w:r w:rsidR="00255543" w:rsidRPr="004D5943">
        <w:rPr>
          <w:rFonts w:cs="Arial"/>
          <w:color w:val="0D0D0D" w:themeColor="text1" w:themeTint="F2"/>
          <w:szCs w:val="23"/>
        </w:rPr>
        <w:t xml:space="preserve">s most </w:t>
      </w:r>
      <w:r w:rsidR="00B72823" w:rsidRPr="004D5943">
        <w:rPr>
          <w:rFonts w:cs="Arial"/>
          <w:color w:val="0D0D0D" w:themeColor="text1" w:themeTint="F2"/>
          <w:szCs w:val="23"/>
        </w:rPr>
        <w:t>common</w:t>
      </w:r>
      <w:r w:rsidR="00255543" w:rsidRPr="004D5943">
        <w:rPr>
          <w:rFonts w:cs="Arial"/>
          <w:color w:val="0D0D0D" w:themeColor="text1" w:themeTint="F2"/>
          <w:szCs w:val="23"/>
        </w:rPr>
        <w:t xml:space="preserve"> among i</w:t>
      </w:r>
      <w:r w:rsidR="00255543" w:rsidRPr="004D5943">
        <w:rPr>
          <w:rFonts w:cs="Arial"/>
          <w:color w:val="0D0D0D" w:themeColor="text1" w:themeTint="F2"/>
          <w:szCs w:val="23"/>
        </w:rPr>
        <w:t>ndividuals of white ethnicity</w:t>
      </w:r>
      <w:r w:rsidR="00B72823" w:rsidRPr="004D5943">
        <w:rPr>
          <w:rFonts w:cs="Arial"/>
          <w:color w:val="0D0D0D" w:themeColor="text1" w:themeTint="F2"/>
          <w:szCs w:val="23"/>
        </w:rPr>
        <w:t xml:space="preserve"> </w:t>
      </w:r>
      <w:r w:rsidR="00255543" w:rsidRPr="004D5943">
        <w:rPr>
          <w:rFonts w:cs="Arial"/>
          <w:color w:val="0D0D0D" w:themeColor="text1" w:themeTint="F2"/>
          <w:szCs w:val="23"/>
        </w:rPr>
        <w:t>(Hussey et al. 2025)</w:t>
      </w:r>
      <w:r w:rsidRPr="004D5943">
        <w:rPr>
          <w:rFonts w:cs="Arial"/>
          <w:color w:val="0D0D0D" w:themeColor="text1" w:themeTint="F2"/>
          <w:szCs w:val="23"/>
        </w:rPr>
        <w:t>.</w:t>
      </w:r>
      <w:r w:rsidR="000C577C" w:rsidRPr="004D5943">
        <w:rPr>
          <w:rFonts w:cs="Arial"/>
          <w:color w:val="0D0D0D" w:themeColor="text1" w:themeTint="F2"/>
          <w:szCs w:val="23"/>
        </w:rPr>
        <w:t xml:space="preserve"> </w:t>
      </w:r>
      <w:r w:rsidR="000758DF" w:rsidRPr="004D5943">
        <w:rPr>
          <w:rFonts w:cs="Arial"/>
          <w:color w:val="0D0D0D" w:themeColor="text1" w:themeTint="F2"/>
          <w:szCs w:val="23"/>
        </w:rPr>
        <w:t xml:space="preserve">Xiao </w:t>
      </w:r>
      <w:r w:rsidR="000758DF" w:rsidRPr="004D5943">
        <w:rPr>
          <w:rFonts w:cs="Arial"/>
          <w:i/>
          <w:iCs/>
          <w:color w:val="0D0D0D" w:themeColor="text1" w:themeTint="F2"/>
          <w:szCs w:val="23"/>
        </w:rPr>
        <w:t>et al.</w:t>
      </w:r>
      <w:r w:rsidR="000758DF" w:rsidRPr="004D5943">
        <w:rPr>
          <w:rFonts w:cs="Arial"/>
          <w:color w:val="0D0D0D" w:themeColor="text1" w:themeTint="F2"/>
          <w:szCs w:val="23"/>
        </w:rPr>
        <w:t xml:space="preserve"> (2022) </w:t>
      </w:r>
      <w:r w:rsidR="000758DF" w:rsidRPr="004D5943">
        <w:rPr>
          <w:rFonts w:cs="Arial"/>
          <w:color w:val="0D0D0D" w:themeColor="text1" w:themeTint="F2"/>
          <w:szCs w:val="23"/>
        </w:rPr>
        <w:t>asserts</w:t>
      </w:r>
      <w:r w:rsidR="000758DF" w:rsidRPr="004D5943">
        <w:rPr>
          <w:rFonts w:cs="Arial"/>
          <w:color w:val="0D0D0D" w:themeColor="text1" w:themeTint="F2"/>
          <w:szCs w:val="23"/>
        </w:rPr>
        <w:t xml:space="preserve"> that between 2010–2021 the global incidence of NSSI reached its zenith during adolescence, with prevalence rates of 25% for females and 22% for males.</w:t>
      </w:r>
      <w:r w:rsidR="008A043E" w:rsidRPr="004D5943">
        <w:rPr>
          <w:rFonts w:cs="Arial"/>
          <w:color w:val="0D0D0D" w:themeColor="text1" w:themeTint="F2"/>
          <w:szCs w:val="23"/>
        </w:rPr>
        <w:t xml:space="preserve"> </w:t>
      </w:r>
    </w:p>
    <w:p w14:paraId="607BF041" w14:textId="77777777" w:rsidR="007923C7" w:rsidRPr="004D5943" w:rsidRDefault="007923C7" w:rsidP="00237D7C">
      <w:pPr>
        <w:spacing w:line="360" w:lineRule="auto"/>
        <w:rPr>
          <w:rFonts w:cs="Arial"/>
          <w:color w:val="0D0D0D" w:themeColor="text1" w:themeTint="F2"/>
          <w:szCs w:val="23"/>
        </w:rPr>
      </w:pPr>
    </w:p>
    <w:p w14:paraId="5FF9D1E4" w14:textId="77777777" w:rsidR="00900284" w:rsidRPr="004D5943" w:rsidRDefault="00781489" w:rsidP="00237D7C">
      <w:pPr>
        <w:spacing w:line="360" w:lineRule="auto"/>
        <w:rPr>
          <w:rFonts w:cs="Arial"/>
          <w:b/>
          <w:bCs/>
          <w:color w:val="0D0D0D" w:themeColor="text1" w:themeTint="F2"/>
          <w:szCs w:val="23"/>
        </w:rPr>
      </w:pPr>
      <w:r w:rsidRPr="004D5943">
        <w:rPr>
          <w:rFonts w:cs="Arial"/>
          <w:b/>
          <w:bCs/>
          <w:color w:val="0D0D0D" w:themeColor="text1" w:themeTint="F2"/>
          <w:szCs w:val="23"/>
        </w:rPr>
        <w:t>National Responses</w:t>
      </w:r>
      <w:r w:rsidR="008D6CDD" w:rsidRPr="004D5943">
        <w:rPr>
          <w:rFonts w:cs="Arial"/>
          <w:b/>
          <w:bCs/>
          <w:color w:val="0D0D0D" w:themeColor="text1" w:themeTint="F2"/>
          <w:szCs w:val="23"/>
        </w:rPr>
        <w:t xml:space="preserve"> </w:t>
      </w:r>
    </w:p>
    <w:p w14:paraId="753F32A6" w14:textId="0DC0B53F" w:rsidR="00450268" w:rsidRPr="004D5943" w:rsidRDefault="00FF14B1" w:rsidP="00237D7C">
      <w:pPr>
        <w:spacing w:line="360" w:lineRule="auto"/>
        <w:rPr>
          <w:rFonts w:cs="Arial"/>
          <w:b/>
          <w:bCs/>
          <w:color w:val="0D0D0D" w:themeColor="text1" w:themeTint="F2"/>
          <w:szCs w:val="23"/>
        </w:rPr>
      </w:pPr>
      <w:r w:rsidRPr="004D5943">
        <w:rPr>
          <w:rStyle w:val="Strong"/>
          <w:rFonts w:cs="Arial"/>
          <w:b w:val="0"/>
          <w:bCs w:val="0"/>
          <w:color w:val="0D0D0D" w:themeColor="text1" w:themeTint="F2"/>
          <w:szCs w:val="23"/>
        </w:rPr>
        <w:t>S</w:t>
      </w:r>
      <w:r w:rsidR="00AE2008" w:rsidRPr="004D5943">
        <w:rPr>
          <w:rStyle w:val="Strong"/>
          <w:rFonts w:cs="Arial"/>
          <w:b w:val="0"/>
          <w:bCs w:val="0"/>
          <w:color w:val="0D0D0D" w:themeColor="text1" w:themeTint="F2"/>
          <w:szCs w:val="23"/>
        </w:rPr>
        <w:t>IFT</w:t>
      </w:r>
      <w:r w:rsidRPr="004D5943">
        <w:rPr>
          <w:rStyle w:val="Strong"/>
          <w:rFonts w:cs="Arial"/>
          <w:b w:val="0"/>
          <w:bCs w:val="0"/>
          <w:color w:val="0D0D0D" w:themeColor="text1" w:themeTint="F2"/>
          <w:szCs w:val="23"/>
        </w:rPr>
        <w:t xml:space="preserve"> is a national organisation providing confidential helpline support and evidence-based resources for individuals experiencing self-harm-related distress (SIFT, 2026). Alongside such service</w:t>
      </w:r>
      <w:r w:rsidR="00C345E0" w:rsidRPr="004D5943">
        <w:rPr>
          <w:rStyle w:val="Strong"/>
          <w:rFonts w:cs="Arial"/>
          <w:b w:val="0"/>
          <w:bCs w:val="0"/>
          <w:color w:val="0D0D0D" w:themeColor="text1" w:themeTint="F2"/>
          <w:szCs w:val="23"/>
        </w:rPr>
        <w:t>s</w:t>
      </w:r>
      <w:r w:rsidR="00A83862" w:rsidRPr="004D5943">
        <w:rPr>
          <w:rStyle w:val="Strong"/>
          <w:rFonts w:cs="Arial"/>
          <w:b w:val="0"/>
          <w:bCs w:val="0"/>
          <w:color w:val="0D0D0D" w:themeColor="text1" w:themeTint="F2"/>
          <w:szCs w:val="23"/>
        </w:rPr>
        <w:t xml:space="preserve"> </w:t>
      </w:r>
      <w:r w:rsidR="00693BF7" w:rsidRPr="004D5943">
        <w:rPr>
          <w:rStyle w:val="Strong"/>
          <w:rFonts w:cs="Arial"/>
          <w:b w:val="0"/>
          <w:bCs w:val="0"/>
          <w:color w:val="0D0D0D" w:themeColor="text1" w:themeTint="F2"/>
          <w:szCs w:val="23"/>
        </w:rPr>
        <w:t xml:space="preserve">it is </w:t>
      </w:r>
      <w:r w:rsidR="00A83862" w:rsidRPr="004D5943">
        <w:rPr>
          <w:rStyle w:val="Strong"/>
          <w:rFonts w:cs="Arial"/>
          <w:b w:val="0"/>
          <w:bCs w:val="0"/>
          <w:color w:val="0D0D0D" w:themeColor="text1" w:themeTint="F2"/>
          <w:szCs w:val="23"/>
        </w:rPr>
        <w:t>imperative that</w:t>
      </w:r>
      <w:r w:rsidRPr="004D5943">
        <w:rPr>
          <w:rStyle w:val="Strong"/>
          <w:rFonts w:cs="Arial"/>
          <w:color w:val="0D0D0D" w:themeColor="text1" w:themeTint="F2"/>
          <w:szCs w:val="23"/>
        </w:rPr>
        <w:t xml:space="preserve"> </w:t>
      </w:r>
      <w:r w:rsidRPr="004D5943">
        <w:rPr>
          <w:rFonts w:cs="Arial"/>
          <w:color w:val="0D0D0D" w:themeColor="text1" w:themeTint="F2"/>
          <w:szCs w:val="23"/>
        </w:rPr>
        <w:t>e</w:t>
      </w:r>
      <w:r w:rsidR="00450268" w:rsidRPr="004D5943">
        <w:rPr>
          <w:rFonts w:cs="Arial"/>
          <w:color w:val="0D0D0D" w:themeColor="text1" w:themeTint="F2"/>
          <w:szCs w:val="23"/>
        </w:rPr>
        <w:t xml:space="preserve">ffective prevention necessitates comprehensive school strategies, encompassing staff training (currently, only 50% of </w:t>
      </w:r>
      <w:r w:rsidR="00450268" w:rsidRPr="004D5943">
        <w:rPr>
          <w:rFonts w:cs="Arial"/>
          <w:color w:val="0D0D0D" w:themeColor="text1" w:themeTint="F2"/>
          <w:szCs w:val="23"/>
        </w:rPr>
        <w:lastRenderedPageBreak/>
        <w:t>staff receive training, with merely 22% deeming it sufficient), integration into the curriculum, provision of confidential support areas, and involvement of parents (Burn</w:t>
      </w:r>
      <w:r w:rsidR="00450268" w:rsidRPr="004D5943">
        <w:rPr>
          <w:rFonts w:cs="Arial"/>
          <w:i/>
          <w:iCs/>
          <w:color w:val="0D0D0D" w:themeColor="text1" w:themeTint="F2"/>
          <w:szCs w:val="23"/>
        </w:rPr>
        <w:t xml:space="preserve"> et al., </w:t>
      </w:r>
      <w:r w:rsidR="00450268" w:rsidRPr="004D5943">
        <w:rPr>
          <w:rFonts w:cs="Arial"/>
          <w:color w:val="0D0D0D" w:themeColor="text1" w:themeTint="F2"/>
          <w:szCs w:val="23"/>
        </w:rPr>
        <w:t>2025).</w:t>
      </w:r>
      <w:r w:rsidR="00E27778" w:rsidRPr="004D5943">
        <w:rPr>
          <w:rFonts w:cs="Arial"/>
          <w:color w:val="0D0D0D" w:themeColor="text1" w:themeTint="F2"/>
          <w:szCs w:val="23"/>
        </w:rPr>
        <w:t xml:space="preserve"> </w:t>
      </w:r>
    </w:p>
    <w:p w14:paraId="4608EDD7" w14:textId="1486F5FB" w:rsidR="00580D10" w:rsidRPr="004D5943" w:rsidRDefault="00580D10" w:rsidP="00237D7C">
      <w:pPr>
        <w:spacing w:line="360" w:lineRule="auto"/>
        <w:rPr>
          <w:rFonts w:cs="Arial"/>
          <w:color w:val="0D0D0D" w:themeColor="text1" w:themeTint="F2"/>
          <w:szCs w:val="23"/>
        </w:rPr>
      </w:pPr>
    </w:p>
    <w:p w14:paraId="365D12E0" w14:textId="77777777" w:rsidR="001F0779" w:rsidRPr="004D5943" w:rsidRDefault="001F0779" w:rsidP="00237D7C">
      <w:pPr>
        <w:spacing w:line="360" w:lineRule="auto"/>
        <w:rPr>
          <w:rFonts w:cs="Arial"/>
          <w:b/>
          <w:bCs/>
          <w:color w:val="0D0D0D" w:themeColor="text1" w:themeTint="F2"/>
          <w:szCs w:val="23"/>
        </w:rPr>
      </w:pPr>
      <w:r w:rsidRPr="004D5943">
        <w:rPr>
          <w:rFonts w:cs="Arial"/>
          <w:b/>
          <w:bCs/>
          <w:color w:val="0D0D0D" w:themeColor="text1" w:themeTint="F2"/>
          <w:szCs w:val="23"/>
        </w:rPr>
        <w:t>Gender Disparities and Mortality from Eating Disorders</w:t>
      </w:r>
    </w:p>
    <w:p w14:paraId="272BFEB9" w14:textId="77777777" w:rsidR="007D606A" w:rsidRPr="004D5943" w:rsidRDefault="007D606A" w:rsidP="00237D7C">
      <w:pPr>
        <w:spacing w:line="360" w:lineRule="auto"/>
        <w:rPr>
          <w:rFonts w:cs="Arial"/>
          <w:color w:val="0D0D0D" w:themeColor="text1" w:themeTint="F2"/>
          <w:szCs w:val="23"/>
        </w:rPr>
      </w:pPr>
    </w:p>
    <w:p w14:paraId="619498EE" w14:textId="41A49D86" w:rsidR="00D5682A" w:rsidRPr="004D5943" w:rsidRDefault="007C7E26" w:rsidP="00237D7C">
      <w:pPr>
        <w:spacing w:line="360" w:lineRule="auto"/>
        <w:rPr>
          <w:rFonts w:cs="Arial"/>
          <w:b/>
          <w:bCs/>
          <w:color w:val="0D0D0D" w:themeColor="text1" w:themeTint="F2"/>
          <w:szCs w:val="23"/>
        </w:rPr>
      </w:pPr>
      <w:r w:rsidRPr="004D5943">
        <w:rPr>
          <w:rFonts w:cs="Arial"/>
          <w:b/>
          <w:bCs/>
          <w:color w:val="0D0D0D" w:themeColor="text1" w:themeTint="F2"/>
          <w:szCs w:val="23"/>
        </w:rPr>
        <w:t>Social challenges</w:t>
      </w:r>
    </w:p>
    <w:p w14:paraId="03A97F59" w14:textId="5716A043" w:rsidR="00AF474F" w:rsidRPr="004D5943" w:rsidRDefault="00AB3CD7"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Eating disorders predominantly impact women, a trend linked to gender inequity and early childhood trauma that cultivates dysregulated emotional reactivity</w:t>
      </w:r>
      <w:r w:rsidR="00AF474F" w:rsidRPr="004D5943">
        <w:rPr>
          <w:rFonts w:cs="Arial"/>
          <w:color w:val="0D0D0D" w:themeColor="text1" w:themeTint="F2"/>
          <w:szCs w:val="23"/>
          <w:shd w:val="clear" w:color="auto" w:fill="FFFFFF"/>
        </w:rPr>
        <w:t>,</w:t>
      </w:r>
      <w:r w:rsidRPr="004D5943">
        <w:rPr>
          <w:rFonts w:cs="Arial"/>
          <w:color w:val="0D0D0D" w:themeColor="text1" w:themeTint="F2"/>
          <w:szCs w:val="23"/>
          <w:shd w:val="clear" w:color="auto" w:fill="FFFFFF"/>
        </w:rPr>
        <w:t xml:space="preserve"> negative self-image</w:t>
      </w:r>
      <w:r w:rsidR="00AF474F" w:rsidRPr="004D5943">
        <w:rPr>
          <w:rFonts w:cs="Arial"/>
          <w:color w:val="0D0D0D" w:themeColor="text1" w:themeTint="F2"/>
          <w:szCs w:val="23"/>
          <w:shd w:val="clear" w:color="auto" w:fill="FFFFFF"/>
        </w:rPr>
        <w:t xml:space="preserve">, </w:t>
      </w:r>
      <w:r w:rsidR="00AF474F" w:rsidRPr="004D5943">
        <w:rPr>
          <w:rFonts w:cs="Arial"/>
          <w:color w:val="0D0D0D" w:themeColor="text1" w:themeTint="F2"/>
          <w:szCs w:val="23"/>
        </w:rPr>
        <w:t>body perception, and weight regulation</w:t>
      </w:r>
      <w:r w:rsidRPr="004D5943">
        <w:rPr>
          <w:rFonts w:cs="Arial"/>
          <w:color w:val="0D0D0D" w:themeColor="text1" w:themeTint="F2"/>
          <w:szCs w:val="23"/>
          <w:shd w:val="clear" w:color="auto" w:fill="FFFFFF"/>
        </w:rPr>
        <w:t xml:space="preserve"> (Barone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2022).</w:t>
      </w:r>
      <w:r w:rsidRPr="004D5943">
        <w:rPr>
          <w:rFonts w:cs="Arial"/>
          <w:color w:val="0D0D0D" w:themeColor="text1" w:themeTint="F2"/>
          <w:szCs w:val="23"/>
          <w:shd w:val="clear" w:color="auto" w:fill="FFFFFF"/>
        </w:rPr>
        <w:t xml:space="preserve"> </w:t>
      </w:r>
    </w:p>
    <w:p w14:paraId="6EACF29C" w14:textId="0DE64029" w:rsidR="003F5409" w:rsidRPr="004D5943" w:rsidRDefault="003F5409" w:rsidP="00237D7C">
      <w:pPr>
        <w:spacing w:line="360" w:lineRule="auto"/>
        <w:rPr>
          <w:rFonts w:cs="Arial"/>
          <w:color w:val="0D0D0D" w:themeColor="text1" w:themeTint="F2"/>
          <w:szCs w:val="23"/>
        </w:rPr>
      </w:pPr>
    </w:p>
    <w:p w14:paraId="2F31B743" w14:textId="77777777" w:rsidR="003F5409" w:rsidRPr="004D5943" w:rsidRDefault="003F5409" w:rsidP="00237D7C">
      <w:pPr>
        <w:spacing w:line="360" w:lineRule="auto"/>
        <w:rPr>
          <w:rFonts w:cs="Arial"/>
          <w:b/>
          <w:bCs/>
          <w:color w:val="0D0D0D" w:themeColor="text1" w:themeTint="F2"/>
          <w:szCs w:val="23"/>
        </w:rPr>
      </w:pPr>
      <w:r w:rsidRPr="004D5943">
        <w:rPr>
          <w:rFonts w:cs="Arial"/>
          <w:b/>
          <w:bCs/>
          <w:color w:val="0D0D0D" w:themeColor="text1" w:themeTint="F2"/>
          <w:szCs w:val="23"/>
        </w:rPr>
        <w:t>Statistics:</w:t>
      </w:r>
    </w:p>
    <w:p w14:paraId="00DCBC55" w14:textId="416F9580" w:rsidR="003F5409" w:rsidRPr="004D5943" w:rsidRDefault="003F5409" w:rsidP="00237D7C">
      <w:pPr>
        <w:spacing w:line="360" w:lineRule="auto"/>
        <w:rPr>
          <w:rFonts w:cs="Arial"/>
          <w:color w:val="0D0D0D" w:themeColor="text1" w:themeTint="F2"/>
          <w:szCs w:val="23"/>
        </w:rPr>
      </w:pPr>
      <w:r w:rsidRPr="004D5943">
        <w:rPr>
          <w:rFonts w:cs="Arial"/>
          <w:color w:val="0D0D0D" w:themeColor="text1" w:themeTint="F2"/>
          <w:szCs w:val="23"/>
        </w:rPr>
        <w:t xml:space="preserve">Data from “Eating Disorders Genetics Initiative (EDGI)” reveals that among the 7,400 participants </w:t>
      </w:r>
      <w:r w:rsidR="007923C7" w:rsidRPr="004D5943">
        <w:rPr>
          <w:rFonts w:cs="Arial"/>
          <w:color w:val="0D0D0D" w:themeColor="text1" w:themeTint="F2"/>
          <w:szCs w:val="23"/>
        </w:rPr>
        <w:t xml:space="preserve">in their research </w:t>
      </w:r>
      <w:r w:rsidRPr="004D5943">
        <w:rPr>
          <w:rFonts w:cs="Arial"/>
          <w:color w:val="0D0D0D" w:themeColor="text1" w:themeTint="F2"/>
          <w:szCs w:val="23"/>
        </w:rPr>
        <w:t>(98%) were women, the most prevalent diagnoses among them were “anorexia nervosa” &gt;48%, “purging disorder” &gt;37%, and “bulimia nervosa” &gt;37% (</w:t>
      </w:r>
      <w:proofErr w:type="spellStart"/>
      <w:r w:rsidRPr="004D5943">
        <w:rPr>
          <w:rFonts w:cs="Arial"/>
          <w:color w:val="0D0D0D" w:themeColor="text1" w:themeTint="F2"/>
          <w:szCs w:val="23"/>
        </w:rPr>
        <w:t>Monssen</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2023). The risk of self-harm among individuals with eating disorders is over nine times greater in the first year </w:t>
      </w:r>
      <w:r w:rsidR="004F3871" w:rsidRPr="004D5943">
        <w:rPr>
          <w:rFonts w:cs="Arial"/>
          <w:color w:val="0D0D0D" w:themeColor="text1" w:themeTint="F2"/>
          <w:szCs w:val="23"/>
        </w:rPr>
        <w:t xml:space="preserve">in UK </w:t>
      </w:r>
      <w:r w:rsidRPr="004D5943">
        <w:rPr>
          <w:rFonts w:cs="Arial"/>
          <w:color w:val="0D0D0D" w:themeColor="text1" w:themeTint="F2"/>
          <w:szCs w:val="23"/>
        </w:rPr>
        <w:t xml:space="preserve">(Morgan </w:t>
      </w:r>
      <w:r w:rsidRPr="004D5943">
        <w:rPr>
          <w:rFonts w:cs="Arial"/>
          <w:i/>
          <w:iCs/>
          <w:color w:val="0D0D0D" w:themeColor="text1" w:themeTint="F2"/>
          <w:szCs w:val="23"/>
        </w:rPr>
        <w:t>et al.,</w:t>
      </w:r>
      <w:r w:rsidRPr="004D5943">
        <w:rPr>
          <w:rFonts w:cs="Arial"/>
          <w:color w:val="0D0D0D" w:themeColor="text1" w:themeTint="F2"/>
          <w:szCs w:val="23"/>
        </w:rPr>
        <w:t xml:space="preserve"> 2025). UK child and adolescent eating disorder referrals rose from 5,000 in 2016 to over 12,500 in 2021, with urgent cases more than doubling (Eisler </w:t>
      </w:r>
      <w:r w:rsidRPr="004D5943">
        <w:rPr>
          <w:rFonts w:cs="Arial"/>
          <w:i/>
          <w:iCs/>
          <w:color w:val="0D0D0D" w:themeColor="text1" w:themeTint="F2"/>
          <w:szCs w:val="23"/>
        </w:rPr>
        <w:t>et al.,</w:t>
      </w:r>
      <w:r w:rsidRPr="004D5943">
        <w:rPr>
          <w:rFonts w:cs="Arial"/>
          <w:color w:val="0D0D0D" w:themeColor="text1" w:themeTint="F2"/>
          <w:szCs w:val="23"/>
        </w:rPr>
        <w:t xml:space="preserve"> 2025).</w:t>
      </w:r>
      <w:r w:rsidR="00F4708D" w:rsidRPr="004D5943">
        <w:rPr>
          <w:rFonts w:cs="Arial"/>
          <w:color w:val="0D0D0D" w:themeColor="text1" w:themeTint="F2"/>
          <w:szCs w:val="23"/>
        </w:rPr>
        <w:t xml:space="preserve"> </w:t>
      </w:r>
      <w:r w:rsidR="00982E39" w:rsidRPr="004D5943">
        <w:rPr>
          <w:rFonts w:cs="Arial"/>
          <w:color w:val="0D0D0D" w:themeColor="text1" w:themeTint="F2"/>
          <w:szCs w:val="23"/>
        </w:rPr>
        <w:t>G</w:t>
      </w:r>
      <w:r w:rsidR="00982E39" w:rsidRPr="004D5943">
        <w:rPr>
          <w:rFonts w:cs="Arial"/>
          <w:color w:val="0D0D0D" w:themeColor="text1" w:themeTint="F2"/>
          <w:szCs w:val="23"/>
        </w:rPr>
        <w:t>lobally</w:t>
      </w:r>
      <w:r w:rsidR="00F4708D" w:rsidRPr="004D5943">
        <w:rPr>
          <w:rFonts w:cs="Arial"/>
          <w:color w:val="0D0D0D" w:themeColor="text1" w:themeTint="F2"/>
          <w:szCs w:val="23"/>
        </w:rPr>
        <w:t>, over 3.3 million individuals succumb to eating disorders</w:t>
      </w:r>
      <w:r w:rsidR="00982E39" w:rsidRPr="004D5943">
        <w:rPr>
          <w:rFonts w:cs="Arial"/>
          <w:color w:val="0D0D0D" w:themeColor="text1" w:themeTint="F2"/>
          <w:szCs w:val="23"/>
        </w:rPr>
        <w:t xml:space="preserve"> a</w:t>
      </w:r>
      <w:r w:rsidR="00982E39" w:rsidRPr="004D5943">
        <w:rPr>
          <w:rFonts w:cs="Arial"/>
          <w:color w:val="0D0D0D" w:themeColor="text1" w:themeTint="F2"/>
          <w:szCs w:val="23"/>
        </w:rPr>
        <w:t>nnually</w:t>
      </w:r>
      <w:r w:rsidR="00F4708D" w:rsidRPr="004D5943">
        <w:rPr>
          <w:rFonts w:cs="Arial"/>
          <w:color w:val="0D0D0D" w:themeColor="text1" w:themeTint="F2"/>
          <w:szCs w:val="23"/>
        </w:rPr>
        <w:t xml:space="preserve"> (</w:t>
      </w:r>
      <w:proofErr w:type="spellStart"/>
      <w:r w:rsidR="00F4708D" w:rsidRPr="004D5943">
        <w:rPr>
          <w:rFonts w:cs="Arial"/>
          <w:color w:val="0D0D0D" w:themeColor="text1" w:themeTint="F2"/>
          <w:szCs w:val="23"/>
        </w:rPr>
        <w:t>Miskovic</w:t>
      </w:r>
      <w:proofErr w:type="spellEnd"/>
      <w:r w:rsidR="00F4708D" w:rsidRPr="004D5943">
        <w:rPr>
          <w:rFonts w:cs="Arial"/>
          <w:color w:val="0D0D0D" w:themeColor="text1" w:themeTint="F2"/>
          <w:szCs w:val="23"/>
        </w:rPr>
        <w:t xml:space="preserve">-Wheatley </w:t>
      </w:r>
      <w:r w:rsidR="00F4708D" w:rsidRPr="004D5943">
        <w:rPr>
          <w:rFonts w:cs="Arial"/>
          <w:i/>
          <w:iCs/>
          <w:color w:val="0D0D0D" w:themeColor="text1" w:themeTint="F2"/>
          <w:szCs w:val="23"/>
        </w:rPr>
        <w:t>et al.,</w:t>
      </w:r>
      <w:r w:rsidR="00F4708D" w:rsidRPr="004D5943">
        <w:rPr>
          <w:rFonts w:cs="Arial"/>
          <w:color w:val="0D0D0D" w:themeColor="text1" w:themeTint="F2"/>
          <w:szCs w:val="23"/>
        </w:rPr>
        <w:t xml:space="preserve"> 2023).</w:t>
      </w:r>
      <w:r w:rsidR="00256025" w:rsidRPr="004D5943">
        <w:rPr>
          <w:rFonts w:cs="Arial"/>
          <w:color w:val="0D0D0D" w:themeColor="text1" w:themeTint="F2"/>
          <w:szCs w:val="23"/>
        </w:rPr>
        <w:t xml:space="preserve"> </w:t>
      </w:r>
      <w:r w:rsidR="00CD2322" w:rsidRPr="004D5943">
        <w:rPr>
          <w:rFonts w:cs="Arial"/>
          <w:color w:val="0D0D0D" w:themeColor="text1" w:themeTint="F2"/>
          <w:szCs w:val="23"/>
        </w:rPr>
        <w:t>Suicide accounts for approximately 20% of all deaths among individuals with eating disorders, with those diagnosed with anorexia nervosa being eighteen times more likely to die by suicide than the general population (</w:t>
      </w:r>
      <w:proofErr w:type="spellStart"/>
      <w:r w:rsidR="00CD2322" w:rsidRPr="004D5943">
        <w:rPr>
          <w:rFonts w:cs="Arial"/>
          <w:color w:val="0D0D0D" w:themeColor="text1" w:themeTint="F2"/>
          <w:szCs w:val="23"/>
        </w:rPr>
        <w:t>Miskovic</w:t>
      </w:r>
      <w:proofErr w:type="spellEnd"/>
      <w:r w:rsidR="00CD2322" w:rsidRPr="004D5943">
        <w:rPr>
          <w:rFonts w:cs="Arial"/>
          <w:color w:val="0D0D0D" w:themeColor="text1" w:themeTint="F2"/>
          <w:szCs w:val="23"/>
        </w:rPr>
        <w:t xml:space="preserve">-Wheatley </w:t>
      </w:r>
      <w:r w:rsidR="00CD2322" w:rsidRPr="004D5943">
        <w:rPr>
          <w:rFonts w:cs="Arial"/>
          <w:i/>
          <w:iCs/>
          <w:color w:val="0D0D0D" w:themeColor="text1" w:themeTint="F2"/>
          <w:szCs w:val="23"/>
        </w:rPr>
        <w:t>et al.,</w:t>
      </w:r>
      <w:r w:rsidR="00CD2322" w:rsidRPr="004D5943">
        <w:rPr>
          <w:rFonts w:cs="Arial"/>
          <w:color w:val="0D0D0D" w:themeColor="text1" w:themeTint="F2"/>
          <w:szCs w:val="23"/>
        </w:rPr>
        <w:t xml:space="preserve"> 2023).</w:t>
      </w:r>
    </w:p>
    <w:p w14:paraId="2B4D71B5" w14:textId="77777777" w:rsidR="002A447F" w:rsidRPr="004D5943" w:rsidRDefault="002A447F" w:rsidP="00237D7C">
      <w:pPr>
        <w:spacing w:line="360" w:lineRule="auto"/>
        <w:rPr>
          <w:rFonts w:cs="Arial"/>
          <w:b/>
          <w:bCs/>
          <w:color w:val="0D0D0D" w:themeColor="text1" w:themeTint="F2"/>
          <w:szCs w:val="23"/>
        </w:rPr>
      </w:pPr>
    </w:p>
    <w:p w14:paraId="4FDB6487" w14:textId="0E2A75C6" w:rsidR="007C7E26" w:rsidRPr="004D5943" w:rsidRDefault="007C7E26" w:rsidP="00237D7C">
      <w:pPr>
        <w:spacing w:line="360" w:lineRule="auto"/>
        <w:rPr>
          <w:rFonts w:cs="Arial"/>
          <w:b/>
          <w:bCs/>
          <w:color w:val="0D0D0D" w:themeColor="text1" w:themeTint="F2"/>
          <w:szCs w:val="23"/>
        </w:rPr>
      </w:pPr>
      <w:r w:rsidRPr="004D5943">
        <w:rPr>
          <w:rFonts w:cs="Arial"/>
          <w:b/>
          <w:bCs/>
          <w:color w:val="0D0D0D" w:themeColor="text1" w:themeTint="F2"/>
          <w:szCs w:val="23"/>
        </w:rPr>
        <w:t>National Responses:</w:t>
      </w:r>
    </w:p>
    <w:p w14:paraId="77ED502B" w14:textId="77777777" w:rsidR="006B4102" w:rsidRPr="004D5943" w:rsidRDefault="006F4E33" w:rsidP="00237D7C">
      <w:pPr>
        <w:spacing w:line="360" w:lineRule="auto"/>
        <w:rPr>
          <w:rFonts w:eastAsia="Times New Roman" w:cs="Arial"/>
          <w:color w:val="0D0D0D" w:themeColor="text1" w:themeTint="F2"/>
          <w:kern w:val="0"/>
          <w:szCs w:val="23"/>
          <w:lang w:eastAsia="en-GB"/>
          <w14:ligatures w14:val="none"/>
        </w:rPr>
      </w:pPr>
      <w:r w:rsidRPr="006F4E33">
        <w:rPr>
          <w:rFonts w:eastAsia="Times New Roman" w:cs="Arial"/>
          <w:color w:val="0D0D0D" w:themeColor="text1" w:themeTint="F2"/>
          <w:kern w:val="0"/>
          <w:szCs w:val="23"/>
          <w:shd w:val="clear" w:color="auto" w:fill="FFFFFF"/>
          <w:lang w:eastAsia="en-GB"/>
          <w14:ligatures w14:val="none"/>
        </w:rPr>
        <w:t xml:space="preserve">In response to the UK's growing eating disorder rates among children and adolescents, the government allocated over £50 million annually to more than 70 specialist community services, providing skilled staff and four-week waiting times (Eisler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Consequently, hospital admissions fell by half, and recurrence rates dropped to between 5% and 10% (Eisler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The UK's leading eating disorder charity BEAT provides nationwide helpline help, internet resources, and advocacy programs (BEAT, 2025). However, </w:t>
      </w:r>
      <w:proofErr w:type="spellStart"/>
      <w:r w:rsidRPr="006F4E33">
        <w:rPr>
          <w:rFonts w:eastAsia="Times New Roman" w:cs="Arial"/>
          <w:color w:val="0D0D0D" w:themeColor="text1" w:themeTint="F2"/>
          <w:kern w:val="0"/>
          <w:szCs w:val="23"/>
          <w:shd w:val="clear" w:color="auto" w:fill="FFFFFF"/>
          <w:lang w:eastAsia="en-GB"/>
          <w14:ligatures w14:val="none"/>
        </w:rPr>
        <w:t>Piroddi</w:t>
      </w:r>
      <w:proofErr w:type="spellEnd"/>
      <w:r w:rsidRPr="006F4E33">
        <w:rPr>
          <w:rFonts w:eastAsia="Times New Roman" w:cs="Arial"/>
          <w:color w:val="0D0D0D" w:themeColor="text1" w:themeTint="F2"/>
          <w:kern w:val="0"/>
          <w:szCs w:val="23"/>
          <w:shd w:val="clear" w:color="auto" w:fill="FFFFFF"/>
          <w:lang w:eastAsia="en-GB"/>
          <w14:ligatures w14:val="none"/>
        </w:rPr>
        <w:t xml:space="preserve">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reveal that adolescents from deprived neighbourhoods have significant unmet need and are substantially less likely to access services despite screening positive for eating disorders. </w:t>
      </w:r>
    </w:p>
    <w:p w14:paraId="692D4C8F" w14:textId="1158FAE1" w:rsidR="006F4E33" w:rsidRPr="004D5943" w:rsidRDefault="00491A2A" w:rsidP="00237D7C">
      <w:pPr>
        <w:spacing w:line="360" w:lineRule="auto"/>
        <w:rPr>
          <w:rFonts w:eastAsia="Times New Roman" w:cs="Arial"/>
          <w:color w:val="0D0D0D" w:themeColor="text1" w:themeTint="F2"/>
          <w:kern w:val="0"/>
          <w:szCs w:val="23"/>
          <w:lang w:eastAsia="en-GB"/>
          <w14:ligatures w14:val="none"/>
        </w:rPr>
      </w:pPr>
      <w:r w:rsidRPr="004D5943">
        <w:rPr>
          <w:rFonts w:cs="Arial"/>
          <w:b/>
          <w:bCs/>
          <w:color w:val="0D0D0D" w:themeColor="text1" w:themeTint="F2"/>
          <w:szCs w:val="23"/>
        </w:rPr>
        <w:t>Theories</w:t>
      </w:r>
      <w:r w:rsidR="000D6AE3" w:rsidRPr="004D5943">
        <w:rPr>
          <w:rFonts w:cs="Arial"/>
          <w:b/>
          <w:bCs/>
          <w:color w:val="0D0D0D" w:themeColor="text1" w:themeTint="F2"/>
          <w:szCs w:val="23"/>
        </w:rPr>
        <w:t xml:space="preserve"> </w:t>
      </w:r>
    </w:p>
    <w:p w14:paraId="3443FF13" w14:textId="126A0B92"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rPr>
        <w:lastRenderedPageBreak/>
        <w:t xml:space="preserve">Individuals’ </w:t>
      </w:r>
      <w:r w:rsidRPr="004D5943">
        <w:rPr>
          <w:rFonts w:cs="Arial"/>
          <w:color w:val="0D0D0D" w:themeColor="text1" w:themeTint="F2"/>
          <w:szCs w:val="23"/>
        </w:rPr>
        <w:t xml:space="preserve">socioeconomic status and demographics are social determinants of health impacting mental health behaviours (Mulholland </w:t>
      </w:r>
      <w:r w:rsidRPr="004D5943">
        <w:rPr>
          <w:rFonts w:cs="Arial"/>
          <w:i/>
          <w:iCs/>
          <w:color w:val="0D0D0D" w:themeColor="text1" w:themeTint="F2"/>
          <w:szCs w:val="23"/>
        </w:rPr>
        <w:t>et al.,</w:t>
      </w:r>
      <w:r w:rsidRPr="004D5943">
        <w:rPr>
          <w:rFonts w:cs="Arial"/>
          <w:color w:val="0D0D0D" w:themeColor="text1" w:themeTint="F2"/>
          <w:szCs w:val="23"/>
        </w:rPr>
        <w:t xml:space="preserve"> 2021). Gendered Stress Theory explains how unrealistic societal expectations expose men and women to stresses (Cybulski </w:t>
      </w:r>
      <w:r w:rsidRPr="004D5943">
        <w:rPr>
          <w:rFonts w:cs="Arial"/>
          <w:i/>
          <w:iCs/>
          <w:color w:val="0D0D0D" w:themeColor="text1" w:themeTint="F2"/>
          <w:szCs w:val="23"/>
        </w:rPr>
        <w:t>et al.,</w:t>
      </w:r>
      <w:r w:rsidRPr="004D5943">
        <w:rPr>
          <w:rFonts w:cs="Arial"/>
          <w:color w:val="0D0D0D" w:themeColor="text1" w:themeTint="F2"/>
          <w:szCs w:val="23"/>
        </w:rPr>
        <w:t xml:space="preserve"> 2022). Adverse childhood experiences (ACEs) correlate with self-harm and suicide by exacerbating maladaptive shame while hindering self-compassion, establishing a trajectory toward self-destructive behaviours (Brewerton, 2022; Garbutt, </w:t>
      </w:r>
      <w:proofErr w:type="spellStart"/>
      <w:r w:rsidRPr="004D5943">
        <w:rPr>
          <w:rFonts w:cs="Arial"/>
          <w:color w:val="0D0D0D" w:themeColor="text1" w:themeTint="F2"/>
          <w:szCs w:val="23"/>
        </w:rPr>
        <w:t>Rennoldson</w:t>
      </w:r>
      <w:proofErr w:type="spellEnd"/>
      <w:r w:rsidRPr="004D5943">
        <w:rPr>
          <w:rFonts w:cs="Arial"/>
          <w:color w:val="0D0D0D" w:themeColor="text1" w:themeTint="F2"/>
          <w:szCs w:val="23"/>
        </w:rPr>
        <w:t xml:space="preserve"> and Gregson, 2023). Individuals with a history of non-suicidal self-injury or suicidal behaviours displayed the highest levels of avoidance-based coping, supporting the Experiential Avoidance Model’s claim that self-harm </w:t>
      </w:r>
      <w:r w:rsidR="006F4E33" w:rsidRPr="004D5943">
        <w:rPr>
          <w:rFonts w:cs="Arial"/>
          <w:color w:val="0D0D0D" w:themeColor="text1" w:themeTint="F2"/>
          <w:szCs w:val="23"/>
          <w:shd w:val="clear" w:color="auto" w:fill="FFFFFF"/>
        </w:rPr>
        <w:t xml:space="preserve">serves to </w:t>
      </w:r>
      <w:r w:rsidRPr="004D5943">
        <w:rPr>
          <w:rFonts w:cs="Arial"/>
          <w:color w:val="0D0D0D" w:themeColor="text1" w:themeTint="F2"/>
          <w:szCs w:val="23"/>
        </w:rPr>
        <w:t xml:space="preserve">escapes adverse emotions (Nielsen, </w:t>
      </w:r>
      <w:proofErr w:type="spellStart"/>
      <w:r w:rsidRPr="004D5943">
        <w:rPr>
          <w:rFonts w:cs="Arial"/>
          <w:color w:val="0D0D0D" w:themeColor="text1" w:themeTint="F2"/>
          <w:szCs w:val="23"/>
        </w:rPr>
        <w:t>Sayal</w:t>
      </w:r>
      <w:proofErr w:type="spellEnd"/>
      <w:r w:rsidRPr="004D5943">
        <w:rPr>
          <w:rFonts w:cs="Arial"/>
          <w:color w:val="0D0D0D" w:themeColor="text1" w:themeTint="F2"/>
          <w:szCs w:val="23"/>
        </w:rPr>
        <w:t xml:space="preserve">, and Townsend, 2017; </w:t>
      </w:r>
      <w:proofErr w:type="spellStart"/>
      <w:r w:rsidRPr="004D5943">
        <w:rPr>
          <w:rFonts w:cs="Arial"/>
          <w:color w:val="0D0D0D" w:themeColor="text1" w:themeTint="F2"/>
          <w:szCs w:val="23"/>
        </w:rPr>
        <w:t>Gökkaya</w:t>
      </w:r>
      <w:proofErr w:type="spellEnd"/>
      <w:r w:rsidRPr="004D5943">
        <w:rPr>
          <w:rFonts w:cs="Arial"/>
          <w:color w:val="0D0D0D" w:themeColor="text1" w:themeTint="F2"/>
          <w:szCs w:val="23"/>
        </w:rPr>
        <w:t>, 2025).</w:t>
      </w:r>
    </w:p>
    <w:p w14:paraId="7122C570" w14:textId="77777777" w:rsidR="003B1874" w:rsidRPr="004D5943" w:rsidRDefault="003B1874" w:rsidP="00237D7C">
      <w:pPr>
        <w:spacing w:line="360" w:lineRule="auto"/>
        <w:rPr>
          <w:rFonts w:cs="Arial"/>
          <w:b/>
          <w:bCs/>
          <w:color w:val="0D0D0D" w:themeColor="text1" w:themeTint="F2"/>
          <w:szCs w:val="23"/>
        </w:rPr>
      </w:pPr>
    </w:p>
    <w:p w14:paraId="3F50BA5A" w14:textId="06A12562" w:rsidR="006B0D73" w:rsidRPr="004D5943" w:rsidRDefault="006B0D73" w:rsidP="00237D7C">
      <w:pPr>
        <w:spacing w:line="360" w:lineRule="auto"/>
        <w:rPr>
          <w:rFonts w:cs="Arial"/>
          <w:b/>
          <w:bCs/>
          <w:color w:val="0D0D0D" w:themeColor="text1" w:themeTint="F2"/>
          <w:szCs w:val="23"/>
        </w:rPr>
      </w:pPr>
      <w:r w:rsidRPr="004D5943">
        <w:rPr>
          <w:rFonts w:cs="Arial"/>
          <w:b/>
          <w:bCs/>
          <w:color w:val="0D0D0D" w:themeColor="text1" w:themeTint="F2"/>
          <w:szCs w:val="23"/>
        </w:rPr>
        <w:t>Conclusions</w:t>
      </w:r>
    </w:p>
    <w:p w14:paraId="26E8E5C0" w14:textId="03CF1ABE" w:rsidR="00D13D7D" w:rsidRPr="004D5943" w:rsidRDefault="00202547" w:rsidP="00237D7C">
      <w:pPr>
        <w:spacing w:line="360" w:lineRule="auto"/>
        <w:rPr>
          <w:rFonts w:cs="Arial"/>
          <w:color w:val="0D0D0D" w:themeColor="text1" w:themeTint="F2"/>
          <w:szCs w:val="23"/>
        </w:rPr>
      </w:pPr>
      <w:r w:rsidRPr="004D5943">
        <w:rPr>
          <w:rFonts w:cs="Arial"/>
          <w:color w:val="0D0D0D" w:themeColor="text1" w:themeTint="F2"/>
          <w:szCs w:val="23"/>
        </w:rPr>
        <w:t xml:space="preserve">The study illustrates that male suicide, female self-harm, and eating disorders are interrelated public health concerns fundamentally influenced by gender inequality (Ward </w:t>
      </w:r>
      <w:r w:rsidRPr="004D5943">
        <w:rPr>
          <w:rFonts w:cs="Arial"/>
          <w:i/>
          <w:iCs/>
          <w:color w:val="0D0D0D" w:themeColor="text1" w:themeTint="F2"/>
          <w:szCs w:val="23"/>
        </w:rPr>
        <w:t>et al.,</w:t>
      </w:r>
      <w:r w:rsidRPr="004D5943">
        <w:rPr>
          <w:rFonts w:cs="Arial"/>
          <w:color w:val="0D0D0D" w:themeColor="text1" w:themeTint="F2"/>
          <w:szCs w:val="23"/>
        </w:rPr>
        <w:t xml:space="preserve"> 2024; Clements </w:t>
      </w:r>
      <w:r w:rsidRPr="004D5943">
        <w:rPr>
          <w:rFonts w:cs="Arial"/>
          <w:i/>
          <w:iCs/>
          <w:color w:val="0D0D0D" w:themeColor="text1" w:themeTint="F2"/>
          <w:szCs w:val="23"/>
        </w:rPr>
        <w:t>et al.,</w:t>
      </w:r>
      <w:r w:rsidRPr="004D5943">
        <w:rPr>
          <w:rFonts w:cs="Arial"/>
          <w:color w:val="0D0D0D" w:themeColor="text1" w:themeTint="F2"/>
          <w:szCs w:val="23"/>
        </w:rPr>
        <w:t xml:space="preserve"> 2025; Morgan </w:t>
      </w:r>
      <w:r w:rsidRPr="004D5943">
        <w:rPr>
          <w:rFonts w:cs="Arial"/>
          <w:i/>
          <w:iCs/>
          <w:color w:val="0D0D0D" w:themeColor="text1" w:themeTint="F2"/>
          <w:szCs w:val="23"/>
        </w:rPr>
        <w:t>et al.,</w:t>
      </w:r>
      <w:r w:rsidRPr="004D5943">
        <w:rPr>
          <w:rFonts w:cs="Arial"/>
          <w:color w:val="0D0D0D" w:themeColor="text1" w:themeTint="F2"/>
          <w:szCs w:val="23"/>
        </w:rPr>
        <w:t xml:space="preserve"> 2025). Childhood adversity and gender-specific stressors significantly influence the prevalence of self-harm and eating disorders in females (Garbutt, </w:t>
      </w:r>
      <w:proofErr w:type="spellStart"/>
      <w:r w:rsidRPr="004D5943">
        <w:rPr>
          <w:rFonts w:cs="Arial"/>
          <w:color w:val="0D0D0D" w:themeColor="text1" w:themeTint="F2"/>
          <w:szCs w:val="23"/>
        </w:rPr>
        <w:t>Rennoldson</w:t>
      </w:r>
      <w:proofErr w:type="spellEnd"/>
      <w:r w:rsidRPr="004D5943">
        <w:rPr>
          <w:rFonts w:cs="Arial"/>
          <w:color w:val="0D0D0D" w:themeColor="text1" w:themeTint="F2"/>
          <w:szCs w:val="23"/>
        </w:rPr>
        <w:t xml:space="preserve"> and Gregson, 2023), whereas hegemonic masculine norms systematically obstruct help-seeking behaviours and exacerbate male suicide rates (O'Donnell </w:t>
      </w:r>
      <w:r w:rsidRPr="004D5943">
        <w:rPr>
          <w:rFonts w:cs="Arial"/>
          <w:i/>
          <w:iCs/>
          <w:color w:val="0D0D0D" w:themeColor="text1" w:themeTint="F2"/>
          <w:szCs w:val="23"/>
        </w:rPr>
        <w:t>et al.,</w:t>
      </w:r>
      <w:r w:rsidRPr="004D5943">
        <w:rPr>
          <w:rFonts w:cs="Arial"/>
          <w:color w:val="0D0D0D" w:themeColor="text1" w:themeTint="F2"/>
          <w:szCs w:val="23"/>
        </w:rPr>
        <w:t xml:space="preserve"> 2025). </w:t>
      </w:r>
      <w:r w:rsidR="007437D0" w:rsidRPr="004D5943">
        <w:rPr>
          <w:rFonts w:cs="Arial"/>
          <w:color w:val="0D0D0D" w:themeColor="text1" w:themeTint="F2"/>
          <w:szCs w:val="23"/>
        </w:rPr>
        <w:t>Public health</w:t>
      </w:r>
      <w:r w:rsidRPr="004D5943">
        <w:rPr>
          <w:rFonts w:cs="Arial"/>
          <w:color w:val="0D0D0D" w:themeColor="text1" w:themeTint="F2"/>
          <w:szCs w:val="23"/>
        </w:rPr>
        <w:t xml:space="preserve"> </w:t>
      </w:r>
      <w:r w:rsidR="00084344" w:rsidRPr="004D5943">
        <w:rPr>
          <w:rFonts w:cs="Arial"/>
          <w:color w:val="0D0D0D" w:themeColor="text1" w:themeTint="F2"/>
          <w:szCs w:val="23"/>
        </w:rPr>
        <w:t xml:space="preserve">interventions </w:t>
      </w:r>
      <w:r w:rsidR="00254EDB" w:rsidRPr="004D5943">
        <w:rPr>
          <w:rFonts w:cs="Arial"/>
          <w:color w:val="0D0D0D" w:themeColor="text1" w:themeTint="F2"/>
          <w:szCs w:val="23"/>
        </w:rPr>
        <w:t>require</w:t>
      </w:r>
      <w:r w:rsidR="00084344" w:rsidRPr="004D5943">
        <w:rPr>
          <w:rFonts w:cs="Arial"/>
          <w:color w:val="0D0D0D" w:themeColor="text1" w:themeTint="F2"/>
          <w:szCs w:val="23"/>
        </w:rPr>
        <w:t xml:space="preserve"> a</w:t>
      </w:r>
      <w:r w:rsidRPr="004D5943">
        <w:rPr>
          <w:rFonts w:cs="Arial"/>
          <w:color w:val="0D0D0D" w:themeColor="text1" w:themeTint="F2"/>
          <w:szCs w:val="23"/>
        </w:rPr>
        <w:t xml:space="preserve"> </w:t>
      </w:r>
      <w:r w:rsidR="00D05A7D" w:rsidRPr="004D5943">
        <w:rPr>
          <w:rFonts w:cs="Arial"/>
          <w:color w:val="0D0D0D" w:themeColor="text1" w:themeTint="F2"/>
          <w:szCs w:val="23"/>
        </w:rPr>
        <w:t>comprehensive preventive effort</w:t>
      </w:r>
      <w:r w:rsidRPr="004D5943">
        <w:rPr>
          <w:rFonts w:cs="Arial"/>
          <w:color w:val="0D0D0D" w:themeColor="text1" w:themeTint="F2"/>
          <w:szCs w:val="23"/>
        </w:rPr>
        <w:t xml:space="preserve"> that address common variables and guarantee equitable resource allocation</w:t>
      </w:r>
      <w:r w:rsidR="00084344" w:rsidRPr="004D5943">
        <w:rPr>
          <w:rFonts w:cs="Arial"/>
          <w:color w:val="0D0D0D" w:themeColor="text1" w:themeTint="F2"/>
          <w:szCs w:val="23"/>
        </w:rPr>
        <w:t xml:space="preserve"> (</w:t>
      </w:r>
      <w:proofErr w:type="spellStart"/>
      <w:r w:rsidR="00084344" w:rsidRPr="004D5943">
        <w:rPr>
          <w:rFonts w:cs="Arial"/>
          <w:color w:val="0D0D0D" w:themeColor="text1" w:themeTint="F2"/>
          <w:szCs w:val="23"/>
        </w:rPr>
        <w:t>Piroddi</w:t>
      </w:r>
      <w:proofErr w:type="spellEnd"/>
      <w:r w:rsidR="00084344" w:rsidRPr="004D5943">
        <w:rPr>
          <w:rFonts w:cs="Arial"/>
          <w:color w:val="0D0D0D" w:themeColor="text1" w:themeTint="F2"/>
          <w:szCs w:val="23"/>
        </w:rPr>
        <w:t xml:space="preserve"> </w:t>
      </w:r>
      <w:r w:rsidR="00084344" w:rsidRPr="004D5943">
        <w:rPr>
          <w:rFonts w:cs="Arial"/>
          <w:i/>
          <w:iCs/>
          <w:color w:val="0D0D0D" w:themeColor="text1" w:themeTint="F2"/>
          <w:szCs w:val="23"/>
        </w:rPr>
        <w:t>et al.</w:t>
      </w:r>
      <w:r w:rsidR="00084344" w:rsidRPr="004D5943">
        <w:rPr>
          <w:rFonts w:cs="Arial"/>
          <w:i/>
          <w:iCs/>
          <w:color w:val="0D0D0D" w:themeColor="text1" w:themeTint="F2"/>
          <w:szCs w:val="23"/>
        </w:rPr>
        <w:t xml:space="preserve">, </w:t>
      </w:r>
      <w:r w:rsidR="00084344" w:rsidRPr="004D5943">
        <w:rPr>
          <w:rFonts w:cs="Arial"/>
          <w:color w:val="0D0D0D" w:themeColor="text1" w:themeTint="F2"/>
          <w:szCs w:val="23"/>
        </w:rPr>
        <w:t>2025)</w:t>
      </w:r>
      <w:r w:rsidRPr="004D5943">
        <w:rPr>
          <w:rFonts w:cs="Arial"/>
          <w:color w:val="0D0D0D" w:themeColor="text1" w:themeTint="F2"/>
          <w:szCs w:val="23"/>
        </w:rPr>
        <w:t>. </w:t>
      </w:r>
    </w:p>
    <w:p w14:paraId="7C7628CE" w14:textId="77777777" w:rsidR="00D13D7D" w:rsidRPr="004D5943" w:rsidRDefault="00D13D7D" w:rsidP="009B7C7F">
      <w:pPr>
        <w:spacing w:line="360" w:lineRule="auto"/>
        <w:rPr>
          <w:rFonts w:cs="Arial"/>
          <w:color w:val="0D0D0D" w:themeColor="text1" w:themeTint="F2"/>
          <w:szCs w:val="23"/>
        </w:rPr>
      </w:pPr>
    </w:p>
    <w:p w14:paraId="48298A9B" w14:textId="77777777" w:rsidR="00D13D7D" w:rsidRPr="004D5943" w:rsidRDefault="00D13D7D" w:rsidP="009B7C7F">
      <w:pPr>
        <w:spacing w:line="360" w:lineRule="auto"/>
        <w:rPr>
          <w:rFonts w:cs="Arial"/>
          <w:color w:val="0D0D0D" w:themeColor="text1" w:themeTint="F2"/>
          <w:szCs w:val="23"/>
        </w:rPr>
      </w:pPr>
    </w:p>
    <w:p w14:paraId="1B910262" w14:textId="77777777" w:rsidR="00D13D7D" w:rsidRPr="004D5943" w:rsidRDefault="00D13D7D" w:rsidP="009B7C7F">
      <w:pPr>
        <w:spacing w:line="360" w:lineRule="auto"/>
        <w:rPr>
          <w:rFonts w:cs="Arial"/>
          <w:color w:val="0D0D0D" w:themeColor="text1" w:themeTint="F2"/>
          <w:szCs w:val="23"/>
        </w:rPr>
      </w:pPr>
    </w:p>
    <w:p w14:paraId="3A4DA8CB" w14:textId="77777777" w:rsidR="00D13D7D" w:rsidRPr="004D5943" w:rsidRDefault="00D13D7D" w:rsidP="009B7C7F">
      <w:pPr>
        <w:spacing w:line="360" w:lineRule="auto"/>
        <w:rPr>
          <w:rFonts w:cs="Arial"/>
          <w:color w:val="0D0D0D" w:themeColor="text1" w:themeTint="F2"/>
          <w:szCs w:val="23"/>
        </w:rPr>
      </w:pPr>
    </w:p>
    <w:p w14:paraId="621F2701" w14:textId="77777777" w:rsidR="00971953" w:rsidRPr="004D5943" w:rsidRDefault="00971953" w:rsidP="009B7C7F">
      <w:pPr>
        <w:spacing w:line="360" w:lineRule="auto"/>
        <w:rPr>
          <w:rFonts w:cs="Arial"/>
          <w:color w:val="0D0D0D" w:themeColor="text1" w:themeTint="F2"/>
          <w:szCs w:val="23"/>
        </w:rPr>
      </w:pPr>
    </w:p>
    <w:p w14:paraId="00A0D4F9" w14:textId="77777777" w:rsidR="00971953" w:rsidRPr="004D5943" w:rsidRDefault="00971953" w:rsidP="009B7C7F">
      <w:pPr>
        <w:spacing w:line="360" w:lineRule="auto"/>
        <w:rPr>
          <w:rFonts w:cs="Arial"/>
          <w:color w:val="0D0D0D" w:themeColor="text1" w:themeTint="F2"/>
          <w:szCs w:val="23"/>
        </w:rPr>
      </w:pPr>
    </w:p>
    <w:p w14:paraId="4CC6ADF5" w14:textId="77777777" w:rsidR="00971953" w:rsidRPr="004D5943" w:rsidRDefault="00971953" w:rsidP="009B7C7F">
      <w:pPr>
        <w:spacing w:line="360" w:lineRule="auto"/>
        <w:rPr>
          <w:rFonts w:cs="Arial"/>
          <w:color w:val="0D0D0D" w:themeColor="text1" w:themeTint="F2"/>
          <w:szCs w:val="23"/>
        </w:rPr>
      </w:pPr>
    </w:p>
    <w:p w14:paraId="5B117A0A" w14:textId="77777777" w:rsidR="00D13D7D" w:rsidRPr="004D5943" w:rsidRDefault="00D13D7D" w:rsidP="009B7C7F">
      <w:pPr>
        <w:spacing w:line="360" w:lineRule="auto"/>
        <w:rPr>
          <w:rFonts w:cs="Arial"/>
          <w:color w:val="0D0D0D" w:themeColor="text1" w:themeTint="F2"/>
          <w:szCs w:val="23"/>
        </w:rPr>
      </w:pPr>
    </w:p>
    <w:p w14:paraId="4D01AFA2" w14:textId="77777777" w:rsidR="006B4102" w:rsidRPr="004D5943" w:rsidRDefault="006B4102" w:rsidP="009B7C7F">
      <w:pPr>
        <w:spacing w:line="360" w:lineRule="auto"/>
        <w:rPr>
          <w:rFonts w:cs="Arial"/>
          <w:color w:val="0D0D0D" w:themeColor="text1" w:themeTint="F2"/>
          <w:szCs w:val="23"/>
        </w:rPr>
      </w:pPr>
    </w:p>
    <w:p w14:paraId="4347B82D" w14:textId="77777777" w:rsidR="006B4102" w:rsidRPr="004D5943" w:rsidRDefault="006B4102" w:rsidP="009B7C7F">
      <w:pPr>
        <w:spacing w:line="360" w:lineRule="auto"/>
        <w:rPr>
          <w:rFonts w:cs="Arial"/>
          <w:color w:val="0D0D0D" w:themeColor="text1" w:themeTint="F2"/>
          <w:szCs w:val="23"/>
        </w:rPr>
      </w:pPr>
    </w:p>
    <w:p w14:paraId="668B02E3" w14:textId="77777777" w:rsidR="006B4102" w:rsidRPr="004D5943" w:rsidRDefault="006B4102" w:rsidP="009B7C7F">
      <w:pPr>
        <w:spacing w:line="360" w:lineRule="auto"/>
        <w:rPr>
          <w:rFonts w:cs="Arial"/>
          <w:color w:val="0D0D0D" w:themeColor="text1" w:themeTint="F2"/>
          <w:szCs w:val="23"/>
        </w:rPr>
      </w:pPr>
    </w:p>
    <w:p w14:paraId="1FA663C6" w14:textId="77777777" w:rsidR="004D5943" w:rsidRPr="004D5943" w:rsidRDefault="004D5943" w:rsidP="009B7C7F">
      <w:pPr>
        <w:spacing w:line="360" w:lineRule="auto"/>
        <w:rPr>
          <w:rFonts w:cs="Arial"/>
          <w:color w:val="0D0D0D" w:themeColor="text1" w:themeTint="F2"/>
          <w:szCs w:val="23"/>
        </w:rPr>
      </w:pPr>
    </w:p>
    <w:p w14:paraId="02A5E0F9" w14:textId="77777777" w:rsidR="00D13D7D" w:rsidRPr="004D5943" w:rsidRDefault="00D13D7D" w:rsidP="009B7C7F">
      <w:pPr>
        <w:spacing w:line="360" w:lineRule="auto"/>
        <w:rPr>
          <w:rFonts w:cs="Arial"/>
          <w:color w:val="0D0D0D" w:themeColor="text1" w:themeTint="F2"/>
          <w:szCs w:val="23"/>
        </w:rPr>
      </w:pPr>
    </w:p>
    <w:p w14:paraId="523D56B9" w14:textId="77777777" w:rsidR="004D5943" w:rsidRPr="004D5943" w:rsidRDefault="004D5943" w:rsidP="009B7C7F">
      <w:pPr>
        <w:spacing w:line="360" w:lineRule="auto"/>
        <w:rPr>
          <w:rFonts w:cs="Arial"/>
          <w:color w:val="0D0D0D" w:themeColor="text1" w:themeTint="F2"/>
          <w:szCs w:val="23"/>
        </w:rPr>
      </w:pPr>
    </w:p>
    <w:p w14:paraId="232B822A" w14:textId="77777777" w:rsidR="000F6CA4" w:rsidRPr="004D5943" w:rsidRDefault="000F6CA4" w:rsidP="000F6CA4">
      <w:pPr>
        <w:pStyle w:val="NormalWeb"/>
        <w:spacing w:before="0" w:beforeAutospacing="0" w:after="240" w:afterAutospacing="0"/>
        <w:rPr>
          <w:rFonts w:ascii="Arial" w:hAnsi="Arial" w:cs="Arial"/>
          <w:b/>
          <w:bCs/>
          <w:color w:val="0D0D0D" w:themeColor="text1" w:themeTint="F2"/>
          <w:sz w:val="22"/>
          <w:szCs w:val="22"/>
          <w:shd w:val="clear" w:color="auto" w:fill="FFFFFF"/>
        </w:rPr>
      </w:pPr>
      <w:r w:rsidRPr="004D5943">
        <w:rPr>
          <w:rFonts w:ascii="Arial" w:hAnsi="Arial" w:cs="Arial"/>
          <w:b/>
          <w:bCs/>
          <w:color w:val="0D0D0D" w:themeColor="text1" w:themeTint="F2"/>
          <w:sz w:val="22"/>
          <w:szCs w:val="22"/>
          <w:shd w:val="clear" w:color="auto" w:fill="FFFFFF"/>
        </w:rPr>
        <w:lastRenderedPageBreak/>
        <w:t xml:space="preserve">Reference </w:t>
      </w:r>
    </w:p>
    <w:p w14:paraId="572D4638"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shd w:val="clear" w:color="auto" w:fill="FFFFFF"/>
        </w:rPr>
        <w:t>Arowosegbe</w:t>
      </w:r>
      <w:proofErr w:type="spellEnd"/>
      <w:r w:rsidRPr="004D5943">
        <w:rPr>
          <w:rFonts w:ascii="Arial" w:hAnsi="Arial" w:cs="Arial"/>
          <w:color w:val="0D0D0D" w:themeColor="text1" w:themeTint="F2"/>
          <w:sz w:val="22"/>
          <w:szCs w:val="22"/>
          <w:shd w:val="clear" w:color="auto" w:fill="FFFFFF"/>
        </w:rPr>
        <w:t xml:space="preserve">, A. and </w:t>
      </w:r>
      <w:proofErr w:type="spellStart"/>
      <w:r w:rsidRPr="004D5943">
        <w:rPr>
          <w:rFonts w:ascii="Arial" w:hAnsi="Arial" w:cs="Arial"/>
          <w:color w:val="0D0D0D" w:themeColor="text1" w:themeTint="F2"/>
          <w:sz w:val="22"/>
          <w:szCs w:val="22"/>
          <w:shd w:val="clear" w:color="auto" w:fill="FFFFFF"/>
        </w:rPr>
        <w:t>Oyelade</w:t>
      </w:r>
      <w:proofErr w:type="spellEnd"/>
      <w:r w:rsidRPr="004D5943">
        <w:rPr>
          <w:rFonts w:ascii="Arial" w:hAnsi="Arial" w:cs="Arial"/>
          <w:color w:val="0D0D0D" w:themeColor="text1" w:themeTint="F2"/>
          <w:sz w:val="22"/>
          <w:szCs w:val="22"/>
          <w:shd w:val="clear" w:color="auto" w:fill="FFFFFF"/>
        </w:rPr>
        <w:t>, T. (2023) “Suicide Risk Assessment and Prevention Tools in the UK: Current Landscape and Future Directions,”</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Psychiatry international (Basel)</w:t>
      </w:r>
      <w:r w:rsidRPr="004D5943">
        <w:rPr>
          <w:rFonts w:ascii="Arial" w:hAnsi="Arial" w:cs="Arial"/>
          <w:color w:val="0D0D0D" w:themeColor="text1" w:themeTint="F2"/>
          <w:sz w:val="22"/>
          <w:szCs w:val="22"/>
          <w:shd w:val="clear" w:color="auto" w:fill="FFFFFF"/>
        </w:rPr>
        <w:t>, 4(4), pp. 354–369. Available at: https://doi.org/10.3390/psychiatryint4040032.</w:t>
      </w:r>
      <w:r w:rsidRPr="004D5943">
        <w:rPr>
          <w:rFonts w:ascii="Arial" w:hAnsi="Arial" w:cs="Arial"/>
          <w:color w:val="0D0D0D" w:themeColor="text1" w:themeTint="F2"/>
          <w:sz w:val="22"/>
          <w:szCs w:val="22"/>
        </w:rPr>
        <w:t xml:space="preserve"> (Accessed: 10 March 2026).</w:t>
      </w:r>
    </w:p>
    <w:p w14:paraId="7EEBBEB0"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Barone, E., </w:t>
      </w:r>
      <w:proofErr w:type="spellStart"/>
      <w:r w:rsidRPr="004D5943">
        <w:rPr>
          <w:rFonts w:ascii="Arial" w:hAnsi="Arial" w:cs="Arial"/>
          <w:color w:val="0D0D0D" w:themeColor="text1" w:themeTint="F2"/>
          <w:sz w:val="22"/>
          <w:szCs w:val="22"/>
          <w:shd w:val="clear" w:color="auto" w:fill="FFFFFF"/>
        </w:rPr>
        <w:t>Carfagno</w:t>
      </w:r>
      <w:proofErr w:type="spellEnd"/>
      <w:r w:rsidRPr="004D5943">
        <w:rPr>
          <w:rFonts w:ascii="Arial" w:hAnsi="Arial" w:cs="Arial"/>
          <w:color w:val="0D0D0D" w:themeColor="text1" w:themeTint="F2"/>
          <w:sz w:val="22"/>
          <w:szCs w:val="22"/>
          <w:shd w:val="clear" w:color="auto" w:fill="FFFFFF"/>
        </w:rPr>
        <w:t xml:space="preserve">, M., Monteleone, A. M., </w:t>
      </w:r>
      <w:proofErr w:type="spellStart"/>
      <w:r w:rsidRPr="004D5943">
        <w:rPr>
          <w:rFonts w:ascii="Arial" w:hAnsi="Arial" w:cs="Arial"/>
          <w:color w:val="0D0D0D" w:themeColor="text1" w:themeTint="F2"/>
          <w:sz w:val="22"/>
          <w:szCs w:val="22"/>
          <w:shd w:val="clear" w:color="auto" w:fill="FFFFFF"/>
        </w:rPr>
        <w:t>Ruzzi</w:t>
      </w:r>
      <w:proofErr w:type="spellEnd"/>
      <w:r w:rsidRPr="004D5943">
        <w:rPr>
          <w:rFonts w:ascii="Arial" w:hAnsi="Arial" w:cs="Arial"/>
          <w:color w:val="0D0D0D" w:themeColor="text1" w:themeTint="F2"/>
          <w:sz w:val="22"/>
          <w:szCs w:val="22"/>
          <w:shd w:val="clear" w:color="auto" w:fill="FFFFFF"/>
        </w:rPr>
        <w:t xml:space="preserve">, V., Pellegrino, F., </w:t>
      </w:r>
      <w:proofErr w:type="spellStart"/>
      <w:r w:rsidRPr="004D5943">
        <w:rPr>
          <w:rFonts w:ascii="Arial" w:hAnsi="Arial" w:cs="Arial"/>
          <w:color w:val="0D0D0D" w:themeColor="text1" w:themeTint="F2"/>
          <w:sz w:val="22"/>
          <w:szCs w:val="22"/>
          <w:shd w:val="clear" w:color="auto" w:fill="FFFFFF"/>
        </w:rPr>
        <w:t>Marafioti</w:t>
      </w:r>
      <w:proofErr w:type="spellEnd"/>
      <w:r w:rsidRPr="004D5943">
        <w:rPr>
          <w:rFonts w:ascii="Arial" w:hAnsi="Arial" w:cs="Arial"/>
          <w:color w:val="0D0D0D" w:themeColor="text1" w:themeTint="F2"/>
          <w:sz w:val="22"/>
          <w:szCs w:val="22"/>
          <w:shd w:val="clear" w:color="auto" w:fill="FFFFFF"/>
        </w:rPr>
        <w:t xml:space="preserve">, N., &amp; </w:t>
      </w:r>
      <w:proofErr w:type="spellStart"/>
      <w:r w:rsidRPr="004D5943">
        <w:rPr>
          <w:rFonts w:ascii="Arial" w:hAnsi="Arial" w:cs="Arial"/>
          <w:color w:val="0D0D0D" w:themeColor="text1" w:themeTint="F2"/>
          <w:sz w:val="22"/>
          <w:szCs w:val="22"/>
          <w:shd w:val="clear" w:color="auto" w:fill="FFFFFF"/>
        </w:rPr>
        <w:t>Toricco</w:t>
      </w:r>
      <w:proofErr w:type="spellEnd"/>
      <w:r w:rsidRPr="004D5943">
        <w:rPr>
          <w:rFonts w:ascii="Arial" w:hAnsi="Arial" w:cs="Arial"/>
          <w:color w:val="0D0D0D" w:themeColor="text1" w:themeTint="F2"/>
          <w:sz w:val="22"/>
          <w:szCs w:val="22"/>
          <w:shd w:val="clear" w:color="auto" w:fill="FFFFFF"/>
        </w:rPr>
        <w:t>, R. (2022).</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 xml:space="preserve">“Vulnerability to acute psychosocial stress in subjects with eating disorders and history of childhood trauma: experimental evidence of a ‘Maltreated </w:t>
      </w:r>
      <w:proofErr w:type="spellStart"/>
      <w:r w:rsidRPr="004D5943">
        <w:rPr>
          <w:rFonts w:ascii="Arial" w:hAnsi="Arial" w:cs="Arial"/>
          <w:color w:val="0D0D0D" w:themeColor="text1" w:themeTint="F2"/>
          <w:sz w:val="22"/>
          <w:szCs w:val="22"/>
          <w:shd w:val="clear" w:color="auto" w:fill="FFFFFF"/>
        </w:rPr>
        <w:t>Ecophenotype</w:t>
      </w:r>
      <w:proofErr w:type="spellEnd"/>
      <w:r w:rsidRPr="004D5943">
        <w:rPr>
          <w:rFonts w:ascii="Arial" w:hAnsi="Arial" w:cs="Arial"/>
          <w:color w:val="0D0D0D" w:themeColor="text1" w:themeTint="F2"/>
          <w:sz w:val="22"/>
          <w:szCs w:val="22"/>
          <w:shd w:val="clear" w:color="auto" w:fill="FFFFFF"/>
        </w:rPr>
        <w:t>,’”</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European psychiatry</w:t>
      </w:r>
      <w:r w:rsidRPr="004D5943">
        <w:rPr>
          <w:rFonts w:ascii="Arial" w:hAnsi="Arial" w:cs="Arial"/>
          <w:color w:val="0D0D0D" w:themeColor="text1" w:themeTint="F2"/>
          <w:sz w:val="22"/>
          <w:szCs w:val="22"/>
          <w:shd w:val="clear" w:color="auto" w:fill="FFFFFF"/>
        </w:rPr>
        <w:t>, 65(S1), pp. S151–S151. Available at: https://doi.org/10.1192/j.eurpsy.2022.406.</w:t>
      </w:r>
      <w:r w:rsidRPr="004D5943">
        <w:rPr>
          <w:rFonts w:ascii="Arial" w:hAnsi="Arial" w:cs="Arial"/>
          <w:color w:val="0D0D0D" w:themeColor="text1" w:themeTint="F2"/>
          <w:sz w:val="22"/>
          <w:szCs w:val="22"/>
        </w:rPr>
        <w:t xml:space="preserve"> (Accessed: 10 March 2026).</w:t>
      </w:r>
    </w:p>
    <w:p w14:paraId="34FF58CE" w14:textId="5DB6C4B6"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t>Beat Eating Disorders (2025).</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Get Information and Support</w:t>
      </w:r>
      <w:r w:rsidRPr="004D5943">
        <w:rPr>
          <w:rFonts w:ascii="Arial" w:hAnsi="Arial" w:cs="Arial"/>
          <w:color w:val="0D0D0D" w:themeColor="text1" w:themeTint="F2"/>
          <w:sz w:val="22"/>
          <w:szCs w:val="22"/>
        </w:rPr>
        <w:t>. Available at: https://www.beateatingdisorders.org.uk/get-information-and-support/ (Accessed: 1</w:t>
      </w:r>
      <w:r w:rsidR="003A3A08" w:rsidRPr="004D5943">
        <w:rPr>
          <w:rFonts w:ascii="Arial" w:hAnsi="Arial" w:cs="Arial"/>
          <w:color w:val="0D0D0D" w:themeColor="text1" w:themeTint="F2"/>
          <w:sz w:val="22"/>
          <w:szCs w:val="22"/>
        </w:rPr>
        <w:t>0</w:t>
      </w:r>
      <w:r w:rsidRPr="004D5943">
        <w:rPr>
          <w:rFonts w:ascii="Arial" w:hAnsi="Arial" w:cs="Arial"/>
          <w:color w:val="0D0D0D" w:themeColor="text1" w:themeTint="F2"/>
          <w:sz w:val="22"/>
          <w:szCs w:val="22"/>
        </w:rPr>
        <w:t xml:space="preserve"> March 2026).</w:t>
      </w:r>
    </w:p>
    <w:p w14:paraId="42FE9BD8"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Brewerton, T.D. (2022) “Mechanisms by which adverse childhood experiences, other traumas and PTSD influence the health and well-being of individuals with eating disorders throughout the life span,”</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Journal of eating disorders</w:t>
      </w:r>
      <w:r w:rsidRPr="004D5943">
        <w:rPr>
          <w:rFonts w:ascii="Arial" w:hAnsi="Arial" w:cs="Arial"/>
          <w:color w:val="0D0D0D" w:themeColor="text1" w:themeTint="F2"/>
          <w:sz w:val="22"/>
          <w:szCs w:val="22"/>
          <w:shd w:val="clear" w:color="auto" w:fill="FFFFFF"/>
        </w:rPr>
        <w:t xml:space="preserve">, 10(1). Available at: https://doi.org/10.1186/s40337-022-00696-6. </w:t>
      </w:r>
      <w:r w:rsidRPr="004D5943">
        <w:rPr>
          <w:rFonts w:ascii="Arial" w:hAnsi="Arial" w:cs="Arial"/>
          <w:color w:val="0D0D0D" w:themeColor="text1" w:themeTint="F2"/>
          <w:sz w:val="22"/>
          <w:szCs w:val="22"/>
        </w:rPr>
        <w:t>(Accessed: 17 March 2026).</w:t>
      </w:r>
    </w:p>
    <w:p w14:paraId="3CAD9279" w14:textId="47A55514"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Burn, A.-M., Gains, H., Hall, P., and Anderson, J. K. (2025). </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“Principles of practice for a whole school approach to self-harm: a qualitative study,”</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BMC public health</w:t>
      </w:r>
      <w:r w:rsidRPr="004D5943">
        <w:rPr>
          <w:rFonts w:ascii="Arial" w:hAnsi="Arial" w:cs="Arial"/>
          <w:color w:val="0D0D0D" w:themeColor="text1" w:themeTint="F2"/>
          <w:sz w:val="22"/>
          <w:szCs w:val="22"/>
          <w:shd w:val="clear" w:color="auto" w:fill="FFFFFF"/>
        </w:rPr>
        <w:t>, 26(1). Available at: https://doi.org/10.1186/s12889-025-25538-3.</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5</w:t>
      </w:r>
      <w:r w:rsidRPr="004D5943">
        <w:rPr>
          <w:rFonts w:ascii="Arial" w:hAnsi="Arial" w:cs="Arial"/>
          <w:color w:val="0D0D0D" w:themeColor="text1" w:themeTint="F2"/>
          <w:sz w:val="22"/>
          <w:szCs w:val="22"/>
        </w:rPr>
        <w:t xml:space="preserve"> March 2026).</w:t>
      </w:r>
    </w:p>
    <w:p w14:paraId="69D90019" w14:textId="6D73E45A"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t>CALM (2024).</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CALM - Campaign Against Living Miserably</w:t>
      </w:r>
      <w:r w:rsidRPr="004D5943">
        <w:rPr>
          <w:rFonts w:ascii="Arial" w:hAnsi="Arial" w:cs="Arial"/>
          <w:color w:val="0D0D0D" w:themeColor="text1" w:themeTint="F2"/>
          <w:sz w:val="22"/>
          <w:szCs w:val="22"/>
        </w:rPr>
        <w:t xml:space="preserve">. Campaign Against Living Miserably. Available at: https://www.thecalmzone.net/ (Accessed: </w:t>
      </w:r>
      <w:r w:rsidR="003A3A08" w:rsidRPr="004D5943">
        <w:rPr>
          <w:rFonts w:ascii="Arial" w:hAnsi="Arial" w:cs="Arial"/>
          <w:color w:val="0D0D0D" w:themeColor="text1" w:themeTint="F2"/>
          <w:sz w:val="22"/>
          <w:szCs w:val="22"/>
        </w:rPr>
        <w:t>2</w:t>
      </w:r>
      <w:r w:rsidRPr="004D5943">
        <w:rPr>
          <w:rFonts w:ascii="Arial" w:hAnsi="Arial" w:cs="Arial"/>
          <w:color w:val="0D0D0D" w:themeColor="text1" w:themeTint="F2"/>
          <w:sz w:val="22"/>
          <w:szCs w:val="22"/>
        </w:rPr>
        <w:t xml:space="preserve"> March 2026).</w:t>
      </w:r>
    </w:p>
    <w:p w14:paraId="44E5BE9C" w14:textId="589E05B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shd w:val="clear" w:color="auto" w:fill="FFFFFF"/>
        </w:rPr>
        <w:t>Chabé</w:t>
      </w:r>
      <w:proofErr w:type="spellEnd"/>
      <w:r w:rsidRPr="004D5943">
        <w:rPr>
          <w:rFonts w:ascii="Arial" w:hAnsi="Arial" w:cs="Arial"/>
          <w:color w:val="0D0D0D" w:themeColor="text1" w:themeTint="F2"/>
          <w:sz w:val="22"/>
          <w:szCs w:val="22"/>
          <w:shd w:val="clear" w:color="auto" w:fill="FFFFFF"/>
        </w:rPr>
        <w:t>-Ferret, B. and Marzano, L. (2025) “Can a local low-budget intervention make a difference to suicide rates? Evaluating the effectiveness of the Barnet (London) suicide prevention campaign using real-time suspected suicide data,”</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BMC public health</w:t>
      </w:r>
      <w:r w:rsidRPr="004D5943">
        <w:rPr>
          <w:rFonts w:ascii="Arial" w:hAnsi="Arial" w:cs="Arial"/>
          <w:color w:val="0D0D0D" w:themeColor="text1" w:themeTint="F2"/>
          <w:sz w:val="22"/>
          <w:szCs w:val="22"/>
          <w:shd w:val="clear" w:color="auto" w:fill="FFFFFF"/>
        </w:rPr>
        <w:t>, 25(1). Available at: https://doi.org/10.1186/s12889-025-24553-8.</w:t>
      </w:r>
      <w:r w:rsidRPr="004D5943">
        <w:rPr>
          <w:rFonts w:ascii="Arial" w:hAnsi="Arial" w:cs="Arial"/>
          <w:color w:val="0D0D0D" w:themeColor="text1" w:themeTint="F2"/>
          <w:sz w:val="22"/>
          <w:szCs w:val="22"/>
        </w:rPr>
        <w:t xml:space="preserve"> (Accessed: 6 March 2026).</w:t>
      </w:r>
    </w:p>
    <w:p w14:paraId="3CCE465B" w14:textId="7DFA9BE6"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Clements, C., Bickley, H., </w:t>
      </w:r>
      <w:proofErr w:type="spellStart"/>
      <w:r w:rsidRPr="004D5943">
        <w:rPr>
          <w:rFonts w:ascii="Arial" w:hAnsi="Arial" w:cs="Arial"/>
          <w:color w:val="0D0D0D" w:themeColor="text1" w:themeTint="F2"/>
          <w:sz w:val="22"/>
          <w:szCs w:val="22"/>
          <w:shd w:val="clear" w:color="auto" w:fill="FFFFFF"/>
        </w:rPr>
        <w:t>Hawton</w:t>
      </w:r>
      <w:proofErr w:type="spellEnd"/>
      <w:r w:rsidRPr="004D5943">
        <w:rPr>
          <w:rFonts w:ascii="Arial" w:hAnsi="Arial" w:cs="Arial"/>
          <w:color w:val="0D0D0D" w:themeColor="text1" w:themeTint="F2"/>
          <w:sz w:val="22"/>
          <w:szCs w:val="22"/>
          <w:shd w:val="clear" w:color="auto" w:fill="FFFFFF"/>
        </w:rPr>
        <w:t xml:space="preserve">, K., </w:t>
      </w:r>
      <w:proofErr w:type="spellStart"/>
      <w:r w:rsidRPr="004D5943">
        <w:rPr>
          <w:rFonts w:ascii="Arial" w:hAnsi="Arial" w:cs="Arial"/>
          <w:color w:val="0D0D0D" w:themeColor="text1" w:themeTint="F2"/>
          <w:sz w:val="22"/>
          <w:szCs w:val="22"/>
          <w:shd w:val="clear" w:color="auto" w:fill="FFFFFF"/>
        </w:rPr>
        <w:t>Geulayov</w:t>
      </w:r>
      <w:proofErr w:type="spellEnd"/>
      <w:r w:rsidRPr="004D5943">
        <w:rPr>
          <w:rFonts w:ascii="Arial" w:hAnsi="Arial" w:cs="Arial"/>
          <w:color w:val="0D0D0D" w:themeColor="text1" w:themeTint="F2"/>
          <w:sz w:val="22"/>
          <w:szCs w:val="22"/>
          <w:shd w:val="clear" w:color="auto" w:fill="FFFFFF"/>
        </w:rPr>
        <w:t xml:space="preserve">, G., Waters, K., Ness, J., Kelly, S., Townsend, E., Appleby, L., and </w:t>
      </w:r>
      <w:proofErr w:type="spellStart"/>
      <w:r w:rsidRPr="004D5943">
        <w:rPr>
          <w:rFonts w:ascii="Arial" w:hAnsi="Arial" w:cs="Arial"/>
          <w:color w:val="0D0D0D" w:themeColor="text1" w:themeTint="F2"/>
          <w:sz w:val="22"/>
          <w:szCs w:val="22"/>
          <w:shd w:val="clear" w:color="auto" w:fill="FFFFFF"/>
        </w:rPr>
        <w:t>Kapur</w:t>
      </w:r>
      <w:proofErr w:type="spellEnd"/>
      <w:r w:rsidRPr="004D5943">
        <w:rPr>
          <w:rFonts w:ascii="Arial" w:hAnsi="Arial" w:cs="Arial"/>
          <w:color w:val="0D0D0D" w:themeColor="text1" w:themeTint="F2"/>
          <w:sz w:val="22"/>
          <w:szCs w:val="22"/>
          <w:shd w:val="clear" w:color="auto" w:fill="FFFFFF"/>
        </w:rPr>
        <w:t>, N. (2025).</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“Self-harm in women in midlife: rates, precipitating problems and outcomes following hospital presentations in the multicentre study of self-harm in England,”</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British journal of psychiatry</w:t>
      </w:r>
      <w:r w:rsidRPr="004D5943">
        <w:rPr>
          <w:rFonts w:ascii="Arial" w:hAnsi="Arial" w:cs="Arial"/>
          <w:color w:val="0D0D0D" w:themeColor="text1" w:themeTint="F2"/>
          <w:sz w:val="22"/>
          <w:szCs w:val="22"/>
          <w:shd w:val="clear" w:color="auto" w:fill="FFFFFF"/>
        </w:rPr>
        <w:t>, 227(1), pp. 456–462. Available at: https://doi.org/10.1192/bjp.2024.215.</w:t>
      </w:r>
      <w:r w:rsidR="006B4102" w:rsidRPr="004D5943">
        <w:rPr>
          <w:rFonts w:ascii="Arial" w:hAnsi="Arial" w:cs="Arial"/>
          <w:color w:val="0D0D0D" w:themeColor="text1" w:themeTint="F2"/>
          <w:sz w:val="22"/>
          <w:szCs w:val="22"/>
          <w:shd w:val="clear" w:color="auto" w:fill="FFFFFF"/>
        </w:rPr>
        <w:t xml:space="preserve"> </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6</w:t>
      </w:r>
      <w:r w:rsidRPr="004D5943">
        <w:rPr>
          <w:rFonts w:ascii="Arial" w:hAnsi="Arial" w:cs="Arial"/>
          <w:color w:val="0D0D0D" w:themeColor="text1" w:themeTint="F2"/>
          <w:sz w:val="22"/>
          <w:szCs w:val="22"/>
        </w:rPr>
        <w:t xml:space="preserve"> March 2026).</w:t>
      </w:r>
    </w:p>
    <w:p w14:paraId="506DE92C" w14:textId="63880F96"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Cybulski, L., Ashcroft, D. M., </w:t>
      </w:r>
      <w:proofErr w:type="spellStart"/>
      <w:r w:rsidRPr="004D5943">
        <w:rPr>
          <w:rFonts w:ascii="Arial" w:hAnsi="Arial" w:cs="Arial"/>
          <w:color w:val="0D0D0D" w:themeColor="text1" w:themeTint="F2"/>
          <w:sz w:val="22"/>
          <w:szCs w:val="22"/>
          <w:shd w:val="clear" w:color="auto" w:fill="FFFFFF"/>
        </w:rPr>
        <w:t>Carr</w:t>
      </w:r>
      <w:proofErr w:type="spellEnd"/>
      <w:r w:rsidRPr="004D5943">
        <w:rPr>
          <w:rFonts w:ascii="Arial" w:hAnsi="Arial" w:cs="Arial"/>
          <w:color w:val="0D0D0D" w:themeColor="text1" w:themeTint="F2"/>
          <w:sz w:val="22"/>
          <w:szCs w:val="22"/>
          <w:shd w:val="clear" w:color="auto" w:fill="FFFFFF"/>
        </w:rPr>
        <w:t>, M. J., Garg, S., Chew</w:t>
      </w:r>
      <w:r w:rsidRPr="004D5943">
        <w:rPr>
          <w:rFonts w:ascii="Cambria Math" w:hAnsi="Cambria Math" w:cs="Cambria Math"/>
          <w:color w:val="0D0D0D" w:themeColor="text1" w:themeTint="F2"/>
          <w:sz w:val="22"/>
          <w:szCs w:val="22"/>
          <w:shd w:val="clear" w:color="auto" w:fill="FFFFFF"/>
        </w:rPr>
        <w:t>‐</w:t>
      </w:r>
      <w:r w:rsidRPr="004D5943">
        <w:rPr>
          <w:rFonts w:ascii="Arial" w:hAnsi="Arial" w:cs="Arial"/>
          <w:color w:val="0D0D0D" w:themeColor="text1" w:themeTint="F2"/>
          <w:sz w:val="22"/>
          <w:szCs w:val="22"/>
          <w:shd w:val="clear" w:color="auto" w:fill="FFFFFF"/>
        </w:rPr>
        <w:t xml:space="preserve">Graham, C. A., </w:t>
      </w:r>
      <w:proofErr w:type="spellStart"/>
      <w:r w:rsidRPr="004D5943">
        <w:rPr>
          <w:rFonts w:ascii="Arial" w:hAnsi="Arial" w:cs="Arial"/>
          <w:color w:val="0D0D0D" w:themeColor="text1" w:themeTint="F2"/>
          <w:sz w:val="22"/>
          <w:szCs w:val="22"/>
          <w:shd w:val="clear" w:color="auto" w:fill="FFFFFF"/>
        </w:rPr>
        <w:t>Kapur</w:t>
      </w:r>
      <w:proofErr w:type="spellEnd"/>
      <w:r w:rsidRPr="004D5943">
        <w:rPr>
          <w:rFonts w:ascii="Arial" w:hAnsi="Arial" w:cs="Arial"/>
          <w:color w:val="0D0D0D" w:themeColor="text1" w:themeTint="F2"/>
          <w:sz w:val="22"/>
          <w:szCs w:val="22"/>
          <w:shd w:val="clear" w:color="auto" w:fill="FFFFFF"/>
        </w:rPr>
        <w:t>, N., &amp; Webb, R. T. (2022).</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 xml:space="preserve"> “Risk factors for nonfatal self</w:t>
      </w:r>
      <w:r w:rsidRPr="004D5943">
        <w:rPr>
          <w:rFonts w:ascii="Cambria Math" w:hAnsi="Cambria Math" w:cs="Cambria Math"/>
          <w:color w:val="0D0D0D" w:themeColor="text1" w:themeTint="F2"/>
          <w:sz w:val="22"/>
          <w:szCs w:val="22"/>
          <w:shd w:val="clear" w:color="auto" w:fill="FFFFFF"/>
        </w:rPr>
        <w:t>‐</w:t>
      </w:r>
      <w:r w:rsidRPr="004D5943">
        <w:rPr>
          <w:rFonts w:ascii="Arial" w:hAnsi="Arial" w:cs="Arial"/>
          <w:color w:val="0D0D0D" w:themeColor="text1" w:themeTint="F2"/>
          <w:sz w:val="22"/>
          <w:szCs w:val="22"/>
          <w:shd w:val="clear" w:color="auto" w:fill="FFFFFF"/>
        </w:rPr>
        <w:t>harm and suicide among adolescents: two nested case–control studies conducted in the UK Clinical Practice Research Datalink,”</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Journal of child psychology and psychiatry</w:t>
      </w:r>
      <w:r w:rsidRPr="004D5943">
        <w:rPr>
          <w:rFonts w:ascii="Arial" w:hAnsi="Arial" w:cs="Arial"/>
          <w:color w:val="0D0D0D" w:themeColor="text1" w:themeTint="F2"/>
          <w:sz w:val="22"/>
          <w:szCs w:val="22"/>
          <w:shd w:val="clear" w:color="auto" w:fill="FFFFFF"/>
        </w:rPr>
        <w:t>, 63(9), pp. 1078–1088. Available at: https://doi.org/10.1111/jcpp.13552.</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1</w:t>
      </w:r>
      <w:r w:rsidRPr="004D5943">
        <w:rPr>
          <w:rFonts w:ascii="Arial" w:hAnsi="Arial" w:cs="Arial"/>
          <w:color w:val="0D0D0D" w:themeColor="text1" w:themeTint="F2"/>
          <w:sz w:val="22"/>
          <w:szCs w:val="22"/>
        </w:rPr>
        <w:t xml:space="preserve"> March 2026).</w:t>
      </w:r>
    </w:p>
    <w:p w14:paraId="23972E34"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Eisler, I., </w:t>
      </w:r>
      <w:proofErr w:type="spellStart"/>
      <w:r w:rsidRPr="004D5943">
        <w:rPr>
          <w:rFonts w:ascii="Arial" w:hAnsi="Arial" w:cs="Arial"/>
          <w:color w:val="0D0D0D" w:themeColor="text1" w:themeTint="F2"/>
          <w:sz w:val="22"/>
          <w:szCs w:val="22"/>
          <w:shd w:val="clear" w:color="auto" w:fill="FFFFFF"/>
        </w:rPr>
        <w:t>Simic</w:t>
      </w:r>
      <w:proofErr w:type="spellEnd"/>
      <w:r w:rsidRPr="004D5943">
        <w:rPr>
          <w:rFonts w:ascii="Arial" w:hAnsi="Arial" w:cs="Arial"/>
          <w:color w:val="0D0D0D" w:themeColor="text1" w:themeTint="F2"/>
          <w:sz w:val="22"/>
          <w:szCs w:val="22"/>
          <w:shd w:val="clear" w:color="auto" w:fill="FFFFFF"/>
        </w:rPr>
        <w:t xml:space="preserve">, M., </w:t>
      </w:r>
      <w:proofErr w:type="spellStart"/>
      <w:r w:rsidRPr="004D5943">
        <w:rPr>
          <w:rFonts w:ascii="Arial" w:hAnsi="Arial" w:cs="Arial"/>
          <w:color w:val="0D0D0D" w:themeColor="text1" w:themeTint="F2"/>
          <w:sz w:val="22"/>
          <w:szCs w:val="22"/>
          <w:shd w:val="clear" w:color="auto" w:fill="FFFFFF"/>
        </w:rPr>
        <w:t>Fonagy</w:t>
      </w:r>
      <w:proofErr w:type="spellEnd"/>
      <w:r w:rsidRPr="004D5943">
        <w:rPr>
          <w:rFonts w:ascii="Arial" w:hAnsi="Arial" w:cs="Arial"/>
          <w:color w:val="0D0D0D" w:themeColor="text1" w:themeTint="F2"/>
          <w:sz w:val="22"/>
          <w:szCs w:val="22"/>
          <w:shd w:val="clear" w:color="auto" w:fill="FFFFFF"/>
        </w:rPr>
        <w:t>, P., and Bryant-Waugh, R. (2022). “Implementing service transformation for children and adolescents with eating disorders across England: the theory, politics, and pragmatics of large-scale service reform,”</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Journal of eating disorders</w:t>
      </w:r>
      <w:r w:rsidRPr="004D5943">
        <w:rPr>
          <w:rFonts w:ascii="Arial" w:hAnsi="Arial" w:cs="Arial"/>
          <w:color w:val="0D0D0D" w:themeColor="text1" w:themeTint="F2"/>
          <w:sz w:val="22"/>
          <w:szCs w:val="22"/>
          <w:shd w:val="clear" w:color="auto" w:fill="FFFFFF"/>
        </w:rPr>
        <w:t>, 10(1). Available at: https://doi.org/10.1186/s40337-022-00665-z.</w:t>
      </w:r>
      <w:r w:rsidRPr="004D5943">
        <w:rPr>
          <w:rFonts w:ascii="Arial" w:hAnsi="Arial" w:cs="Arial"/>
          <w:color w:val="0D0D0D" w:themeColor="text1" w:themeTint="F2"/>
          <w:sz w:val="22"/>
          <w:szCs w:val="22"/>
        </w:rPr>
        <w:t xml:space="preserve"> (Accessed: 9 March 2026).</w:t>
      </w:r>
    </w:p>
    <w:p w14:paraId="79D445F9" w14:textId="7054D323"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Garbutt, K., </w:t>
      </w:r>
      <w:proofErr w:type="spellStart"/>
      <w:r w:rsidRPr="004D5943">
        <w:rPr>
          <w:rFonts w:ascii="Arial" w:hAnsi="Arial" w:cs="Arial"/>
          <w:color w:val="0D0D0D" w:themeColor="text1" w:themeTint="F2"/>
          <w:sz w:val="22"/>
          <w:szCs w:val="22"/>
          <w:shd w:val="clear" w:color="auto" w:fill="FFFFFF"/>
        </w:rPr>
        <w:t>Rennoldson</w:t>
      </w:r>
      <w:proofErr w:type="spellEnd"/>
      <w:r w:rsidRPr="004D5943">
        <w:rPr>
          <w:rFonts w:ascii="Arial" w:hAnsi="Arial" w:cs="Arial"/>
          <w:color w:val="0D0D0D" w:themeColor="text1" w:themeTint="F2"/>
          <w:sz w:val="22"/>
          <w:szCs w:val="22"/>
          <w:shd w:val="clear" w:color="auto" w:fill="FFFFFF"/>
        </w:rPr>
        <w:t>, M. and Gregson, M. (2023) “Shame and Self-Compassion Connect Childhood Experience of Adversity with Harm Inflicted on the Self and Others,”</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Journal of interpersonal violence</w:t>
      </w:r>
      <w:r w:rsidRPr="004D5943">
        <w:rPr>
          <w:rFonts w:ascii="Arial" w:hAnsi="Arial" w:cs="Arial"/>
          <w:color w:val="0D0D0D" w:themeColor="text1" w:themeTint="F2"/>
          <w:sz w:val="22"/>
          <w:szCs w:val="22"/>
          <w:shd w:val="clear" w:color="auto" w:fill="FFFFFF"/>
        </w:rPr>
        <w:t>, 38(11–12), pp. 7193–7214. Available at: https://doi.org/10.1177/08862605221141866.</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4</w:t>
      </w:r>
      <w:r w:rsidRPr="004D5943">
        <w:rPr>
          <w:rFonts w:ascii="Arial" w:hAnsi="Arial" w:cs="Arial"/>
          <w:color w:val="0D0D0D" w:themeColor="text1" w:themeTint="F2"/>
          <w:sz w:val="22"/>
          <w:szCs w:val="22"/>
        </w:rPr>
        <w:t xml:space="preserve"> March 2026).</w:t>
      </w:r>
    </w:p>
    <w:p w14:paraId="5F8D4D6D" w14:textId="2CBDCDBD"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lastRenderedPageBreak/>
        <w:t>GBD 2021 Suicide Collaborators</w:t>
      </w:r>
      <w:r w:rsidRPr="004D5943">
        <w:rPr>
          <w:rFonts w:ascii="Arial" w:hAnsi="Arial" w:cs="Arial"/>
          <w:color w:val="0D0D0D" w:themeColor="text1" w:themeTint="F2"/>
          <w:sz w:val="22"/>
          <w:szCs w:val="22"/>
          <w:shd w:val="clear" w:color="auto" w:fill="FFFFFF"/>
        </w:rPr>
        <w:t xml:space="preserve"> (2025) “Global, regional, and national burden of suicide, 1990–2021: a systematic analysis for the Global Burden of Disease Study 2021,”</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The Lancet. Public health</w:t>
      </w:r>
      <w:r w:rsidRPr="004D5943">
        <w:rPr>
          <w:rFonts w:ascii="Arial" w:hAnsi="Arial" w:cs="Arial"/>
          <w:color w:val="0D0D0D" w:themeColor="text1" w:themeTint="F2"/>
          <w:sz w:val="22"/>
          <w:szCs w:val="22"/>
          <w:shd w:val="clear" w:color="auto" w:fill="FFFFFF"/>
        </w:rPr>
        <w:t>, 10(3), pp. e189–e202. Available at: https://doi.org/10.1016/S2468-2667(25)00006-4.</w:t>
      </w:r>
      <w:r w:rsidRPr="004D5943">
        <w:rPr>
          <w:rFonts w:ascii="Arial" w:hAnsi="Arial" w:cs="Arial"/>
          <w:color w:val="0D0D0D" w:themeColor="text1" w:themeTint="F2"/>
          <w:sz w:val="22"/>
          <w:szCs w:val="22"/>
        </w:rPr>
        <w:t xml:space="preserve"> (Accessed: 3 March 2026).</w:t>
      </w:r>
    </w:p>
    <w:p w14:paraId="4AE0450F" w14:textId="088A8D9A"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shd w:val="clear" w:color="auto" w:fill="FFFFFF"/>
        </w:rPr>
        <w:t>Gökkaya</w:t>
      </w:r>
      <w:proofErr w:type="spellEnd"/>
      <w:r w:rsidRPr="004D5943">
        <w:rPr>
          <w:rFonts w:ascii="Arial" w:hAnsi="Arial" w:cs="Arial"/>
          <w:color w:val="0D0D0D" w:themeColor="text1" w:themeTint="F2"/>
          <w:sz w:val="22"/>
          <w:szCs w:val="22"/>
          <w:shd w:val="clear" w:color="auto" w:fill="FFFFFF"/>
        </w:rPr>
        <w:t>, S.C. (2025) “Emotion dysregulation, non-suicidal self-injury and suicide attempts in emerging adulthood: the serial mediating role of suicide cognitions and experiential avoidance,”</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Current psychology (New Brunswick, N.J.)</w:t>
      </w:r>
      <w:r w:rsidRPr="004D5943">
        <w:rPr>
          <w:rFonts w:ascii="Arial" w:hAnsi="Arial" w:cs="Arial"/>
          <w:color w:val="0D0D0D" w:themeColor="text1" w:themeTint="F2"/>
          <w:sz w:val="22"/>
          <w:szCs w:val="22"/>
          <w:shd w:val="clear" w:color="auto" w:fill="FFFFFF"/>
        </w:rPr>
        <w:t>, 44(21), pp. 17490–17502. Available at: https://doi.org/10.1007/s12144-025-08471-x.</w:t>
      </w:r>
      <w:r w:rsidRPr="004D5943">
        <w:rPr>
          <w:rFonts w:ascii="Arial" w:hAnsi="Arial" w:cs="Arial"/>
          <w:color w:val="0D0D0D" w:themeColor="text1" w:themeTint="F2"/>
          <w:sz w:val="22"/>
          <w:szCs w:val="22"/>
        </w:rPr>
        <w:t xml:space="preserve"> (Accessed: 6 March 2026).</w:t>
      </w:r>
    </w:p>
    <w:p w14:paraId="18C630F6" w14:textId="77A20B40"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Hussey, L. J., </w:t>
      </w:r>
      <w:proofErr w:type="spellStart"/>
      <w:r w:rsidRPr="004D5943">
        <w:rPr>
          <w:rFonts w:ascii="Arial" w:hAnsi="Arial" w:cs="Arial"/>
          <w:color w:val="0D0D0D" w:themeColor="text1" w:themeTint="F2"/>
          <w:sz w:val="22"/>
          <w:szCs w:val="22"/>
          <w:shd w:val="clear" w:color="auto" w:fill="FFFFFF"/>
        </w:rPr>
        <w:t>Kontopantelis</w:t>
      </w:r>
      <w:proofErr w:type="spellEnd"/>
      <w:r w:rsidRPr="004D5943">
        <w:rPr>
          <w:rFonts w:ascii="Arial" w:hAnsi="Arial" w:cs="Arial"/>
          <w:color w:val="0D0D0D" w:themeColor="text1" w:themeTint="F2"/>
          <w:sz w:val="22"/>
          <w:szCs w:val="22"/>
          <w:shd w:val="clear" w:color="auto" w:fill="FFFFFF"/>
        </w:rPr>
        <w:t xml:space="preserve">, E., </w:t>
      </w:r>
      <w:proofErr w:type="spellStart"/>
      <w:r w:rsidRPr="004D5943">
        <w:rPr>
          <w:rFonts w:ascii="Arial" w:hAnsi="Arial" w:cs="Arial"/>
          <w:color w:val="0D0D0D" w:themeColor="text1" w:themeTint="F2"/>
          <w:sz w:val="22"/>
          <w:szCs w:val="22"/>
          <w:shd w:val="clear" w:color="auto" w:fill="FFFFFF"/>
        </w:rPr>
        <w:t>Kapur</w:t>
      </w:r>
      <w:proofErr w:type="spellEnd"/>
      <w:r w:rsidRPr="004D5943">
        <w:rPr>
          <w:rFonts w:ascii="Arial" w:hAnsi="Arial" w:cs="Arial"/>
          <w:color w:val="0D0D0D" w:themeColor="text1" w:themeTint="F2"/>
          <w:sz w:val="22"/>
          <w:szCs w:val="22"/>
          <w:shd w:val="clear" w:color="auto" w:fill="FFFFFF"/>
        </w:rPr>
        <w:t xml:space="preserve">, N., Williams, R., </w:t>
      </w:r>
      <w:proofErr w:type="spellStart"/>
      <w:r w:rsidRPr="004D5943">
        <w:rPr>
          <w:rFonts w:ascii="Arial" w:hAnsi="Arial" w:cs="Arial"/>
          <w:color w:val="0D0D0D" w:themeColor="text1" w:themeTint="F2"/>
          <w:sz w:val="22"/>
          <w:szCs w:val="22"/>
          <w:shd w:val="clear" w:color="auto" w:fill="FFFFFF"/>
        </w:rPr>
        <w:t>Mok</w:t>
      </w:r>
      <w:proofErr w:type="spellEnd"/>
      <w:r w:rsidRPr="004D5943">
        <w:rPr>
          <w:rFonts w:ascii="Arial" w:hAnsi="Arial" w:cs="Arial"/>
          <w:color w:val="0D0D0D" w:themeColor="text1" w:themeTint="F2"/>
          <w:sz w:val="22"/>
          <w:szCs w:val="22"/>
          <w:shd w:val="clear" w:color="auto" w:fill="FFFFFF"/>
        </w:rPr>
        <w:t>, P., Ashcroft, D. M., Garg, S., Chew Graham, C., Lovell, K., and Webb, R. T. (2025).</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rPr>
        <w:t xml:space="preserve"> ‘Self-harm incidence among children and young people 2019–2023: time series analysis of electronic health records in Greater Manchester, England’, BMJ Mental Health, 28(1), e301615. doi:10.1136/bmjment-2025-301615. (Accessed: </w:t>
      </w:r>
      <w:r w:rsidR="003A3A08" w:rsidRPr="004D5943">
        <w:rPr>
          <w:rFonts w:ascii="Arial" w:hAnsi="Arial" w:cs="Arial"/>
          <w:color w:val="0D0D0D" w:themeColor="text1" w:themeTint="F2"/>
          <w:sz w:val="22"/>
          <w:szCs w:val="22"/>
        </w:rPr>
        <w:t>9</w:t>
      </w:r>
      <w:r w:rsidRPr="004D5943">
        <w:rPr>
          <w:rFonts w:ascii="Arial" w:hAnsi="Arial" w:cs="Arial"/>
          <w:color w:val="0D0D0D" w:themeColor="text1" w:themeTint="F2"/>
          <w:sz w:val="22"/>
          <w:szCs w:val="22"/>
        </w:rPr>
        <w:t xml:space="preserve"> March 2026). </w:t>
      </w:r>
    </w:p>
    <w:p w14:paraId="0650FF0C" w14:textId="1E96866C"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Knipe, D., </w:t>
      </w:r>
      <w:proofErr w:type="spellStart"/>
      <w:r w:rsidRPr="004D5943">
        <w:rPr>
          <w:rFonts w:ascii="Arial" w:hAnsi="Arial" w:cs="Arial"/>
          <w:color w:val="0D0D0D" w:themeColor="text1" w:themeTint="F2"/>
          <w:sz w:val="22"/>
          <w:szCs w:val="22"/>
          <w:shd w:val="clear" w:color="auto" w:fill="FFFFFF"/>
        </w:rPr>
        <w:t>Padmanathan</w:t>
      </w:r>
      <w:proofErr w:type="spellEnd"/>
      <w:r w:rsidRPr="004D5943">
        <w:rPr>
          <w:rFonts w:ascii="Arial" w:hAnsi="Arial" w:cs="Arial"/>
          <w:color w:val="0D0D0D" w:themeColor="text1" w:themeTint="F2"/>
          <w:sz w:val="22"/>
          <w:szCs w:val="22"/>
          <w:shd w:val="clear" w:color="auto" w:fill="FFFFFF"/>
        </w:rPr>
        <w:t xml:space="preserve">, P., Newton-Howes, G., Chan, L. F., and </w:t>
      </w:r>
      <w:proofErr w:type="spellStart"/>
      <w:r w:rsidRPr="004D5943">
        <w:rPr>
          <w:rFonts w:ascii="Arial" w:hAnsi="Arial" w:cs="Arial"/>
          <w:color w:val="0D0D0D" w:themeColor="text1" w:themeTint="F2"/>
          <w:sz w:val="22"/>
          <w:szCs w:val="22"/>
          <w:shd w:val="clear" w:color="auto" w:fill="FFFFFF"/>
        </w:rPr>
        <w:t>Kapur</w:t>
      </w:r>
      <w:proofErr w:type="spellEnd"/>
      <w:r w:rsidRPr="004D5943">
        <w:rPr>
          <w:rFonts w:ascii="Arial" w:hAnsi="Arial" w:cs="Arial"/>
          <w:color w:val="0D0D0D" w:themeColor="text1" w:themeTint="F2"/>
          <w:sz w:val="22"/>
          <w:szCs w:val="22"/>
          <w:shd w:val="clear" w:color="auto" w:fill="FFFFFF"/>
        </w:rPr>
        <w:t xml:space="preserve">, N. (2022). </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“Suicide and self-harm,”</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The Lancet (British edition)</w:t>
      </w:r>
      <w:r w:rsidRPr="004D5943">
        <w:rPr>
          <w:rFonts w:ascii="Arial" w:hAnsi="Arial" w:cs="Arial"/>
          <w:color w:val="0D0D0D" w:themeColor="text1" w:themeTint="F2"/>
          <w:sz w:val="22"/>
          <w:szCs w:val="22"/>
          <w:shd w:val="clear" w:color="auto" w:fill="FFFFFF"/>
        </w:rPr>
        <w:t>, 399(10338), pp. 1903–1916. Available at: https://doi.org/10.1016/S0140-6736(22)00173-8.</w:t>
      </w:r>
      <w:r w:rsidRPr="004D5943">
        <w:rPr>
          <w:rFonts w:ascii="Arial" w:hAnsi="Arial" w:cs="Arial"/>
          <w:color w:val="0D0D0D" w:themeColor="text1" w:themeTint="F2"/>
          <w:sz w:val="22"/>
          <w:szCs w:val="22"/>
        </w:rPr>
        <w:t xml:space="preserve"> (Accessed: 7 March 2026).</w:t>
      </w:r>
    </w:p>
    <w:p w14:paraId="6C55333E"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Lane, A.S., Merrick, J.S. and Narayan, A.J. (2025) “Adverse and Benevolent Childhood Experiences and Lifetime Self-Harm: A Developmental Psychopathology Perspective,”</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Adversity and resilience science</w:t>
      </w:r>
      <w:r w:rsidRPr="004D5943">
        <w:rPr>
          <w:rFonts w:ascii="Arial" w:hAnsi="Arial" w:cs="Arial"/>
          <w:color w:val="0D0D0D" w:themeColor="text1" w:themeTint="F2"/>
          <w:sz w:val="22"/>
          <w:szCs w:val="22"/>
          <w:shd w:val="clear" w:color="auto" w:fill="FFFFFF"/>
        </w:rPr>
        <w:t>, 6(4), pp. 461–479. Available at: https://doi.org/10.1007/s42844-025-00172-5.</w:t>
      </w:r>
      <w:r w:rsidRPr="004D5943">
        <w:rPr>
          <w:rFonts w:ascii="Arial" w:hAnsi="Arial" w:cs="Arial"/>
          <w:color w:val="0D0D0D" w:themeColor="text1" w:themeTint="F2"/>
          <w:sz w:val="22"/>
          <w:szCs w:val="22"/>
        </w:rPr>
        <w:t xml:space="preserve"> (Accessed: 10 March 2026).</w:t>
      </w:r>
    </w:p>
    <w:p w14:paraId="1B9BC118" w14:textId="0FAF8D91"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shd w:val="clear" w:color="auto" w:fill="FFFFFF"/>
        </w:rPr>
        <w:t>Miskovic</w:t>
      </w:r>
      <w:proofErr w:type="spellEnd"/>
      <w:r w:rsidRPr="004D5943">
        <w:rPr>
          <w:rFonts w:ascii="Arial" w:hAnsi="Arial" w:cs="Arial"/>
          <w:color w:val="0D0D0D" w:themeColor="text1" w:themeTint="F2"/>
          <w:sz w:val="22"/>
          <w:szCs w:val="22"/>
          <w:shd w:val="clear" w:color="auto" w:fill="FFFFFF"/>
        </w:rPr>
        <w:t xml:space="preserve">-Wheatley, J., Bryant, E., Ong, S. H., Vatter, S., Le, A., </w:t>
      </w:r>
      <w:proofErr w:type="spellStart"/>
      <w:r w:rsidRPr="004D5943">
        <w:rPr>
          <w:rFonts w:ascii="Arial" w:hAnsi="Arial" w:cs="Arial"/>
          <w:color w:val="0D0D0D" w:themeColor="text1" w:themeTint="F2"/>
          <w:sz w:val="22"/>
          <w:szCs w:val="22"/>
          <w:shd w:val="clear" w:color="auto" w:fill="FFFFFF"/>
        </w:rPr>
        <w:t>Touyz</w:t>
      </w:r>
      <w:proofErr w:type="spellEnd"/>
      <w:r w:rsidRPr="004D5943">
        <w:rPr>
          <w:rFonts w:ascii="Arial" w:hAnsi="Arial" w:cs="Arial"/>
          <w:color w:val="0D0D0D" w:themeColor="text1" w:themeTint="F2"/>
          <w:sz w:val="22"/>
          <w:szCs w:val="22"/>
          <w:shd w:val="clear" w:color="auto" w:fill="FFFFFF"/>
        </w:rPr>
        <w:t>, S., and Maguire, S. (2023). “Eating disorder outcomes: findings from a rapid review of over a decade of research,”</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Journal of eating disorders</w:t>
      </w:r>
      <w:r w:rsidRPr="004D5943">
        <w:rPr>
          <w:rFonts w:ascii="Arial" w:hAnsi="Arial" w:cs="Arial"/>
          <w:color w:val="0D0D0D" w:themeColor="text1" w:themeTint="F2"/>
          <w:sz w:val="22"/>
          <w:szCs w:val="22"/>
          <w:shd w:val="clear" w:color="auto" w:fill="FFFFFF"/>
        </w:rPr>
        <w:t>, 11(1). Available at: https://doi.org/10.1186/s40337-023-00801-3.</w:t>
      </w:r>
      <w:r w:rsidRPr="004D5943">
        <w:rPr>
          <w:rFonts w:ascii="Arial" w:hAnsi="Arial" w:cs="Arial"/>
          <w:color w:val="0D0D0D" w:themeColor="text1" w:themeTint="F2"/>
          <w:sz w:val="22"/>
          <w:szCs w:val="22"/>
        </w:rPr>
        <w:t xml:space="preserve"> (Accessed: 5 March 2026).</w:t>
      </w:r>
    </w:p>
    <w:p w14:paraId="07BB960F"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rPr>
        <w:t>Monssen</w:t>
      </w:r>
      <w:proofErr w:type="spellEnd"/>
      <w:r w:rsidRPr="004D5943">
        <w:rPr>
          <w:rFonts w:ascii="Arial" w:hAnsi="Arial" w:cs="Arial"/>
          <w:color w:val="0D0D0D" w:themeColor="text1" w:themeTint="F2"/>
          <w:sz w:val="22"/>
          <w:szCs w:val="22"/>
        </w:rPr>
        <w:t xml:space="preserve">, D., Davies, H.L., </w:t>
      </w:r>
      <w:proofErr w:type="spellStart"/>
      <w:r w:rsidRPr="004D5943">
        <w:rPr>
          <w:rFonts w:ascii="Arial" w:hAnsi="Arial" w:cs="Arial"/>
          <w:color w:val="0D0D0D" w:themeColor="text1" w:themeTint="F2"/>
          <w:sz w:val="22"/>
          <w:szCs w:val="22"/>
        </w:rPr>
        <w:t>Kakar</w:t>
      </w:r>
      <w:proofErr w:type="spellEnd"/>
      <w:r w:rsidRPr="004D5943">
        <w:rPr>
          <w:rFonts w:ascii="Arial" w:hAnsi="Arial" w:cs="Arial"/>
          <w:color w:val="0D0D0D" w:themeColor="text1" w:themeTint="F2"/>
          <w:sz w:val="22"/>
          <w:szCs w:val="22"/>
        </w:rPr>
        <w:t xml:space="preserve">, S., Bristow, S., </w:t>
      </w:r>
      <w:proofErr w:type="spellStart"/>
      <w:r w:rsidRPr="004D5943">
        <w:rPr>
          <w:rFonts w:ascii="Arial" w:hAnsi="Arial" w:cs="Arial"/>
          <w:color w:val="0D0D0D" w:themeColor="text1" w:themeTint="F2"/>
          <w:sz w:val="22"/>
          <w:szCs w:val="22"/>
        </w:rPr>
        <w:t>Curzons</w:t>
      </w:r>
      <w:proofErr w:type="spellEnd"/>
      <w:r w:rsidRPr="004D5943">
        <w:rPr>
          <w:rFonts w:ascii="Arial" w:hAnsi="Arial" w:cs="Arial"/>
          <w:color w:val="0D0D0D" w:themeColor="text1" w:themeTint="F2"/>
          <w:sz w:val="22"/>
          <w:szCs w:val="22"/>
        </w:rPr>
        <w:t xml:space="preserve">, S.C.B., Davies, M.R., Kelly, E.J., Ahmad, Z., Bradley, J.R., Bright, S., Coleman, J.R.I., Glen, K., </w:t>
      </w:r>
      <w:proofErr w:type="spellStart"/>
      <w:r w:rsidRPr="004D5943">
        <w:rPr>
          <w:rFonts w:ascii="Arial" w:hAnsi="Arial" w:cs="Arial"/>
          <w:color w:val="0D0D0D" w:themeColor="text1" w:themeTint="F2"/>
          <w:sz w:val="22"/>
          <w:szCs w:val="22"/>
        </w:rPr>
        <w:t>Hotopf</w:t>
      </w:r>
      <w:proofErr w:type="spellEnd"/>
      <w:r w:rsidRPr="004D5943">
        <w:rPr>
          <w:rFonts w:ascii="Arial" w:hAnsi="Arial" w:cs="Arial"/>
          <w:color w:val="0D0D0D" w:themeColor="text1" w:themeTint="F2"/>
          <w:sz w:val="22"/>
          <w:szCs w:val="22"/>
        </w:rPr>
        <w:t xml:space="preserve">, M., Ter </w:t>
      </w:r>
      <w:proofErr w:type="spellStart"/>
      <w:r w:rsidRPr="004D5943">
        <w:rPr>
          <w:rFonts w:ascii="Arial" w:hAnsi="Arial" w:cs="Arial"/>
          <w:color w:val="0D0D0D" w:themeColor="text1" w:themeTint="F2"/>
          <w:sz w:val="22"/>
          <w:szCs w:val="22"/>
        </w:rPr>
        <w:t>Kuile</w:t>
      </w:r>
      <w:proofErr w:type="spellEnd"/>
      <w:r w:rsidRPr="004D5943">
        <w:rPr>
          <w:rFonts w:ascii="Arial" w:hAnsi="Arial" w:cs="Arial"/>
          <w:color w:val="0D0D0D" w:themeColor="text1" w:themeTint="F2"/>
          <w:sz w:val="22"/>
          <w:szCs w:val="22"/>
        </w:rPr>
        <w:t xml:space="preserve">, A.R., Malouf, C.M., Kalsi, G., Kingston, N., </w:t>
      </w:r>
      <w:proofErr w:type="spellStart"/>
      <w:r w:rsidRPr="004D5943">
        <w:rPr>
          <w:rFonts w:ascii="Arial" w:hAnsi="Arial" w:cs="Arial"/>
          <w:color w:val="0D0D0D" w:themeColor="text1" w:themeTint="F2"/>
          <w:sz w:val="22"/>
          <w:szCs w:val="22"/>
        </w:rPr>
        <w:t>McAtarsney</w:t>
      </w:r>
      <w:proofErr w:type="spellEnd"/>
      <w:r w:rsidRPr="004D5943">
        <w:rPr>
          <w:rFonts w:ascii="Arial" w:hAnsi="Arial" w:cs="Arial"/>
          <w:color w:val="0D0D0D" w:themeColor="text1" w:themeTint="F2"/>
          <w:sz w:val="22"/>
          <w:szCs w:val="22"/>
        </w:rPr>
        <w:t xml:space="preserve">-Kovacs, M., Mundy, </w:t>
      </w:r>
      <w:proofErr w:type="gramStart"/>
      <w:r w:rsidRPr="004D5943">
        <w:rPr>
          <w:rFonts w:ascii="Arial" w:hAnsi="Arial" w:cs="Arial"/>
          <w:color w:val="0D0D0D" w:themeColor="text1" w:themeTint="F2"/>
          <w:sz w:val="22"/>
          <w:szCs w:val="22"/>
        </w:rPr>
        <w:t>J.</w:t>
      </w:r>
      <w:proofErr w:type="gramEnd"/>
      <w:r w:rsidRPr="004D5943">
        <w:rPr>
          <w:rFonts w:ascii="Arial" w:hAnsi="Arial" w:cs="Arial"/>
          <w:color w:val="0D0D0D" w:themeColor="text1" w:themeTint="F2"/>
          <w:sz w:val="22"/>
          <w:szCs w:val="22"/>
        </w:rPr>
        <w:t xml:space="preserve"> and Peel, A.J. (2023). The United Kingdom Eating Disorders Genetics Initiative.</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The International Journal of Eating Disorders</w:t>
      </w:r>
      <w:r w:rsidRPr="004D5943">
        <w:rPr>
          <w:rFonts w:ascii="Arial" w:hAnsi="Arial" w:cs="Arial"/>
          <w:color w:val="0D0D0D" w:themeColor="text1" w:themeTint="F2"/>
          <w:sz w:val="22"/>
          <w:szCs w:val="22"/>
        </w:rPr>
        <w:t>, 57(5). Available at: https://doi.org/10.1002/eat.24037. (Accessed: 5 March 2026).</w:t>
      </w:r>
    </w:p>
    <w:p w14:paraId="4278811C" w14:textId="32C02A5E"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Morgan, C., </w:t>
      </w:r>
      <w:proofErr w:type="spellStart"/>
      <w:r w:rsidRPr="004D5943">
        <w:rPr>
          <w:rFonts w:ascii="Arial" w:hAnsi="Arial" w:cs="Arial"/>
          <w:color w:val="0D0D0D" w:themeColor="text1" w:themeTint="F2"/>
          <w:sz w:val="22"/>
          <w:szCs w:val="22"/>
          <w:shd w:val="clear" w:color="auto" w:fill="FFFFFF"/>
        </w:rPr>
        <w:t>Carr</w:t>
      </w:r>
      <w:proofErr w:type="spellEnd"/>
      <w:r w:rsidRPr="004D5943">
        <w:rPr>
          <w:rFonts w:ascii="Arial" w:hAnsi="Arial" w:cs="Arial"/>
          <w:color w:val="0D0D0D" w:themeColor="text1" w:themeTint="F2"/>
          <w:sz w:val="22"/>
          <w:szCs w:val="22"/>
          <w:shd w:val="clear" w:color="auto" w:fill="FFFFFF"/>
        </w:rPr>
        <w:t xml:space="preserve">, M. J., Chew-Graham, C. A., O’Neill, T. W., </w:t>
      </w:r>
      <w:proofErr w:type="spellStart"/>
      <w:r w:rsidRPr="004D5943">
        <w:rPr>
          <w:rFonts w:ascii="Arial" w:hAnsi="Arial" w:cs="Arial"/>
          <w:color w:val="0D0D0D" w:themeColor="text1" w:themeTint="F2"/>
          <w:sz w:val="22"/>
          <w:szCs w:val="22"/>
          <w:shd w:val="clear" w:color="auto" w:fill="FFFFFF"/>
        </w:rPr>
        <w:t>Elvins</w:t>
      </w:r>
      <w:proofErr w:type="spellEnd"/>
      <w:r w:rsidRPr="004D5943">
        <w:rPr>
          <w:rFonts w:ascii="Arial" w:hAnsi="Arial" w:cs="Arial"/>
          <w:color w:val="0D0D0D" w:themeColor="text1" w:themeTint="F2"/>
          <w:sz w:val="22"/>
          <w:szCs w:val="22"/>
          <w:shd w:val="clear" w:color="auto" w:fill="FFFFFF"/>
        </w:rPr>
        <w:t xml:space="preserve">, R., </w:t>
      </w:r>
      <w:proofErr w:type="spellStart"/>
      <w:r w:rsidRPr="004D5943">
        <w:rPr>
          <w:rFonts w:ascii="Arial" w:hAnsi="Arial" w:cs="Arial"/>
          <w:color w:val="0D0D0D" w:themeColor="text1" w:themeTint="F2"/>
          <w:sz w:val="22"/>
          <w:szCs w:val="22"/>
          <w:shd w:val="clear" w:color="auto" w:fill="FFFFFF"/>
        </w:rPr>
        <w:t>Kapur</w:t>
      </w:r>
      <w:proofErr w:type="spellEnd"/>
      <w:r w:rsidRPr="004D5943">
        <w:rPr>
          <w:rFonts w:ascii="Arial" w:hAnsi="Arial" w:cs="Arial"/>
          <w:color w:val="0D0D0D" w:themeColor="text1" w:themeTint="F2"/>
          <w:sz w:val="22"/>
          <w:szCs w:val="22"/>
          <w:shd w:val="clear" w:color="auto" w:fill="FFFFFF"/>
        </w:rPr>
        <w:t>, N., Webb, R. T., &amp; Ashcroft, D. M. (2025).</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 xml:space="preserve"> “Adverse outcomes in patients with a diagnosis of an eating disorder: primary care cohort study with linked secondary care and mortality records,”</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BMJ medicine</w:t>
      </w:r>
      <w:r w:rsidRPr="004D5943">
        <w:rPr>
          <w:rFonts w:ascii="Arial" w:hAnsi="Arial" w:cs="Arial"/>
          <w:color w:val="0D0D0D" w:themeColor="text1" w:themeTint="F2"/>
          <w:sz w:val="22"/>
          <w:szCs w:val="22"/>
          <w:shd w:val="clear" w:color="auto" w:fill="FFFFFF"/>
        </w:rPr>
        <w:t>, 4(1), p. e001438. Available at: https://doi.org/10.1136/bmjmed-2025-001438.</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8</w:t>
      </w:r>
      <w:r w:rsidRPr="004D5943">
        <w:rPr>
          <w:rFonts w:ascii="Arial" w:hAnsi="Arial" w:cs="Arial"/>
          <w:color w:val="0D0D0D" w:themeColor="text1" w:themeTint="F2"/>
          <w:sz w:val="22"/>
          <w:szCs w:val="22"/>
        </w:rPr>
        <w:t xml:space="preserve"> March 2026).</w:t>
      </w:r>
    </w:p>
    <w:p w14:paraId="23FDE9D6" w14:textId="7D3F57C8"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Mulholland, H., McIntyre, J. C., Haines-Delmont, A., Whittington, R., Comerford, T., &amp; Corcoran, R. (2021). “Investigation to identify individual socioeconomic and health determinants of suicidal ideation using responses to a cross-sectional, community-based public health survey,”</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BMJ open</w:t>
      </w:r>
      <w:r w:rsidRPr="004D5943">
        <w:rPr>
          <w:rFonts w:ascii="Arial" w:hAnsi="Arial" w:cs="Arial"/>
          <w:color w:val="0D0D0D" w:themeColor="text1" w:themeTint="F2"/>
          <w:sz w:val="22"/>
          <w:szCs w:val="22"/>
          <w:shd w:val="clear" w:color="auto" w:fill="FFFFFF"/>
        </w:rPr>
        <w:t>, 11(2), p. e035252. Available at: https://doi.org/10.1136/bmjopen-2019-035252.</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5</w:t>
      </w:r>
      <w:r w:rsidRPr="004D5943">
        <w:rPr>
          <w:rFonts w:ascii="Arial" w:hAnsi="Arial" w:cs="Arial"/>
          <w:color w:val="0D0D0D" w:themeColor="text1" w:themeTint="F2"/>
          <w:sz w:val="22"/>
          <w:szCs w:val="22"/>
        </w:rPr>
        <w:t xml:space="preserve"> March 2026).</w:t>
      </w:r>
    </w:p>
    <w:p w14:paraId="5F008856" w14:textId="4C07C0C4"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t>National Institute for Health and Care Excellence (2020).</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Self-harm: How Common Is it?</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color w:val="0D0D0D" w:themeColor="text1" w:themeTint="F2"/>
          <w:sz w:val="22"/>
          <w:szCs w:val="22"/>
        </w:rPr>
        <w:t>[online] NICE. Available at: https://cks.nice.org.uk/topics/self-harm/background-information/prevalence/. (Accessed: 7 March 2026).</w:t>
      </w:r>
    </w:p>
    <w:p w14:paraId="327B4407" w14:textId="02179B6E"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lastRenderedPageBreak/>
        <w:t>National Institute for Health and Care Excellence (2024).</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Eating disorders: How Common Is it?</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color w:val="0D0D0D" w:themeColor="text1" w:themeTint="F2"/>
          <w:sz w:val="22"/>
          <w:szCs w:val="22"/>
        </w:rPr>
        <w:t>[online] NICE. Available at: https://cks.nice.org.uk/topics/eating-disorders/background-information/prevalence/ (Accessed: 4 March 2026).</w:t>
      </w:r>
    </w:p>
    <w:p w14:paraId="3DED92E4" w14:textId="77777777"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t>NHS (2025).</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Adult Psychiatric Morbidity Survey: Survey of Mental Health and Wellbeing, England, 2023/4</w:t>
      </w:r>
      <w:r w:rsidRPr="004D5943">
        <w:rPr>
          <w:rFonts w:ascii="Arial" w:hAnsi="Arial" w:cs="Arial"/>
          <w:color w:val="0D0D0D" w:themeColor="text1" w:themeTint="F2"/>
          <w:sz w:val="22"/>
          <w:szCs w:val="22"/>
        </w:rPr>
        <w:t>. [online] Digital.nhs.uk. Available at: https://digital.nhs.uk/data-and-information/publications/statistical/adult-psychiatric-morbidity-survey/survey-of-mental-health-and-wellbeing-england-2023-24/suicidal-thoughts-suicide-attempts-and-self-harm (Accessed: 13 March 2026).</w:t>
      </w:r>
    </w:p>
    <w:p w14:paraId="5E290034" w14:textId="5EB28388"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Nielsen, E., </w:t>
      </w:r>
      <w:proofErr w:type="spellStart"/>
      <w:r w:rsidRPr="004D5943">
        <w:rPr>
          <w:rFonts w:ascii="Arial" w:hAnsi="Arial" w:cs="Arial"/>
          <w:color w:val="0D0D0D" w:themeColor="text1" w:themeTint="F2"/>
          <w:sz w:val="22"/>
          <w:szCs w:val="22"/>
          <w:shd w:val="clear" w:color="auto" w:fill="FFFFFF"/>
        </w:rPr>
        <w:t>Sayal</w:t>
      </w:r>
      <w:proofErr w:type="spellEnd"/>
      <w:r w:rsidRPr="004D5943">
        <w:rPr>
          <w:rFonts w:ascii="Arial" w:hAnsi="Arial" w:cs="Arial"/>
          <w:color w:val="0D0D0D" w:themeColor="text1" w:themeTint="F2"/>
          <w:sz w:val="22"/>
          <w:szCs w:val="22"/>
          <w:shd w:val="clear" w:color="auto" w:fill="FFFFFF"/>
        </w:rPr>
        <w:t>, K. and Townsend, E. (2017) “Functional Coping Dynamics and Experiential Avoidance in a Community Sample with No Self-Injury vs. Non-Suicidal Self-Injury Only vs. Those with Both Non-Suicidal Self-Injury and Suicidal Behaviour,”</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International journal of environmental research and public health</w:t>
      </w:r>
      <w:r w:rsidRPr="004D5943">
        <w:rPr>
          <w:rFonts w:ascii="Arial" w:hAnsi="Arial" w:cs="Arial"/>
          <w:color w:val="0D0D0D" w:themeColor="text1" w:themeTint="F2"/>
          <w:sz w:val="22"/>
          <w:szCs w:val="22"/>
          <w:shd w:val="clear" w:color="auto" w:fill="FFFFFF"/>
        </w:rPr>
        <w:t>, 14(6), p. 575. Available at: https://doi.org/10.3390/ijerph14060575.</w:t>
      </w:r>
      <w:r w:rsidRPr="004D5943">
        <w:rPr>
          <w:rFonts w:ascii="Arial" w:hAnsi="Arial" w:cs="Arial"/>
          <w:color w:val="0D0D0D" w:themeColor="text1" w:themeTint="F2"/>
          <w:sz w:val="22"/>
          <w:szCs w:val="22"/>
        </w:rPr>
        <w:t xml:space="preserve"> (Accessed: 2 March 2026).</w:t>
      </w:r>
    </w:p>
    <w:p w14:paraId="65F9C0C0" w14:textId="016CD792"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O’Donnell, S., Richardson, N. and McGrath, A. (2025) “Suicide literacy, suicide stigma, and help-seeking attitudes among men in a university setting in Ireland,”</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Health promotion international</w:t>
      </w:r>
      <w:r w:rsidRPr="004D5943">
        <w:rPr>
          <w:rFonts w:ascii="Arial" w:hAnsi="Arial" w:cs="Arial"/>
          <w:color w:val="0D0D0D" w:themeColor="text1" w:themeTint="F2"/>
          <w:sz w:val="22"/>
          <w:szCs w:val="22"/>
          <w:shd w:val="clear" w:color="auto" w:fill="FFFFFF"/>
        </w:rPr>
        <w:t>, 40(1). Available at: https://doi.org/10.1093/heapro/daae209.</w:t>
      </w:r>
      <w:r w:rsidRPr="004D5943">
        <w:rPr>
          <w:rFonts w:ascii="Arial" w:hAnsi="Arial" w:cs="Arial"/>
          <w:color w:val="0D0D0D" w:themeColor="text1" w:themeTint="F2"/>
          <w:sz w:val="22"/>
          <w:szCs w:val="22"/>
        </w:rPr>
        <w:t xml:space="preserve"> (Accessed: 7 March 2026).</w:t>
      </w:r>
    </w:p>
    <w:p w14:paraId="39647B3D" w14:textId="4816D520"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4D5943">
        <w:rPr>
          <w:rFonts w:ascii="Arial" w:hAnsi="Arial" w:cs="Arial"/>
          <w:color w:val="0D0D0D" w:themeColor="text1" w:themeTint="F2"/>
          <w:sz w:val="22"/>
          <w:szCs w:val="22"/>
          <w:shd w:val="clear" w:color="auto" w:fill="FFFFFF"/>
        </w:rPr>
        <w:t>Piroddi</w:t>
      </w:r>
      <w:proofErr w:type="spellEnd"/>
      <w:r w:rsidRPr="004D5943">
        <w:rPr>
          <w:rFonts w:ascii="Arial" w:hAnsi="Arial" w:cs="Arial"/>
          <w:color w:val="0D0D0D" w:themeColor="text1" w:themeTint="F2"/>
          <w:sz w:val="22"/>
          <w:szCs w:val="22"/>
          <w:shd w:val="clear" w:color="auto" w:fill="FFFFFF"/>
        </w:rPr>
        <w:t>, R., McHale, P., Baker, W., Kumar, A., Fazel, M., and Barr, B. (2025). “Unmet need in adolescent eating disorder services: a comparative analysis,”</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European journal of public health</w:t>
      </w:r>
      <w:r w:rsidRPr="004D5943">
        <w:rPr>
          <w:rFonts w:ascii="Arial" w:hAnsi="Arial" w:cs="Arial"/>
          <w:color w:val="0D0D0D" w:themeColor="text1" w:themeTint="F2"/>
          <w:sz w:val="22"/>
          <w:szCs w:val="22"/>
          <w:shd w:val="clear" w:color="auto" w:fill="FFFFFF"/>
        </w:rPr>
        <w:t>, 35(Supplement_4). Available at: https://doi.org/10.1093/eurpub/ckaf161.697.</w:t>
      </w:r>
      <w:r w:rsidRPr="004D5943">
        <w:rPr>
          <w:rFonts w:ascii="Arial" w:hAnsi="Arial" w:cs="Arial"/>
          <w:color w:val="0D0D0D" w:themeColor="text1" w:themeTint="F2"/>
          <w:sz w:val="22"/>
          <w:szCs w:val="22"/>
        </w:rPr>
        <w:t xml:space="preserve"> (Accessed: </w:t>
      </w:r>
      <w:r w:rsidR="003A3A08" w:rsidRPr="004D5943">
        <w:rPr>
          <w:rFonts w:ascii="Arial" w:hAnsi="Arial" w:cs="Arial"/>
          <w:color w:val="0D0D0D" w:themeColor="text1" w:themeTint="F2"/>
          <w:sz w:val="22"/>
          <w:szCs w:val="22"/>
        </w:rPr>
        <w:t>6</w:t>
      </w:r>
      <w:r w:rsidRPr="004D5943">
        <w:rPr>
          <w:rFonts w:ascii="Arial" w:hAnsi="Arial" w:cs="Arial"/>
          <w:color w:val="0D0D0D" w:themeColor="text1" w:themeTint="F2"/>
          <w:sz w:val="22"/>
          <w:szCs w:val="22"/>
        </w:rPr>
        <w:t xml:space="preserve"> March 2026).</w:t>
      </w:r>
    </w:p>
    <w:p w14:paraId="5ED8A5CE" w14:textId="2EFB02DE"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Price, T. (2025) “They’re Lacking Purpose. It’s a Recipe for Suicide.’: Masculinity and Gender-Based Inequalities in Deaths of Despair in England,”</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American journal of men’s health</w:t>
      </w:r>
      <w:r w:rsidRPr="004D5943">
        <w:rPr>
          <w:rFonts w:ascii="Arial" w:hAnsi="Arial" w:cs="Arial"/>
          <w:color w:val="0D0D0D" w:themeColor="text1" w:themeTint="F2"/>
          <w:sz w:val="22"/>
          <w:szCs w:val="22"/>
          <w:shd w:val="clear" w:color="auto" w:fill="FFFFFF"/>
        </w:rPr>
        <w:t>, 19(2), p. 15579883251329715. Available at: https://doi.org/10.1177/15579883251329715.</w:t>
      </w:r>
      <w:r w:rsidRPr="004D5943">
        <w:rPr>
          <w:rFonts w:ascii="Arial" w:hAnsi="Arial" w:cs="Arial"/>
          <w:color w:val="0D0D0D" w:themeColor="text1" w:themeTint="F2"/>
          <w:sz w:val="22"/>
          <w:szCs w:val="22"/>
        </w:rPr>
        <w:t xml:space="preserve"> (Accessed: 3 March 2026).</w:t>
      </w:r>
    </w:p>
    <w:p w14:paraId="385DB717" w14:textId="6EA9DB1C"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rPr>
        <w:t>SIFT (2026).</w:t>
      </w:r>
      <w:r w:rsidRPr="004D5943">
        <w:rPr>
          <w:rStyle w:val="apple-converted-space"/>
          <w:rFonts w:ascii="Arial" w:eastAsiaTheme="majorEastAsia" w:hAnsi="Arial" w:cs="Arial"/>
          <w:color w:val="0D0D0D" w:themeColor="text1" w:themeTint="F2"/>
          <w:sz w:val="22"/>
          <w:szCs w:val="22"/>
        </w:rPr>
        <w:t> </w:t>
      </w:r>
      <w:r w:rsidRPr="004D5943">
        <w:rPr>
          <w:rFonts w:ascii="Arial" w:hAnsi="Arial" w:cs="Arial"/>
          <w:i/>
          <w:iCs/>
          <w:color w:val="0D0D0D" w:themeColor="text1" w:themeTint="F2"/>
          <w:sz w:val="22"/>
          <w:szCs w:val="22"/>
        </w:rPr>
        <w:t>SIFT - The UK’s leading self-harm support charity</w:t>
      </w:r>
      <w:r w:rsidRPr="004D5943">
        <w:rPr>
          <w:rFonts w:ascii="Arial" w:hAnsi="Arial" w:cs="Arial"/>
          <w:color w:val="0D0D0D" w:themeColor="text1" w:themeTint="F2"/>
          <w:sz w:val="22"/>
          <w:szCs w:val="22"/>
        </w:rPr>
        <w:t>. Available at: https://sift.org.uk/ (Accessed: 9 March 2026).</w:t>
      </w:r>
    </w:p>
    <w:p w14:paraId="7E45AC5E" w14:textId="0547A08F"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 xml:space="preserve">Ward, I. L., Finning, K., </w:t>
      </w:r>
      <w:proofErr w:type="spellStart"/>
      <w:r w:rsidRPr="004D5943">
        <w:rPr>
          <w:rFonts w:ascii="Arial" w:hAnsi="Arial" w:cs="Arial"/>
          <w:color w:val="0D0D0D" w:themeColor="text1" w:themeTint="F2"/>
          <w:sz w:val="22"/>
          <w:szCs w:val="22"/>
          <w:shd w:val="clear" w:color="auto" w:fill="FFFFFF"/>
        </w:rPr>
        <w:t>Ayoubkhani</w:t>
      </w:r>
      <w:proofErr w:type="spellEnd"/>
      <w:r w:rsidRPr="004D5943">
        <w:rPr>
          <w:rFonts w:ascii="Arial" w:hAnsi="Arial" w:cs="Arial"/>
          <w:color w:val="0D0D0D" w:themeColor="text1" w:themeTint="F2"/>
          <w:sz w:val="22"/>
          <w:szCs w:val="22"/>
          <w:shd w:val="clear" w:color="auto" w:fill="FFFFFF"/>
        </w:rPr>
        <w:t xml:space="preserve">, D., Hendry, K., </w:t>
      </w:r>
      <w:proofErr w:type="spellStart"/>
      <w:r w:rsidRPr="004D5943">
        <w:rPr>
          <w:rFonts w:ascii="Arial" w:hAnsi="Arial" w:cs="Arial"/>
          <w:color w:val="0D0D0D" w:themeColor="text1" w:themeTint="F2"/>
          <w:sz w:val="22"/>
          <w:szCs w:val="22"/>
          <w:shd w:val="clear" w:color="auto" w:fill="FFFFFF"/>
        </w:rPr>
        <w:t>Sharland</w:t>
      </w:r>
      <w:proofErr w:type="spellEnd"/>
      <w:r w:rsidRPr="004D5943">
        <w:rPr>
          <w:rFonts w:ascii="Arial" w:hAnsi="Arial" w:cs="Arial"/>
          <w:color w:val="0D0D0D" w:themeColor="text1" w:themeTint="F2"/>
          <w:sz w:val="22"/>
          <w:szCs w:val="22"/>
          <w:shd w:val="clear" w:color="auto" w:fill="FFFFFF"/>
        </w:rPr>
        <w:t xml:space="preserve">, E., Appleby, L., and </w:t>
      </w:r>
      <w:proofErr w:type="spellStart"/>
      <w:r w:rsidRPr="004D5943">
        <w:rPr>
          <w:rFonts w:ascii="Arial" w:hAnsi="Arial" w:cs="Arial"/>
          <w:color w:val="0D0D0D" w:themeColor="text1" w:themeTint="F2"/>
          <w:sz w:val="22"/>
          <w:szCs w:val="22"/>
          <w:shd w:val="clear" w:color="auto" w:fill="FFFFFF"/>
        </w:rPr>
        <w:t>Nafilyan</w:t>
      </w:r>
      <w:proofErr w:type="spellEnd"/>
      <w:r w:rsidRPr="004D5943">
        <w:rPr>
          <w:rFonts w:ascii="Arial" w:hAnsi="Arial" w:cs="Arial"/>
          <w:color w:val="0D0D0D" w:themeColor="text1" w:themeTint="F2"/>
          <w:sz w:val="22"/>
          <w:szCs w:val="22"/>
          <w:shd w:val="clear" w:color="auto" w:fill="FFFFFF"/>
        </w:rPr>
        <w:t>, V. (2024).</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color w:val="0D0D0D" w:themeColor="text1" w:themeTint="F2"/>
          <w:sz w:val="22"/>
          <w:szCs w:val="22"/>
          <w:shd w:val="clear" w:color="auto" w:fill="FFFFFF"/>
        </w:rPr>
        <w:t>“Sociodemographic inequalities of suicide: a population-based cohort study of adults in England and Wales 2011–21,”</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European journal of public health</w:t>
      </w:r>
      <w:r w:rsidRPr="004D5943">
        <w:rPr>
          <w:rFonts w:ascii="Arial" w:hAnsi="Arial" w:cs="Arial"/>
          <w:color w:val="0D0D0D" w:themeColor="text1" w:themeTint="F2"/>
          <w:sz w:val="22"/>
          <w:szCs w:val="22"/>
          <w:shd w:val="clear" w:color="auto" w:fill="FFFFFF"/>
        </w:rPr>
        <w:t xml:space="preserve">, 34(2), pp. 211–217. Available at: https://doi.org/10.1093/eurpub/ckad233. </w:t>
      </w:r>
      <w:r w:rsidRPr="004D5943">
        <w:rPr>
          <w:rFonts w:ascii="Arial" w:hAnsi="Arial" w:cs="Arial"/>
          <w:color w:val="0D0D0D" w:themeColor="text1" w:themeTint="F2"/>
          <w:sz w:val="22"/>
          <w:szCs w:val="22"/>
        </w:rPr>
        <w:t>(Accessed: 1 March 2026).</w:t>
      </w:r>
    </w:p>
    <w:p w14:paraId="51F28922" w14:textId="27E74A45" w:rsidR="000F6CA4" w:rsidRPr="004D5943" w:rsidRDefault="000F6CA4" w:rsidP="000F6CA4">
      <w:pPr>
        <w:pStyle w:val="NormalWeb"/>
        <w:spacing w:before="0" w:beforeAutospacing="0" w:after="240" w:afterAutospacing="0"/>
        <w:rPr>
          <w:rFonts w:ascii="Arial" w:hAnsi="Arial" w:cs="Arial"/>
          <w:color w:val="0D0D0D" w:themeColor="text1" w:themeTint="F2"/>
          <w:sz w:val="22"/>
          <w:szCs w:val="22"/>
        </w:rPr>
      </w:pPr>
      <w:r w:rsidRPr="004D5943">
        <w:rPr>
          <w:rFonts w:ascii="Arial" w:hAnsi="Arial" w:cs="Arial"/>
          <w:color w:val="0D0D0D" w:themeColor="text1" w:themeTint="F2"/>
          <w:sz w:val="22"/>
          <w:szCs w:val="22"/>
          <w:shd w:val="clear" w:color="auto" w:fill="FFFFFF"/>
        </w:rPr>
        <w:t>Xiao, Q., Song, X., Huang, L., Hou, D., and Huang, X. (2022).</w:t>
      </w:r>
      <w:r w:rsidRPr="004D5943">
        <w:rPr>
          <w:rStyle w:val="Heading1Char"/>
          <w:rFonts w:ascii="Arial" w:hAnsi="Arial" w:cs="Arial"/>
          <w:color w:val="0D0D0D" w:themeColor="text1" w:themeTint="F2"/>
          <w:sz w:val="22"/>
          <w:szCs w:val="22"/>
          <w:shd w:val="clear" w:color="auto" w:fill="FFFFFF"/>
        </w:rPr>
        <w:t xml:space="preserve"> </w:t>
      </w:r>
      <w:r w:rsidRPr="004D5943">
        <w:rPr>
          <w:rFonts w:ascii="Arial" w:hAnsi="Arial" w:cs="Arial"/>
          <w:color w:val="0D0D0D" w:themeColor="text1" w:themeTint="F2"/>
          <w:sz w:val="22"/>
          <w:szCs w:val="22"/>
          <w:shd w:val="clear" w:color="auto" w:fill="FFFFFF"/>
        </w:rPr>
        <w:t>“Global prevalence and characteristics of non-suicidal self-injury between 2010 and 2021 among a non-clinical sample of adolescents: A meta-analysis,”</w:t>
      </w:r>
      <w:r w:rsidRPr="004D5943">
        <w:rPr>
          <w:rStyle w:val="apple-converted-space"/>
          <w:rFonts w:ascii="Arial" w:eastAsiaTheme="majorEastAsia" w:hAnsi="Arial" w:cs="Arial"/>
          <w:color w:val="0D0D0D" w:themeColor="text1" w:themeTint="F2"/>
          <w:sz w:val="22"/>
          <w:szCs w:val="22"/>
          <w:shd w:val="clear" w:color="auto" w:fill="FFFFFF"/>
        </w:rPr>
        <w:t> </w:t>
      </w:r>
      <w:r w:rsidRPr="004D5943">
        <w:rPr>
          <w:rFonts w:ascii="Arial" w:hAnsi="Arial" w:cs="Arial"/>
          <w:i/>
          <w:iCs/>
          <w:color w:val="0D0D0D" w:themeColor="text1" w:themeTint="F2"/>
          <w:sz w:val="22"/>
          <w:szCs w:val="22"/>
        </w:rPr>
        <w:t>Frontiers in psychiatry</w:t>
      </w:r>
      <w:r w:rsidRPr="004D5943">
        <w:rPr>
          <w:rFonts w:ascii="Arial" w:hAnsi="Arial" w:cs="Arial"/>
          <w:color w:val="0D0D0D" w:themeColor="text1" w:themeTint="F2"/>
          <w:sz w:val="22"/>
          <w:szCs w:val="22"/>
          <w:shd w:val="clear" w:color="auto" w:fill="FFFFFF"/>
        </w:rPr>
        <w:t>, 13, p. 912441. Available at: https://doi.org/10.3389/fpsyt.2022.912441.</w:t>
      </w:r>
      <w:r w:rsidRPr="004D5943">
        <w:rPr>
          <w:rFonts w:ascii="Arial" w:hAnsi="Arial" w:cs="Arial"/>
          <w:color w:val="0D0D0D" w:themeColor="text1" w:themeTint="F2"/>
          <w:sz w:val="22"/>
          <w:szCs w:val="22"/>
        </w:rPr>
        <w:t xml:space="preserve"> (Accessed: 4 March 2026).</w:t>
      </w:r>
    </w:p>
    <w:p w14:paraId="27499349" w14:textId="77777777" w:rsidR="00583849" w:rsidRPr="004D5943" w:rsidRDefault="00583849" w:rsidP="00583849">
      <w:pPr>
        <w:rPr>
          <w:rFonts w:cs="Arial"/>
          <w:color w:val="0D0D0D" w:themeColor="text1" w:themeTint="F2"/>
        </w:rPr>
      </w:pPr>
    </w:p>
    <w:p w14:paraId="61B6B48F" w14:textId="77777777" w:rsidR="00971953" w:rsidRPr="004D5943" w:rsidRDefault="00971953" w:rsidP="00583849">
      <w:pPr>
        <w:rPr>
          <w:rFonts w:cs="Arial"/>
          <w:color w:val="0D0D0D" w:themeColor="text1" w:themeTint="F2"/>
        </w:rPr>
      </w:pPr>
    </w:p>
    <w:p w14:paraId="761863B0" w14:textId="77777777" w:rsidR="00971953" w:rsidRPr="004D5943" w:rsidRDefault="00971953" w:rsidP="00583849">
      <w:pPr>
        <w:rPr>
          <w:rFonts w:cs="Arial"/>
          <w:color w:val="0D0D0D" w:themeColor="text1" w:themeTint="F2"/>
        </w:rPr>
      </w:pPr>
    </w:p>
    <w:p w14:paraId="6655E369" w14:textId="77777777" w:rsidR="00971953" w:rsidRPr="004D5943" w:rsidRDefault="00971953" w:rsidP="00583849">
      <w:pPr>
        <w:rPr>
          <w:rFonts w:cs="Arial"/>
          <w:color w:val="0D0D0D" w:themeColor="text1" w:themeTint="F2"/>
        </w:rPr>
      </w:pPr>
    </w:p>
    <w:p w14:paraId="5633DD9E" w14:textId="77777777" w:rsidR="00971953" w:rsidRPr="004D5943" w:rsidRDefault="00971953" w:rsidP="00583849">
      <w:pPr>
        <w:rPr>
          <w:rFonts w:cs="Arial"/>
          <w:color w:val="0D0D0D" w:themeColor="text1" w:themeTint="F2"/>
        </w:rPr>
      </w:pPr>
    </w:p>
    <w:p w14:paraId="40015D6D" w14:textId="77777777" w:rsidR="00971953" w:rsidRPr="004D5943" w:rsidRDefault="00971953" w:rsidP="00583849">
      <w:pPr>
        <w:rPr>
          <w:rFonts w:cs="Arial"/>
          <w:color w:val="0D0D0D" w:themeColor="text1" w:themeTint="F2"/>
        </w:rPr>
      </w:pPr>
    </w:p>
    <w:p w14:paraId="6F7551F8" w14:textId="77777777" w:rsidR="00971953" w:rsidRPr="004D5943" w:rsidRDefault="00971953" w:rsidP="00583849">
      <w:pPr>
        <w:rPr>
          <w:rFonts w:cs="Arial"/>
          <w:color w:val="0D0D0D" w:themeColor="text1" w:themeTint="F2"/>
        </w:rPr>
      </w:pPr>
    </w:p>
    <w:p w14:paraId="2347289A" w14:textId="5AC5CAE0" w:rsidR="0075604D" w:rsidRPr="004D5943" w:rsidRDefault="0075604D" w:rsidP="0075604D">
      <w:pPr>
        <w:spacing w:line="360" w:lineRule="auto"/>
        <w:rPr>
          <w:rFonts w:cs="Arial"/>
          <w:color w:val="0D0D0D" w:themeColor="text1" w:themeTint="F2"/>
        </w:rPr>
      </w:pPr>
    </w:p>
    <w:p w14:paraId="5394777E" w14:textId="77777777" w:rsidR="00D24DAF" w:rsidRPr="004D5943" w:rsidRDefault="00D24DAF" w:rsidP="0075604D">
      <w:pPr>
        <w:spacing w:line="360" w:lineRule="auto"/>
        <w:rPr>
          <w:rFonts w:cs="Arial"/>
          <w:b/>
          <w:bCs/>
          <w:color w:val="0D0D0D" w:themeColor="text1" w:themeTint="F2"/>
          <w:sz w:val="40"/>
          <w:szCs w:val="40"/>
        </w:rPr>
      </w:pPr>
    </w:p>
    <w:p w14:paraId="5E95FFA8" w14:textId="0679AB29" w:rsidR="0075604D" w:rsidRPr="004D5943" w:rsidRDefault="00DD59B3" w:rsidP="00237D7C">
      <w:pPr>
        <w:spacing w:line="360" w:lineRule="auto"/>
        <w:rPr>
          <w:rFonts w:cs="Arial"/>
          <w:b/>
          <w:bCs/>
          <w:color w:val="0D0D0D" w:themeColor="text1" w:themeTint="F2"/>
          <w:szCs w:val="23"/>
        </w:rPr>
      </w:pPr>
      <w:r w:rsidRPr="004D5943">
        <w:rPr>
          <w:rFonts w:cs="Arial"/>
          <w:b/>
          <w:bCs/>
          <w:color w:val="0D0D0D" w:themeColor="text1" w:themeTint="F2"/>
          <w:szCs w:val="23"/>
        </w:rPr>
        <w:lastRenderedPageBreak/>
        <w:t>Disability</w:t>
      </w:r>
      <w:r w:rsidRPr="004D5943">
        <w:rPr>
          <w:rFonts w:cs="Arial"/>
          <w:b/>
          <w:bCs/>
          <w:color w:val="0D0D0D" w:themeColor="text1" w:themeTint="F2"/>
          <w:szCs w:val="23"/>
        </w:rPr>
        <w:t xml:space="preserve"> </w:t>
      </w:r>
      <w:r w:rsidR="00297158" w:rsidRPr="004D5943">
        <w:rPr>
          <w:rFonts w:cs="Arial"/>
          <w:b/>
          <w:bCs/>
          <w:color w:val="0D0D0D" w:themeColor="text1" w:themeTint="F2"/>
          <w:szCs w:val="23"/>
        </w:rPr>
        <w:t xml:space="preserve">and </w:t>
      </w:r>
      <w:r w:rsidR="0075604D" w:rsidRPr="004D5943">
        <w:rPr>
          <w:rFonts w:cs="Arial"/>
          <w:b/>
          <w:bCs/>
          <w:color w:val="0D0D0D" w:themeColor="text1" w:themeTint="F2"/>
          <w:szCs w:val="23"/>
        </w:rPr>
        <w:t xml:space="preserve">Inequality in the Context of Multiple Sclerosis </w:t>
      </w:r>
    </w:p>
    <w:p w14:paraId="29707E56" w14:textId="77777777" w:rsidR="006379C5" w:rsidRPr="004D5943" w:rsidRDefault="006379C5" w:rsidP="00237D7C">
      <w:pPr>
        <w:spacing w:line="360" w:lineRule="auto"/>
        <w:rPr>
          <w:rFonts w:cs="Arial"/>
          <w:b/>
          <w:bCs/>
          <w:color w:val="0D0D0D" w:themeColor="text1" w:themeTint="F2"/>
          <w:szCs w:val="23"/>
        </w:rPr>
      </w:pPr>
    </w:p>
    <w:p w14:paraId="624EBAA0" w14:textId="30584E1B" w:rsidR="0075604D" w:rsidRPr="004D5943" w:rsidRDefault="006B4102" w:rsidP="00237D7C">
      <w:pPr>
        <w:spacing w:line="360" w:lineRule="auto"/>
        <w:rPr>
          <w:rFonts w:cs="Arial"/>
          <w:b/>
          <w:bCs/>
          <w:color w:val="0D0D0D" w:themeColor="text1" w:themeTint="F2"/>
          <w:szCs w:val="23"/>
        </w:rPr>
      </w:pPr>
      <w:r w:rsidRPr="004D5943">
        <w:rPr>
          <w:rFonts w:cs="Arial"/>
          <w:b/>
          <w:bCs/>
          <w:color w:val="0D0D0D" w:themeColor="text1" w:themeTint="F2"/>
          <w:szCs w:val="23"/>
        </w:rPr>
        <w:t>I</w:t>
      </w:r>
      <w:r w:rsidR="0075604D" w:rsidRPr="004D5943">
        <w:rPr>
          <w:rFonts w:cs="Arial"/>
          <w:b/>
          <w:bCs/>
          <w:color w:val="0D0D0D" w:themeColor="text1" w:themeTint="F2"/>
          <w:szCs w:val="23"/>
        </w:rPr>
        <w:t>ntroduction</w:t>
      </w:r>
    </w:p>
    <w:p w14:paraId="015A7AF3" w14:textId="22AD396C"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rPr>
        <w:t>Multiple sclerosis (MS) is a chronic, progressive neurological disorder characteri</w:t>
      </w:r>
      <w:r w:rsidR="001A3916" w:rsidRPr="004D5943">
        <w:rPr>
          <w:rFonts w:cs="Arial"/>
          <w:color w:val="0D0D0D" w:themeColor="text1" w:themeTint="F2"/>
          <w:szCs w:val="23"/>
        </w:rPr>
        <w:t>s</w:t>
      </w:r>
      <w:r w:rsidRPr="004D5943">
        <w:rPr>
          <w:rFonts w:cs="Arial"/>
          <w:color w:val="0D0D0D" w:themeColor="text1" w:themeTint="F2"/>
          <w:szCs w:val="23"/>
        </w:rPr>
        <w:t xml:space="preserve">ed as an autoimmune disease where the immune system damages the central nervous system's myelin sheath (Hubbard, </w:t>
      </w:r>
      <w:proofErr w:type="spellStart"/>
      <w:r w:rsidRPr="004D5943">
        <w:rPr>
          <w:rFonts w:cs="Arial"/>
          <w:color w:val="0D0D0D" w:themeColor="text1" w:themeTint="F2"/>
          <w:szCs w:val="23"/>
        </w:rPr>
        <w:t>Golla</w:t>
      </w:r>
      <w:proofErr w:type="spellEnd"/>
      <w:r w:rsidRPr="004D5943">
        <w:rPr>
          <w:rFonts w:cs="Arial"/>
          <w:color w:val="0D0D0D" w:themeColor="text1" w:themeTint="F2"/>
          <w:szCs w:val="23"/>
        </w:rPr>
        <w:t xml:space="preserve">, and </w:t>
      </w:r>
      <w:proofErr w:type="spellStart"/>
      <w:r w:rsidRPr="004D5943">
        <w:rPr>
          <w:rFonts w:cs="Arial"/>
          <w:color w:val="0D0D0D" w:themeColor="text1" w:themeTint="F2"/>
          <w:szCs w:val="23"/>
        </w:rPr>
        <w:t>Lausberg</w:t>
      </w:r>
      <w:proofErr w:type="spellEnd"/>
      <w:r w:rsidRPr="004D5943">
        <w:rPr>
          <w:rFonts w:cs="Arial"/>
          <w:color w:val="0D0D0D" w:themeColor="text1" w:themeTint="F2"/>
          <w:szCs w:val="23"/>
        </w:rPr>
        <w:t xml:space="preserve">, 2021; Khan and Hashim, 2025). It is the leading cause of non-traumatic disability among young adults globally (Hubbard, </w:t>
      </w:r>
      <w:proofErr w:type="spellStart"/>
      <w:r w:rsidRPr="004D5943">
        <w:rPr>
          <w:rFonts w:cs="Arial"/>
          <w:color w:val="0D0D0D" w:themeColor="text1" w:themeTint="F2"/>
          <w:szCs w:val="23"/>
        </w:rPr>
        <w:t>Golla</w:t>
      </w:r>
      <w:proofErr w:type="spellEnd"/>
      <w:r w:rsidRPr="004D5943">
        <w:rPr>
          <w:rFonts w:cs="Arial"/>
          <w:color w:val="0D0D0D" w:themeColor="text1" w:themeTint="F2"/>
          <w:szCs w:val="23"/>
        </w:rPr>
        <w:t xml:space="preserve"> and </w:t>
      </w:r>
      <w:proofErr w:type="spellStart"/>
      <w:r w:rsidRPr="004D5943">
        <w:rPr>
          <w:rFonts w:cs="Arial"/>
          <w:color w:val="0D0D0D" w:themeColor="text1" w:themeTint="F2"/>
          <w:szCs w:val="23"/>
        </w:rPr>
        <w:t>Lausberg</w:t>
      </w:r>
      <w:proofErr w:type="spellEnd"/>
      <w:r w:rsidRPr="004D5943">
        <w:rPr>
          <w:rFonts w:cs="Arial"/>
          <w:color w:val="0D0D0D" w:themeColor="text1" w:themeTint="F2"/>
          <w:szCs w:val="23"/>
        </w:rPr>
        <w:t xml:space="preserve">, 2021). The abnormal immune response in MS leads to neuroinflammation, demyelination, and brain damage, resulting in the formation of sclerotic plaques due to repetitive neuroinflammation that can significantly affect vision, muscular coordination, and can induce cognitive decline and irreversible disability in later stages (Khan and Hashim, 2025). MS generally manifests in early adulthood and is approximately twice as prevalent in women compared to men; female death rates surpass those of males in all age groups, this is an indication of women experiencing diagnostic delays, having more aggressive disease phenotypes, or inequalities in treatment (Zhao </w:t>
      </w:r>
      <w:r w:rsidRPr="004D5943">
        <w:rPr>
          <w:rFonts w:cs="Arial"/>
          <w:i/>
          <w:iCs/>
          <w:color w:val="0D0D0D" w:themeColor="text1" w:themeTint="F2"/>
          <w:szCs w:val="23"/>
        </w:rPr>
        <w:t>et al.,</w:t>
      </w:r>
      <w:r w:rsidRPr="004D5943">
        <w:rPr>
          <w:rFonts w:cs="Arial"/>
          <w:color w:val="0D0D0D" w:themeColor="text1" w:themeTint="F2"/>
          <w:szCs w:val="23"/>
        </w:rPr>
        <w:t xml:space="preserve"> 2025). This report will look at social determinants such as healthcare access, socioeconomic status, and social support that have been identified as critical factors influencing MS risk, with individuals from the most disadvantaged areas being less frequently prescribed MS disease-modifying therapy (Das </w:t>
      </w:r>
      <w:r w:rsidRPr="004D5943">
        <w:rPr>
          <w:rFonts w:cs="Arial"/>
          <w:i/>
          <w:iCs/>
          <w:color w:val="0D0D0D" w:themeColor="text1" w:themeTint="F2"/>
          <w:szCs w:val="23"/>
        </w:rPr>
        <w:t>et al.,</w:t>
      </w:r>
      <w:r w:rsidRPr="004D5943">
        <w:rPr>
          <w:rFonts w:cs="Arial"/>
          <w:color w:val="0D0D0D" w:themeColor="text1" w:themeTint="F2"/>
          <w:szCs w:val="23"/>
        </w:rPr>
        <w:t xml:space="preserve"> 2024; Jacobs </w:t>
      </w:r>
      <w:r w:rsidRPr="004D5943">
        <w:rPr>
          <w:rFonts w:cs="Arial"/>
          <w:i/>
          <w:iCs/>
          <w:color w:val="0D0D0D" w:themeColor="text1" w:themeTint="F2"/>
          <w:szCs w:val="23"/>
        </w:rPr>
        <w:t>et al.,</w:t>
      </w:r>
      <w:r w:rsidRPr="004D5943">
        <w:rPr>
          <w:rFonts w:cs="Arial"/>
          <w:color w:val="0D0D0D" w:themeColor="text1" w:themeTint="F2"/>
          <w:szCs w:val="23"/>
        </w:rPr>
        <w:t xml:space="preserve"> 2024; </w:t>
      </w:r>
      <w:proofErr w:type="spellStart"/>
      <w:r w:rsidRPr="004D5943">
        <w:rPr>
          <w:rFonts w:cs="Arial"/>
          <w:color w:val="0D0D0D" w:themeColor="text1" w:themeTint="F2"/>
          <w:szCs w:val="23"/>
        </w:rPr>
        <w:t>Ponzano</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2026).</w:t>
      </w:r>
    </w:p>
    <w:p w14:paraId="072B6232" w14:textId="77777777" w:rsidR="0075604D" w:rsidRPr="004D5943" w:rsidRDefault="0075604D" w:rsidP="00237D7C">
      <w:pPr>
        <w:spacing w:line="360" w:lineRule="auto"/>
        <w:rPr>
          <w:rFonts w:cs="Arial"/>
          <w:b/>
          <w:bCs/>
          <w:color w:val="0D0D0D" w:themeColor="text1" w:themeTint="F2"/>
          <w:szCs w:val="23"/>
        </w:rPr>
      </w:pPr>
    </w:p>
    <w:p w14:paraId="36A6F5B4" w14:textId="0D4B8546"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 xml:space="preserve">Incidence and prevalence of </w:t>
      </w:r>
      <w:r w:rsidR="00DD59B3" w:rsidRPr="004D5943">
        <w:rPr>
          <w:rFonts w:cs="Arial"/>
          <w:b/>
          <w:bCs/>
          <w:color w:val="0D0D0D" w:themeColor="text1" w:themeTint="F2"/>
          <w:szCs w:val="23"/>
        </w:rPr>
        <w:t>MS</w:t>
      </w:r>
    </w:p>
    <w:p w14:paraId="3E2CB9D1" w14:textId="77777777"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rPr>
        <w:t xml:space="preserve">Since 2013, global MS prevalence increased especially in high-income countries, likely due to more rigorous data collection, enhanced diagnostics, and improved infrastructure rather than a true rise in incidence (Walton </w:t>
      </w:r>
      <w:r w:rsidRPr="004D5943">
        <w:rPr>
          <w:rFonts w:cs="Arial"/>
          <w:i/>
          <w:iCs/>
          <w:color w:val="0D0D0D" w:themeColor="text1" w:themeTint="F2"/>
          <w:szCs w:val="23"/>
        </w:rPr>
        <w:t>et al.,</w:t>
      </w:r>
      <w:r w:rsidRPr="004D5943">
        <w:rPr>
          <w:rFonts w:cs="Arial"/>
          <w:color w:val="0D0D0D" w:themeColor="text1" w:themeTint="F2"/>
          <w:szCs w:val="23"/>
        </w:rPr>
        <w:t xml:space="preserve"> 2020; Nicholas </w:t>
      </w:r>
      <w:r w:rsidRPr="004D5943">
        <w:rPr>
          <w:rFonts w:cs="Arial"/>
          <w:i/>
          <w:iCs/>
          <w:color w:val="0D0D0D" w:themeColor="text1" w:themeTint="F2"/>
          <w:szCs w:val="23"/>
        </w:rPr>
        <w:t xml:space="preserve">et al., </w:t>
      </w:r>
      <w:r w:rsidRPr="004D5943">
        <w:rPr>
          <w:rFonts w:cs="Arial"/>
          <w:color w:val="0D0D0D" w:themeColor="text1" w:themeTint="F2"/>
          <w:szCs w:val="23"/>
        </w:rPr>
        <w:t>2024). MS is more prevalent in Western regions due to elevated latitudes, reduced vitamin D, and genetic predisposition among Northern Europeans; in the UK, prevalence is 0.221%, and in Scotland 0.402%, possibly linked to agricultural activities (</w:t>
      </w:r>
      <w:proofErr w:type="spellStart"/>
      <w:r w:rsidRPr="004D5943">
        <w:rPr>
          <w:rFonts w:cs="Arial"/>
          <w:color w:val="0D0D0D" w:themeColor="text1" w:themeTint="F2"/>
          <w:szCs w:val="23"/>
        </w:rPr>
        <w:t>Kapica-Topczewska</w:t>
      </w:r>
      <w:proofErr w:type="spellEnd"/>
      <w:r w:rsidRPr="004D5943">
        <w:rPr>
          <w:rFonts w:cs="Arial"/>
          <w:i/>
          <w:iCs/>
          <w:color w:val="0D0D0D" w:themeColor="text1" w:themeTint="F2"/>
          <w:szCs w:val="23"/>
        </w:rPr>
        <w:t xml:space="preserve"> et al., </w:t>
      </w:r>
      <w:r w:rsidRPr="004D5943">
        <w:rPr>
          <w:rFonts w:cs="Arial"/>
          <w:color w:val="0D0D0D" w:themeColor="text1" w:themeTint="F2"/>
          <w:szCs w:val="23"/>
        </w:rPr>
        <w:t>2025). Whereas Africa has the lowest prevalence at 0.005%, this 80-fold differential with Scotland likely reflects diagnostic inequality and insufficient healthcare resources in Africa (</w:t>
      </w:r>
      <w:proofErr w:type="spellStart"/>
      <w:r w:rsidRPr="004D5943">
        <w:rPr>
          <w:rFonts w:cs="Arial"/>
          <w:color w:val="0D0D0D" w:themeColor="text1" w:themeTint="F2"/>
          <w:szCs w:val="23"/>
        </w:rPr>
        <w:t>Kapica-Topczewska</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2025).</w:t>
      </w:r>
    </w:p>
    <w:p w14:paraId="21E31E56" w14:textId="77777777" w:rsidR="006B4102" w:rsidRPr="004D5943" w:rsidRDefault="006B4102" w:rsidP="00237D7C">
      <w:pPr>
        <w:spacing w:line="360" w:lineRule="auto"/>
        <w:rPr>
          <w:rFonts w:cs="Arial"/>
          <w:b/>
          <w:bCs/>
          <w:color w:val="0D0D0D" w:themeColor="text1" w:themeTint="F2"/>
          <w:szCs w:val="23"/>
        </w:rPr>
      </w:pPr>
    </w:p>
    <w:p w14:paraId="3669453D" w14:textId="033BBE2E" w:rsidR="006B4102" w:rsidRPr="004D5943" w:rsidRDefault="004779A8" w:rsidP="00237D7C">
      <w:pPr>
        <w:spacing w:line="360" w:lineRule="auto"/>
        <w:rPr>
          <w:rFonts w:cs="Arial"/>
          <w:b/>
          <w:bCs/>
          <w:color w:val="0D0D0D" w:themeColor="text1" w:themeTint="F2"/>
          <w:szCs w:val="23"/>
        </w:rPr>
      </w:pPr>
      <w:r w:rsidRPr="004D5943">
        <w:rPr>
          <w:rFonts w:cs="Arial"/>
          <w:b/>
          <w:bCs/>
          <w:color w:val="0D0D0D" w:themeColor="text1" w:themeTint="F2"/>
          <w:szCs w:val="23"/>
        </w:rPr>
        <w:t>I</w:t>
      </w:r>
      <w:r w:rsidRPr="004D5943">
        <w:rPr>
          <w:rFonts w:cs="Arial"/>
          <w:b/>
          <w:bCs/>
          <w:color w:val="0D0D0D" w:themeColor="text1" w:themeTint="F2"/>
          <w:szCs w:val="23"/>
        </w:rPr>
        <w:t xml:space="preserve">nequality </w:t>
      </w:r>
      <w:r w:rsidRPr="004D5943">
        <w:rPr>
          <w:rFonts w:cs="Arial"/>
          <w:b/>
          <w:bCs/>
          <w:color w:val="0D0D0D" w:themeColor="text1" w:themeTint="F2"/>
          <w:szCs w:val="23"/>
        </w:rPr>
        <w:t xml:space="preserve">among </w:t>
      </w:r>
      <w:r w:rsidR="00BB5640" w:rsidRPr="004D5943">
        <w:rPr>
          <w:rFonts w:cs="Arial"/>
          <w:b/>
          <w:bCs/>
          <w:color w:val="0D0D0D" w:themeColor="text1" w:themeTint="F2"/>
          <w:szCs w:val="23"/>
        </w:rPr>
        <w:t>t</w:t>
      </w:r>
      <w:r w:rsidR="0075604D" w:rsidRPr="004D5943">
        <w:rPr>
          <w:rFonts w:cs="Arial"/>
          <w:b/>
          <w:bCs/>
          <w:color w:val="0D0D0D" w:themeColor="text1" w:themeTint="F2"/>
          <w:szCs w:val="23"/>
        </w:rPr>
        <w:t xml:space="preserve">arget </w:t>
      </w:r>
      <w:r w:rsidR="00BB5640" w:rsidRPr="004D5943">
        <w:rPr>
          <w:rFonts w:cs="Arial"/>
          <w:b/>
          <w:bCs/>
          <w:color w:val="0D0D0D" w:themeColor="text1" w:themeTint="F2"/>
          <w:szCs w:val="23"/>
        </w:rPr>
        <w:t>p</w:t>
      </w:r>
      <w:r w:rsidR="0075604D" w:rsidRPr="004D5943">
        <w:rPr>
          <w:rFonts w:cs="Arial"/>
          <w:b/>
          <w:bCs/>
          <w:color w:val="0D0D0D" w:themeColor="text1" w:themeTint="F2"/>
          <w:szCs w:val="23"/>
        </w:rPr>
        <w:t>opulation</w:t>
      </w:r>
    </w:p>
    <w:p w14:paraId="3A5EEA66" w14:textId="71295DDD" w:rsidR="0075604D" w:rsidRPr="004D5943" w:rsidRDefault="0075604D" w:rsidP="00237D7C">
      <w:pPr>
        <w:spacing w:line="360" w:lineRule="auto"/>
        <w:rPr>
          <w:rFonts w:cs="Arial"/>
          <w:b/>
          <w:bCs/>
          <w:color w:val="0D0D0D" w:themeColor="text1" w:themeTint="F2"/>
          <w:szCs w:val="23"/>
        </w:rPr>
      </w:pPr>
      <w:r w:rsidRPr="004D5943">
        <w:rPr>
          <w:rFonts w:cs="Arial"/>
          <w:color w:val="0D0D0D" w:themeColor="text1" w:themeTint="F2"/>
          <w:szCs w:val="23"/>
          <w:shd w:val="clear" w:color="auto" w:fill="FFFFFF"/>
        </w:rPr>
        <w:t>Across four boroughs in East London</w:t>
      </w:r>
      <w:r w:rsidRPr="004D5943">
        <w:rPr>
          <w:rFonts w:cs="Arial"/>
          <w:color w:val="0D0D0D" w:themeColor="text1" w:themeTint="F2"/>
          <w:szCs w:val="23"/>
        </w:rPr>
        <w:t xml:space="preserve">, MS prevalence varies by ethnicity: 180 (White), 74 (Black), 29 (South Asians) per 100,000, and these two minority groups showed MS </w:t>
      </w:r>
      <w:r w:rsidRPr="004D5943">
        <w:rPr>
          <w:rFonts w:cs="Arial"/>
          <w:color w:val="0D0D0D" w:themeColor="text1" w:themeTint="F2"/>
          <w:szCs w:val="23"/>
        </w:rPr>
        <w:lastRenderedPageBreak/>
        <w:t>rates considerably higher than those documented in their countries of origin (</w:t>
      </w:r>
      <w:proofErr w:type="spellStart"/>
      <w:r w:rsidRPr="004D5943">
        <w:rPr>
          <w:rFonts w:cs="Arial"/>
          <w:color w:val="0D0D0D" w:themeColor="text1" w:themeTint="F2"/>
          <w:szCs w:val="23"/>
        </w:rPr>
        <w:t>Albor</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2017).</w:t>
      </w:r>
      <w:r w:rsidRPr="004D5943">
        <w:rPr>
          <w:rFonts w:cs="Arial"/>
          <w:color w:val="0D0D0D" w:themeColor="text1" w:themeTint="F2"/>
          <w:szCs w:val="23"/>
          <w:shd w:val="clear" w:color="auto" w:fill="FFFFFF"/>
        </w:rPr>
        <w:t xml:space="preserve"> East London's high MS prevalence provides great insight into inherited and environmental factors affecting MS susceptibility and clinical trajectory. Therefore, MS patients in ethnically diverse locations like East London are best suited for public health analysis (</w:t>
      </w:r>
      <w:proofErr w:type="spellStart"/>
      <w:r w:rsidRPr="004D5943">
        <w:rPr>
          <w:rFonts w:cs="Arial"/>
          <w:color w:val="0D0D0D" w:themeColor="text1" w:themeTint="F2"/>
          <w:szCs w:val="23"/>
          <w:shd w:val="clear" w:color="auto" w:fill="FFFFFF"/>
        </w:rPr>
        <w:t>Albor</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2017). </w:t>
      </w:r>
      <w:r w:rsidRPr="004D5943">
        <w:rPr>
          <w:rFonts w:cs="Arial"/>
          <w:color w:val="0D0D0D" w:themeColor="text1" w:themeTint="F2"/>
          <w:szCs w:val="23"/>
        </w:rPr>
        <w:t xml:space="preserve">Ethnic minority groups do not have greater disease severity when receiving prompt treatment but face different care access and social barriers; consequently, inequality is more attributable to healthcare system and socioeconomic factors than ethnicity alone (Jacobs </w:t>
      </w:r>
      <w:r w:rsidRPr="004D5943">
        <w:rPr>
          <w:rFonts w:cs="Arial"/>
          <w:i/>
          <w:iCs/>
          <w:color w:val="0D0D0D" w:themeColor="text1" w:themeTint="F2"/>
          <w:szCs w:val="23"/>
        </w:rPr>
        <w:t>et al.,</w:t>
      </w:r>
      <w:r w:rsidRPr="004D5943">
        <w:rPr>
          <w:rFonts w:cs="Arial"/>
          <w:color w:val="0D0D0D" w:themeColor="text1" w:themeTint="F2"/>
          <w:szCs w:val="23"/>
        </w:rPr>
        <w:t xml:space="preserve"> 2024; Tank </w:t>
      </w:r>
      <w:r w:rsidRPr="004D5943">
        <w:rPr>
          <w:rFonts w:cs="Arial"/>
          <w:i/>
          <w:iCs/>
          <w:color w:val="0D0D0D" w:themeColor="text1" w:themeTint="F2"/>
          <w:szCs w:val="23"/>
        </w:rPr>
        <w:t>et al.,</w:t>
      </w:r>
      <w:r w:rsidRPr="004D5943">
        <w:rPr>
          <w:rFonts w:cs="Arial"/>
          <w:color w:val="0D0D0D" w:themeColor="text1" w:themeTint="F2"/>
          <w:szCs w:val="23"/>
        </w:rPr>
        <w:t xml:space="preserve"> 202</w:t>
      </w:r>
      <w:r w:rsidR="000A4B9B" w:rsidRPr="004D5943">
        <w:rPr>
          <w:rFonts w:cs="Arial"/>
          <w:color w:val="0D0D0D" w:themeColor="text1" w:themeTint="F2"/>
          <w:szCs w:val="23"/>
        </w:rPr>
        <w:t>6</w:t>
      </w:r>
      <w:r w:rsidRPr="004D5943">
        <w:rPr>
          <w:rFonts w:cs="Arial"/>
          <w:color w:val="0D0D0D" w:themeColor="text1" w:themeTint="F2"/>
          <w:szCs w:val="23"/>
        </w:rPr>
        <w:t xml:space="preserve">). </w:t>
      </w:r>
    </w:p>
    <w:p w14:paraId="66530ECA" w14:textId="77777777" w:rsidR="0075604D" w:rsidRPr="004D5943" w:rsidRDefault="0075604D" w:rsidP="00237D7C">
      <w:pPr>
        <w:spacing w:line="360" w:lineRule="auto"/>
        <w:rPr>
          <w:rFonts w:cs="Arial"/>
          <w:b/>
          <w:bCs/>
          <w:color w:val="0D0D0D" w:themeColor="text1" w:themeTint="F2"/>
          <w:szCs w:val="23"/>
        </w:rPr>
      </w:pPr>
    </w:p>
    <w:p w14:paraId="7C108FED" w14:textId="1DAB30AC"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 xml:space="preserve">Multiple sclerosis affects, manifestations and mitigations.  </w:t>
      </w:r>
    </w:p>
    <w:p w14:paraId="226E7042" w14:textId="77777777" w:rsidR="0075604D" w:rsidRPr="004D5943" w:rsidRDefault="0075604D"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Hidden symptoms like fatigue, pain, and cognitive impairment are frequently overlooked in standard care, despite their substantial impact on quality of life (</w:t>
      </w:r>
      <w:proofErr w:type="spellStart"/>
      <w:r w:rsidRPr="004D5943">
        <w:rPr>
          <w:rFonts w:cs="Arial"/>
          <w:color w:val="0D0D0D" w:themeColor="text1" w:themeTint="F2"/>
          <w:szCs w:val="23"/>
          <w:shd w:val="clear" w:color="auto" w:fill="FFFFFF"/>
        </w:rPr>
        <w:t>Portaccio</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Moreover, up to 78% of MS patients experience fatigue (Oliva-Ramirez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2021). MS significantly harms individuals’ psychological well-being as it limits engagement in social roles and community activities, resulting in a dual dependence on essential social connections and emotional support, while simultaneously threatening economic stability (Li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2022). Mitigation of MS necessitates integrated, multidisciplinary help, including employment support, mental health services, and social inclusion (Li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2022; </w:t>
      </w:r>
      <w:proofErr w:type="spellStart"/>
      <w:r w:rsidRPr="004D5943">
        <w:rPr>
          <w:rFonts w:cs="Arial"/>
          <w:color w:val="0D0D0D" w:themeColor="text1" w:themeTint="F2"/>
          <w:szCs w:val="23"/>
          <w:shd w:val="clear" w:color="auto" w:fill="FFFFFF"/>
        </w:rPr>
        <w:t>DeDios</w:t>
      </w:r>
      <w:proofErr w:type="spellEnd"/>
      <w:r w:rsidRPr="004D5943">
        <w:rPr>
          <w:rFonts w:cs="Arial"/>
          <w:color w:val="0D0D0D" w:themeColor="text1" w:themeTint="F2"/>
          <w:szCs w:val="23"/>
          <w:shd w:val="clear" w:color="auto" w:fill="FFFFFF"/>
        </w:rPr>
        <w:t xml:space="preserve">-Perez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Rashid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w:t>
      </w:r>
    </w:p>
    <w:p w14:paraId="01D562E1" w14:textId="77777777" w:rsidR="0075604D" w:rsidRPr="004D5943" w:rsidRDefault="0075604D" w:rsidP="00237D7C">
      <w:pPr>
        <w:spacing w:line="360" w:lineRule="auto"/>
        <w:rPr>
          <w:rFonts w:cs="Arial"/>
          <w:b/>
          <w:bCs/>
          <w:color w:val="0D0D0D" w:themeColor="text1" w:themeTint="F2"/>
          <w:szCs w:val="23"/>
        </w:rPr>
      </w:pPr>
    </w:p>
    <w:p w14:paraId="048CB80E" w14:textId="561F6102" w:rsidR="002D534E"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Key determinants and risk factor</w:t>
      </w:r>
    </w:p>
    <w:p w14:paraId="7519B1D3" w14:textId="5B30BB5F" w:rsidR="0075604D" w:rsidRPr="004D5943" w:rsidRDefault="0075604D"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rPr>
        <w:t>A multitude of risk factors increase the likelihood of stroke in individuals with MS, including hypertension, hyperlipidaemia, platelet dysfunction, and vitamin D deficiency (</w:t>
      </w:r>
      <w:proofErr w:type="spellStart"/>
      <w:r w:rsidRPr="004D5943">
        <w:rPr>
          <w:rFonts w:cs="Arial"/>
          <w:color w:val="0D0D0D" w:themeColor="text1" w:themeTint="F2"/>
          <w:szCs w:val="23"/>
        </w:rPr>
        <w:t>Marsool</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2024). MS also correlates with numerous comorbidities like metabolic disorders, mental disturbances, cancer, restless leg syndrome, autoimmune illnesses, migraines, and cardiovascular disease (Hauer, </w:t>
      </w:r>
      <w:proofErr w:type="spellStart"/>
      <w:r w:rsidRPr="004D5943">
        <w:rPr>
          <w:rFonts w:cs="Arial"/>
          <w:color w:val="0D0D0D" w:themeColor="text1" w:themeTint="F2"/>
          <w:szCs w:val="23"/>
        </w:rPr>
        <w:t>Perneczky</w:t>
      </w:r>
      <w:proofErr w:type="spellEnd"/>
      <w:r w:rsidRPr="004D5943">
        <w:rPr>
          <w:rFonts w:cs="Arial"/>
          <w:color w:val="0D0D0D" w:themeColor="text1" w:themeTint="F2"/>
          <w:szCs w:val="23"/>
        </w:rPr>
        <w:t xml:space="preserve"> and </w:t>
      </w:r>
      <w:proofErr w:type="spellStart"/>
      <w:r w:rsidRPr="004D5943">
        <w:rPr>
          <w:rFonts w:cs="Arial"/>
          <w:color w:val="0D0D0D" w:themeColor="text1" w:themeTint="F2"/>
          <w:szCs w:val="23"/>
        </w:rPr>
        <w:t>Sellner</w:t>
      </w:r>
      <w:proofErr w:type="spellEnd"/>
      <w:r w:rsidRPr="004D5943">
        <w:rPr>
          <w:rFonts w:cs="Arial"/>
          <w:color w:val="0D0D0D" w:themeColor="text1" w:themeTint="F2"/>
          <w:szCs w:val="23"/>
        </w:rPr>
        <w:t xml:space="preserve">, 2021). It is critical for doctors to understand early manifestation of these </w:t>
      </w:r>
      <w:r w:rsidRPr="004D5943">
        <w:rPr>
          <w:rFonts w:cs="Arial"/>
          <w:color w:val="0D0D0D" w:themeColor="text1" w:themeTint="F2"/>
          <w:szCs w:val="23"/>
          <w:shd w:val="clear" w:color="auto" w:fill="FFFFFF"/>
        </w:rPr>
        <w:t>comorbidities, for improving quality of life and optimi</w:t>
      </w:r>
      <w:r w:rsidR="006F17C5" w:rsidRPr="004D5943">
        <w:rPr>
          <w:rFonts w:cs="Arial"/>
          <w:color w:val="0D0D0D" w:themeColor="text1" w:themeTint="F2"/>
          <w:szCs w:val="23"/>
          <w:shd w:val="clear" w:color="auto" w:fill="FFFFFF"/>
        </w:rPr>
        <w:t>s</w:t>
      </w:r>
      <w:r w:rsidRPr="004D5943">
        <w:rPr>
          <w:rFonts w:cs="Arial"/>
          <w:color w:val="0D0D0D" w:themeColor="text1" w:themeTint="F2"/>
          <w:szCs w:val="23"/>
          <w:shd w:val="clear" w:color="auto" w:fill="FFFFFF"/>
        </w:rPr>
        <w:t xml:space="preserve">ing treatment as they </w:t>
      </w:r>
      <w:r w:rsidRPr="004D5943">
        <w:rPr>
          <w:rFonts w:cs="Arial"/>
          <w:color w:val="0D0D0D" w:themeColor="text1" w:themeTint="F2"/>
          <w:szCs w:val="23"/>
        </w:rPr>
        <w:t xml:space="preserve">can mask or postpone the diagnosis and substantially influence the progression of MS (Hauer, </w:t>
      </w:r>
      <w:proofErr w:type="spellStart"/>
      <w:r w:rsidRPr="004D5943">
        <w:rPr>
          <w:rFonts w:cs="Arial"/>
          <w:color w:val="0D0D0D" w:themeColor="text1" w:themeTint="F2"/>
          <w:szCs w:val="23"/>
        </w:rPr>
        <w:t>Perneczky</w:t>
      </w:r>
      <w:proofErr w:type="spellEnd"/>
      <w:r w:rsidRPr="004D5943">
        <w:rPr>
          <w:rFonts w:cs="Arial"/>
          <w:color w:val="0D0D0D" w:themeColor="text1" w:themeTint="F2"/>
          <w:szCs w:val="23"/>
        </w:rPr>
        <w:t xml:space="preserve"> and </w:t>
      </w:r>
      <w:proofErr w:type="spellStart"/>
      <w:r w:rsidRPr="004D5943">
        <w:rPr>
          <w:rFonts w:cs="Arial"/>
          <w:color w:val="0D0D0D" w:themeColor="text1" w:themeTint="F2"/>
          <w:szCs w:val="23"/>
        </w:rPr>
        <w:t>Sellner</w:t>
      </w:r>
      <w:proofErr w:type="spellEnd"/>
      <w:r w:rsidRPr="004D5943">
        <w:rPr>
          <w:rFonts w:cs="Arial"/>
          <w:color w:val="0D0D0D" w:themeColor="text1" w:themeTint="F2"/>
          <w:szCs w:val="23"/>
        </w:rPr>
        <w:t>, 2021).</w:t>
      </w:r>
      <w:r w:rsidRPr="004D5943">
        <w:rPr>
          <w:rFonts w:cs="Arial"/>
          <w:color w:val="0D0D0D" w:themeColor="text1" w:themeTint="F2"/>
          <w:szCs w:val="23"/>
          <w:shd w:val="clear" w:color="auto" w:fill="FFFFFF"/>
        </w:rPr>
        <w:t xml:space="preserve"> Smoking, vitamin D deficiency, obesity and poor nutrition are the most consistently identified biological risk factors for MS (Jacobs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Das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w:t>
      </w:r>
      <w:proofErr w:type="spellStart"/>
      <w:r w:rsidRPr="004D5943">
        <w:rPr>
          <w:rFonts w:cs="Arial"/>
          <w:color w:val="0D0D0D" w:themeColor="text1" w:themeTint="F2"/>
          <w:szCs w:val="23"/>
          <w:shd w:val="clear" w:color="auto" w:fill="FFFFFF"/>
        </w:rPr>
        <w:t>Vitturi</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w:t>
      </w:r>
    </w:p>
    <w:p w14:paraId="5DED4D02" w14:textId="77777777" w:rsidR="006379C5" w:rsidRPr="004D5943" w:rsidRDefault="006379C5" w:rsidP="00237D7C">
      <w:pPr>
        <w:spacing w:line="360" w:lineRule="auto"/>
        <w:rPr>
          <w:rFonts w:cs="Arial"/>
          <w:color w:val="0D0D0D" w:themeColor="text1" w:themeTint="F2"/>
          <w:szCs w:val="23"/>
        </w:rPr>
      </w:pPr>
    </w:p>
    <w:p w14:paraId="2C632855" w14:textId="77777777" w:rsidR="00B03D8A" w:rsidRPr="004D5943" w:rsidRDefault="00B03D8A" w:rsidP="00237D7C">
      <w:pPr>
        <w:spacing w:line="360" w:lineRule="auto"/>
        <w:rPr>
          <w:rFonts w:cs="Arial"/>
          <w:color w:val="0D0D0D" w:themeColor="text1" w:themeTint="F2"/>
          <w:szCs w:val="23"/>
        </w:rPr>
      </w:pPr>
    </w:p>
    <w:p w14:paraId="267086A3" w14:textId="77777777" w:rsidR="00B03D8A" w:rsidRPr="004D5943" w:rsidRDefault="00B03D8A" w:rsidP="00237D7C">
      <w:pPr>
        <w:spacing w:line="360" w:lineRule="auto"/>
        <w:rPr>
          <w:rFonts w:cs="Arial"/>
          <w:color w:val="0D0D0D" w:themeColor="text1" w:themeTint="F2"/>
          <w:szCs w:val="23"/>
        </w:rPr>
      </w:pPr>
    </w:p>
    <w:p w14:paraId="0D6E9340" w14:textId="3E206AB0"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lastRenderedPageBreak/>
        <w:t xml:space="preserve">Epidemiology and Health Needs Assessment </w:t>
      </w:r>
    </w:p>
    <w:p w14:paraId="6613A656" w14:textId="77777777" w:rsidR="0075604D" w:rsidRPr="004D5943" w:rsidRDefault="0075604D"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MS health needs assessment indicates a pressing need for standardised diagnostic criteria and enhanced access to effective treatments to prevent patient abandonment and ensure timely, equitable care (</w:t>
      </w:r>
      <w:proofErr w:type="spellStart"/>
      <w:r w:rsidRPr="004D5943">
        <w:rPr>
          <w:rFonts w:cs="Arial"/>
          <w:color w:val="0D0D0D" w:themeColor="text1" w:themeTint="F2"/>
          <w:szCs w:val="23"/>
          <w:shd w:val="clear" w:color="auto" w:fill="FFFFFF"/>
        </w:rPr>
        <w:t>Caseby</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2022). Epidemiological surveillance uses two methods: recording diagnosed cases and identifying those overlooked. This includes confirmed MS, recurrent pre-diagnostic symptoms, diagnostic delays, and hidden disabilities not captured by standard assessments (</w:t>
      </w:r>
      <w:proofErr w:type="spellStart"/>
      <w:r w:rsidRPr="004D5943">
        <w:rPr>
          <w:rFonts w:cs="Arial"/>
          <w:color w:val="0D0D0D" w:themeColor="text1" w:themeTint="F2"/>
          <w:szCs w:val="23"/>
          <w:shd w:val="clear" w:color="auto" w:fill="FFFFFF"/>
        </w:rPr>
        <w:t>Portaccio</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Tank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2026).</w:t>
      </w:r>
    </w:p>
    <w:p w14:paraId="1AE111E7" w14:textId="77777777" w:rsidR="0075604D" w:rsidRPr="004D5943" w:rsidRDefault="0075604D" w:rsidP="00237D7C">
      <w:pPr>
        <w:spacing w:line="360" w:lineRule="auto"/>
        <w:rPr>
          <w:rFonts w:cs="Arial"/>
          <w:b/>
          <w:bCs/>
          <w:color w:val="0D0D0D" w:themeColor="text1" w:themeTint="F2"/>
          <w:szCs w:val="23"/>
        </w:rPr>
      </w:pPr>
    </w:p>
    <w:p w14:paraId="77AA5D75" w14:textId="48143E76"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 xml:space="preserve">Monitoring and surveillance. </w:t>
      </w:r>
    </w:p>
    <w:p w14:paraId="5DD05C7F" w14:textId="77777777"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rPr>
        <w:t xml:space="preserve">Coordinated care models allow MS specialist nurses to detect early symptoms, relapses, and health challenges through regular patient contact, enabling timely intervention and preventing unnecessary deterioration (Nice, 2022). A study by Allen </w:t>
      </w:r>
      <w:r w:rsidRPr="004D5943">
        <w:rPr>
          <w:rFonts w:cs="Arial"/>
          <w:i/>
          <w:iCs/>
          <w:color w:val="0D0D0D" w:themeColor="text1" w:themeTint="F2"/>
          <w:szCs w:val="23"/>
        </w:rPr>
        <w:t>et al.</w:t>
      </w:r>
      <w:r w:rsidRPr="004D5943">
        <w:rPr>
          <w:rFonts w:cs="Arial"/>
          <w:color w:val="0D0D0D" w:themeColor="text1" w:themeTint="F2"/>
          <w:szCs w:val="23"/>
        </w:rPr>
        <w:t xml:space="preserve"> (2022) revealed that routine monitoring accounted for 45% of MRI scans among 2,567 MS patients in the UK. MS monitoring in the UK involves administrative oversight, clinical observation, and service evaluation, however data indicate that inequitable access, inadequate staffing, and limited capacity hinder the effective execution of recommended standards like annual MRIs and active surveillance (Rashid </w:t>
      </w:r>
      <w:r w:rsidRPr="004D5943">
        <w:rPr>
          <w:rFonts w:cs="Arial"/>
          <w:i/>
          <w:iCs/>
          <w:color w:val="0D0D0D" w:themeColor="text1" w:themeTint="F2"/>
          <w:szCs w:val="23"/>
        </w:rPr>
        <w:t>et al.,</w:t>
      </w:r>
      <w:r w:rsidRPr="004D5943">
        <w:rPr>
          <w:rFonts w:cs="Arial"/>
          <w:color w:val="0D0D0D" w:themeColor="text1" w:themeTint="F2"/>
          <w:szCs w:val="23"/>
        </w:rPr>
        <w:t xml:space="preserve"> 2025).</w:t>
      </w:r>
    </w:p>
    <w:p w14:paraId="1D794BE1" w14:textId="77777777" w:rsidR="0075604D" w:rsidRPr="004D5943" w:rsidRDefault="0075604D" w:rsidP="00237D7C">
      <w:pPr>
        <w:spacing w:line="360" w:lineRule="auto"/>
        <w:rPr>
          <w:rFonts w:cs="Arial"/>
          <w:color w:val="0D0D0D" w:themeColor="text1" w:themeTint="F2"/>
          <w:szCs w:val="23"/>
        </w:rPr>
      </w:pPr>
    </w:p>
    <w:p w14:paraId="0876C33A" w14:textId="4707CB69"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Prevention</w:t>
      </w:r>
    </w:p>
    <w:p w14:paraId="4F2C4BCE" w14:textId="77777777" w:rsidR="0075604D" w:rsidRPr="004D5943" w:rsidRDefault="0075604D" w:rsidP="00237D7C">
      <w:pPr>
        <w:spacing w:line="360" w:lineRule="auto"/>
        <w:rPr>
          <w:rFonts w:cs="Arial"/>
          <w:b/>
          <w:bCs/>
          <w:color w:val="0D0D0D" w:themeColor="text1" w:themeTint="F2"/>
          <w:szCs w:val="23"/>
        </w:rPr>
      </w:pPr>
      <w:r w:rsidRPr="00513C4A">
        <w:rPr>
          <w:rFonts w:cs="Arial"/>
          <w:color w:val="0D0D0D" w:themeColor="text1" w:themeTint="F2"/>
          <w:szCs w:val="23"/>
        </w:rPr>
        <w:t>The "Balance Right in MS (</w:t>
      </w:r>
      <w:proofErr w:type="spellStart"/>
      <w:r w:rsidRPr="00513C4A">
        <w:rPr>
          <w:rFonts w:cs="Arial"/>
          <w:color w:val="0D0D0D" w:themeColor="text1" w:themeTint="F2"/>
          <w:szCs w:val="23"/>
        </w:rPr>
        <w:t>BRiMS</w:t>
      </w:r>
      <w:proofErr w:type="spellEnd"/>
      <w:r w:rsidRPr="00513C4A">
        <w:rPr>
          <w:rFonts w:cs="Arial"/>
          <w:color w:val="0D0D0D" w:themeColor="text1" w:themeTint="F2"/>
          <w:szCs w:val="23"/>
        </w:rPr>
        <w:t xml:space="preserve">)" is one of the prevention methods utilised in UK, it is a 13-week intervention, exercise and education programme that is based on home and group settings (Gunn </w:t>
      </w:r>
      <w:r w:rsidRPr="00513C4A">
        <w:rPr>
          <w:rFonts w:cs="Arial"/>
          <w:i/>
          <w:iCs/>
          <w:color w:val="0D0D0D" w:themeColor="text1" w:themeTint="F2"/>
          <w:szCs w:val="23"/>
        </w:rPr>
        <w:t>et al.,</w:t>
      </w:r>
      <w:r w:rsidRPr="00513C4A">
        <w:rPr>
          <w:rFonts w:cs="Arial"/>
          <w:color w:val="0D0D0D" w:themeColor="text1" w:themeTint="F2"/>
          <w:szCs w:val="23"/>
        </w:rPr>
        <w:t xml:space="preserve"> 2021). </w:t>
      </w:r>
      <w:proofErr w:type="spellStart"/>
      <w:proofErr w:type="gramStart"/>
      <w:r w:rsidRPr="00513C4A">
        <w:rPr>
          <w:rFonts w:cs="Arial"/>
          <w:color w:val="0D0D0D" w:themeColor="text1" w:themeTint="F2"/>
          <w:szCs w:val="23"/>
        </w:rPr>
        <w:t>BRiMS</w:t>
      </w:r>
      <w:proofErr w:type="spellEnd"/>
      <w:proofErr w:type="gramEnd"/>
      <w:r w:rsidRPr="00513C4A">
        <w:rPr>
          <w:rFonts w:cs="Arial"/>
          <w:color w:val="0D0D0D" w:themeColor="text1" w:themeTint="F2"/>
          <w:szCs w:val="23"/>
        </w:rPr>
        <w:t xml:space="preserve"> objective is to enhance balance and reduce the risk of falling.</w:t>
      </w:r>
      <w:r w:rsidRPr="00513C4A">
        <w:rPr>
          <w:rFonts w:eastAsia="Times New Roman" w:cs="Arial"/>
          <w:color w:val="0D0D0D" w:themeColor="text1" w:themeTint="F2"/>
          <w:szCs w:val="23"/>
        </w:rPr>
        <w:t> </w:t>
      </w:r>
      <w:r w:rsidRPr="004D5943">
        <w:rPr>
          <w:rFonts w:cs="Arial"/>
          <w:color w:val="0D0D0D" w:themeColor="text1" w:themeTint="F2"/>
          <w:szCs w:val="23"/>
        </w:rPr>
        <w:t xml:space="preserve">While </w:t>
      </w:r>
      <w:proofErr w:type="spellStart"/>
      <w:r w:rsidRPr="004D5943">
        <w:rPr>
          <w:rFonts w:cs="Arial"/>
          <w:color w:val="0D0D0D" w:themeColor="text1" w:themeTint="F2"/>
          <w:szCs w:val="23"/>
        </w:rPr>
        <w:t>BRiMS</w:t>
      </w:r>
      <w:proofErr w:type="spellEnd"/>
      <w:r w:rsidRPr="004D5943">
        <w:rPr>
          <w:rFonts w:cs="Arial"/>
          <w:color w:val="0D0D0D" w:themeColor="text1" w:themeTint="F2"/>
          <w:szCs w:val="23"/>
        </w:rPr>
        <w:t xml:space="preserve"> show potentials Gunn </w:t>
      </w:r>
      <w:r w:rsidRPr="004D5943">
        <w:rPr>
          <w:rFonts w:cs="Arial"/>
          <w:i/>
          <w:iCs/>
          <w:color w:val="0D0D0D" w:themeColor="text1" w:themeTint="F2"/>
          <w:szCs w:val="23"/>
        </w:rPr>
        <w:t>et al.</w:t>
      </w:r>
      <w:r w:rsidRPr="004D5943">
        <w:rPr>
          <w:rFonts w:cs="Arial"/>
          <w:color w:val="0D0D0D" w:themeColor="text1" w:themeTint="F2"/>
          <w:szCs w:val="23"/>
        </w:rPr>
        <w:t xml:space="preserve"> (2021), prevention should not be construed solely as lifestyle recommendations, the prevention of MS progression relies on equal diagnostic timeliness and access to high-efficacy treatments (Das </w:t>
      </w:r>
      <w:r w:rsidRPr="004D5943">
        <w:rPr>
          <w:rFonts w:cs="Arial"/>
          <w:i/>
          <w:iCs/>
          <w:color w:val="0D0D0D" w:themeColor="text1" w:themeTint="F2"/>
          <w:szCs w:val="23"/>
        </w:rPr>
        <w:t>et al.,</w:t>
      </w:r>
      <w:r w:rsidRPr="004D5943">
        <w:rPr>
          <w:rFonts w:cs="Arial"/>
          <w:color w:val="0D0D0D" w:themeColor="text1" w:themeTint="F2"/>
          <w:szCs w:val="23"/>
        </w:rPr>
        <w:t xml:space="preserve"> 2024).</w:t>
      </w:r>
    </w:p>
    <w:p w14:paraId="7164FF77" w14:textId="77777777" w:rsidR="0075604D" w:rsidRPr="004D5943" w:rsidRDefault="0075604D" w:rsidP="00237D7C">
      <w:pPr>
        <w:spacing w:line="360" w:lineRule="auto"/>
        <w:rPr>
          <w:rFonts w:cs="Arial"/>
          <w:color w:val="0D0D0D" w:themeColor="text1" w:themeTint="F2"/>
          <w:szCs w:val="23"/>
        </w:rPr>
      </w:pPr>
    </w:p>
    <w:p w14:paraId="60A3C155" w14:textId="6FAF0976"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Protection</w:t>
      </w:r>
    </w:p>
    <w:p w14:paraId="053CCF12" w14:textId="6C65EF7C" w:rsidR="0075604D" w:rsidRPr="004D5943" w:rsidRDefault="0075604D" w:rsidP="00237D7C">
      <w:pPr>
        <w:spacing w:line="360" w:lineRule="auto"/>
        <w:rPr>
          <w:rFonts w:cs="Arial"/>
          <w:color w:val="0D0D0D" w:themeColor="text1" w:themeTint="F2"/>
          <w:szCs w:val="23"/>
        </w:rPr>
      </w:pPr>
      <w:r w:rsidRPr="00513C4A">
        <w:rPr>
          <w:rFonts w:cs="Arial"/>
          <w:color w:val="0D0D0D" w:themeColor="text1" w:themeTint="F2"/>
          <w:szCs w:val="23"/>
        </w:rPr>
        <w:t xml:space="preserve">Moderate fatty fish consumption and likely </w:t>
      </w:r>
      <w:proofErr w:type="spellStart"/>
      <w:r w:rsidR="005D79AC" w:rsidRPr="004D5943">
        <w:rPr>
          <w:rFonts w:cs="Arial"/>
          <w:color w:val="0D0D0D" w:themeColor="text1" w:themeTint="F2"/>
          <w:szCs w:val="23"/>
        </w:rPr>
        <w:t>m</w:t>
      </w:r>
      <w:r w:rsidRPr="00513C4A">
        <w:rPr>
          <w:rFonts w:cs="Arial"/>
          <w:color w:val="0D0D0D" w:themeColor="text1" w:themeTint="F2"/>
          <w:szCs w:val="23"/>
        </w:rPr>
        <w:t>editerranean</w:t>
      </w:r>
      <w:proofErr w:type="spellEnd"/>
      <w:r w:rsidRPr="00513C4A">
        <w:rPr>
          <w:rFonts w:cs="Arial"/>
          <w:color w:val="0D0D0D" w:themeColor="text1" w:themeTint="F2"/>
          <w:szCs w:val="23"/>
        </w:rPr>
        <w:t xml:space="preserve"> diet adherence may protect against MS onset, with indirect effects on progression (</w:t>
      </w:r>
      <w:proofErr w:type="spellStart"/>
      <w:r w:rsidRPr="00513C4A">
        <w:rPr>
          <w:rFonts w:cs="Arial"/>
          <w:color w:val="0D0D0D" w:themeColor="text1" w:themeTint="F2"/>
          <w:szCs w:val="23"/>
        </w:rPr>
        <w:t>Barbero-Mazzucca</w:t>
      </w:r>
      <w:proofErr w:type="spellEnd"/>
      <w:r w:rsidRPr="00513C4A">
        <w:rPr>
          <w:rFonts w:cs="Arial"/>
          <w:color w:val="0D0D0D" w:themeColor="text1" w:themeTint="F2"/>
          <w:szCs w:val="23"/>
        </w:rPr>
        <w:t xml:space="preserve"> </w:t>
      </w:r>
      <w:r w:rsidRPr="00513C4A">
        <w:rPr>
          <w:rFonts w:cs="Arial"/>
          <w:i/>
          <w:iCs/>
          <w:color w:val="0D0D0D" w:themeColor="text1" w:themeTint="F2"/>
          <w:szCs w:val="23"/>
        </w:rPr>
        <w:t>et al.,</w:t>
      </w:r>
      <w:r w:rsidRPr="00513C4A">
        <w:rPr>
          <w:rFonts w:cs="Arial"/>
          <w:color w:val="0D0D0D" w:themeColor="text1" w:themeTint="F2"/>
          <w:szCs w:val="23"/>
        </w:rPr>
        <w:t xml:space="preserve"> 2024). Nevertheless, there is a lack of comprehensive evidence about protective factors influencing the development of multiple sclerosis, highlighting the necessity for additional targeted research (</w:t>
      </w:r>
      <w:proofErr w:type="spellStart"/>
      <w:r w:rsidRPr="00513C4A">
        <w:rPr>
          <w:rFonts w:cs="Arial"/>
          <w:color w:val="0D0D0D" w:themeColor="text1" w:themeTint="F2"/>
          <w:szCs w:val="23"/>
        </w:rPr>
        <w:t>Barbero-Mazzucca</w:t>
      </w:r>
      <w:proofErr w:type="spellEnd"/>
      <w:r w:rsidRPr="00513C4A">
        <w:rPr>
          <w:rFonts w:cs="Arial"/>
          <w:color w:val="0D0D0D" w:themeColor="text1" w:themeTint="F2"/>
          <w:szCs w:val="23"/>
        </w:rPr>
        <w:t xml:space="preserve"> </w:t>
      </w:r>
      <w:r w:rsidRPr="00513C4A">
        <w:rPr>
          <w:rFonts w:cs="Arial"/>
          <w:i/>
          <w:iCs/>
          <w:color w:val="0D0D0D" w:themeColor="text1" w:themeTint="F2"/>
          <w:szCs w:val="23"/>
        </w:rPr>
        <w:t>et al.,</w:t>
      </w:r>
      <w:r w:rsidRPr="00513C4A">
        <w:rPr>
          <w:rFonts w:cs="Arial"/>
          <w:color w:val="0D0D0D" w:themeColor="text1" w:themeTint="F2"/>
          <w:szCs w:val="23"/>
        </w:rPr>
        <w:t xml:space="preserve"> 2024).</w:t>
      </w:r>
      <w:r w:rsidRPr="00513C4A">
        <w:rPr>
          <w:rFonts w:eastAsia="Times New Roman" w:cs="Arial"/>
          <w:color w:val="0D0D0D" w:themeColor="text1" w:themeTint="F2"/>
          <w:szCs w:val="23"/>
        </w:rPr>
        <w:t> </w:t>
      </w:r>
      <w:r w:rsidRPr="004D5943">
        <w:rPr>
          <w:rFonts w:cs="Arial"/>
          <w:color w:val="0D0D0D" w:themeColor="text1" w:themeTint="F2"/>
          <w:szCs w:val="23"/>
        </w:rPr>
        <w:t xml:space="preserve">Das </w:t>
      </w:r>
      <w:r w:rsidRPr="004D5943">
        <w:rPr>
          <w:rFonts w:cs="Arial"/>
          <w:i/>
          <w:iCs/>
          <w:color w:val="0D0D0D" w:themeColor="text1" w:themeTint="F2"/>
          <w:szCs w:val="23"/>
        </w:rPr>
        <w:t>et al.</w:t>
      </w:r>
      <w:r w:rsidRPr="004D5943">
        <w:rPr>
          <w:rFonts w:cs="Arial"/>
          <w:color w:val="0D0D0D" w:themeColor="text1" w:themeTint="F2"/>
          <w:szCs w:val="23"/>
        </w:rPr>
        <w:t xml:space="preserve"> (2024) found that persons from disadvantaged regions and non-White ethnic groups experience inequity, as they </w:t>
      </w:r>
      <w:r w:rsidRPr="004D5943">
        <w:rPr>
          <w:rFonts w:cs="Arial"/>
          <w:color w:val="0D0D0D" w:themeColor="text1" w:themeTint="F2"/>
          <w:szCs w:val="23"/>
        </w:rPr>
        <w:lastRenderedPageBreak/>
        <w:t>are less likely to receive or initiate disease-modifying medicine. For this reason, protection needs active tracking of all MS diagnoses, missed diagnoses, treatment offers, uptake, along with expert review.</w:t>
      </w:r>
    </w:p>
    <w:p w14:paraId="08E09C51" w14:textId="77777777" w:rsidR="0075604D" w:rsidRPr="004D5943" w:rsidRDefault="0075604D" w:rsidP="00237D7C">
      <w:pPr>
        <w:spacing w:line="360" w:lineRule="auto"/>
        <w:rPr>
          <w:rFonts w:cs="Arial"/>
          <w:b/>
          <w:bCs/>
          <w:color w:val="0D0D0D" w:themeColor="text1" w:themeTint="F2"/>
          <w:szCs w:val="23"/>
        </w:rPr>
      </w:pPr>
    </w:p>
    <w:p w14:paraId="513AD834" w14:textId="5E40E869"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Promotion</w:t>
      </w:r>
    </w:p>
    <w:p w14:paraId="59852199" w14:textId="77777777" w:rsidR="0075604D" w:rsidRPr="004D5943" w:rsidRDefault="0075604D" w:rsidP="00237D7C">
      <w:pPr>
        <w:spacing w:line="360" w:lineRule="auto"/>
        <w:rPr>
          <w:rFonts w:cs="Arial"/>
          <w:color w:val="0D0D0D" w:themeColor="text1" w:themeTint="F2"/>
          <w:szCs w:val="23"/>
        </w:rPr>
      </w:pPr>
      <w:r w:rsidRPr="00513C4A">
        <w:rPr>
          <w:rFonts w:cs="Arial"/>
          <w:color w:val="0D0D0D" w:themeColor="text1" w:themeTint="F2"/>
          <w:szCs w:val="23"/>
        </w:rPr>
        <w:t>One method to advocate for</w:t>
      </w:r>
      <w:r w:rsidRPr="004D5943">
        <w:rPr>
          <w:rFonts w:cs="Arial"/>
          <w:color w:val="0D0D0D" w:themeColor="text1" w:themeTint="F2"/>
          <w:szCs w:val="23"/>
        </w:rPr>
        <w:t xml:space="preserve"> people with</w:t>
      </w:r>
      <w:r w:rsidRPr="00513C4A">
        <w:rPr>
          <w:rFonts w:cs="Arial"/>
          <w:color w:val="0D0D0D" w:themeColor="text1" w:themeTint="F2"/>
          <w:szCs w:val="23"/>
        </w:rPr>
        <w:t xml:space="preserve"> MS is by adhering to "the British Society of Rehabilitation Medicine definition of vocational rehabilitation" which is a process whereby individuals impacted by an illness or disability receive assistance in accessing, maintaining, or returning to employment (</w:t>
      </w:r>
      <w:proofErr w:type="spellStart"/>
      <w:r w:rsidRPr="00513C4A">
        <w:rPr>
          <w:rFonts w:cs="Arial"/>
          <w:color w:val="0D0D0D" w:themeColor="text1" w:themeTint="F2"/>
          <w:szCs w:val="23"/>
        </w:rPr>
        <w:t>DeDios</w:t>
      </w:r>
      <w:proofErr w:type="spellEnd"/>
      <w:r w:rsidRPr="00513C4A">
        <w:rPr>
          <w:rFonts w:cs="Arial"/>
          <w:color w:val="0D0D0D" w:themeColor="text1" w:themeTint="F2"/>
          <w:szCs w:val="23"/>
        </w:rPr>
        <w:t xml:space="preserve">-Perez </w:t>
      </w:r>
      <w:r w:rsidRPr="00513C4A">
        <w:rPr>
          <w:rFonts w:cs="Arial"/>
          <w:i/>
          <w:iCs/>
          <w:color w:val="0D0D0D" w:themeColor="text1" w:themeTint="F2"/>
          <w:szCs w:val="23"/>
        </w:rPr>
        <w:t>et al.,</w:t>
      </w:r>
      <w:r w:rsidRPr="00513C4A">
        <w:rPr>
          <w:rFonts w:cs="Arial"/>
          <w:color w:val="0D0D0D" w:themeColor="text1" w:themeTint="F2"/>
          <w:szCs w:val="23"/>
        </w:rPr>
        <w:t xml:space="preserve"> 2024).</w:t>
      </w:r>
      <w:r w:rsidRPr="00513C4A">
        <w:rPr>
          <w:rFonts w:eastAsia="Times New Roman" w:cs="Arial"/>
          <w:color w:val="0D0D0D" w:themeColor="text1" w:themeTint="F2"/>
          <w:szCs w:val="23"/>
        </w:rPr>
        <w:t> </w:t>
      </w:r>
      <w:r w:rsidRPr="004D5943">
        <w:rPr>
          <w:rFonts w:cs="Arial"/>
          <w:color w:val="0D0D0D" w:themeColor="text1" w:themeTint="F2"/>
          <w:szCs w:val="23"/>
        </w:rPr>
        <w:t xml:space="preserve"> </w:t>
      </w:r>
    </w:p>
    <w:p w14:paraId="6366DB33" w14:textId="77777777" w:rsidR="0075604D" w:rsidRPr="004D5943" w:rsidRDefault="0075604D" w:rsidP="00237D7C">
      <w:pPr>
        <w:spacing w:line="360" w:lineRule="auto"/>
        <w:rPr>
          <w:rFonts w:cs="Arial"/>
          <w:b/>
          <w:bCs/>
          <w:color w:val="0D0D0D" w:themeColor="text1" w:themeTint="F2"/>
          <w:szCs w:val="23"/>
        </w:rPr>
      </w:pPr>
    </w:p>
    <w:p w14:paraId="5CBA406E" w14:textId="49546E1B" w:rsidR="0075604D" w:rsidRPr="004D5943" w:rsidRDefault="00572DE7" w:rsidP="00237D7C">
      <w:pPr>
        <w:spacing w:line="360" w:lineRule="auto"/>
        <w:rPr>
          <w:rFonts w:cs="Arial"/>
          <w:b/>
          <w:bCs/>
          <w:color w:val="0D0D0D" w:themeColor="text1" w:themeTint="F2"/>
          <w:szCs w:val="23"/>
        </w:rPr>
      </w:pPr>
      <w:r w:rsidRPr="004D5943">
        <w:rPr>
          <w:rFonts w:cs="Arial"/>
          <w:b/>
          <w:bCs/>
          <w:color w:val="0D0D0D" w:themeColor="text1" w:themeTint="F2"/>
          <w:szCs w:val="23"/>
        </w:rPr>
        <w:t>E</w:t>
      </w:r>
      <w:r w:rsidR="0075604D" w:rsidRPr="004D5943">
        <w:rPr>
          <w:rFonts w:cs="Arial"/>
          <w:b/>
          <w:bCs/>
          <w:color w:val="0D0D0D" w:themeColor="text1" w:themeTint="F2"/>
          <w:szCs w:val="23"/>
        </w:rPr>
        <w:t>pidemiology</w:t>
      </w:r>
      <w:r w:rsidRPr="004D5943">
        <w:rPr>
          <w:rFonts w:cs="Arial"/>
          <w:b/>
          <w:bCs/>
          <w:color w:val="0D0D0D" w:themeColor="text1" w:themeTint="F2"/>
          <w:szCs w:val="23"/>
        </w:rPr>
        <w:t xml:space="preserve">: </w:t>
      </w:r>
      <w:r w:rsidR="00E93A10" w:rsidRPr="004D5943">
        <w:rPr>
          <w:rFonts w:cs="Arial"/>
          <w:b/>
          <w:bCs/>
          <w:color w:val="0D0D0D" w:themeColor="text1" w:themeTint="F2"/>
          <w:szCs w:val="23"/>
        </w:rPr>
        <w:t>p</w:t>
      </w:r>
      <w:r w:rsidRPr="004D5943">
        <w:rPr>
          <w:rFonts w:cs="Arial"/>
          <w:b/>
          <w:bCs/>
          <w:color w:val="0D0D0D" w:themeColor="text1" w:themeTint="F2"/>
          <w:szCs w:val="23"/>
        </w:rPr>
        <w:t>lanning</w:t>
      </w:r>
      <w:r w:rsidR="0075604D" w:rsidRPr="004D5943">
        <w:rPr>
          <w:rFonts w:cs="Arial"/>
          <w:b/>
          <w:bCs/>
          <w:color w:val="0D0D0D" w:themeColor="text1" w:themeTint="F2"/>
          <w:szCs w:val="23"/>
        </w:rPr>
        <w:t xml:space="preserve"> to determine public health impact and consequences.</w:t>
      </w:r>
    </w:p>
    <w:p w14:paraId="7046AF6C" w14:textId="756289FD" w:rsidR="0075604D" w:rsidRPr="004D5943" w:rsidRDefault="0075604D"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In the UK, multiple sclerosis management involves either an escalation strategy, beginning with moderate therapy, or an early intensive approach with higher-efficacy therapy (Rashid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 Treatment choices are based on a multi-disciplinary team review using the NEDA-3 framework, which assesses disability progression, relapses, and MRI activity (Rashid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 Elevated mortality rates among MS patients in affluent countries, including UK, Canada, and Sweden </w:t>
      </w:r>
      <w:r w:rsidR="001844D8" w:rsidRPr="004D5943">
        <w:rPr>
          <w:rFonts w:cs="Arial"/>
          <w:color w:val="0D0D0D" w:themeColor="text1" w:themeTint="F2"/>
          <w:szCs w:val="23"/>
          <w:shd w:val="clear" w:color="auto" w:fill="FFFFFF"/>
        </w:rPr>
        <w:t>indicate</w:t>
      </w:r>
      <w:r w:rsidR="00852684" w:rsidRPr="004D5943">
        <w:rPr>
          <w:rFonts w:cs="Arial"/>
          <w:color w:val="0D0D0D" w:themeColor="text1" w:themeTint="F2"/>
          <w:szCs w:val="23"/>
          <w:shd w:val="clear" w:color="auto" w:fill="FFFFFF"/>
        </w:rPr>
        <w:t xml:space="preserve"> to be</w:t>
      </w:r>
      <w:r w:rsidRPr="004D5943">
        <w:rPr>
          <w:rFonts w:cs="Arial"/>
          <w:color w:val="0D0D0D" w:themeColor="text1" w:themeTint="F2"/>
          <w:szCs w:val="23"/>
          <w:shd w:val="clear" w:color="auto" w:fill="FFFFFF"/>
        </w:rPr>
        <w:t xml:space="preserve"> influenced by regional factors (Khan and Hashim, 2025). Drivers of mortality in MS patients are linked to factors like disease severity, comorbidities, sex disparities, and treatment impacts (Zhao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 Autologous hematopoietic stem cell transplantation has shown effectiveness in stabilizing neurological damage in relapsing-remitting MS, though there are associated mortality risks (</w:t>
      </w:r>
      <w:proofErr w:type="spellStart"/>
      <w:r w:rsidRPr="004D5943">
        <w:rPr>
          <w:rFonts w:cs="Arial"/>
          <w:color w:val="0D0D0D" w:themeColor="text1" w:themeTint="F2"/>
          <w:szCs w:val="23"/>
          <w:shd w:val="clear" w:color="auto" w:fill="FFFFFF"/>
        </w:rPr>
        <w:t>Muraro</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2026). Most patients with MS live into senior age but have a reduced life expectancy (MS Society, 2025).</w:t>
      </w:r>
    </w:p>
    <w:p w14:paraId="62C4BEEA" w14:textId="77777777" w:rsidR="0075604D" w:rsidRPr="004D5943" w:rsidRDefault="0075604D" w:rsidP="00237D7C">
      <w:pPr>
        <w:spacing w:line="360" w:lineRule="auto"/>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Delayed diagnosis and treatment of MS lead to increased risk of inflammatory brain activities and impaired daily functioning due to falls, fatigue, and cognitive impairment (Gunn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2021; Tank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2026). Over time, multiple sclerosis results in cumulative disability, decreased work capacity, and increased need for social care (</w:t>
      </w:r>
      <w:proofErr w:type="spellStart"/>
      <w:r w:rsidRPr="004D5943">
        <w:rPr>
          <w:rFonts w:cs="Arial"/>
          <w:color w:val="0D0D0D" w:themeColor="text1" w:themeTint="F2"/>
          <w:szCs w:val="23"/>
          <w:shd w:val="clear" w:color="auto" w:fill="FFFFFF"/>
        </w:rPr>
        <w:t>DeDios</w:t>
      </w:r>
      <w:proofErr w:type="spellEnd"/>
      <w:r w:rsidRPr="004D5943">
        <w:rPr>
          <w:rFonts w:cs="Arial"/>
          <w:color w:val="0D0D0D" w:themeColor="text1" w:themeTint="F2"/>
          <w:szCs w:val="23"/>
          <w:shd w:val="clear" w:color="auto" w:fill="FFFFFF"/>
        </w:rPr>
        <w:t xml:space="preserve">-Perez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w:t>
      </w:r>
    </w:p>
    <w:p w14:paraId="30DCFA70" w14:textId="77777777" w:rsidR="0075604D" w:rsidRPr="004D5943" w:rsidRDefault="0075604D" w:rsidP="00237D7C">
      <w:pPr>
        <w:spacing w:line="360" w:lineRule="auto"/>
        <w:rPr>
          <w:rFonts w:cs="Arial"/>
          <w:color w:val="0D0D0D" w:themeColor="text1" w:themeTint="F2"/>
          <w:szCs w:val="23"/>
          <w:shd w:val="clear" w:color="auto" w:fill="FFFFFF"/>
        </w:rPr>
      </w:pPr>
    </w:p>
    <w:p w14:paraId="6339CE41" w14:textId="23C48C89"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Proposed intervention programme and evaluation</w:t>
      </w:r>
    </w:p>
    <w:p w14:paraId="3BAA91CB" w14:textId="2E86913F"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rPr>
        <w:t xml:space="preserve">For East London, an MS Equity Pathway would include quick triage, early MRI, multidisciplinary care, expert MS nurses on call, prompt diagnostics, </w:t>
      </w:r>
      <w:r w:rsidRPr="00513C4A">
        <w:rPr>
          <w:rFonts w:cs="Arial"/>
          <w:color w:val="0D0D0D" w:themeColor="text1" w:themeTint="F2"/>
          <w:szCs w:val="23"/>
        </w:rPr>
        <w:t>patient-reported quality-of-life scores</w:t>
      </w:r>
      <w:r w:rsidRPr="004D5943">
        <w:rPr>
          <w:rFonts w:cs="Arial"/>
          <w:color w:val="0D0D0D" w:themeColor="text1" w:themeTint="F2"/>
          <w:szCs w:val="23"/>
        </w:rPr>
        <w:t xml:space="preserve">, culturally sensitive and fair counselling, and prompt treatment. Deprivation, race, and sex should be considered when measuring diagnostic delays, </w:t>
      </w:r>
      <w:r w:rsidRPr="004D5943">
        <w:rPr>
          <w:rFonts w:cs="Arial"/>
          <w:color w:val="0D0D0D" w:themeColor="text1" w:themeTint="F2"/>
          <w:szCs w:val="23"/>
        </w:rPr>
        <w:lastRenderedPageBreak/>
        <w:t xml:space="preserve">treatment access, MRI completion, and work retention </w:t>
      </w:r>
      <w:r w:rsidRPr="00513C4A">
        <w:rPr>
          <w:rFonts w:cs="Arial"/>
          <w:color w:val="0D0D0D" w:themeColor="text1" w:themeTint="F2"/>
          <w:szCs w:val="23"/>
        </w:rPr>
        <w:t>(</w:t>
      </w:r>
      <w:r w:rsidRPr="004D5943">
        <w:rPr>
          <w:rFonts w:cs="Arial"/>
          <w:color w:val="0D0D0D" w:themeColor="text1" w:themeTint="F2"/>
          <w:szCs w:val="23"/>
        </w:rPr>
        <w:t xml:space="preserve">Das </w:t>
      </w:r>
      <w:r w:rsidRPr="00513C4A">
        <w:rPr>
          <w:rFonts w:cs="Arial"/>
          <w:i/>
          <w:iCs/>
          <w:color w:val="0D0D0D" w:themeColor="text1" w:themeTint="F2"/>
          <w:szCs w:val="23"/>
        </w:rPr>
        <w:t>et al.,</w:t>
      </w:r>
      <w:r w:rsidRPr="00513C4A">
        <w:rPr>
          <w:rFonts w:cs="Arial"/>
          <w:color w:val="0D0D0D" w:themeColor="text1" w:themeTint="F2"/>
          <w:szCs w:val="23"/>
        </w:rPr>
        <w:t xml:space="preserve"> 2024; </w:t>
      </w:r>
      <w:proofErr w:type="spellStart"/>
      <w:r w:rsidRPr="00513C4A">
        <w:rPr>
          <w:rFonts w:cs="Arial"/>
          <w:color w:val="0D0D0D" w:themeColor="text1" w:themeTint="F2"/>
          <w:szCs w:val="23"/>
        </w:rPr>
        <w:t>DeDios</w:t>
      </w:r>
      <w:proofErr w:type="spellEnd"/>
      <w:r w:rsidRPr="00513C4A">
        <w:rPr>
          <w:rFonts w:cs="Arial"/>
          <w:color w:val="0D0D0D" w:themeColor="text1" w:themeTint="F2"/>
          <w:szCs w:val="23"/>
        </w:rPr>
        <w:t xml:space="preserve">-Perez </w:t>
      </w:r>
      <w:r w:rsidRPr="00513C4A">
        <w:rPr>
          <w:rFonts w:cs="Arial"/>
          <w:i/>
          <w:iCs/>
          <w:color w:val="0D0D0D" w:themeColor="text1" w:themeTint="F2"/>
          <w:szCs w:val="23"/>
        </w:rPr>
        <w:t>et al.,</w:t>
      </w:r>
      <w:r w:rsidRPr="00513C4A">
        <w:rPr>
          <w:rFonts w:cs="Arial"/>
          <w:color w:val="0D0D0D" w:themeColor="text1" w:themeTint="F2"/>
          <w:szCs w:val="23"/>
        </w:rPr>
        <w:t xml:space="preserve"> 202</w:t>
      </w:r>
      <w:r w:rsidR="007A1797" w:rsidRPr="004D5943">
        <w:rPr>
          <w:rFonts w:cs="Arial"/>
          <w:color w:val="0D0D0D" w:themeColor="text1" w:themeTint="F2"/>
          <w:szCs w:val="23"/>
        </w:rPr>
        <w:t>4</w:t>
      </w:r>
      <w:r w:rsidRPr="004D5943">
        <w:rPr>
          <w:rFonts w:cs="Arial"/>
          <w:color w:val="0D0D0D" w:themeColor="text1" w:themeTint="F2"/>
          <w:szCs w:val="23"/>
        </w:rPr>
        <w:t xml:space="preserve">; </w:t>
      </w:r>
      <w:r w:rsidRPr="00513C4A">
        <w:rPr>
          <w:rFonts w:cs="Arial"/>
          <w:color w:val="0D0D0D" w:themeColor="text1" w:themeTint="F2"/>
          <w:szCs w:val="23"/>
        </w:rPr>
        <w:t xml:space="preserve">Tank </w:t>
      </w:r>
      <w:r w:rsidRPr="00513C4A">
        <w:rPr>
          <w:rFonts w:cs="Arial"/>
          <w:i/>
          <w:iCs/>
          <w:color w:val="0D0D0D" w:themeColor="text1" w:themeTint="F2"/>
          <w:szCs w:val="23"/>
        </w:rPr>
        <w:t>et al.,</w:t>
      </w:r>
      <w:r w:rsidRPr="00513C4A">
        <w:rPr>
          <w:rFonts w:cs="Arial"/>
          <w:color w:val="0D0D0D" w:themeColor="text1" w:themeTint="F2"/>
          <w:szCs w:val="23"/>
        </w:rPr>
        <w:t xml:space="preserve"> 202</w:t>
      </w:r>
      <w:r w:rsidRPr="004D5943">
        <w:rPr>
          <w:rFonts w:cs="Arial"/>
          <w:color w:val="0D0D0D" w:themeColor="text1" w:themeTint="F2"/>
          <w:szCs w:val="23"/>
        </w:rPr>
        <w:t>6).</w:t>
      </w:r>
    </w:p>
    <w:p w14:paraId="19A7EE18" w14:textId="77777777" w:rsidR="0075604D" w:rsidRPr="004D5943" w:rsidRDefault="0075604D" w:rsidP="00237D7C">
      <w:pPr>
        <w:spacing w:line="360" w:lineRule="auto"/>
        <w:rPr>
          <w:rFonts w:cs="Arial"/>
          <w:color w:val="0D0D0D" w:themeColor="text1" w:themeTint="F2"/>
          <w:szCs w:val="23"/>
        </w:rPr>
      </w:pPr>
    </w:p>
    <w:p w14:paraId="0C33F136" w14:textId="6A2E4706"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Strengths and weaknesses of the epidemiological approach</w:t>
      </w:r>
    </w:p>
    <w:p w14:paraId="3FB95C5D" w14:textId="290376E5"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shd w:val="clear" w:color="auto" w:fill="FFFFFF"/>
        </w:rPr>
        <w:t xml:space="preserve">Epidemiological approaches yield essential population-level evidence for discerning MS disparities across demographic and geographic strata, hence facilitating evidence-based policy formulation and equitable resource distribution </w:t>
      </w:r>
      <w:r w:rsidRPr="004D5943">
        <w:rPr>
          <w:rFonts w:cs="Arial"/>
          <w:color w:val="0D0D0D" w:themeColor="text1" w:themeTint="F2"/>
          <w:szCs w:val="23"/>
        </w:rPr>
        <w:t>(Nice, 2022)</w:t>
      </w:r>
      <w:r w:rsidRPr="004D5943">
        <w:rPr>
          <w:rFonts w:cs="Arial"/>
          <w:color w:val="0D0D0D" w:themeColor="text1" w:themeTint="F2"/>
          <w:szCs w:val="23"/>
          <w:shd w:val="clear" w:color="auto" w:fill="FFFFFF"/>
        </w:rPr>
        <w:t xml:space="preserve">. However, significant limitations endure dependence on diagnosed cases consistently under-represents the actual burden of MS, especially within ethnic minority communities facing diagnostic delays </w:t>
      </w:r>
      <w:r w:rsidRPr="004D5943">
        <w:rPr>
          <w:rFonts w:cs="Arial"/>
          <w:color w:val="0D0D0D" w:themeColor="text1" w:themeTint="F2"/>
          <w:szCs w:val="23"/>
        </w:rPr>
        <w:t xml:space="preserve">(Jacobs </w:t>
      </w:r>
      <w:r w:rsidRPr="004D5943">
        <w:rPr>
          <w:rFonts w:cs="Arial"/>
          <w:i/>
          <w:iCs/>
          <w:color w:val="0D0D0D" w:themeColor="text1" w:themeTint="F2"/>
          <w:szCs w:val="23"/>
        </w:rPr>
        <w:t>et al.,</w:t>
      </w:r>
      <w:r w:rsidRPr="004D5943">
        <w:rPr>
          <w:rFonts w:cs="Arial"/>
          <w:color w:val="0D0D0D" w:themeColor="text1" w:themeTint="F2"/>
          <w:szCs w:val="23"/>
        </w:rPr>
        <w:t xml:space="preserve"> 2024; Tank </w:t>
      </w:r>
      <w:r w:rsidRPr="004D5943">
        <w:rPr>
          <w:rFonts w:cs="Arial"/>
          <w:i/>
          <w:iCs/>
          <w:color w:val="0D0D0D" w:themeColor="text1" w:themeTint="F2"/>
          <w:szCs w:val="23"/>
        </w:rPr>
        <w:t>et al.,</w:t>
      </w:r>
      <w:r w:rsidRPr="004D5943">
        <w:rPr>
          <w:rFonts w:cs="Arial"/>
          <w:color w:val="0D0D0D" w:themeColor="text1" w:themeTint="F2"/>
          <w:szCs w:val="23"/>
        </w:rPr>
        <w:t xml:space="preserve"> 202</w:t>
      </w:r>
      <w:r w:rsidR="00935BC0" w:rsidRPr="004D5943">
        <w:rPr>
          <w:rFonts w:cs="Arial"/>
          <w:color w:val="0D0D0D" w:themeColor="text1" w:themeTint="F2"/>
          <w:szCs w:val="23"/>
        </w:rPr>
        <w:t>6</w:t>
      </w:r>
      <w:r w:rsidRPr="004D5943">
        <w:rPr>
          <w:rFonts w:cs="Arial"/>
          <w:color w:val="0D0D0D" w:themeColor="text1" w:themeTint="F2"/>
          <w:szCs w:val="23"/>
        </w:rPr>
        <w:t>).</w:t>
      </w:r>
      <w:r w:rsidRPr="004D5943">
        <w:rPr>
          <w:rFonts w:cs="Arial"/>
          <w:b/>
          <w:bCs/>
          <w:color w:val="0D0D0D" w:themeColor="text1" w:themeTint="F2"/>
          <w:szCs w:val="23"/>
        </w:rPr>
        <w:t xml:space="preserve"> </w:t>
      </w:r>
      <w:r w:rsidRPr="004D5943">
        <w:rPr>
          <w:rFonts w:cs="Arial"/>
          <w:color w:val="0D0D0D" w:themeColor="text1" w:themeTint="F2"/>
          <w:szCs w:val="23"/>
        </w:rPr>
        <w:t>Databases don't collect enough complex social variables, and diagnostic criteria that are specific to each area which make it hard to compare data (</w:t>
      </w:r>
      <w:proofErr w:type="spellStart"/>
      <w:r w:rsidRPr="004D5943">
        <w:rPr>
          <w:rFonts w:cs="Arial"/>
          <w:color w:val="0D0D0D" w:themeColor="text1" w:themeTint="F2"/>
          <w:szCs w:val="23"/>
        </w:rPr>
        <w:t>Kapica-Topczewska</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202</w:t>
      </w:r>
      <w:r w:rsidR="00AB579D" w:rsidRPr="004D5943">
        <w:rPr>
          <w:rFonts w:cs="Arial"/>
          <w:color w:val="0D0D0D" w:themeColor="text1" w:themeTint="F2"/>
          <w:szCs w:val="23"/>
        </w:rPr>
        <w:t>5</w:t>
      </w:r>
      <w:r w:rsidRPr="004D5943">
        <w:rPr>
          <w:rFonts w:cs="Arial"/>
          <w:color w:val="0D0D0D" w:themeColor="text1" w:themeTint="F2"/>
          <w:szCs w:val="23"/>
        </w:rPr>
        <w:t>). Data gaps make health disparities worse by making disadvantaged individuals with MS more invisible (</w:t>
      </w:r>
      <w:proofErr w:type="spellStart"/>
      <w:r w:rsidRPr="004D5943">
        <w:rPr>
          <w:rFonts w:cs="Arial"/>
          <w:color w:val="0D0D0D" w:themeColor="text1" w:themeTint="F2"/>
          <w:szCs w:val="23"/>
        </w:rPr>
        <w:t>Albor</w:t>
      </w:r>
      <w:proofErr w:type="spellEnd"/>
      <w:r w:rsidRPr="004D5943">
        <w:rPr>
          <w:rFonts w:cs="Arial"/>
          <w:color w:val="0D0D0D" w:themeColor="text1" w:themeTint="F2"/>
          <w:szCs w:val="23"/>
        </w:rPr>
        <w:t xml:space="preserve"> </w:t>
      </w:r>
      <w:r w:rsidRPr="004D5943">
        <w:rPr>
          <w:rFonts w:cs="Arial"/>
          <w:i/>
          <w:iCs/>
          <w:color w:val="0D0D0D" w:themeColor="text1" w:themeTint="F2"/>
          <w:szCs w:val="23"/>
        </w:rPr>
        <w:t>et al.,</w:t>
      </w:r>
      <w:r w:rsidRPr="004D5943">
        <w:rPr>
          <w:rFonts w:cs="Arial"/>
          <w:color w:val="0D0D0D" w:themeColor="text1" w:themeTint="F2"/>
          <w:szCs w:val="23"/>
        </w:rPr>
        <w:t xml:space="preserve"> 2017).</w:t>
      </w:r>
    </w:p>
    <w:p w14:paraId="45193B05" w14:textId="77777777" w:rsidR="0075604D" w:rsidRPr="004D5943" w:rsidRDefault="0075604D" w:rsidP="00237D7C">
      <w:pPr>
        <w:spacing w:line="360" w:lineRule="auto"/>
        <w:rPr>
          <w:rFonts w:cs="Arial"/>
          <w:b/>
          <w:bCs/>
          <w:color w:val="0D0D0D" w:themeColor="text1" w:themeTint="F2"/>
          <w:szCs w:val="23"/>
        </w:rPr>
      </w:pPr>
    </w:p>
    <w:p w14:paraId="59648FA0" w14:textId="7730E134" w:rsidR="0075604D" w:rsidRPr="004D5943" w:rsidRDefault="0075604D" w:rsidP="00237D7C">
      <w:pPr>
        <w:spacing w:line="360" w:lineRule="auto"/>
        <w:rPr>
          <w:rFonts w:cs="Arial"/>
          <w:b/>
          <w:bCs/>
          <w:color w:val="0D0D0D" w:themeColor="text1" w:themeTint="F2"/>
          <w:szCs w:val="23"/>
        </w:rPr>
      </w:pPr>
      <w:r w:rsidRPr="004D5943">
        <w:rPr>
          <w:rFonts w:cs="Arial"/>
          <w:b/>
          <w:bCs/>
          <w:color w:val="0D0D0D" w:themeColor="text1" w:themeTint="F2"/>
          <w:szCs w:val="23"/>
        </w:rPr>
        <w:t>Conclusion</w:t>
      </w:r>
    </w:p>
    <w:p w14:paraId="01E6D667" w14:textId="65D0C758" w:rsidR="0075604D" w:rsidRPr="004D5943" w:rsidRDefault="0075604D" w:rsidP="00237D7C">
      <w:pPr>
        <w:spacing w:line="360" w:lineRule="auto"/>
        <w:rPr>
          <w:rFonts w:cs="Arial"/>
          <w:color w:val="0D0D0D" w:themeColor="text1" w:themeTint="F2"/>
          <w:szCs w:val="23"/>
        </w:rPr>
      </w:pPr>
      <w:r w:rsidRPr="004D5943">
        <w:rPr>
          <w:rFonts w:cs="Arial"/>
          <w:color w:val="0D0D0D" w:themeColor="text1" w:themeTint="F2"/>
          <w:szCs w:val="23"/>
          <w:shd w:val="clear" w:color="auto" w:fill="FFFFFF"/>
        </w:rPr>
        <w:t xml:space="preserve">MS combines biological susceptibility with structural inequalities, especially </w:t>
      </w:r>
      <w:r w:rsidR="00E225B5" w:rsidRPr="004D5943">
        <w:rPr>
          <w:rFonts w:cs="Arial"/>
          <w:color w:val="0D0D0D" w:themeColor="text1" w:themeTint="F2"/>
          <w:szCs w:val="23"/>
          <w:shd w:val="clear" w:color="auto" w:fill="FFFFFF"/>
        </w:rPr>
        <w:t xml:space="preserve">among </w:t>
      </w:r>
      <w:r w:rsidR="00A55577" w:rsidRPr="004D5943">
        <w:rPr>
          <w:rFonts w:cs="Arial"/>
          <w:color w:val="0D0D0D" w:themeColor="text1" w:themeTint="F2"/>
          <w:szCs w:val="23"/>
          <w:shd w:val="clear" w:color="auto" w:fill="FFFFFF"/>
        </w:rPr>
        <w:t xml:space="preserve">ethnic minority </w:t>
      </w:r>
      <w:r w:rsidR="008A46E7" w:rsidRPr="004D5943">
        <w:rPr>
          <w:rFonts w:cs="Arial"/>
          <w:color w:val="0D0D0D" w:themeColor="text1" w:themeTint="F2"/>
          <w:szCs w:val="23"/>
          <w:shd w:val="clear" w:color="auto" w:fill="FFFFFF"/>
        </w:rPr>
        <w:t>group</w:t>
      </w:r>
      <w:r w:rsidR="004B34D9" w:rsidRPr="004D5943">
        <w:rPr>
          <w:rFonts w:cs="Arial"/>
          <w:color w:val="0D0D0D" w:themeColor="text1" w:themeTint="F2"/>
          <w:szCs w:val="23"/>
          <w:shd w:val="clear" w:color="auto" w:fill="FFFFFF"/>
        </w:rPr>
        <w:t xml:space="preserve">s </w:t>
      </w:r>
      <w:r w:rsidR="000C2D83" w:rsidRPr="004D5943">
        <w:rPr>
          <w:rFonts w:cs="Arial"/>
          <w:color w:val="0D0D0D" w:themeColor="text1" w:themeTint="F2"/>
          <w:szCs w:val="23"/>
          <w:shd w:val="clear" w:color="auto" w:fill="FFFFFF"/>
        </w:rPr>
        <w:t xml:space="preserve">due to lack of </w:t>
      </w:r>
      <w:r w:rsidRPr="004D5943">
        <w:rPr>
          <w:rFonts w:cs="Arial"/>
          <w:color w:val="0D0D0D" w:themeColor="text1" w:themeTint="F2"/>
          <w:szCs w:val="23"/>
          <w:shd w:val="clear" w:color="auto" w:fill="FFFFFF"/>
        </w:rPr>
        <w:t xml:space="preserve">healthcare access </w:t>
      </w:r>
      <w:r w:rsidR="009E5B5E" w:rsidRPr="004D5943">
        <w:rPr>
          <w:rFonts w:cs="Arial"/>
          <w:color w:val="0D0D0D" w:themeColor="text1" w:themeTint="F2"/>
          <w:szCs w:val="23"/>
          <w:shd w:val="clear" w:color="auto" w:fill="FFFFFF"/>
        </w:rPr>
        <w:t xml:space="preserve">which </w:t>
      </w:r>
      <w:r w:rsidRPr="004D5943">
        <w:rPr>
          <w:rFonts w:cs="Arial"/>
          <w:color w:val="0D0D0D" w:themeColor="text1" w:themeTint="F2"/>
          <w:szCs w:val="23"/>
          <w:shd w:val="clear" w:color="auto" w:fill="FFFFFF"/>
        </w:rPr>
        <w:t xml:space="preserve">affects MS outcomes (Jacobs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Das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Scotland's </w:t>
      </w:r>
      <w:r w:rsidR="005312B8" w:rsidRPr="004D5943">
        <w:rPr>
          <w:rFonts w:cs="Arial"/>
          <w:color w:val="0D0D0D" w:themeColor="text1" w:themeTint="F2"/>
          <w:szCs w:val="23"/>
          <w:shd w:val="clear" w:color="auto" w:fill="FFFFFF"/>
        </w:rPr>
        <w:t>MS</w:t>
      </w:r>
      <w:r w:rsidR="00FA31F8" w:rsidRPr="004D5943">
        <w:rPr>
          <w:rFonts w:cs="Arial"/>
          <w:color w:val="0D0D0D" w:themeColor="text1" w:themeTint="F2"/>
          <w:szCs w:val="23"/>
          <w:shd w:val="clear" w:color="auto" w:fill="FFFFFF"/>
        </w:rPr>
        <w:t xml:space="preserve"> rate</w:t>
      </w:r>
      <w:r w:rsidR="005312B8" w:rsidRPr="004D5943">
        <w:rPr>
          <w:rFonts w:cs="Arial"/>
          <w:color w:val="0D0D0D" w:themeColor="text1" w:themeTint="F2"/>
          <w:szCs w:val="23"/>
          <w:shd w:val="clear" w:color="auto" w:fill="FFFFFF"/>
        </w:rPr>
        <w:t xml:space="preserve"> </w:t>
      </w:r>
      <w:r w:rsidR="00FA31F8" w:rsidRPr="004D5943">
        <w:rPr>
          <w:rFonts w:cs="Arial"/>
          <w:color w:val="0D0D0D" w:themeColor="text1" w:themeTint="F2"/>
          <w:szCs w:val="23"/>
          <w:shd w:val="clear" w:color="auto" w:fill="FFFFFF"/>
        </w:rPr>
        <w:t xml:space="preserve">is </w:t>
      </w:r>
      <w:r w:rsidRPr="004D5943">
        <w:rPr>
          <w:rFonts w:cs="Arial"/>
          <w:color w:val="0D0D0D" w:themeColor="text1" w:themeTint="F2"/>
          <w:szCs w:val="23"/>
          <w:shd w:val="clear" w:color="auto" w:fill="FFFFFF"/>
        </w:rPr>
        <w:t xml:space="preserve">eighty-fold higher than Africa due to </w:t>
      </w:r>
      <w:r w:rsidR="00F82D22" w:rsidRPr="004D5943">
        <w:rPr>
          <w:rFonts w:cs="Arial"/>
          <w:color w:val="0D0D0D" w:themeColor="text1" w:themeTint="F2"/>
          <w:szCs w:val="23"/>
          <w:shd w:val="clear" w:color="auto" w:fill="FFFFFF"/>
        </w:rPr>
        <w:t xml:space="preserve">better </w:t>
      </w:r>
      <w:r w:rsidRPr="004D5943">
        <w:rPr>
          <w:rFonts w:cs="Arial"/>
          <w:color w:val="0D0D0D" w:themeColor="text1" w:themeTint="F2"/>
          <w:szCs w:val="23"/>
          <w:shd w:val="clear" w:color="auto" w:fill="FFFFFF"/>
        </w:rPr>
        <w:t xml:space="preserve">diagnostic </w:t>
      </w:r>
      <w:r w:rsidR="00286B8A" w:rsidRPr="004D5943">
        <w:rPr>
          <w:rFonts w:cs="Arial"/>
          <w:color w:val="0D0D0D" w:themeColor="text1" w:themeTint="F2"/>
          <w:szCs w:val="23"/>
          <w:shd w:val="clear" w:color="auto" w:fill="FFFFFF"/>
        </w:rPr>
        <w:t>availabilities (</w:t>
      </w:r>
      <w:proofErr w:type="spellStart"/>
      <w:r w:rsidRPr="004D5943">
        <w:rPr>
          <w:rFonts w:cs="Arial"/>
          <w:color w:val="0D0D0D" w:themeColor="text1" w:themeTint="F2"/>
          <w:szCs w:val="23"/>
          <w:shd w:val="clear" w:color="auto" w:fill="FFFFFF"/>
        </w:rPr>
        <w:t>Kapica-Topczewska</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w:t>
      </w:r>
      <w:r w:rsidR="003143DC" w:rsidRPr="004D5943">
        <w:rPr>
          <w:rFonts w:cs="Arial"/>
          <w:color w:val="0D0D0D" w:themeColor="text1" w:themeTint="F2"/>
          <w:szCs w:val="23"/>
          <w:shd w:val="clear" w:color="auto" w:fill="FFFFFF"/>
        </w:rPr>
        <w:t xml:space="preserve"> </w:t>
      </w:r>
      <w:r w:rsidRPr="004D5943">
        <w:rPr>
          <w:rFonts w:cs="Arial"/>
          <w:color w:val="0D0D0D" w:themeColor="text1" w:themeTint="F2"/>
          <w:szCs w:val="23"/>
          <w:shd w:val="clear" w:color="auto" w:fill="FFFFFF"/>
        </w:rPr>
        <w:t>Ethnic minorities in East London face diagnostic delays and unequal treatment access (</w:t>
      </w:r>
      <w:proofErr w:type="spellStart"/>
      <w:r w:rsidRPr="004D5943">
        <w:rPr>
          <w:rFonts w:cs="Arial"/>
          <w:color w:val="0D0D0D" w:themeColor="text1" w:themeTint="F2"/>
          <w:szCs w:val="23"/>
          <w:shd w:val="clear" w:color="auto" w:fill="FFFFFF"/>
        </w:rPr>
        <w:t>Albor</w:t>
      </w:r>
      <w:proofErr w:type="spellEnd"/>
      <w:r w:rsidRPr="004D5943">
        <w:rPr>
          <w:rFonts w:cs="Arial"/>
          <w:color w:val="0D0D0D" w:themeColor="text1" w:themeTint="F2"/>
          <w:szCs w:val="23"/>
          <w:shd w:val="clear" w:color="auto" w:fill="FFFFFF"/>
        </w:rPr>
        <w:t xml:space="preserve">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2017). Equitable, multidisciplinary mental health support, vocational rehabilitation, and culturally competent care are needed (Li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2022; </w:t>
      </w:r>
      <w:proofErr w:type="spellStart"/>
      <w:r w:rsidRPr="004D5943">
        <w:rPr>
          <w:rFonts w:cs="Arial"/>
          <w:color w:val="0D0D0D" w:themeColor="text1" w:themeTint="F2"/>
          <w:szCs w:val="23"/>
          <w:shd w:val="clear" w:color="auto" w:fill="FFFFFF"/>
        </w:rPr>
        <w:t>DeDios</w:t>
      </w:r>
      <w:proofErr w:type="spellEnd"/>
      <w:r w:rsidRPr="004D5943">
        <w:rPr>
          <w:rFonts w:cs="Arial"/>
          <w:color w:val="0D0D0D" w:themeColor="text1" w:themeTint="F2"/>
          <w:szCs w:val="23"/>
          <w:shd w:val="clear" w:color="auto" w:fill="FFFFFF"/>
        </w:rPr>
        <w:t xml:space="preserve">-Perez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2024). Standardised surveillance, early intensive treatment, and stratified outcome measurement address systemic inadequacies within the MS </w:t>
      </w:r>
      <w:r w:rsidR="009D2157" w:rsidRPr="004D5943">
        <w:rPr>
          <w:rFonts w:cs="Arial"/>
          <w:color w:val="0D0D0D" w:themeColor="text1" w:themeTint="F2"/>
          <w:szCs w:val="23"/>
          <w:shd w:val="clear" w:color="auto" w:fill="FFFFFF"/>
        </w:rPr>
        <w:t>e</w:t>
      </w:r>
      <w:r w:rsidRPr="004D5943">
        <w:rPr>
          <w:rFonts w:cs="Arial"/>
          <w:color w:val="0D0D0D" w:themeColor="text1" w:themeTint="F2"/>
          <w:szCs w:val="23"/>
          <w:shd w:val="clear" w:color="auto" w:fill="FFFFFF"/>
        </w:rPr>
        <w:t xml:space="preserve">quity </w:t>
      </w:r>
      <w:r w:rsidR="009D2157" w:rsidRPr="004D5943">
        <w:rPr>
          <w:rFonts w:cs="Arial"/>
          <w:color w:val="0D0D0D" w:themeColor="text1" w:themeTint="F2"/>
          <w:szCs w:val="23"/>
          <w:shd w:val="clear" w:color="auto" w:fill="FFFFFF"/>
        </w:rPr>
        <w:t>p</w:t>
      </w:r>
      <w:r w:rsidRPr="004D5943">
        <w:rPr>
          <w:rFonts w:cs="Arial"/>
          <w:color w:val="0D0D0D" w:themeColor="text1" w:themeTint="F2"/>
          <w:szCs w:val="23"/>
          <w:shd w:val="clear" w:color="auto" w:fill="FFFFFF"/>
        </w:rPr>
        <w:t xml:space="preserve">athway (Rashid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2025; Tank </w:t>
      </w:r>
      <w:r w:rsidRPr="004D5943">
        <w:rPr>
          <w:rFonts w:cs="Arial"/>
          <w:i/>
          <w:iCs/>
          <w:color w:val="0D0D0D" w:themeColor="text1" w:themeTint="F2"/>
          <w:szCs w:val="23"/>
          <w:shd w:val="clear" w:color="auto" w:fill="FFFFFF"/>
        </w:rPr>
        <w:t>et al.,</w:t>
      </w:r>
      <w:r w:rsidRPr="004D5943">
        <w:rPr>
          <w:rFonts w:cs="Arial"/>
          <w:color w:val="0D0D0D" w:themeColor="text1" w:themeTint="F2"/>
          <w:szCs w:val="23"/>
          <w:shd w:val="clear" w:color="auto" w:fill="FFFFFF"/>
        </w:rPr>
        <w:t xml:space="preserve"> 2026). MS health disparities will persist without systemic change (Khan and Hashim, 2025). </w:t>
      </w:r>
    </w:p>
    <w:p w14:paraId="48D7DAD5" w14:textId="77777777" w:rsidR="00A57786" w:rsidRPr="004D5943" w:rsidRDefault="00A57786" w:rsidP="00237D7C">
      <w:pPr>
        <w:spacing w:line="360" w:lineRule="auto"/>
        <w:rPr>
          <w:rFonts w:cs="Arial"/>
          <w:color w:val="0D0D0D" w:themeColor="text1" w:themeTint="F2"/>
          <w:szCs w:val="23"/>
          <w:shd w:val="clear" w:color="auto" w:fill="FFFFFF"/>
        </w:rPr>
      </w:pPr>
    </w:p>
    <w:p w14:paraId="23901609" w14:textId="77777777" w:rsidR="006B4102" w:rsidRPr="004D5943" w:rsidRDefault="006B4102" w:rsidP="00237D7C">
      <w:pPr>
        <w:spacing w:line="360" w:lineRule="auto"/>
        <w:rPr>
          <w:rFonts w:cs="Arial"/>
          <w:color w:val="0D0D0D" w:themeColor="text1" w:themeTint="F2"/>
          <w:szCs w:val="23"/>
          <w:shd w:val="clear" w:color="auto" w:fill="FFFFFF"/>
        </w:rPr>
      </w:pPr>
    </w:p>
    <w:p w14:paraId="3E2593A2" w14:textId="77777777" w:rsidR="006B4102" w:rsidRPr="004D5943" w:rsidRDefault="006B4102" w:rsidP="00EE56E8">
      <w:pPr>
        <w:spacing w:line="360" w:lineRule="auto"/>
        <w:rPr>
          <w:rFonts w:cs="Arial"/>
          <w:color w:val="0D0D0D" w:themeColor="text1" w:themeTint="F2"/>
          <w:szCs w:val="23"/>
          <w:shd w:val="clear" w:color="auto" w:fill="FFFFFF"/>
        </w:rPr>
      </w:pPr>
    </w:p>
    <w:p w14:paraId="2FC1CA9B" w14:textId="77777777" w:rsidR="006B4102" w:rsidRPr="004D5943" w:rsidRDefault="006B4102" w:rsidP="00EE56E8">
      <w:pPr>
        <w:spacing w:line="360" w:lineRule="auto"/>
        <w:rPr>
          <w:rFonts w:cs="Arial"/>
          <w:color w:val="0D0D0D" w:themeColor="text1" w:themeTint="F2"/>
          <w:szCs w:val="23"/>
          <w:shd w:val="clear" w:color="auto" w:fill="FFFFFF"/>
        </w:rPr>
      </w:pPr>
    </w:p>
    <w:p w14:paraId="158FAE19" w14:textId="77777777" w:rsidR="006B4102" w:rsidRPr="004D5943" w:rsidRDefault="006B4102" w:rsidP="00EE56E8">
      <w:pPr>
        <w:spacing w:line="360" w:lineRule="auto"/>
        <w:rPr>
          <w:rFonts w:cs="Arial"/>
          <w:color w:val="0D0D0D" w:themeColor="text1" w:themeTint="F2"/>
          <w:szCs w:val="23"/>
          <w:shd w:val="clear" w:color="auto" w:fill="FFFFFF"/>
        </w:rPr>
      </w:pPr>
    </w:p>
    <w:p w14:paraId="34952464" w14:textId="77777777" w:rsidR="006B4102" w:rsidRPr="004D5943" w:rsidRDefault="006B4102" w:rsidP="00EE56E8">
      <w:pPr>
        <w:spacing w:line="360" w:lineRule="auto"/>
        <w:rPr>
          <w:rFonts w:cs="Arial"/>
          <w:color w:val="0D0D0D" w:themeColor="text1" w:themeTint="F2"/>
          <w:szCs w:val="23"/>
          <w:shd w:val="clear" w:color="auto" w:fill="FFFFFF"/>
        </w:rPr>
      </w:pPr>
    </w:p>
    <w:p w14:paraId="529F1376" w14:textId="77777777" w:rsidR="006B4102" w:rsidRPr="004D5943" w:rsidRDefault="006B4102" w:rsidP="00EE56E8">
      <w:pPr>
        <w:spacing w:line="360" w:lineRule="auto"/>
        <w:rPr>
          <w:rFonts w:cs="Arial"/>
          <w:color w:val="0D0D0D" w:themeColor="text1" w:themeTint="F2"/>
          <w:szCs w:val="23"/>
          <w:shd w:val="clear" w:color="auto" w:fill="FFFFFF"/>
        </w:rPr>
      </w:pPr>
    </w:p>
    <w:p w14:paraId="7C4D8E0D" w14:textId="77777777" w:rsidR="006B4102" w:rsidRPr="004D5943" w:rsidRDefault="006B4102" w:rsidP="00EE56E8">
      <w:pPr>
        <w:spacing w:line="360" w:lineRule="auto"/>
        <w:rPr>
          <w:rFonts w:cs="Arial"/>
          <w:color w:val="0D0D0D" w:themeColor="text1" w:themeTint="F2"/>
          <w:szCs w:val="23"/>
          <w:shd w:val="clear" w:color="auto" w:fill="FFFFFF"/>
        </w:rPr>
      </w:pPr>
    </w:p>
    <w:p w14:paraId="5F9D9B99" w14:textId="77777777" w:rsidR="006B4102" w:rsidRPr="004D5943" w:rsidRDefault="006B4102" w:rsidP="00EE56E8">
      <w:pPr>
        <w:spacing w:line="360" w:lineRule="auto"/>
        <w:rPr>
          <w:rFonts w:cs="Arial"/>
          <w:color w:val="0D0D0D" w:themeColor="text1" w:themeTint="F2"/>
          <w:szCs w:val="23"/>
          <w:shd w:val="clear" w:color="auto" w:fill="FFFFFF"/>
        </w:rPr>
      </w:pPr>
    </w:p>
    <w:p w14:paraId="78E9E862" w14:textId="76957B06" w:rsidR="00D25DFF" w:rsidRPr="004D5943" w:rsidRDefault="00FC2C04" w:rsidP="006379C5">
      <w:pPr>
        <w:rPr>
          <w:rFonts w:cs="Arial"/>
          <w:b/>
          <w:bCs/>
          <w:color w:val="0D0D0D" w:themeColor="text1" w:themeTint="F2"/>
          <w:sz w:val="22"/>
          <w:szCs w:val="22"/>
        </w:rPr>
      </w:pPr>
      <w:r w:rsidRPr="004D5943">
        <w:rPr>
          <w:rFonts w:cs="Arial"/>
          <w:b/>
          <w:bCs/>
          <w:color w:val="0D0D0D" w:themeColor="text1" w:themeTint="F2"/>
          <w:sz w:val="22"/>
          <w:szCs w:val="22"/>
        </w:rPr>
        <w:lastRenderedPageBreak/>
        <w:t xml:space="preserve">Reference </w:t>
      </w:r>
    </w:p>
    <w:p w14:paraId="3A3D9ADC" w14:textId="77777777" w:rsidR="006379C5" w:rsidRPr="004D5943" w:rsidRDefault="006379C5" w:rsidP="006379C5">
      <w:pPr>
        <w:rPr>
          <w:rFonts w:cs="Arial"/>
          <w:b/>
          <w:bCs/>
          <w:color w:val="0D0D0D" w:themeColor="text1" w:themeTint="F2"/>
          <w:sz w:val="22"/>
          <w:szCs w:val="22"/>
        </w:rPr>
      </w:pPr>
    </w:p>
    <w:p w14:paraId="608AE9D1" w14:textId="5B5532CA"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Albor</w:t>
      </w:r>
      <w:proofErr w:type="spellEnd"/>
      <w:r w:rsidRPr="004D5943">
        <w:rPr>
          <w:rFonts w:cs="Arial"/>
          <w:color w:val="0D0D0D" w:themeColor="text1" w:themeTint="F2"/>
          <w:szCs w:val="23"/>
          <w:shd w:val="clear" w:color="auto" w:fill="FFFFFF"/>
        </w:rPr>
        <w:t>, C., du</w:t>
      </w:r>
      <w:r w:rsidR="00717E3D" w:rsidRPr="004D5943">
        <w:rPr>
          <w:rFonts w:cs="Arial"/>
          <w:color w:val="0D0D0D" w:themeColor="text1" w:themeTint="F2"/>
          <w:szCs w:val="23"/>
          <w:shd w:val="clear" w:color="auto" w:fill="FFFFFF"/>
        </w:rPr>
        <w:t>-</w:t>
      </w:r>
      <w:proofErr w:type="spellStart"/>
      <w:r w:rsidRPr="004D5943">
        <w:rPr>
          <w:rFonts w:cs="Arial"/>
          <w:color w:val="0D0D0D" w:themeColor="text1" w:themeTint="F2"/>
          <w:szCs w:val="23"/>
          <w:shd w:val="clear" w:color="auto" w:fill="FFFFFF"/>
        </w:rPr>
        <w:t>Sautoy</w:t>
      </w:r>
      <w:proofErr w:type="spellEnd"/>
      <w:r w:rsidRPr="004D5943">
        <w:rPr>
          <w:rFonts w:cs="Arial"/>
          <w:color w:val="0D0D0D" w:themeColor="text1" w:themeTint="F2"/>
          <w:szCs w:val="23"/>
          <w:shd w:val="clear" w:color="auto" w:fill="FFFFFF"/>
        </w:rPr>
        <w:t xml:space="preserve">, T., Kali </w:t>
      </w:r>
      <w:proofErr w:type="spellStart"/>
      <w:r w:rsidRPr="004D5943">
        <w:rPr>
          <w:rFonts w:cs="Arial"/>
          <w:color w:val="0D0D0D" w:themeColor="text1" w:themeTint="F2"/>
          <w:szCs w:val="23"/>
          <w:shd w:val="clear" w:color="auto" w:fill="FFFFFF"/>
        </w:rPr>
        <w:t>Vanan</w:t>
      </w:r>
      <w:proofErr w:type="spellEnd"/>
      <w:r w:rsidRPr="004D5943">
        <w:rPr>
          <w:rFonts w:cs="Arial"/>
          <w:color w:val="0D0D0D" w:themeColor="text1" w:themeTint="F2"/>
          <w:szCs w:val="23"/>
          <w:shd w:val="clear" w:color="auto" w:fill="FFFFFF"/>
        </w:rPr>
        <w:t xml:space="preserve">, N., Turner, B. P., </w:t>
      </w:r>
      <w:proofErr w:type="spellStart"/>
      <w:r w:rsidRPr="004D5943">
        <w:rPr>
          <w:rFonts w:cs="Arial"/>
          <w:color w:val="0D0D0D" w:themeColor="text1" w:themeTint="F2"/>
          <w:szCs w:val="23"/>
          <w:shd w:val="clear" w:color="auto" w:fill="FFFFFF"/>
        </w:rPr>
        <w:t>Boomla</w:t>
      </w:r>
      <w:proofErr w:type="spellEnd"/>
      <w:r w:rsidRPr="004D5943">
        <w:rPr>
          <w:rFonts w:cs="Arial"/>
          <w:color w:val="0D0D0D" w:themeColor="text1" w:themeTint="F2"/>
          <w:szCs w:val="23"/>
          <w:shd w:val="clear" w:color="auto" w:fill="FFFFFF"/>
        </w:rPr>
        <w:t xml:space="preserve">, K., and </w:t>
      </w:r>
      <w:proofErr w:type="spellStart"/>
      <w:r w:rsidRPr="004D5943">
        <w:rPr>
          <w:rFonts w:cs="Arial"/>
          <w:color w:val="0D0D0D" w:themeColor="text1" w:themeTint="F2"/>
          <w:szCs w:val="23"/>
          <w:shd w:val="clear" w:color="auto" w:fill="FFFFFF"/>
        </w:rPr>
        <w:t>Schmierer</w:t>
      </w:r>
      <w:proofErr w:type="spellEnd"/>
      <w:r w:rsidRPr="004D5943">
        <w:rPr>
          <w:rFonts w:cs="Arial"/>
          <w:color w:val="0D0D0D" w:themeColor="text1" w:themeTint="F2"/>
          <w:szCs w:val="23"/>
          <w:shd w:val="clear" w:color="auto" w:fill="FFFFFF"/>
        </w:rPr>
        <w:t>, K. (2017).</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 xml:space="preserve"> “Ethnicity and prevalence of multiple sclerosis in east London,”</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Multiple sclerosis</w:t>
      </w:r>
      <w:r w:rsidRPr="004D5943">
        <w:rPr>
          <w:rFonts w:cs="Arial"/>
          <w:color w:val="0D0D0D" w:themeColor="text1" w:themeTint="F2"/>
          <w:szCs w:val="23"/>
          <w:shd w:val="clear" w:color="auto" w:fill="FFFFFF"/>
        </w:rPr>
        <w:t>, 23(1), pp. 36–42. Available at: https://doi.org/10.1177/1352458516638746.</w:t>
      </w:r>
      <w:r w:rsidRPr="004D5943">
        <w:rPr>
          <w:rFonts w:cs="Arial"/>
          <w:color w:val="0D0D0D" w:themeColor="text1" w:themeTint="F2"/>
          <w:sz w:val="22"/>
          <w:szCs w:val="22"/>
        </w:rPr>
        <w:t xml:space="preserve"> (Accessed: 2 March 2026).</w:t>
      </w:r>
    </w:p>
    <w:p w14:paraId="4C38E1B3" w14:textId="77777777" w:rsidR="006379C5" w:rsidRPr="004D5943" w:rsidRDefault="006379C5" w:rsidP="006379C5">
      <w:pPr>
        <w:rPr>
          <w:rStyle w:val="apple-converted-space"/>
          <w:rFonts w:cs="Arial"/>
          <w:color w:val="0D0D0D" w:themeColor="text1" w:themeTint="F2"/>
          <w:szCs w:val="23"/>
          <w:shd w:val="clear" w:color="auto" w:fill="FFFFFF"/>
        </w:rPr>
      </w:pPr>
    </w:p>
    <w:p w14:paraId="3D3763A6" w14:textId="4F8E81F9"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Allen, C., Fernandes, L., Williams, T., </w:t>
      </w:r>
      <w:proofErr w:type="spellStart"/>
      <w:r w:rsidRPr="004D5943">
        <w:rPr>
          <w:rFonts w:cs="Arial"/>
          <w:color w:val="0D0D0D" w:themeColor="text1" w:themeTint="F2"/>
          <w:szCs w:val="23"/>
          <w:shd w:val="clear" w:color="auto" w:fill="FFFFFF"/>
        </w:rPr>
        <w:t>Chataway</w:t>
      </w:r>
      <w:proofErr w:type="spellEnd"/>
      <w:r w:rsidRPr="004D5943">
        <w:rPr>
          <w:rFonts w:cs="Arial"/>
          <w:color w:val="0D0D0D" w:themeColor="text1" w:themeTint="F2"/>
          <w:szCs w:val="23"/>
          <w:shd w:val="clear" w:color="auto" w:fill="FFFFFF"/>
        </w:rPr>
        <w:t xml:space="preserve">, J., </w:t>
      </w:r>
      <w:proofErr w:type="spellStart"/>
      <w:r w:rsidRPr="004D5943">
        <w:rPr>
          <w:rFonts w:cs="Arial"/>
          <w:color w:val="0D0D0D" w:themeColor="text1" w:themeTint="F2"/>
          <w:szCs w:val="23"/>
          <w:shd w:val="clear" w:color="auto" w:fill="FFFFFF"/>
        </w:rPr>
        <w:t>Evangelou</w:t>
      </w:r>
      <w:proofErr w:type="spellEnd"/>
      <w:r w:rsidRPr="004D5943">
        <w:rPr>
          <w:rFonts w:cs="Arial"/>
          <w:color w:val="0D0D0D" w:themeColor="text1" w:themeTint="F2"/>
          <w:szCs w:val="23"/>
          <w:shd w:val="clear" w:color="auto" w:fill="FFFFFF"/>
        </w:rPr>
        <w:t xml:space="preserve">, N., </w:t>
      </w:r>
      <w:proofErr w:type="spellStart"/>
      <w:r w:rsidRPr="004D5943">
        <w:rPr>
          <w:rFonts w:cs="Arial"/>
          <w:color w:val="0D0D0D" w:themeColor="text1" w:themeTint="F2"/>
          <w:szCs w:val="23"/>
          <w:shd w:val="clear" w:color="auto" w:fill="FFFFFF"/>
        </w:rPr>
        <w:t>Tallantyre</w:t>
      </w:r>
      <w:proofErr w:type="spellEnd"/>
      <w:r w:rsidRPr="004D5943">
        <w:rPr>
          <w:rFonts w:cs="Arial"/>
          <w:color w:val="0D0D0D" w:themeColor="text1" w:themeTint="F2"/>
          <w:szCs w:val="23"/>
          <w:shd w:val="clear" w:color="auto" w:fill="FFFFFF"/>
        </w:rPr>
        <w:t>, E., and Ford, H. (2022) “</w:t>
      </w:r>
      <w:r w:rsidR="00F6628E" w:rsidRPr="004D5943">
        <w:rPr>
          <w:rFonts w:cs="Arial"/>
          <w:color w:val="0D0D0D" w:themeColor="text1" w:themeTint="F2"/>
          <w:szCs w:val="23"/>
          <w:shd w:val="clear" w:color="auto" w:fill="FFFFFF"/>
        </w:rPr>
        <w:t>086 A</w:t>
      </w:r>
      <w:r w:rsidRPr="004D5943">
        <w:rPr>
          <w:rFonts w:cs="Arial"/>
          <w:color w:val="0D0D0D" w:themeColor="text1" w:themeTint="F2"/>
          <w:szCs w:val="23"/>
          <w:shd w:val="clear" w:color="auto" w:fill="FFFFFF"/>
        </w:rPr>
        <w:t xml:space="preserve"> UK multicentre audit on the use of MRI in multiple sclerosis,”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 xml:space="preserve">Journal of neurology, </w:t>
      </w:r>
      <w:proofErr w:type="gramStart"/>
      <w:r w:rsidRPr="004D5943">
        <w:rPr>
          <w:rFonts w:cs="Arial"/>
          <w:i/>
          <w:iCs/>
          <w:color w:val="0D0D0D" w:themeColor="text1" w:themeTint="F2"/>
          <w:szCs w:val="23"/>
        </w:rPr>
        <w:t>neurosurgery</w:t>
      </w:r>
      <w:proofErr w:type="gramEnd"/>
      <w:r w:rsidRPr="004D5943">
        <w:rPr>
          <w:rFonts w:cs="Arial"/>
          <w:i/>
          <w:iCs/>
          <w:color w:val="0D0D0D" w:themeColor="text1" w:themeTint="F2"/>
          <w:szCs w:val="23"/>
        </w:rPr>
        <w:t xml:space="preserve"> and psychiatry</w:t>
      </w:r>
      <w:r w:rsidRPr="004D5943">
        <w:rPr>
          <w:rFonts w:cs="Arial"/>
          <w:color w:val="0D0D0D" w:themeColor="text1" w:themeTint="F2"/>
          <w:szCs w:val="23"/>
          <w:shd w:val="clear" w:color="auto" w:fill="FFFFFF"/>
        </w:rPr>
        <w:t>, 93(6), pp. A127–A127. Available at: https://doi.org/10.1136/jnnp-2022-ABN.411.</w:t>
      </w:r>
      <w:r w:rsidRPr="004D5943">
        <w:rPr>
          <w:rFonts w:cs="Arial"/>
          <w:color w:val="0D0D0D" w:themeColor="text1" w:themeTint="F2"/>
          <w:sz w:val="22"/>
          <w:szCs w:val="22"/>
        </w:rPr>
        <w:t xml:space="preserve"> (Accessed: 12 March 2026).</w:t>
      </w:r>
    </w:p>
    <w:p w14:paraId="10F6A60F" w14:textId="77777777" w:rsidR="006379C5" w:rsidRPr="004D5943" w:rsidRDefault="006379C5" w:rsidP="006379C5">
      <w:pPr>
        <w:rPr>
          <w:rFonts w:cs="Arial"/>
          <w:color w:val="0D0D0D" w:themeColor="text1" w:themeTint="F2"/>
          <w:szCs w:val="23"/>
          <w:shd w:val="clear" w:color="auto" w:fill="FFFFFF"/>
        </w:rPr>
      </w:pPr>
    </w:p>
    <w:p w14:paraId="614D3D40" w14:textId="536DD78C"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Barbero</w:t>
      </w:r>
      <w:r w:rsidR="00CF0D17" w:rsidRPr="004D5943">
        <w:rPr>
          <w:rFonts w:cs="Arial"/>
          <w:color w:val="0D0D0D" w:themeColor="text1" w:themeTint="F2"/>
          <w:szCs w:val="23"/>
          <w:shd w:val="clear" w:color="auto" w:fill="FFFFFF"/>
        </w:rPr>
        <w:t>-</w:t>
      </w:r>
      <w:r w:rsidRPr="004D5943">
        <w:rPr>
          <w:rFonts w:cs="Arial"/>
          <w:color w:val="0D0D0D" w:themeColor="text1" w:themeTint="F2"/>
          <w:szCs w:val="23"/>
          <w:shd w:val="clear" w:color="auto" w:fill="FFFFFF"/>
        </w:rPr>
        <w:t>Mazzucca</w:t>
      </w:r>
      <w:proofErr w:type="spellEnd"/>
      <w:r w:rsidRPr="004D5943">
        <w:rPr>
          <w:rFonts w:cs="Arial"/>
          <w:color w:val="0D0D0D" w:themeColor="text1" w:themeTint="F2"/>
          <w:szCs w:val="23"/>
          <w:shd w:val="clear" w:color="auto" w:fill="FFFFFF"/>
        </w:rPr>
        <w:t xml:space="preserve">, C., Scotti, L., </w:t>
      </w:r>
      <w:proofErr w:type="spellStart"/>
      <w:r w:rsidRPr="004D5943">
        <w:rPr>
          <w:rFonts w:cs="Arial"/>
          <w:color w:val="0D0D0D" w:themeColor="text1" w:themeTint="F2"/>
          <w:szCs w:val="23"/>
          <w:shd w:val="clear" w:color="auto" w:fill="FFFFFF"/>
        </w:rPr>
        <w:t>Comi</w:t>
      </w:r>
      <w:proofErr w:type="spellEnd"/>
      <w:r w:rsidRPr="004D5943">
        <w:rPr>
          <w:rFonts w:cs="Arial"/>
          <w:color w:val="0D0D0D" w:themeColor="text1" w:themeTint="F2"/>
          <w:szCs w:val="23"/>
          <w:shd w:val="clear" w:color="auto" w:fill="FFFFFF"/>
        </w:rPr>
        <w:t xml:space="preserve">, C., Vecchio, D., </w:t>
      </w:r>
      <w:proofErr w:type="spellStart"/>
      <w:r w:rsidRPr="004D5943">
        <w:rPr>
          <w:rFonts w:cs="Arial"/>
          <w:color w:val="0D0D0D" w:themeColor="text1" w:themeTint="F2"/>
          <w:szCs w:val="23"/>
          <w:shd w:val="clear" w:color="auto" w:fill="FFFFFF"/>
        </w:rPr>
        <w:t>Chiocchetti</w:t>
      </w:r>
      <w:proofErr w:type="spellEnd"/>
      <w:r w:rsidRPr="004D5943">
        <w:rPr>
          <w:rFonts w:cs="Arial"/>
          <w:color w:val="0D0D0D" w:themeColor="text1" w:themeTint="F2"/>
          <w:szCs w:val="23"/>
          <w:shd w:val="clear" w:color="auto" w:fill="FFFFFF"/>
        </w:rPr>
        <w:t xml:space="preserve">, A., &amp; </w:t>
      </w:r>
      <w:proofErr w:type="spellStart"/>
      <w:r w:rsidRPr="004D5943">
        <w:rPr>
          <w:rFonts w:cs="Arial"/>
          <w:color w:val="0D0D0D" w:themeColor="text1" w:themeTint="F2"/>
          <w:szCs w:val="23"/>
          <w:shd w:val="clear" w:color="auto" w:fill="FFFFFF"/>
        </w:rPr>
        <w:t>Cappellano</w:t>
      </w:r>
      <w:proofErr w:type="spellEnd"/>
      <w:r w:rsidRPr="004D5943">
        <w:rPr>
          <w:rFonts w:cs="Arial"/>
          <w:color w:val="0D0D0D" w:themeColor="text1" w:themeTint="F2"/>
          <w:szCs w:val="23"/>
          <w:shd w:val="clear" w:color="auto" w:fill="FFFFFF"/>
        </w:rPr>
        <w:t>, G. (2024). “The Role of Diet in Multiple Sclerosis Onset: A Prospective Study Using UK Biobank,”</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Nutrients</w:t>
      </w:r>
      <w:r w:rsidRPr="004D5943">
        <w:rPr>
          <w:rFonts w:cs="Arial"/>
          <w:color w:val="0D0D0D" w:themeColor="text1" w:themeTint="F2"/>
          <w:szCs w:val="23"/>
          <w:shd w:val="clear" w:color="auto" w:fill="FFFFFF"/>
        </w:rPr>
        <w:t xml:space="preserve">, 16(11), p. 1746. Available at: https://doi.org/10.3390/nu16111746. </w:t>
      </w:r>
      <w:r w:rsidRPr="004D5943">
        <w:rPr>
          <w:rFonts w:cs="Arial"/>
          <w:color w:val="0D0D0D" w:themeColor="text1" w:themeTint="F2"/>
          <w:sz w:val="22"/>
          <w:szCs w:val="22"/>
        </w:rPr>
        <w:t>(Accessed: 5 March 2026).</w:t>
      </w:r>
    </w:p>
    <w:p w14:paraId="6B33BC1B" w14:textId="77777777" w:rsidR="006379C5" w:rsidRPr="004D5943" w:rsidRDefault="006379C5" w:rsidP="006379C5">
      <w:pPr>
        <w:rPr>
          <w:rFonts w:cs="Arial"/>
          <w:color w:val="0D0D0D" w:themeColor="text1" w:themeTint="F2"/>
          <w:szCs w:val="23"/>
          <w:shd w:val="clear" w:color="auto" w:fill="FFFFFF"/>
        </w:rPr>
      </w:pPr>
    </w:p>
    <w:p w14:paraId="3AC43B50"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Caseby</w:t>
      </w:r>
      <w:proofErr w:type="spellEnd"/>
      <w:r w:rsidRPr="004D5943">
        <w:rPr>
          <w:rFonts w:cs="Arial"/>
          <w:color w:val="0D0D0D" w:themeColor="text1" w:themeTint="F2"/>
          <w:szCs w:val="23"/>
          <w:shd w:val="clear" w:color="auto" w:fill="FFFFFF"/>
        </w:rPr>
        <w:t xml:space="preserve">, S. C. L., Woodhouse, F. A., Montgomery, S. M., </w:t>
      </w:r>
      <w:proofErr w:type="spellStart"/>
      <w:r w:rsidRPr="004D5943">
        <w:rPr>
          <w:rFonts w:cs="Arial"/>
          <w:color w:val="0D0D0D" w:themeColor="text1" w:themeTint="F2"/>
          <w:szCs w:val="23"/>
          <w:shd w:val="clear" w:color="auto" w:fill="FFFFFF"/>
        </w:rPr>
        <w:t>Kroes</w:t>
      </w:r>
      <w:proofErr w:type="spellEnd"/>
      <w:r w:rsidRPr="004D5943">
        <w:rPr>
          <w:rFonts w:cs="Arial"/>
          <w:color w:val="0D0D0D" w:themeColor="text1" w:themeTint="F2"/>
          <w:szCs w:val="23"/>
          <w:shd w:val="clear" w:color="auto" w:fill="FFFFFF"/>
        </w:rPr>
        <w:t>, M. A., and Duddy, M. E. (2022). “Transition to secondary progressive multiple sclerosis: The consequences for patients and healthcare systems, a healthcare professional survey,”</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Health science reports</w:t>
      </w:r>
      <w:r w:rsidRPr="004D5943">
        <w:rPr>
          <w:rFonts w:cs="Arial"/>
          <w:color w:val="0D0D0D" w:themeColor="text1" w:themeTint="F2"/>
          <w:szCs w:val="23"/>
          <w:shd w:val="clear" w:color="auto" w:fill="FFFFFF"/>
        </w:rPr>
        <w:t>, 5(1), pp. e474-n/a. Available at: https://doi.org/10.1002/hsr2.474.</w:t>
      </w:r>
      <w:r w:rsidRPr="004D5943">
        <w:rPr>
          <w:rFonts w:cs="Arial"/>
          <w:color w:val="0D0D0D" w:themeColor="text1" w:themeTint="F2"/>
          <w:sz w:val="22"/>
          <w:szCs w:val="22"/>
        </w:rPr>
        <w:t xml:space="preserve"> (Accessed: 20 March 2026).</w:t>
      </w:r>
    </w:p>
    <w:p w14:paraId="15244E4C" w14:textId="77777777" w:rsidR="006379C5" w:rsidRPr="004D5943" w:rsidRDefault="006379C5" w:rsidP="006379C5">
      <w:pPr>
        <w:rPr>
          <w:rFonts w:cs="Arial"/>
          <w:color w:val="0D0D0D" w:themeColor="text1" w:themeTint="F2"/>
          <w:szCs w:val="23"/>
          <w:shd w:val="clear" w:color="auto" w:fill="FFFFFF"/>
        </w:rPr>
      </w:pPr>
    </w:p>
    <w:p w14:paraId="2CDC721B"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Das, J., </w:t>
      </w:r>
      <w:proofErr w:type="spellStart"/>
      <w:r w:rsidRPr="004D5943">
        <w:rPr>
          <w:rFonts w:cs="Arial"/>
          <w:color w:val="0D0D0D" w:themeColor="text1" w:themeTint="F2"/>
          <w:szCs w:val="23"/>
          <w:shd w:val="clear" w:color="auto" w:fill="FFFFFF"/>
        </w:rPr>
        <w:t>Mallawaarachchi</w:t>
      </w:r>
      <w:proofErr w:type="spellEnd"/>
      <w:r w:rsidRPr="004D5943">
        <w:rPr>
          <w:rFonts w:cs="Arial"/>
          <w:color w:val="0D0D0D" w:themeColor="text1" w:themeTint="F2"/>
          <w:szCs w:val="23"/>
          <w:shd w:val="clear" w:color="auto" w:fill="FFFFFF"/>
        </w:rPr>
        <w:t xml:space="preserve">, G., Grimshaw, J., Jackson, T., Talbot, P., Sharaf, N., </w:t>
      </w:r>
      <w:proofErr w:type="spellStart"/>
      <w:r w:rsidRPr="004D5943">
        <w:rPr>
          <w:rFonts w:cs="Arial"/>
          <w:color w:val="0D0D0D" w:themeColor="text1" w:themeTint="F2"/>
          <w:szCs w:val="23"/>
          <w:shd w:val="clear" w:color="auto" w:fill="FFFFFF"/>
        </w:rPr>
        <w:t>Kalatha</w:t>
      </w:r>
      <w:proofErr w:type="spellEnd"/>
      <w:r w:rsidRPr="004D5943">
        <w:rPr>
          <w:rFonts w:cs="Arial"/>
          <w:color w:val="0D0D0D" w:themeColor="text1" w:themeTint="F2"/>
          <w:szCs w:val="23"/>
          <w:shd w:val="clear" w:color="auto" w:fill="FFFFFF"/>
        </w:rPr>
        <w:t xml:space="preserve">, T., Lord, L., Pace, A., </w:t>
      </w:r>
      <w:proofErr w:type="spellStart"/>
      <w:r w:rsidRPr="004D5943">
        <w:rPr>
          <w:rFonts w:cs="Arial"/>
          <w:color w:val="0D0D0D" w:themeColor="text1" w:themeTint="F2"/>
          <w:szCs w:val="23"/>
          <w:shd w:val="clear" w:color="auto" w:fill="FFFFFF"/>
        </w:rPr>
        <w:t>Mihalova</w:t>
      </w:r>
      <w:proofErr w:type="spellEnd"/>
      <w:r w:rsidRPr="004D5943">
        <w:rPr>
          <w:rFonts w:cs="Arial"/>
          <w:color w:val="0D0D0D" w:themeColor="text1" w:themeTint="F2"/>
          <w:szCs w:val="23"/>
          <w:shd w:val="clear" w:color="auto" w:fill="FFFFFF"/>
        </w:rPr>
        <w:t>, T., Heal, C., and Rog, D. (2024). “Ethnicity and deprivation negatively impact the access to disease-modifying therapy for relapsing-remitting multiple sclerosis: a retrospective, single-centre study,”</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 xml:space="preserve">Journal of neurology, </w:t>
      </w:r>
      <w:proofErr w:type="gramStart"/>
      <w:r w:rsidRPr="004D5943">
        <w:rPr>
          <w:rFonts w:cs="Arial"/>
          <w:i/>
          <w:iCs/>
          <w:color w:val="0D0D0D" w:themeColor="text1" w:themeTint="F2"/>
          <w:szCs w:val="23"/>
        </w:rPr>
        <w:t>neurosurgery</w:t>
      </w:r>
      <w:proofErr w:type="gramEnd"/>
      <w:r w:rsidRPr="004D5943">
        <w:rPr>
          <w:rFonts w:cs="Arial"/>
          <w:i/>
          <w:iCs/>
          <w:color w:val="0D0D0D" w:themeColor="text1" w:themeTint="F2"/>
          <w:szCs w:val="23"/>
        </w:rPr>
        <w:t xml:space="preserve"> and psychiatry</w:t>
      </w:r>
      <w:r w:rsidRPr="004D5943">
        <w:rPr>
          <w:rFonts w:cs="Arial"/>
          <w:color w:val="0D0D0D" w:themeColor="text1" w:themeTint="F2"/>
          <w:szCs w:val="23"/>
          <w:shd w:val="clear" w:color="auto" w:fill="FFFFFF"/>
        </w:rPr>
        <w:t>, 95(12), pp. 1132–1138. Available at: https://doi.org/10.1136/jnnp-2024-333338.</w:t>
      </w:r>
      <w:r w:rsidRPr="004D5943">
        <w:rPr>
          <w:rFonts w:cs="Arial"/>
          <w:color w:val="0D0D0D" w:themeColor="text1" w:themeTint="F2"/>
          <w:sz w:val="22"/>
          <w:szCs w:val="22"/>
        </w:rPr>
        <w:t xml:space="preserve"> (Accessed: 6 March 2026).</w:t>
      </w:r>
    </w:p>
    <w:p w14:paraId="20124E00" w14:textId="77777777" w:rsidR="006379C5" w:rsidRPr="004D5943" w:rsidRDefault="006379C5" w:rsidP="006379C5">
      <w:pPr>
        <w:rPr>
          <w:rFonts w:cs="Arial"/>
          <w:color w:val="0D0D0D" w:themeColor="text1" w:themeTint="F2"/>
          <w:szCs w:val="23"/>
          <w:shd w:val="clear" w:color="auto" w:fill="FFFFFF"/>
        </w:rPr>
      </w:pPr>
    </w:p>
    <w:p w14:paraId="794727D2"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DeDios</w:t>
      </w:r>
      <w:proofErr w:type="spellEnd"/>
      <w:r w:rsidRPr="004D5943">
        <w:rPr>
          <w:rFonts w:cs="Arial"/>
          <w:color w:val="0D0D0D" w:themeColor="text1" w:themeTint="F2"/>
          <w:szCs w:val="23"/>
          <w:shd w:val="clear" w:color="auto" w:fill="FFFFFF"/>
        </w:rPr>
        <w:t xml:space="preserve">-Perez, B., Booth, V., das Nair, R., </w:t>
      </w:r>
      <w:proofErr w:type="spellStart"/>
      <w:r w:rsidRPr="004D5943">
        <w:rPr>
          <w:rFonts w:cs="Arial"/>
          <w:color w:val="0D0D0D" w:themeColor="text1" w:themeTint="F2"/>
          <w:szCs w:val="23"/>
          <w:shd w:val="clear" w:color="auto" w:fill="FFFFFF"/>
        </w:rPr>
        <w:t>Evangelou</w:t>
      </w:r>
      <w:proofErr w:type="spellEnd"/>
      <w:r w:rsidRPr="004D5943">
        <w:rPr>
          <w:rFonts w:cs="Arial"/>
          <w:color w:val="0D0D0D" w:themeColor="text1" w:themeTint="F2"/>
          <w:szCs w:val="23"/>
          <w:shd w:val="clear" w:color="auto" w:fill="FFFFFF"/>
        </w:rPr>
        <w:t xml:space="preserve">, N., </w:t>
      </w:r>
      <w:proofErr w:type="spellStart"/>
      <w:r w:rsidRPr="004D5943">
        <w:rPr>
          <w:rFonts w:cs="Arial"/>
          <w:color w:val="0D0D0D" w:themeColor="text1" w:themeTint="F2"/>
          <w:szCs w:val="23"/>
          <w:shd w:val="clear" w:color="auto" w:fill="FFFFFF"/>
        </w:rPr>
        <w:t>Hassard</w:t>
      </w:r>
      <w:proofErr w:type="spellEnd"/>
      <w:r w:rsidRPr="004D5943">
        <w:rPr>
          <w:rFonts w:cs="Arial"/>
          <w:color w:val="0D0D0D" w:themeColor="text1" w:themeTint="F2"/>
          <w:szCs w:val="23"/>
          <w:shd w:val="clear" w:color="auto" w:fill="FFFFFF"/>
        </w:rPr>
        <w:t>, J., Ford, H. L., Newsome, I., &amp; Radford, K. (2024). “A qualitative study exploring how vocational rehabilitation for people with multiple sclerosis can be integrated within existing healthcare services in the United Kingdom,”</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BMC health services research</w:t>
      </w:r>
      <w:r w:rsidRPr="004D5943">
        <w:rPr>
          <w:rFonts w:cs="Arial"/>
          <w:color w:val="0D0D0D" w:themeColor="text1" w:themeTint="F2"/>
          <w:szCs w:val="23"/>
          <w:shd w:val="clear" w:color="auto" w:fill="FFFFFF"/>
        </w:rPr>
        <w:t xml:space="preserve">, 24(1). Available at: https://doi.org/10.1186/s12913-024-11424-y. </w:t>
      </w:r>
      <w:r w:rsidRPr="004D5943">
        <w:rPr>
          <w:rFonts w:cs="Arial"/>
          <w:color w:val="0D0D0D" w:themeColor="text1" w:themeTint="F2"/>
          <w:sz w:val="22"/>
          <w:szCs w:val="22"/>
        </w:rPr>
        <w:t>(Accessed: 19 March 2026).</w:t>
      </w:r>
    </w:p>
    <w:p w14:paraId="39CF8A9E" w14:textId="77777777" w:rsidR="006379C5" w:rsidRPr="004D5943" w:rsidRDefault="006379C5" w:rsidP="006379C5">
      <w:pPr>
        <w:rPr>
          <w:rFonts w:cs="Arial"/>
          <w:color w:val="0D0D0D" w:themeColor="text1" w:themeTint="F2"/>
          <w:szCs w:val="23"/>
          <w:shd w:val="clear" w:color="auto" w:fill="FFFFFF"/>
        </w:rPr>
      </w:pPr>
    </w:p>
    <w:p w14:paraId="6A059574"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Gunn, H., Stevens, K. N., </w:t>
      </w:r>
      <w:proofErr w:type="spellStart"/>
      <w:r w:rsidRPr="004D5943">
        <w:rPr>
          <w:rFonts w:cs="Arial"/>
          <w:color w:val="0D0D0D" w:themeColor="text1" w:themeTint="F2"/>
          <w:szCs w:val="23"/>
          <w:shd w:val="clear" w:color="auto" w:fill="FFFFFF"/>
        </w:rPr>
        <w:t>Creanor</w:t>
      </w:r>
      <w:proofErr w:type="spellEnd"/>
      <w:r w:rsidRPr="004D5943">
        <w:rPr>
          <w:rFonts w:cs="Arial"/>
          <w:color w:val="0D0D0D" w:themeColor="text1" w:themeTint="F2"/>
          <w:szCs w:val="23"/>
          <w:shd w:val="clear" w:color="auto" w:fill="FFFFFF"/>
        </w:rPr>
        <w:t xml:space="preserve">, S., Andrade, J., Paul, L., Miller, L., Green, C., </w:t>
      </w:r>
      <w:proofErr w:type="spellStart"/>
      <w:r w:rsidRPr="004D5943">
        <w:rPr>
          <w:rFonts w:cs="Arial"/>
          <w:color w:val="0D0D0D" w:themeColor="text1" w:themeTint="F2"/>
          <w:szCs w:val="23"/>
          <w:shd w:val="clear" w:color="auto" w:fill="FFFFFF"/>
        </w:rPr>
        <w:t>Ewings</w:t>
      </w:r>
      <w:proofErr w:type="spellEnd"/>
      <w:r w:rsidRPr="004D5943">
        <w:rPr>
          <w:rFonts w:cs="Arial"/>
          <w:color w:val="0D0D0D" w:themeColor="text1" w:themeTint="F2"/>
          <w:szCs w:val="23"/>
          <w:shd w:val="clear" w:color="auto" w:fill="FFFFFF"/>
        </w:rPr>
        <w:t xml:space="preserve">, P., Barton, A., </w:t>
      </w:r>
      <w:proofErr w:type="spellStart"/>
      <w:r w:rsidRPr="004D5943">
        <w:rPr>
          <w:rFonts w:cs="Arial"/>
          <w:color w:val="0D0D0D" w:themeColor="text1" w:themeTint="F2"/>
          <w:szCs w:val="23"/>
          <w:shd w:val="clear" w:color="auto" w:fill="FFFFFF"/>
        </w:rPr>
        <w:t>Berrow</w:t>
      </w:r>
      <w:proofErr w:type="spellEnd"/>
      <w:r w:rsidRPr="004D5943">
        <w:rPr>
          <w:rFonts w:cs="Arial"/>
          <w:color w:val="0D0D0D" w:themeColor="text1" w:themeTint="F2"/>
          <w:szCs w:val="23"/>
          <w:shd w:val="clear" w:color="auto" w:fill="FFFFFF"/>
        </w:rPr>
        <w:t xml:space="preserve">, M., Vickery, J., Marshall, B., </w:t>
      </w:r>
      <w:proofErr w:type="spellStart"/>
      <w:r w:rsidRPr="004D5943">
        <w:rPr>
          <w:rFonts w:cs="Arial"/>
          <w:color w:val="0D0D0D" w:themeColor="text1" w:themeTint="F2"/>
          <w:szCs w:val="23"/>
          <w:shd w:val="clear" w:color="auto" w:fill="FFFFFF"/>
        </w:rPr>
        <w:t>Zajicek</w:t>
      </w:r>
      <w:proofErr w:type="spellEnd"/>
      <w:r w:rsidRPr="004D5943">
        <w:rPr>
          <w:rFonts w:cs="Arial"/>
          <w:color w:val="0D0D0D" w:themeColor="text1" w:themeTint="F2"/>
          <w:szCs w:val="23"/>
          <w:shd w:val="clear" w:color="auto" w:fill="FFFFFF"/>
        </w:rPr>
        <w:t>, J., and Freeman, J. A. (2021). “Balance Right in Multiple Sclerosis (</w:t>
      </w:r>
      <w:proofErr w:type="spellStart"/>
      <w:r w:rsidRPr="004D5943">
        <w:rPr>
          <w:rFonts w:cs="Arial"/>
          <w:color w:val="0D0D0D" w:themeColor="text1" w:themeTint="F2"/>
          <w:szCs w:val="23"/>
          <w:shd w:val="clear" w:color="auto" w:fill="FFFFFF"/>
        </w:rPr>
        <w:t>BRiMS</w:t>
      </w:r>
      <w:proofErr w:type="spellEnd"/>
      <w:r w:rsidRPr="004D5943">
        <w:rPr>
          <w:rFonts w:cs="Arial"/>
          <w:color w:val="0D0D0D" w:themeColor="text1" w:themeTint="F2"/>
          <w:szCs w:val="23"/>
          <w:shd w:val="clear" w:color="auto" w:fill="FFFFFF"/>
        </w:rPr>
        <w:t>): a feasibility randomised controlled trial of a falls prevention programme,”</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Pilot and feasibility studies</w:t>
      </w:r>
      <w:r w:rsidRPr="004D5943">
        <w:rPr>
          <w:rFonts w:cs="Arial"/>
          <w:color w:val="0D0D0D" w:themeColor="text1" w:themeTint="F2"/>
          <w:szCs w:val="23"/>
          <w:shd w:val="clear" w:color="auto" w:fill="FFFFFF"/>
        </w:rPr>
        <w:t>, 7(1). Available at: https://doi.org/10.1186/s40814-020-00732-9.</w:t>
      </w:r>
      <w:r w:rsidRPr="004D5943">
        <w:rPr>
          <w:rFonts w:cs="Arial"/>
          <w:color w:val="0D0D0D" w:themeColor="text1" w:themeTint="F2"/>
          <w:sz w:val="22"/>
          <w:szCs w:val="22"/>
        </w:rPr>
        <w:t xml:space="preserve"> (Accessed: 3 March 2026).</w:t>
      </w:r>
    </w:p>
    <w:p w14:paraId="73437CF9" w14:textId="77777777" w:rsidR="006379C5" w:rsidRPr="004D5943" w:rsidRDefault="006379C5" w:rsidP="006379C5">
      <w:pPr>
        <w:rPr>
          <w:rFonts w:cs="Arial"/>
          <w:color w:val="0D0D0D" w:themeColor="text1" w:themeTint="F2"/>
          <w:szCs w:val="23"/>
          <w:shd w:val="clear" w:color="auto" w:fill="FFFFFF"/>
        </w:rPr>
      </w:pPr>
    </w:p>
    <w:p w14:paraId="7F1E43A1"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Hauer, L., </w:t>
      </w:r>
      <w:proofErr w:type="spellStart"/>
      <w:r w:rsidRPr="004D5943">
        <w:rPr>
          <w:rFonts w:cs="Arial"/>
          <w:color w:val="0D0D0D" w:themeColor="text1" w:themeTint="F2"/>
          <w:szCs w:val="23"/>
          <w:shd w:val="clear" w:color="auto" w:fill="FFFFFF"/>
        </w:rPr>
        <w:t>Perneczky</w:t>
      </w:r>
      <w:proofErr w:type="spellEnd"/>
      <w:r w:rsidRPr="004D5943">
        <w:rPr>
          <w:rFonts w:cs="Arial"/>
          <w:color w:val="0D0D0D" w:themeColor="text1" w:themeTint="F2"/>
          <w:szCs w:val="23"/>
          <w:shd w:val="clear" w:color="auto" w:fill="FFFFFF"/>
        </w:rPr>
        <w:t xml:space="preserve">, J. and </w:t>
      </w:r>
      <w:proofErr w:type="spellStart"/>
      <w:r w:rsidRPr="004D5943">
        <w:rPr>
          <w:rFonts w:cs="Arial"/>
          <w:color w:val="0D0D0D" w:themeColor="text1" w:themeTint="F2"/>
          <w:szCs w:val="23"/>
          <w:shd w:val="clear" w:color="auto" w:fill="FFFFFF"/>
        </w:rPr>
        <w:t>Sellner</w:t>
      </w:r>
      <w:proofErr w:type="spellEnd"/>
      <w:r w:rsidRPr="004D5943">
        <w:rPr>
          <w:rFonts w:cs="Arial"/>
          <w:color w:val="0D0D0D" w:themeColor="text1" w:themeTint="F2"/>
          <w:szCs w:val="23"/>
          <w:shd w:val="clear" w:color="auto" w:fill="FFFFFF"/>
        </w:rPr>
        <w:t>, J. (2021) “A global view of comorbidity in multiple sclerosis: a systematic review with a focus on regional differences, methodology, and clinical implications,”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Journal of neurology</w:t>
      </w:r>
      <w:r w:rsidRPr="004D5943">
        <w:rPr>
          <w:rFonts w:cs="Arial"/>
          <w:color w:val="0D0D0D" w:themeColor="text1" w:themeTint="F2"/>
          <w:szCs w:val="23"/>
          <w:shd w:val="clear" w:color="auto" w:fill="FFFFFF"/>
        </w:rPr>
        <w:t>, 268(11), pp. 4066–4077. Available at: https://doi.org/10.1007/s00415-020-10107-y.</w:t>
      </w:r>
      <w:r w:rsidRPr="004D5943">
        <w:rPr>
          <w:rFonts w:cs="Arial"/>
          <w:color w:val="0D0D0D" w:themeColor="text1" w:themeTint="F2"/>
          <w:sz w:val="22"/>
          <w:szCs w:val="22"/>
        </w:rPr>
        <w:t xml:space="preserve"> (Accessed: 11 March 2026).</w:t>
      </w:r>
    </w:p>
    <w:p w14:paraId="47157C56" w14:textId="77777777" w:rsidR="006379C5" w:rsidRPr="004D5943" w:rsidRDefault="006379C5" w:rsidP="006379C5">
      <w:pPr>
        <w:rPr>
          <w:rFonts w:cs="Arial"/>
          <w:color w:val="0D0D0D" w:themeColor="text1" w:themeTint="F2"/>
          <w:szCs w:val="23"/>
          <w:shd w:val="clear" w:color="auto" w:fill="FFFFFF"/>
        </w:rPr>
      </w:pPr>
    </w:p>
    <w:p w14:paraId="1E4FCB08"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Hubbard, A.L., </w:t>
      </w:r>
      <w:proofErr w:type="spellStart"/>
      <w:r w:rsidRPr="004D5943">
        <w:rPr>
          <w:rFonts w:cs="Arial"/>
          <w:color w:val="0D0D0D" w:themeColor="text1" w:themeTint="F2"/>
          <w:szCs w:val="23"/>
          <w:shd w:val="clear" w:color="auto" w:fill="FFFFFF"/>
        </w:rPr>
        <w:t>Golla</w:t>
      </w:r>
      <w:proofErr w:type="spellEnd"/>
      <w:r w:rsidRPr="004D5943">
        <w:rPr>
          <w:rFonts w:cs="Arial"/>
          <w:color w:val="0D0D0D" w:themeColor="text1" w:themeTint="F2"/>
          <w:szCs w:val="23"/>
          <w:shd w:val="clear" w:color="auto" w:fill="FFFFFF"/>
        </w:rPr>
        <w:t xml:space="preserve">, H. and </w:t>
      </w:r>
      <w:proofErr w:type="spellStart"/>
      <w:r w:rsidRPr="004D5943">
        <w:rPr>
          <w:rFonts w:cs="Arial"/>
          <w:color w:val="0D0D0D" w:themeColor="text1" w:themeTint="F2"/>
          <w:szCs w:val="23"/>
          <w:shd w:val="clear" w:color="auto" w:fill="FFFFFF"/>
        </w:rPr>
        <w:t>Lausberg</w:t>
      </w:r>
      <w:proofErr w:type="spellEnd"/>
      <w:r w:rsidRPr="004D5943">
        <w:rPr>
          <w:rFonts w:cs="Arial"/>
          <w:color w:val="0D0D0D" w:themeColor="text1" w:themeTint="F2"/>
          <w:szCs w:val="23"/>
          <w:shd w:val="clear" w:color="auto" w:fill="FFFFFF"/>
        </w:rPr>
        <w:t>, H. (2021) “What’s in a name? That which we call Multiple Sclerosis Fatigue,”</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Multiple sclerosis</w:t>
      </w:r>
      <w:r w:rsidRPr="004D5943">
        <w:rPr>
          <w:rFonts w:cs="Arial"/>
          <w:color w:val="0D0D0D" w:themeColor="text1" w:themeTint="F2"/>
          <w:szCs w:val="23"/>
          <w:shd w:val="clear" w:color="auto" w:fill="FFFFFF"/>
        </w:rPr>
        <w:t>, 27(7), pp. 983–988. Available at: https://doi.org/10.1177/1352458520941481.</w:t>
      </w:r>
      <w:r w:rsidRPr="004D5943">
        <w:rPr>
          <w:rFonts w:cs="Arial"/>
          <w:color w:val="0D0D0D" w:themeColor="text1" w:themeTint="F2"/>
          <w:sz w:val="22"/>
          <w:szCs w:val="22"/>
        </w:rPr>
        <w:t xml:space="preserve"> (Accessed: 6 March 2026).</w:t>
      </w:r>
    </w:p>
    <w:p w14:paraId="762CB8EF" w14:textId="77777777" w:rsidR="006379C5" w:rsidRPr="004D5943" w:rsidRDefault="006379C5" w:rsidP="006379C5">
      <w:pPr>
        <w:rPr>
          <w:rFonts w:cs="Arial"/>
          <w:color w:val="0D0D0D" w:themeColor="text1" w:themeTint="F2"/>
          <w:szCs w:val="23"/>
          <w:shd w:val="clear" w:color="auto" w:fill="FFFFFF"/>
        </w:rPr>
      </w:pPr>
    </w:p>
    <w:p w14:paraId="2CBFB085"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lastRenderedPageBreak/>
        <w:t xml:space="preserve">Jacobs, B. M., Schalk, L., </w:t>
      </w:r>
      <w:proofErr w:type="spellStart"/>
      <w:r w:rsidRPr="004D5943">
        <w:rPr>
          <w:rFonts w:cs="Arial"/>
          <w:color w:val="0D0D0D" w:themeColor="text1" w:themeTint="F2"/>
          <w:szCs w:val="23"/>
          <w:shd w:val="clear" w:color="auto" w:fill="FFFFFF"/>
        </w:rPr>
        <w:t>Tregaskis</w:t>
      </w:r>
      <w:proofErr w:type="spellEnd"/>
      <w:r w:rsidRPr="004D5943">
        <w:rPr>
          <w:rFonts w:cs="Arial"/>
          <w:color w:val="0D0D0D" w:themeColor="text1" w:themeTint="F2"/>
          <w:szCs w:val="23"/>
          <w:shd w:val="clear" w:color="auto" w:fill="FFFFFF"/>
        </w:rPr>
        <w:t>-Daniels, E., Tank, P., Hoque, S., Peter, M., Tuite-Dalton, K., Witts, J., Bove, R., and Dobson, R. (2024). “The relationship between ethnicity and multiple sclerosis characteristics in the United Kingdom: A UK MS Register study,”</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Multiple sclerosis</w:t>
      </w:r>
      <w:r w:rsidRPr="004D5943">
        <w:rPr>
          <w:rFonts w:cs="Arial"/>
          <w:color w:val="0D0D0D" w:themeColor="text1" w:themeTint="F2"/>
          <w:szCs w:val="23"/>
          <w:shd w:val="clear" w:color="auto" w:fill="FFFFFF"/>
        </w:rPr>
        <w:t>, 30(11–12), pp. 1544–1555. Available at: https://doi.org/10.1177/13524585241277018.</w:t>
      </w:r>
      <w:r w:rsidRPr="004D5943">
        <w:rPr>
          <w:rFonts w:cs="Arial"/>
          <w:color w:val="0D0D0D" w:themeColor="text1" w:themeTint="F2"/>
          <w:sz w:val="22"/>
          <w:szCs w:val="22"/>
        </w:rPr>
        <w:t xml:space="preserve"> (Accessed: 12 March 2026).</w:t>
      </w:r>
    </w:p>
    <w:p w14:paraId="50E3B65B" w14:textId="77777777" w:rsidR="006379C5" w:rsidRPr="004D5943" w:rsidRDefault="006379C5" w:rsidP="006379C5">
      <w:pPr>
        <w:rPr>
          <w:rFonts w:cs="Arial"/>
          <w:color w:val="0D0D0D" w:themeColor="text1" w:themeTint="F2"/>
          <w:szCs w:val="23"/>
          <w:shd w:val="clear" w:color="auto" w:fill="FFFFFF"/>
        </w:rPr>
      </w:pPr>
    </w:p>
    <w:p w14:paraId="4AD7AB4E"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Kapica-Topczewska</w:t>
      </w:r>
      <w:proofErr w:type="spellEnd"/>
      <w:r w:rsidRPr="004D5943">
        <w:rPr>
          <w:rFonts w:cs="Arial"/>
          <w:color w:val="0D0D0D" w:themeColor="text1" w:themeTint="F2"/>
          <w:szCs w:val="23"/>
          <w:shd w:val="clear" w:color="auto" w:fill="FFFFFF"/>
        </w:rPr>
        <w:t xml:space="preserve">, K., </w:t>
      </w:r>
      <w:proofErr w:type="spellStart"/>
      <w:r w:rsidRPr="004D5943">
        <w:rPr>
          <w:rFonts w:cs="Arial"/>
          <w:color w:val="0D0D0D" w:themeColor="text1" w:themeTint="F2"/>
          <w:szCs w:val="23"/>
          <w:shd w:val="clear" w:color="auto" w:fill="FFFFFF"/>
        </w:rPr>
        <w:t>Kułakowska</w:t>
      </w:r>
      <w:proofErr w:type="spellEnd"/>
      <w:r w:rsidRPr="004D5943">
        <w:rPr>
          <w:rFonts w:cs="Arial"/>
          <w:color w:val="0D0D0D" w:themeColor="text1" w:themeTint="F2"/>
          <w:szCs w:val="23"/>
          <w:shd w:val="clear" w:color="auto" w:fill="FFFFFF"/>
        </w:rPr>
        <w:t xml:space="preserve">, A., </w:t>
      </w:r>
      <w:proofErr w:type="spellStart"/>
      <w:r w:rsidRPr="004D5943">
        <w:rPr>
          <w:rFonts w:cs="Arial"/>
          <w:color w:val="0D0D0D" w:themeColor="text1" w:themeTint="F2"/>
          <w:szCs w:val="23"/>
          <w:shd w:val="clear" w:color="auto" w:fill="FFFFFF"/>
        </w:rPr>
        <w:t>Kochanowicz</w:t>
      </w:r>
      <w:proofErr w:type="spellEnd"/>
      <w:r w:rsidRPr="004D5943">
        <w:rPr>
          <w:rFonts w:cs="Arial"/>
          <w:color w:val="0D0D0D" w:themeColor="text1" w:themeTint="F2"/>
          <w:szCs w:val="23"/>
          <w:shd w:val="clear" w:color="auto" w:fill="FFFFFF"/>
        </w:rPr>
        <w:t xml:space="preserve">, J., and </w:t>
      </w:r>
      <w:proofErr w:type="spellStart"/>
      <w:r w:rsidRPr="004D5943">
        <w:rPr>
          <w:rFonts w:cs="Arial"/>
          <w:color w:val="0D0D0D" w:themeColor="text1" w:themeTint="F2"/>
          <w:szCs w:val="23"/>
          <w:shd w:val="clear" w:color="auto" w:fill="FFFFFF"/>
        </w:rPr>
        <w:t>Brola</w:t>
      </w:r>
      <w:proofErr w:type="spellEnd"/>
      <w:r w:rsidRPr="004D5943">
        <w:rPr>
          <w:rFonts w:cs="Arial"/>
          <w:color w:val="0D0D0D" w:themeColor="text1" w:themeTint="F2"/>
          <w:szCs w:val="23"/>
          <w:shd w:val="clear" w:color="auto" w:fill="FFFFFF"/>
        </w:rPr>
        <w:t>, W. (2025). “Epidemiology of multiple sclerosis: global trends, regional differences, and clinical implications,”</w:t>
      </w:r>
      <w:r w:rsidRPr="004D5943">
        <w:rPr>
          <w:rStyle w:val="apple-converted-space"/>
          <w:rFonts w:cs="Arial"/>
          <w:color w:val="0D0D0D" w:themeColor="text1" w:themeTint="F2"/>
          <w:szCs w:val="23"/>
          <w:shd w:val="clear" w:color="auto" w:fill="FFFFFF"/>
        </w:rPr>
        <w:t> </w:t>
      </w:r>
      <w:proofErr w:type="spellStart"/>
      <w:r w:rsidRPr="004D5943">
        <w:rPr>
          <w:rFonts w:cs="Arial"/>
          <w:i/>
          <w:iCs/>
          <w:color w:val="0D0D0D" w:themeColor="text1" w:themeTint="F2"/>
          <w:szCs w:val="23"/>
        </w:rPr>
        <w:t>Neurologia</w:t>
      </w:r>
      <w:proofErr w:type="spellEnd"/>
      <w:r w:rsidRPr="004D5943">
        <w:rPr>
          <w:rFonts w:cs="Arial"/>
          <w:i/>
          <w:iCs/>
          <w:color w:val="0D0D0D" w:themeColor="text1" w:themeTint="F2"/>
          <w:szCs w:val="23"/>
        </w:rPr>
        <w:t xml:space="preserve"> </w:t>
      </w:r>
      <w:proofErr w:type="spellStart"/>
      <w:r w:rsidRPr="004D5943">
        <w:rPr>
          <w:rFonts w:cs="Arial"/>
          <w:i/>
          <w:iCs/>
          <w:color w:val="0D0D0D" w:themeColor="text1" w:themeTint="F2"/>
          <w:szCs w:val="23"/>
        </w:rPr>
        <w:t>i</w:t>
      </w:r>
      <w:proofErr w:type="spellEnd"/>
      <w:r w:rsidRPr="004D5943">
        <w:rPr>
          <w:rFonts w:cs="Arial"/>
          <w:i/>
          <w:iCs/>
          <w:color w:val="0D0D0D" w:themeColor="text1" w:themeTint="F2"/>
          <w:szCs w:val="23"/>
        </w:rPr>
        <w:t xml:space="preserve"> </w:t>
      </w:r>
      <w:proofErr w:type="spellStart"/>
      <w:r w:rsidRPr="004D5943">
        <w:rPr>
          <w:rFonts w:cs="Arial"/>
          <w:i/>
          <w:iCs/>
          <w:color w:val="0D0D0D" w:themeColor="text1" w:themeTint="F2"/>
          <w:szCs w:val="23"/>
        </w:rPr>
        <w:t>neurochirurgia</w:t>
      </w:r>
      <w:proofErr w:type="spellEnd"/>
      <w:r w:rsidRPr="004D5943">
        <w:rPr>
          <w:rFonts w:cs="Arial"/>
          <w:i/>
          <w:iCs/>
          <w:color w:val="0D0D0D" w:themeColor="text1" w:themeTint="F2"/>
          <w:szCs w:val="23"/>
        </w:rPr>
        <w:t xml:space="preserve"> </w:t>
      </w:r>
      <w:proofErr w:type="spellStart"/>
      <w:r w:rsidRPr="004D5943">
        <w:rPr>
          <w:rFonts w:cs="Arial"/>
          <w:i/>
          <w:iCs/>
          <w:color w:val="0D0D0D" w:themeColor="text1" w:themeTint="F2"/>
          <w:szCs w:val="23"/>
        </w:rPr>
        <w:t>polska</w:t>
      </w:r>
      <w:proofErr w:type="spellEnd"/>
      <w:r w:rsidRPr="004D5943">
        <w:rPr>
          <w:rFonts w:cs="Arial"/>
          <w:color w:val="0D0D0D" w:themeColor="text1" w:themeTint="F2"/>
          <w:szCs w:val="23"/>
          <w:shd w:val="clear" w:color="auto" w:fill="FFFFFF"/>
        </w:rPr>
        <w:t>, 59(4), pp. 375–384. Available at: https://doi.org/10.5603/pjnns.103955.</w:t>
      </w:r>
      <w:r w:rsidRPr="004D5943">
        <w:rPr>
          <w:rFonts w:cs="Arial"/>
          <w:color w:val="0D0D0D" w:themeColor="text1" w:themeTint="F2"/>
          <w:sz w:val="22"/>
          <w:szCs w:val="22"/>
        </w:rPr>
        <w:t xml:space="preserve"> (Accessed: 17 March 2026).</w:t>
      </w:r>
    </w:p>
    <w:p w14:paraId="4ED3BEE7" w14:textId="77777777" w:rsidR="006379C5" w:rsidRPr="004D5943" w:rsidRDefault="006379C5" w:rsidP="006379C5">
      <w:pPr>
        <w:rPr>
          <w:rFonts w:cs="Arial"/>
          <w:color w:val="0D0D0D" w:themeColor="text1" w:themeTint="F2"/>
          <w:szCs w:val="23"/>
          <w:shd w:val="clear" w:color="auto" w:fill="FFFFFF"/>
        </w:rPr>
      </w:pPr>
    </w:p>
    <w:p w14:paraId="2C4F8F84"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Khan, </w:t>
      </w:r>
      <w:proofErr w:type="gramStart"/>
      <w:r w:rsidRPr="004D5943">
        <w:rPr>
          <w:rFonts w:cs="Arial"/>
          <w:color w:val="0D0D0D" w:themeColor="text1" w:themeTint="F2"/>
          <w:szCs w:val="23"/>
          <w:shd w:val="clear" w:color="auto" w:fill="FFFFFF"/>
        </w:rPr>
        <w:t>G.</w:t>
      </w:r>
      <w:proofErr w:type="gramEnd"/>
      <w:r w:rsidRPr="004D5943">
        <w:rPr>
          <w:rFonts w:cs="Arial"/>
          <w:color w:val="0D0D0D" w:themeColor="text1" w:themeTint="F2"/>
          <w:szCs w:val="23"/>
          <w:shd w:val="clear" w:color="auto" w:fill="FFFFFF"/>
        </w:rPr>
        <w:t xml:space="preserve"> and Hashim, M.J. (2025)</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“Epidemiology of Multiple Sclerosis: Global, Regional, National and Sub-National-Level Estimates and Future Projections,”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Journal of Epidemiology and Global Health</w:t>
      </w:r>
      <w:r w:rsidRPr="004D5943">
        <w:rPr>
          <w:rFonts w:cs="Arial"/>
          <w:color w:val="0D0D0D" w:themeColor="text1" w:themeTint="F2"/>
          <w:szCs w:val="23"/>
          <w:shd w:val="clear" w:color="auto" w:fill="FFFFFF"/>
        </w:rPr>
        <w:t>, 15(1), pp. 1–11. Available at: https://doi.org/10.1007/s44197-025-00353-6.</w:t>
      </w:r>
      <w:r w:rsidRPr="004D5943">
        <w:rPr>
          <w:rFonts w:cs="Arial"/>
          <w:color w:val="0D0D0D" w:themeColor="text1" w:themeTint="F2"/>
          <w:sz w:val="22"/>
          <w:szCs w:val="22"/>
        </w:rPr>
        <w:t xml:space="preserve"> (Accessed: 13 March 2026).</w:t>
      </w:r>
    </w:p>
    <w:p w14:paraId="03418E81" w14:textId="77777777" w:rsidR="006379C5" w:rsidRPr="004D5943" w:rsidRDefault="006379C5" w:rsidP="006379C5">
      <w:pPr>
        <w:rPr>
          <w:rFonts w:cs="Arial"/>
          <w:color w:val="0D0D0D" w:themeColor="text1" w:themeTint="F2"/>
          <w:szCs w:val="23"/>
          <w:shd w:val="clear" w:color="auto" w:fill="FFFFFF"/>
        </w:rPr>
      </w:pPr>
    </w:p>
    <w:p w14:paraId="05048C49"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Li, J., Bishop, M., Fraser, R., </w:t>
      </w:r>
      <w:proofErr w:type="spellStart"/>
      <w:r w:rsidRPr="004D5943">
        <w:rPr>
          <w:rFonts w:cs="Arial"/>
          <w:color w:val="0D0D0D" w:themeColor="text1" w:themeTint="F2"/>
          <w:szCs w:val="23"/>
          <w:shd w:val="clear" w:color="auto" w:fill="FFFFFF"/>
        </w:rPr>
        <w:t>Rumrill</w:t>
      </w:r>
      <w:proofErr w:type="spellEnd"/>
      <w:r w:rsidRPr="004D5943">
        <w:rPr>
          <w:rFonts w:cs="Arial"/>
          <w:color w:val="0D0D0D" w:themeColor="text1" w:themeTint="F2"/>
          <w:szCs w:val="23"/>
          <w:shd w:val="clear" w:color="auto" w:fill="FFFFFF"/>
        </w:rPr>
        <w:t>, P. D., LaRocca, N., Burns, M., Lee, D., &amp; Bhattarai, M. (2022). “Quality of life and experience with the national multiple sclerosis society strategic plan priorities for people with multiple sclerosis: Findings from a path analysis,”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Work (Reading, Mass.)</w:t>
      </w:r>
      <w:r w:rsidRPr="004D5943">
        <w:rPr>
          <w:rFonts w:cs="Arial"/>
          <w:color w:val="0D0D0D" w:themeColor="text1" w:themeTint="F2"/>
          <w:szCs w:val="23"/>
          <w:shd w:val="clear" w:color="auto" w:fill="FFFFFF"/>
        </w:rPr>
        <w:t>, 71(4), pp. 987–1005. Available at: https://doi.org/10.3233/WOR-205038.</w:t>
      </w:r>
      <w:r w:rsidRPr="004D5943">
        <w:rPr>
          <w:rFonts w:cs="Arial"/>
          <w:color w:val="0D0D0D" w:themeColor="text1" w:themeTint="F2"/>
          <w:sz w:val="22"/>
          <w:szCs w:val="22"/>
        </w:rPr>
        <w:t xml:space="preserve"> (Accessed: 3 March 2026).</w:t>
      </w:r>
    </w:p>
    <w:p w14:paraId="1A868073" w14:textId="77777777" w:rsidR="006379C5" w:rsidRPr="004D5943" w:rsidRDefault="006379C5" w:rsidP="006379C5">
      <w:pPr>
        <w:rPr>
          <w:rFonts w:cs="Arial"/>
          <w:color w:val="0D0D0D" w:themeColor="text1" w:themeTint="F2"/>
          <w:szCs w:val="23"/>
        </w:rPr>
      </w:pPr>
    </w:p>
    <w:p w14:paraId="34FA8188"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Marsool</w:t>
      </w:r>
      <w:proofErr w:type="spellEnd"/>
      <w:r w:rsidRPr="004D5943">
        <w:rPr>
          <w:rFonts w:cs="Arial"/>
          <w:color w:val="0D0D0D" w:themeColor="text1" w:themeTint="F2"/>
          <w:szCs w:val="23"/>
          <w:shd w:val="clear" w:color="auto" w:fill="FFFFFF"/>
        </w:rPr>
        <w:t xml:space="preserve">, M. D. M., </w:t>
      </w:r>
      <w:proofErr w:type="spellStart"/>
      <w:r w:rsidRPr="004D5943">
        <w:rPr>
          <w:rFonts w:cs="Arial"/>
          <w:color w:val="0D0D0D" w:themeColor="text1" w:themeTint="F2"/>
          <w:szCs w:val="23"/>
          <w:shd w:val="clear" w:color="auto" w:fill="FFFFFF"/>
        </w:rPr>
        <w:t>Prajjwal</w:t>
      </w:r>
      <w:proofErr w:type="spellEnd"/>
      <w:r w:rsidRPr="004D5943">
        <w:rPr>
          <w:rFonts w:cs="Arial"/>
          <w:color w:val="0D0D0D" w:themeColor="text1" w:themeTint="F2"/>
          <w:szCs w:val="23"/>
          <w:shd w:val="clear" w:color="auto" w:fill="FFFFFF"/>
        </w:rPr>
        <w:t xml:space="preserve">, P., John, J., </w:t>
      </w:r>
      <w:proofErr w:type="spellStart"/>
      <w:r w:rsidRPr="004D5943">
        <w:rPr>
          <w:rFonts w:cs="Arial"/>
          <w:color w:val="0D0D0D" w:themeColor="text1" w:themeTint="F2"/>
          <w:szCs w:val="23"/>
          <w:shd w:val="clear" w:color="auto" w:fill="FFFFFF"/>
        </w:rPr>
        <w:t>Keluskar</w:t>
      </w:r>
      <w:proofErr w:type="spellEnd"/>
      <w:r w:rsidRPr="004D5943">
        <w:rPr>
          <w:rFonts w:cs="Arial"/>
          <w:color w:val="0D0D0D" w:themeColor="text1" w:themeTint="F2"/>
          <w:szCs w:val="23"/>
          <w:shd w:val="clear" w:color="auto" w:fill="FFFFFF"/>
        </w:rPr>
        <w:t xml:space="preserve">, H. S., </w:t>
      </w:r>
      <w:proofErr w:type="spellStart"/>
      <w:r w:rsidRPr="004D5943">
        <w:rPr>
          <w:rFonts w:cs="Arial"/>
          <w:color w:val="0D0D0D" w:themeColor="text1" w:themeTint="F2"/>
          <w:szCs w:val="23"/>
          <w:shd w:val="clear" w:color="auto" w:fill="FFFFFF"/>
        </w:rPr>
        <w:t>Sivarajan</w:t>
      </w:r>
      <w:proofErr w:type="spellEnd"/>
      <w:r w:rsidRPr="004D5943">
        <w:rPr>
          <w:rFonts w:cs="Arial"/>
          <w:color w:val="0D0D0D" w:themeColor="text1" w:themeTint="F2"/>
          <w:szCs w:val="23"/>
          <w:shd w:val="clear" w:color="auto" w:fill="FFFFFF"/>
        </w:rPr>
        <w:t xml:space="preserve">, V. V., </w:t>
      </w:r>
      <w:proofErr w:type="spellStart"/>
      <w:r w:rsidRPr="004D5943">
        <w:rPr>
          <w:rFonts w:cs="Arial"/>
          <w:color w:val="0D0D0D" w:themeColor="text1" w:themeTint="F2"/>
          <w:szCs w:val="23"/>
          <w:shd w:val="clear" w:color="auto" w:fill="FFFFFF"/>
        </w:rPr>
        <w:t>Kundiri</w:t>
      </w:r>
      <w:proofErr w:type="spellEnd"/>
      <w:r w:rsidRPr="004D5943">
        <w:rPr>
          <w:rFonts w:cs="Arial"/>
          <w:color w:val="0D0D0D" w:themeColor="text1" w:themeTint="F2"/>
          <w:szCs w:val="23"/>
          <w:shd w:val="clear" w:color="auto" w:fill="FFFFFF"/>
        </w:rPr>
        <w:t xml:space="preserve">, K. A., Lam, J. R., </w:t>
      </w:r>
      <w:proofErr w:type="spellStart"/>
      <w:r w:rsidRPr="004D5943">
        <w:rPr>
          <w:rFonts w:cs="Arial"/>
          <w:color w:val="0D0D0D" w:themeColor="text1" w:themeTint="F2"/>
          <w:szCs w:val="23"/>
          <w:shd w:val="clear" w:color="auto" w:fill="FFFFFF"/>
        </w:rPr>
        <w:t>Chavda</w:t>
      </w:r>
      <w:proofErr w:type="spellEnd"/>
      <w:r w:rsidRPr="004D5943">
        <w:rPr>
          <w:rFonts w:cs="Arial"/>
          <w:color w:val="0D0D0D" w:themeColor="text1" w:themeTint="F2"/>
          <w:szCs w:val="23"/>
          <w:shd w:val="clear" w:color="auto" w:fill="FFFFFF"/>
        </w:rPr>
        <w:t xml:space="preserve">, S., </w:t>
      </w:r>
      <w:proofErr w:type="spellStart"/>
      <w:r w:rsidRPr="004D5943">
        <w:rPr>
          <w:rFonts w:cs="Arial"/>
          <w:color w:val="0D0D0D" w:themeColor="text1" w:themeTint="F2"/>
          <w:szCs w:val="23"/>
          <w:shd w:val="clear" w:color="auto" w:fill="FFFFFF"/>
        </w:rPr>
        <w:t>Atew</w:t>
      </w:r>
      <w:proofErr w:type="spellEnd"/>
      <w:r w:rsidRPr="004D5943">
        <w:rPr>
          <w:rFonts w:cs="Arial"/>
          <w:color w:val="0D0D0D" w:themeColor="text1" w:themeTint="F2"/>
          <w:szCs w:val="23"/>
          <w:shd w:val="clear" w:color="auto" w:fill="FFFFFF"/>
        </w:rPr>
        <w:t xml:space="preserve">, H. G., </w:t>
      </w:r>
      <w:proofErr w:type="spellStart"/>
      <w:r w:rsidRPr="004D5943">
        <w:rPr>
          <w:rFonts w:cs="Arial"/>
          <w:color w:val="0D0D0D" w:themeColor="text1" w:themeTint="F2"/>
          <w:szCs w:val="23"/>
          <w:shd w:val="clear" w:color="auto" w:fill="FFFFFF"/>
        </w:rPr>
        <w:t>Marsool</w:t>
      </w:r>
      <w:proofErr w:type="spellEnd"/>
      <w:r w:rsidRPr="004D5943">
        <w:rPr>
          <w:rFonts w:cs="Arial"/>
          <w:color w:val="0D0D0D" w:themeColor="text1" w:themeTint="F2"/>
          <w:szCs w:val="23"/>
          <w:shd w:val="clear" w:color="auto" w:fill="FFFFFF"/>
        </w:rPr>
        <w:t xml:space="preserve">, A. D. M., Hameed, A. A. Z., and </w:t>
      </w:r>
      <w:proofErr w:type="spellStart"/>
      <w:r w:rsidRPr="004D5943">
        <w:rPr>
          <w:rFonts w:cs="Arial"/>
          <w:color w:val="0D0D0D" w:themeColor="text1" w:themeTint="F2"/>
          <w:szCs w:val="23"/>
          <w:shd w:val="clear" w:color="auto" w:fill="FFFFFF"/>
        </w:rPr>
        <w:t>Hussin</w:t>
      </w:r>
      <w:proofErr w:type="spellEnd"/>
      <w:r w:rsidRPr="004D5943">
        <w:rPr>
          <w:rFonts w:cs="Arial"/>
          <w:color w:val="0D0D0D" w:themeColor="text1" w:themeTint="F2"/>
          <w:szCs w:val="23"/>
          <w:shd w:val="clear" w:color="auto" w:fill="FFFFFF"/>
        </w:rPr>
        <w:t>, O. A. (2024).</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“Association of multiple sclerosis with stroke: A comprehensive review,”</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Health Science Reports</w:t>
      </w:r>
      <w:r w:rsidRPr="004D5943">
        <w:rPr>
          <w:rFonts w:cs="Arial"/>
          <w:color w:val="0D0D0D" w:themeColor="text1" w:themeTint="F2"/>
          <w:szCs w:val="23"/>
          <w:shd w:val="clear" w:color="auto" w:fill="FFFFFF"/>
        </w:rPr>
        <w:t>, 7(1), pp. e1837-n/a. Available at: https://doi.org/10.1002/hsr2.1837.</w:t>
      </w:r>
      <w:r w:rsidRPr="004D5943">
        <w:rPr>
          <w:rFonts w:cs="Arial"/>
          <w:color w:val="0D0D0D" w:themeColor="text1" w:themeTint="F2"/>
          <w:sz w:val="22"/>
          <w:szCs w:val="22"/>
        </w:rPr>
        <w:t xml:space="preserve"> (Accessed: 7 March 2026).</w:t>
      </w:r>
    </w:p>
    <w:p w14:paraId="094814BF" w14:textId="77777777" w:rsidR="006379C5" w:rsidRPr="004D5943" w:rsidRDefault="006379C5" w:rsidP="006379C5">
      <w:pPr>
        <w:rPr>
          <w:rFonts w:cs="Arial"/>
          <w:color w:val="0D0D0D" w:themeColor="text1" w:themeTint="F2"/>
          <w:szCs w:val="23"/>
          <w:shd w:val="clear" w:color="auto" w:fill="FFFFFF"/>
        </w:rPr>
      </w:pPr>
    </w:p>
    <w:p w14:paraId="2D5098A0" w14:textId="77777777" w:rsidR="006379C5" w:rsidRPr="004D5943" w:rsidRDefault="006379C5" w:rsidP="006379C5">
      <w:pPr>
        <w:pStyle w:val="NormalWeb"/>
        <w:spacing w:before="0" w:beforeAutospacing="0" w:after="240" w:afterAutospacing="0"/>
        <w:rPr>
          <w:rFonts w:ascii="Arial" w:hAnsi="Arial" w:cs="Arial"/>
          <w:color w:val="0D0D0D" w:themeColor="text1" w:themeTint="F2"/>
          <w:sz w:val="23"/>
          <w:szCs w:val="23"/>
        </w:rPr>
      </w:pPr>
      <w:r w:rsidRPr="004D5943">
        <w:rPr>
          <w:rFonts w:ascii="Arial" w:hAnsi="Arial" w:cs="Arial"/>
          <w:color w:val="0D0D0D" w:themeColor="text1" w:themeTint="F2"/>
          <w:sz w:val="23"/>
          <w:szCs w:val="23"/>
        </w:rPr>
        <w:t>MS Society (2025).</w:t>
      </w:r>
      <w:r w:rsidRPr="004D5943">
        <w:rPr>
          <w:rStyle w:val="apple-converted-space"/>
          <w:rFonts w:ascii="Arial" w:eastAsiaTheme="majorEastAsia" w:hAnsi="Arial" w:cs="Arial"/>
          <w:color w:val="0D0D0D" w:themeColor="text1" w:themeTint="F2"/>
          <w:sz w:val="23"/>
          <w:szCs w:val="23"/>
        </w:rPr>
        <w:t> </w:t>
      </w:r>
      <w:r w:rsidRPr="004D5943">
        <w:rPr>
          <w:rFonts w:ascii="Arial" w:hAnsi="Arial" w:cs="Arial"/>
          <w:i/>
          <w:iCs/>
          <w:color w:val="0D0D0D" w:themeColor="text1" w:themeTint="F2"/>
          <w:sz w:val="23"/>
          <w:szCs w:val="23"/>
        </w:rPr>
        <w:t>Life expectancy and MS</w:t>
      </w:r>
      <w:r w:rsidRPr="004D5943">
        <w:rPr>
          <w:rFonts w:ascii="Arial" w:hAnsi="Arial" w:cs="Arial"/>
          <w:color w:val="0D0D0D" w:themeColor="text1" w:themeTint="F2"/>
          <w:sz w:val="23"/>
          <w:szCs w:val="23"/>
        </w:rPr>
        <w:t>. [online] Multiple Sclerosis Society UK. Available at: https://www.mssociety.org.uk/about-ms/what-ms/life-expectancy-and-ms (Accessed: 20 March 2026).</w:t>
      </w:r>
    </w:p>
    <w:p w14:paraId="68D5E1D2" w14:textId="5CB0107B" w:rsidR="006379C5" w:rsidRPr="004D5943" w:rsidRDefault="006379C5" w:rsidP="006379C5">
      <w:pPr>
        <w:rPr>
          <w:rStyle w:val="apple-converted-space"/>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Muraro</w:t>
      </w:r>
      <w:proofErr w:type="spellEnd"/>
      <w:r w:rsidRPr="004D5943">
        <w:rPr>
          <w:rFonts w:cs="Arial"/>
          <w:color w:val="0D0D0D" w:themeColor="text1" w:themeTint="F2"/>
          <w:szCs w:val="23"/>
          <w:shd w:val="clear" w:color="auto" w:fill="FFFFFF"/>
        </w:rPr>
        <w:t xml:space="preserve">, P. A., Kazmi, M., De </w:t>
      </w:r>
      <w:proofErr w:type="spellStart"/>
      <w:r w:rsidRPr="004D5943">
        <w:rPr>
          <w:rFonts w:cs="Arial"/>
          <w:color w:val="0D0D0D" w:themeColor="text1" w:themeTint="F2"/>
          <w:szCs w:val="23"/>
          <w:shd w:val="clear" w:color="auto" w:fill="FFFFFF"/>
        </w:rPr>
        <w:t>Matteis</w:t>
      </w:r>
      <w:proofErr w:type="spellEnd"/>
      <w:r w:rsidRPr="004D5943">
        <w:rPr>
          <w:rFonts w:cs="Arial"/>
          <w:color w:val="0D0D0D" w:themeColor="text1" w:themeTint="F2"/>
          <w:szCs w:val="23"/>
          <w:shd w:val="clear" w:color="auto" w:fill="FFFFFF"/>
        </w:rPr>
        <w:t xml:space="preserve">, E., </w:t>
      </w:r>
      <w:proofErr w:type="spellStart"/>
      <w:r w:rsidRPr="004D5943">
        <w:rPr>
          <w:rFonts w:cs="Arial"/>
          <w:color w:val="0D0D0D" w:themeColor="text1" w:themeTint="F2"/>
          <w:szCs w:val="23"/>
          <w:shd w:val="clear" w:color="auto" w:fill="FFFFFF"/>
        </w:rPr>
        <w:t>Brittain</w:t>
      </w:r>
      <w:proofErr w:type="spellEnd"/>
      <w:r w:rsidRPr="004D5943">
        <w:rPr>
          <w:rFonts w:cs="Arial"/>
          <w:color w:val="0D0D0D" w:themeColor="text1" w:themeTint="F2"/>
          <w:szCs w:val="23"/>
          <w:shd w:val="clear" w:color="auto" w:fill="FFFFFF"/>
        </w:rPr>
        <w:t xml:space="preserve">, G., </w:t>
      </w:r>
      <w:proofErr w:type="spellStart"/>
      <w:r w:rsidRPr="004D5943">
        <w:rPr>
          <w:rFonts w:cs="Arial"/>
          <w:color w:val="0D0D0D" w:themeColor="text1" w:themeTint="F2"/>
          <w:szCs w:val="23"/>
          <w:shd w:val="clear" w:color="auto" w:fill="FFFFFF"/>
        </w:rPr>
        <w:t>Mariottini</w:t>
      </w:r>
      <w:proofErr w:type="spellEnd"/>
      <w:r w:rsidRPr="004D5943">
        <w:rPr>
          <w:rFonts w:cs="Arial"/>
          <w:color w:val="0D0D0D" w:themeColor="text1" w:themeTint="F2"/>
          <w:szCs w:val="23"/>
          <w:shd w:val="clear" w:color="auto" w:fill="FFFFFF"/>
        </w:rPr>
        <w:t xml:space="preserve">, A., Nicholas, R., Silber, E., Mehra, V., Gabriel, I., Ciccarelli, O., Lee, J., Pearce, R., </w:t>
      </w:r>
      <w:proofErr w:type="spellStart"/>
      <w:r w:rsidRPr="004D5943">
        <w:rPr>
          <w:rFonts w:cs="Arial"/>
          <w:color w:val="0D0D0D" w:themeColor="text1" w:themeTint="F2"/>
          <w:szCs w:val="23"/>
          <w:shd w:val="clear" w:color="auto" w:fill="FFFFFF"/>
        </w:rPr>
        <w:t>Sormani</w:t>
      </w:r>
      <w:proofErr w:type="spellEnd"/>
      <w:r w:rsidRPr="004D5943">
        <w:rPr>
          <w:rFonts w:cs="Arial"/>
          <w:color w:val="0D0D0D" w:themeColor="text1" w:themeTint="F2"/>
          <w:szCs w:val="23"/>
          <w:shd w:val="clear" w:color="auto" w:fill="FFFFFF"/>
        </w:rPr>
        <w:t xml:space="preserve">, M. P., </w:t>
      </w:r>
      <w:proofErr w:type="spellStart"/>
      <w:r w:rsidRPr="004D5943">
        <w:rPr>
          <w:rFonts w:cs="Arial"/>
          <w:color w:val="0D0D0D" w:themeColor="text1" w:themeTint="F2"/>
          <w:szCs w:val="23"/>
          <w:shd w:val="clear" w:color="auto" w:fill="FFFFFF"/>
        </w:rPr>
        <w:t>Signori</w:t>
      </w:r>
      <w:proofErr w:type="spellEnd"/>
      <w:r w:rsidRPr="004D5943">
        <w:rPr>
          <w:rFonts w:cs="Arial"/>
          <w:color w:val="0D0D0D" w:themeColor="text1" w:themeTint="F2"/>
          <w:szCs w:val="23"/>
          <w:shd w:val="clear" w:color="auto" w:fill="FFFFFF"/>
        </w:rPr>
        <w:t xml:space="preserve">, A., Paul, R., </w:t>
      </w:r>
      <w:proofErr w:type="spellStart"/>
      <w:r w:rsidRPr="004D5943">
        <w:rPr>
          <w:rFonts w:cs="Arial"/>
          <w:color w:val="0D0D0D" w:themeColor="text1" w:themeTint="F2"/>
          <w:szCs w:val="23"/>
          <w:shd w:val="clear" w:color="auto" w:fill="FFFFFF"/>
        </w:rPr>
        <w:t>Malladi</w:t>
      </w:r>
      <w:proofErr w:type="spellEnd"/>
      <w:r w:rsidRPr="004D5943">
        <w:rPr>
          <w:rFonts w:cs="Arial"/>
          <w:color w:val="0D0D0D" w:themeColor="text1" w:themeTint="F2"/>
          <w:szCs w:val="23"/>
          <w:shd w:val="clear" w:color="auto" w:fill="FFFFFF"/>
        </w:rPr>
        <w:t xml:space="preserve">, R., Potter, V., Snowden, J., and </w:t>
      </w:r>
      <w:proofErr w:type="spellStart"/>
      <w:r w:rsidRPr="004D5943">
        <w:rPr>
          <w:rFonts w:cs="Arial"/>
          <w:color w:val="0D0D0D" w:themeColor="text1" w:themeTint="F2"/>
          <w:szCs w:val="23"/>
          <w:shd w:val="clear" w:color="auto" w:fill="FFFFFF"/>
        </w:rPr>
        <w:t>Sharrack</w:t>
      </w:r>
      <w:proofErr w:type="spellEnd"/>
      <w:r w:rsidRPr="004D5943">
        <w:rPr>
          <w:rFonts w:cs="Arial"/>
          <w:color w:val="0D0D0D" w:themeColor="text1" w:themeTint="F2"/>
          <w:szCs w:val="23"/>
          <w:shd w:val="clear" w:color="auto" w:fill="FFFFFF"/>
        </w:rPr>
        <w:t>, B. (2026).</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 xml:space="preserve"> “Real-world effectiveness of autologous haematopoietic stem cell transplantation for multiple sclerosis in the UK.” Available at: https://doi.org/10.1136/jnnp-2025-336755.</w:t>
      </w:r>
      <w:r w:rsidRPr="004D5943">
        <w:rPr>
          <w:rFonts w:cs="Arial"/>
          <w:color w:val="0D0D0D" w:themeColor="text1" w:themeTint="F2"/>
          <w:sz w:val="22"/>
          <w:szCs w:val="22"/>
        </w:rPr>
        <w:t xml:space="preserve"> (Accessed: 7 March 2026).</w:t>
      </w:r>
    </w:p>
    <w:p w14:paraId="704532AE" w14:textId="77777777" w:rsidR="006379C5" w:rsidRPr="004D5943" w:rsidRDefault="006379C5" w:rsidP="006379C5">
      <w:pPr>
        <w:rPr>
          <w:rStyle w:val="apple-converted-space"/>
          <w:rFonts w:cs="Arial"/>
          <w:color w:val="0D0D0D" w:themeColor="text1" w:themeTint="F2"/>
          <w:szCs w:val="23"/>
          <w:shd w:val="clear" w:color="auto" w:fill="FFFFFF"/>
        </w:rPr>
      </w:pPr>
    </w:p>
    <w:p w14:paraId="29B62956" w14:textId="77777777" w:rsidR="006379C5" w:rsidRPr="004D5943" w:rsidRDefault="006379C5" w:rsidP="006379C5">
      <w:pPr>
        <w:pStyle w:val="NormalWeb"/>
        <w:spacing w:before="0" w:beforeAutospacing="0" w:after="240" w:afterAutospacing="0"/>
        <w:rPr>
          <w:rFonts w:ascii="Arial" w:hAnsi="Arial" w:cs="Arial"/>
          <w:color w:val="0D0D0D" w:themeColor="text1" w:themeTint="F2"/>
          <w:sz w:val="23"/>
          <w:szCs w:val="23"/>
        </w:rPr>
      </w:pPr>
      <w:r w:rsidRPr="004D5943">
        <w:rPr>
          <w:rFonts w:ascii="Arial" w:hAnsi="Arial" w:cs="Arial"/>
          <w:color w:val="0D0D0D" w:themeColor="text1" w:themeTint="F2"/>
          <w:sz w:val="23"/>
          <w:szCs w:val="23"/>
        </w:rPr>
        <w:t>National Institute for Health and Care Excellence (2022).</w:t>
      </w:r>
      <w:r w:rsidRPr="004D5943">
        <w:rPr>
          <w:rStyle w:val="apple-converted-space"/>
          <w:rFonts w:ascii="Arial" w:eastAsiaTheme="majorEastAsia" w:hAnsi="Arial" w:cs="Arial"/>
          <w:color w:val="0D0D0D" w:themeColor="text1" w:themeTint="F2"/>
          <w:sz w:val="23"/>
          <w:szCs w:val="23"/>
        </w:rPr>
        <w:t> </w:t>
      </w:r>
      <w:r w:rsidRPr="004D5943">
        <w:rPr>
          <w:rFonts w:ascii="Arial" w:hAnsi="Arial" w:cs="Arial"/>
          <w:i/>
          <w:iCs/>
          <w:color w:val="0D0D0D" w:themeColor="text1" w:themeTint="F2"/>
          <w:sz w:val="23"/>
          <w:szCs w:val="23"/>
        </w:rPr>
        <w:t>Multiple sclerosis in adults: management</w:t>
      </w:r>
      <w:r w:rsidRPr="004D5943">
        <w:rPr>
          <w:rFonts w:ascii="Arial" w:hAnsi="Arial" w:cs="Arial"/>
          <w:color w:val="0D0D0D" w:themeColor="text1" w:themeTint="F2"/>
          <w:sz w:val="23"/>
          <w:szCs w:val="23"/>
        </w:rPr>
        <w:t>. Available at: https://www.nice.org.uk/guidance/ng220/evidence/b-coordination-of-care-the-role-of-ms-nurse-specialists-and-other-healthcare-professionals-pdf-11079169600.</w:t>
      </w:r>
      <w:r w:rsidRPr="004D5943">
        <w:rPr>
          <w:rFonts w:ascii="Arial" w:hAnsi="Arial" w:cs="Arial"/>
          <w:color w:val="0D0D0D" w:themeColor="text1" w:themeTint="F2"/>
          <w:sz w:val="22"/>
          <w:szCs w:val="22"/>
        </w:rPr>
        <w:t>(Accessed: 10 March 2026).</w:t>
      </w:r>
    </w:p>
    <w:p w14:paraId="4C5C7FEA" w14:textId="77777777" w:rsidR="006379C5" w:rsidRPr="004D5943" w:rsidRDefault="006379C5" w:rsidP="006379C5">
      <w:pPr>
        <w:rPr>
          <w:rFonts w:cs="Arial"/>
          <w:color w:val="0D0D0D" w:themeColor="text1" w:themeTint="F2"/>
          <w:sz w:val="22"/>
          <w:szCs w:val="22"/>
        </w:rPr>
      </w:pPr>
      <w:r w:rsidRPr="004D5943">
        <w:rPr>
          <w:rFonts w:cs="Arial"/>
          <w:color w:val="0D0D0D" w:themeColor="text1" w:themeTint="F2"/>
          <w:szCs w:val="23"/>
          <w:shd w:val="clear" w:color="auto" w:fill="FFFFFF"/>
        </w:rPr>
        <w:t xml:space="preserve">Nicholas, R., </w:t>
      </w:r>
      <w:proofErr w:type="spellStart"/>
      <w:r w:rsidRPr="004D5943">
        <w:rPr>
          <w:rFonts w:cs="Arial"/>
          <w:color w:val="0D0D0D" w:themeColor="text1" w:themeTint="F2"/>
          <w:szCs w:val="23"/>
          <w:shd w:val="clear" w:color="auto" w:fill="FFFFFF"/>
        </w:rPr>
        <w:t>Tallantyre</w:t>
      </w:r>
      <w:proofErr w:type="spellEnd"/>
      <w:r w:rsidRPr="004D5943">
        <w:rPr>
          <w:rFonts w:cs="Arial"/>
          <w:color w:val="0D0D0D" w:themeColor="text1" w:themeTint="F2"/>
          <w:szCs w:val="23"/>
          <w:shd w:val="clear" w:color="auto" w:fill="FFFFFF"/>
        </w:rPr>
        <w:t xml:space="preserve">, E. C., Witts, J., </w:t>
      </w:r>
      <w:proofErr w:type="spellStart"/>
      <w:r w:rsidRPr="004D5943">
        <w:rPr>
          <w:rFonts w:cs="Arial"/>
          <w:color w:val="0D0D0D" w:themeColor="text1" w:themeTint="F2"/>
          <w:szCs w:val="23"/>
          <w:shd w:val="clear" w:color="auto" w:fill="FFFFFF"/>
        </w:rPr>
        <w:t>Marrie</w:t>
      </w:r>
      <w:proofErr w:type="spellEnd"/>
      <w:r w:rsidRPr="004D5943">
        <w:rPr>
          <w:rFonts w:cs="Arial"/>
          <w:color w:val="0D0D0D" w:themeColor="text1" w:themeTint="F2"/>
          <w:szCs w:val="23"/>
          <w:shd w:val="clear" w:color="auto" w:fill="FFFFFF"/>
        </w:rPr>
        <w:t xml:space="preserve">, R. A., Craig, E. M., Knowles, S., Pearson, O. R., Harding, K., </w:t>
      </w:r>
      <w:proofErr w:type="spellStart"/>
      <w:r w:rsidRPr="004D5943">
        <w:rPr>
          <w:rFonts w:cs="Arial"/>
          <w:color w:val="0D0D0D" w:themeColor="text1" w:themeTint="F2"/>
          <w:szCs w:val="23"/>
          <w:shd w:val="clear" w:color="auto" w:fill="FFFFFF"/>
        </w:rPr>
        <w:t>Kreft</w:t>
      </w:r>
      <w:proofErr w:type="spellEnd"/>
      <w:r w:rsidRPr="004D5943">
        <w:rPr>
          <w:rFonts w:cs="Arial"/>
          <w:color w:val="0D0D0D" w:themeColor="text1" w:themeTint="F2"/>
          <w:szCs w:val="23"/>
          <w:shd w:val="clear" w:color="auto" w:fill="FFFFFF"/>
        </w:rPr>
        <w:t>, K., Hawken, J., Ingram, G., Morgan, B., Middleton, R. M., Robertson, N., and Research Group, U. R. (2024). “Algorithmic approach to finding people with multiple sclerosis using routine healthcare data in Wales,”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 xml:space="preserve">Journal of neurology, </w:t>
      </w:r>
      <w:proofErr w:type="gramStart"/>
      <w:r w:rsidRPr="004D5943">
        <w:rPr>
          <w:rFonts w:cs="Arial"/>
          <w:i/>
          <w:iCs/>
          <w:color w:val="0D0D0D" w:themeColor="text1" w:themeTint="F2"/>
          <w:szCs w:val="23"/>
        </w:rPr>
        <w:t>neurosurgery</w:t>
      </w:r>
      <w:proofErr w:type="gramEnd"/>
      <w:r w:rsidRPr="004D5943">
        <w:rPr>
          <w:rFonts w:cs="Arial"/>
          <w:i/>
          <w:iCs/>
          <w:color w:val="0D0D0D" w:themeColor="text1" w:themeTint="F2"/>
          <w:szCs w:val="23"/>
        </w:rPr>
        <w:t xml:space="preserve"> and psychiatry</w:t>
      </w:r>
      <w:r w:rsidRPr="004D5943">
        <w:rPr>
          <w:rFonts w:cs="Arial"/>
          <w:color w:val="0D0D0D" w:themeColor="text1" w:themeTint="F2"/>
          <w:szCs w:val="23"/>
          <w:shd w:val="clear" w:color="auto" w:fill="FFFFFF"/>
        </w:rPr>
        <w:t>, 95(11), pp. 1032–1035. Available at: https://doi.org/10.1136/jnnp-2024-333532.</w:t>
      </w:r>
      <w:r w:rsidRPr="004D5943">
        <w:rPr>
          <w:rFonts w:cs="Arial"/>
          <w:color w:val="0D0D0D" w:themeColor="text1" w:themeTint="F2"/>
          <w:sz w:val="22"/>
          <w:szCs w:val="22"/>
        </w:rPr>
        <w:t xml:space="preserve"> (Accessed: 2 March 2026).</w:t>
      </w:r>
    </w:p>
    <w:p w14:paraId="44FA494C" w14:textId="77777777" w:rsidR="00237E56" w:rsidRPr="004D5943" w:rsidRDefault="00237E56" w:rsidP="006379C5">
      <w:pPr>
        <w:rPr>
          <w:rFonts w:cs="Arial"/>
          <w:color w:val="0D0D0D" w:themeColor="text1" w:themeTint="F2"/>
          <w:szCs w:val="23"/>
          <w:shd w:val="clear" w:color="auto" w:fill="FFFFFF"/>
        </w:rPr>
      </w:pPr>
    </w:p>
    <w:p w14:paraId="13A40C47" w14:textId="77777777" w:rsidR="006379C5" w:rsidRPr="004D5943" w:rsidRDefault="006379C5" w:rsidP="006379C5">
      <w:pPr>
        <w:rPr>
          <w:rFonts w:cs="Arial"/>
          <w:color w:val="0D0D0D" w:themeColor="text1" w:themeTint="F2"/>
          <w:szCs w:val="23"/>
          <w:shd w:val="clear" w:color="auto" w:fill="FFFFFF"/>
        </w:rPr>
      </w:pPr>
    </w:p>
    <w:p w14:paraId="1777B239"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lastRenderedPageBreak/>
        <w:t xml:space="preserve">Oliva-Ramirez, A., Keenan, A., </w:t>
      </w:r>
      <w:proofErr w:type="spellStart"/>
      <w:r w:rsidRPr="004D5943">
        <w:rPr>
          <w:rFonts w:cs="Arial"/>
          <w:color w:val="0D0D0D" w:themeColor="text1" w:themeTint="F2"/>
          <w:szCs w:val="23"/>
          <w:shd w:val="clear" w:color="auto" w:fill="FFFFFF"/>
        </w:rPr>
        <w:t>Kalau</w:t>
      </w:r>
      <w:proofErr w:type="spellEnd"/>
      <w:r w:rsidRPr="004D5943">
        <w:rPr>
          <w:rFonts w:cs="Arial"/>
          <w:color w:val="0D0D0D" w:themeColor="text1" w:themeTint="F2"/>
          <w:szCs w:val="23"/>
          <w:shd w:val="clear" w:color="auto" w:fill="FFFFFF"/>
        </w:rPr>
        <w:t>, O., Worthington, E., Cohen, L., and Singh, S. (2021). “Prevalence and burden of multiple sclerosis-related fatigue: a systematic literature review,”</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BMC neurology</w:t>
      </w:r>
      <w:r w:rsidRPr="004D5943">
        <w:rPr>
          <w:rFonts w:cs="Arial"/>
          <w:color w:val="0D0D0D" w:themeColor="text1" w:themeTint="F2"/>
          <w:szCs w:val="23"/>
          <w:shd w:val="clear" w:color="auto" w:fill="FFFFFF"/>
        </w:rPr>
        <w:t>, 21(1). Available at: https://doi.org/10.1186/s12883-021-02396-1.</w:t>
      </w:r>
      <w:r w:rsidRPr="004D5943">
        <w:rPr>
          <w:rFonts w:cs="Arial"/>
          <w:color w:val="0D0D0D" w:themeColor="text1" w:themeTint="F2"/>
          <w:sz w:val="22"/>
          <w:szCs w:val="22"/>
        </w:rPr>
        <w:t xml:space="preserve"> (Accessed: 18 March 2026).</w:t>
      </w:r>
    </w:p>
    <w:p w14:paraId="65FCF18C" w14:textId="77777777" w:rsidR="006379C5" w:rsidRPr="004D5943" w:rsidRDefault="006379C5" w:rsidP="006379C5">
      <w:pPr>
        <w:rPr>
          <w:rFonts w:cs="Arial"/>
          <w:color w:val="0D0D0D" w:themeColor="text1" w:themeTint="F2"/>
          <w:szCs w:val="23"/>
          <w:shd w:val="clear" w:color="auto" w:fill="FFFFFF"/>
        </w:rPr>
      </w:pPr>
    </w:p>
    <w:p w14:paraId="33CB7495"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Ponzano</w:t>
      </w:r>
      <w:proofErr w:type="spellEnd"/>
      <w:r w:rsidRPr="004D5943">
        <w:rPr>
          <w:rFonts w:cs="Arial"/>
          <w:color w:val="0D0D0D" w:themeColor="text1" w:themeTint="F2"/>
          <w:szCs w:val="23"/>
          <w:shd w:val="clear" w:color="auto" w:fill="FFFFFF"/>
        </w:rPr>
        <w:t xml:space="preserve">, M., </w:t>
      </w:r>
      <w:proofErr w:type="spellStart"/>
      <w:r w:rsidRPr="004D5943">
        <w:rPr>
          <w:rFonts w:cs="Arial"/>
          <w:color w:val="0D0D0D" w:themeColor="text1" w:themeTint="F2"/>
          <w:szCs w:val="23"/>
          <w:shd w:val="clear" w:color="auto" w:fill="FFFFFF"/>
        </w:rPr>
        <w:t>Fedriga</w:t>
      </w:r>
      <w:proofErr w:type="spellEnd"/>
      <w:r w:rsidRPr="004D5943">
        <w:rPr>
          <w:rFonts w:cs="Arial"/>
          <w:color w:val="0D0D0D" w:themeColor="text1" w:themeTint="F2"/>
          <w:szCs w:val="23"/>
          <w:shd w:val="clear" w:color="auto" w:fill="FFFFFF"/>
        </w:rPr>
        <w:t xml:space="preserve">, M. M., </w:t>
      </w:r>
      <w:proofErr w:type="spellStart"/>
      <w:r w:rsidRPr="004D5943">
        <w:rPr>
          <w:rFonts w:cs="Arial"/>
          <w:color w:val="0D0D0D" w:themeColor="text1" w:themeTint="F2"/>
          <w:szCs w:val="23"/>
          <w:shd w:val="clear" w:color="auto" w:fill="FFFFFF"/>
        </w:rPr>
        <w:t>Signori</w:t>
      </w:r>
      <w:proofErr w:type="spellEnd"/>
      <w:r w:rsidRPr="004D5943">
        <w:rPr>
          <w:rFonts w:cs="Arial"/>
          <w:color w:val="0D0D0D" w:themeColor="text1" w:themeTint="F2"/>
          <w:szCs w:val="23"/>
          <w:shd w:val="clear" w:color="auto" w:fill="FFFFFF"/>
        </w:rPr>
        <w:t xml:space="preserve">, A., Bergamaschi, R., </w:t>
      </w:r>
      <w:proofErr w:type="spellStart"/>
      <w:r w:rsidRPr="004D5943">
        <w:rPr>
          <w:rFonts w:cs="Arial"/>
          <w:color w:val="0D0D0D" w:themeColor="text1" w:themeTint="F2"/>
          <w:szCs w:val="23"/>
          <w:shd w:val="clear" w:color="auto" w:fill="FFFFFF"/>
        </w:rPr>
        <w:t>Schiavetti</w:t>
      </w:r>
      <w:proofErr w:type="spellEnd"/>
      <w:r w:rsidRPr="004D5943">
        <w:rPr>
          <w:rFonts w:cs="Arial"/>
          <w:color w:val="0D0D0D" w:themeColor="text1" w:themeTint="F2"/>
          <w:szCs w:val="23"/>
          <w:shd w:val="clear" w:color="auto" w:fill="FFFFFF"/>
        </w:rPr>
        <w:t xml:space="preserve">, I., </w:t>
      </w:r>
      <w:proofErr w:type="spellStart"/>
      <w:r w:rsidRPr="004D5943">
        <w:rPr>
          <w:rFonts w:cs="Arial"/>
          <w:color w:val="0D0D0D" w:themeColor="text1" w:themeTint="F2"/>
          <w:szCs w:val="23"/>
          <w:shd w:val="clear" w:color="auto" w:fill="FFFFFF"/>
        </w:rPr>
        <w:t>Landi</w:t>
      </w:r>
      <w:proofErr w:type="spellEnd"/>
      <w:r w:rsidRPr="004D5943">
        <w:rPr>
          <w:rFonts w:cs="Arial"/>
          <w:color w:val="0D0D0D" w:themeColor="text1" w:themeTint="F2"/>
          <w:szCs w:val="23"/>
          <w:shd w:val="clear" w:color="auto" w:fill="FFFFFF"/>
        </w:rPr>
        <w:t xml:space="preserve">, D., </w:t>
      </w:r>
      <w:proofErr w:type="spellStart"/>
      <w:r w:rsidRPr="004D5943">
        <w:rPr>
          <w:rFonts w:cs="Arial"/>
          <w:color w:val="0D0D0D" w:themeColor="text1" w:themeTint="F2"/>
          <w:szCs w:val="23"/>
          <w:shd w:val="clear" w:color="auto" w:fill="FFFFFF"/>
        </w:rPr>
        <w:t>Lavorgna</w:t>
      </w:r>
      <w:proofErr w:type="spellEnd"/>
      <w:r w:rsidRPr="004D5943">
        <w:rPr>
          <w:rFonts w:cs="Arial"/>
          <w:color w:val="0D0D0D" w:themeColor="text1" w:themeTint="F2"/>
          <w:szCs w:val="23"/>
          <w:shd w:val="clear" w:color="auto" w:fill="FFFFFF"/>
        </w:rPr>
        <w:t xml:space="preserve">, L., Di </w:t>
      </w:r>
      <w:proofErr w:type="spellStart"/>
      <w:r w:rsidRPr="004D5943">
        <w:rPr>
          <w:rFonts w:cs="Arial"/>
          <w:color w:val="0D0D0D" w:themeColor="text1" w:themeTint="F2"/>
          <w:szCs w:val="23"/>
          <w:shd w:val="clear" w:color="auto" w:fill="FFFFFF"/>
        </w:rPr>
        <w:t>Sapio</w:t>
      </w:r>
      <w:proofErr w:type="spellEnd"/>
      <w:r w:rsidRPr="004D5943">
        <w:rPr>
          <w:rFonts w:cs="Arial"/>
          <w:color w:val="0D0D0D" w:themeColor="text1" w:themeTint="F2"/>
          <w:szCs w:val="23"/>
          <w:shd w:val="clear" w:color="auto" w:fill="FFFFFF"/>
        </w:rPr>
        <w:t xml:space="preserve">, A., </w:t>
      </w:r>
      <w:proofErr w:type="spellStart"/>
      <w:r w:rsidRPr="004D5943">
        <w:rPr>
          <w:rFonts w:cs="Arial"/>
          <w:color w:val="0D0D0D" w:themeColor="text1" w:themeTint="F2"/>
          <w:szCs w:val="23"/>
          <w:shd w:val="clear" w:color="auto" w:fill="FFFFFF"/>
        </w:rPr>
        <w:t>Fantozzi</w:t>
      </w:r>
      <w:proofErr w:type="spellEnd"/>
      <w:r w:rsidRPr="004D5943">
        <w:rPr>
          <w:rFonts w:cs="Arial"/>
          <w:color w:val="0D0D0D" w:themeColor="text1" w:themeTint="F2"/>
          <w:szCs w:val="23"/>
          <w:shd w:val="clear" w:color="auto" w:fill="FFFFFF"/>
        </w:rPr>
        <w:t xml:space="preserve">, R., Marinelli, F., and </w:t>
      </w:r>
      <w:proofErr w:type="spellStart"/>
      <w:r w:rsidRPr="004D5943">
        <w:rPr>
          <w:rFonts w:cs="Arial"/>
          <w:color w:val="0D0D0D" w:themeColor="text1" w:themeTint="F2"/>
          <w:szCs w:val="23"/>
          <w:shd w:val="clear" w:color="auto" w:fill="FFFFFF"/>
        </w:rPr>
        <w:t>Sormani</w:t>
      </w:r>
      <w:proofErr w:type="spellEnd"/>
      <w:r w:rsidRPr="004D5943">
        <w:rPr>
          <w:rFonts w:cs="Arial"/>
          <w:color w:val="0D0D0D" w:themeColor="text1" w:themeTint="F2"/>
          <w:szCs w:val="23"/>
          <w:shd w:val="clear" w:color="auto" w:fill="FFFFFF"/>
        </w:rPr>
        <w:t>, M. P. (2026). “Social determinants of health in multiple sclerosis in Italy: A scoping review,”</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Multiple sclerosis</w:t>
      </w:r>
      <w:r w:rsidRPr="004D5943">
        <w:rPr>
          <w:rFonts w:cs="Arial"/>
          <w:color w:val="0D0D0D" w:themeColor="text1" w:themeTint="F2"/>
          <w:szCs w:val="23"/>
          <w:shd w:val="clear" w:color="auto" w:fill="FFFFFF"/>
        </w:rPr>
        <w:t>, 32(1), pp. 3–53. Available at: https://doi.org/10.1177/13524585251353196.</w:t>
      </w:r>
      <w:r w:rsidRPr="004D5943">
        <w:rPr>
          <w:rFonts w:cs="Arial"/>
          <w:color w:val="0D0D0D" w:themeColor="text1" w:themeTint="F2"/>
          <w:sz w:val="22"/>
          <w:szCs w:val="22"/>
        </w:rPr>
        <w:t xml:space="preserve"> (Accessed: 15 March 2026).</w:t>
      </w:r>
    </w:p>
    <w:p w14:paraId="1F44411D" w14:textId="77777777" w:rsidR="006379C5" w:rsidRPr="004D5943" w:rsidRDefault="006379C5" w:rsidP="006379C5">
      <w:pPr>
        <w:rPr>
          <w:rFonts w:cs="Arial"/>
          <w:color w:val="0D0D0D" w:themeColor="text1" w:themeTint="F2"/>
          <w:szCs w:val="23"/>
          <w:shd w:val="clear" w:color="auto" w:fill="FFFFFF"/>
        </w:rPr>
      </w:pPr>
    </w:p>
    <w:p w14:paraId="1882A5DE"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Portaccio</w:t>
      </w:r>
      <w:proofErr w:type="spellEnd"/>
      <w:r w:rsidRPr="004D5943">
        <w:rPr>
          <w:rFonts w:cs="Arial"/>
          <w:color w:val="0D0D0D" w:themeColor="text1" w:themeTint="F2"/>
          <w:szCs w:val="23"/>
          <w:shd w:val="clear" w:color="auto" w:fill="FFFFFF"/>
        </w:rPr>
        <w:t xml:space="preserve">, E., </w:t>
      </w:r>
      <w:proofErr w:type="spellStart"/>
      <w:r w:rsidRPr="004D5943">
        <w:rPr>
          <w:rFonts w:cs="Arial"/>
          <w:color w:val="0D0D0D" w:themeColor="text1" w:themeTint="F2"/>
          <w:szCs w:val="23"/>
          <w:shd w:val="clear" w:color="auto" w:fill="FFFFFF"/>
        </w:rPr>
        <w:t>Magyari</w:t>
      </w:r>
      <w:proofErr w:type="spellEnd"/>
      <w:r w:rsidRPr="004D5943">
        <w:rPr>
          <w:rFonts w:cs="Arial"/>
          <w:color w:val="0D0D0D" w:themeColor="text1" w:themeTint="F2"/>
          <w:szCs w:val="23"/>
          <w:shd w:val="clear" w:color="auto" w:fill="FFFFFF"/>
        </w:rPr>
        <w:t xml:space="preserve">, M., </w:t>
      </w:r>
      <w:proofErr w:type="spellStart"/>
      <w:r w:rsidRPr="004D5943">
        <w:rPr>
          <w:rFonts w:cs="Arial"/>
          <w:color w:val="0D0D0D" w:themeColor="text1" w:themeTint="F2"/>
          <w:szCs w:val="23"/>
          <w:shd w:val="clear" w:color="auto" w:fill="FFFFFF"/>
        </w:rPr>
        <w:t>Havrdova</w:t>
      </w:r>
      <w:proofErr w:type="spellEnd"/>
      <w:r w:rsidRPr="004D5943">
        <w:rPr>
          <w:rFonts w:cs="Arial"/>
          <w:color w:val="0D0D0D" w:themeColor="text1" w:themeTint="F2"/>
          <w:szCs w:val="23"/>
          <w:shd w:val="clear" w:color="auto" w:fill="FFFFFF"/>
        </w:rPr>
        <w:t xml:space="preserve">, E. K., </w:t>
      </w:r>
      <w:proofErr w:type="spellStart"/>
      <w:r w:rsidRPr="004D5943">
        <w:rPr>
          <w:rFonts w:cs="Arial"/>
          <w:color w:val="0D0D0D" w:themeColor="text1" w:themeTint="F2"/>
          <w:szCs w:val="23"/>
          <w:shd w:val="clear" w:color="auto" w:fill="FFFFFF"/>
        </w:rPr>
        <w:t>Ruet</w:t>
      </w:r>
      <w:proofErr w:type="spellEnd"/>
      <w:r w:rsidRPr="004D5943">
        <w:rPr>
          <w:rFonts w:cs="Arial"/>
          <w:color w:val="0D0D0D" w:themeColor="text1" w:themeTint="F2"/>
          <w:szCs w:val="23"/>
          <w:shd w:val="clear" w:color="auto" w:fill="FFFFFF"/>
        </w:rPr>
        <w:t xml:space="preserve">, A., </w:t>
      </w:r>
      <w:proofErr w:type="spellStart"/>
      <w:r w:rsidRPr="004D5943">
        <w:rPr>
          <w:rFonts w:cs="Arial"/>
          <w:color w:val="0D0D0D" w:themeColor="text1" w:themeTint="F2"/>
          <w:szCs w:val="23"/>
          <w:shd w:val="clear" w:color="auto" w:fill="FFFFFF"/>
        </w:rPr>
        <w:t>Brochet</w:t>
      </w:r>
      <w:proofErr w:type="spellEnd"/>
      <w:r w:rsidRPr="004D5943">
        <w:rPr>
          <w:rFonts w:cs="Arial"/>
          <w:color w:val="0D0D0D" w:themeColor="text1" w:themeTint="F2"/>
          <w:szCs w:val="23"/>
          <w:shd w:val="clear" w:color="auto" w:fill="FFFFFF"/>
        </w:rPr>
        <w:t xml:space="preserve">, B., </w:t>
      </w:r>
      <w:proofErr w:type="spellStart"/>
      <w:r w:rsidRPr="004D5943">
        <w:rPr>
          <w:rFonts w:cs="Arial"/>
          <w:color w:val="0D0D0D" w:themeColor="text1" w:themeTint="F2"/>
          <w:szCs w:val="23"/>
          <w:shd w:val="clear" w:color="auto" w:fill="FFFFFF"/>
        </w:rPr>
        <w:t>Scalfari</w:t>
      </w:r>
      <w:proofErr w:type="spellEnd"/>
      <w:r w:rsidRPr="004D5943">
        <w:rPr>
          <w:rFonts w:cs="Arial"/>
          <w:color w:val="0D0D0D" w:themeColor="text1" w:themeTint="F2"/>
          <w:szCs w:val="23"/>
          <w:shd w:val="clear" w:color="auto" w:fill="FFFFFF"/>
        </w:rPr>
        <w:t xml:space="preserve">, A., Di Filippo, M., Tur, C., </w:t>
      </w:r>
      <w:proofErr w:type="spellStart"/>
      <w:r w:rsidRPr="004D5943">
        <w:rPr>
          <w:rFonts w:cs="Arial"/>
          <w:color w:val="0D0D0D" w:themeColor="text1" w:themeTint="F2"/>
          <w:szCs w:val="23"/>
          <w:shd w:val="clear" w:color="auto" w:fill="FFFFFF"/>
        </w:rPr>
        <w:t>Montalban</w:t>
      </w:r>
      <w:proofErr w:type="spellEnd"/>
      <w:r w:rsidRPr="004D5943">
        <w:rPr>
          <w:rFonts w:cs="Arial"/>
          <w:color w:val="0D0D0D" w:themeColor="text1" w:themeTint="F2"/>
          <w:szCs w:val="23"/>
          <w:shd w:val="clear" w:color="auto" w:fill="FFFFFF"/>
        </w:rPr>
        <w:t>, X., and Amato, M. P. (2024) “Multiple sclerosis: emerging epidemiological trends and redefining the clinical course,”</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The Lancet regional health. Europe</w:t>
      </w:r>
      <w:r w:rsidRPr="004D5943">
        <w:rPr>
          <w:rFonts w:cs="Arial"/>
          <w:color w:val="0D0D0D" w:themeColor="text1" w:themeTint="F2"/>
          <w:szCs w:val="23"/>
          <w:shd w:val="clear" w:color="auto" w:fill="FFFFFF"/>
        </w:rPr>
        <w:t xml:space="preserve">, 44. Available at: https://doi.org/10.1016/j.lanepe.2024.100977 </w:t>
      </w:r>
      <w:r w:rsidRPr="004D5943">
        <w:rPr>
          <w:rFonts w:cs="Arial"/>
          <w:color w:val="0D0D0D" w:themeColor="text1" w:themeTint="F2"/>
          <w:sz w:val="22"/>
          <w:szCs w:val="22"/>
        </w:rPr>
        <w:t>(Accessed: 10 March 2026).</w:t>
      </w:r>
    </w:p>
    <w:p w14:paraId="1BE217D3" w14:textId="77777777" w:rsidR="006379C5" w:rsidRPr="004D5943" w:rsidRDefault="006379C5" w:rsidP="006379C5">
      <w:pPr>
        <w:rPr>
          <w:rFonts w:cs="Arial"/>
          <w:color w:val="0D0D0D" w:themeColor="text1" w:themeTint="F2"/>
          <w:szCs w:val="23"/>
          <w:shd w:val="clear" w:color="auto" w:fill="FFFFFF"/>
        </w:rPr>
      </w:pPr>
    </w:p>
    <w:p w14:paraId="4BB8B824"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Rashid, W., Ciccarelli, O., Leary, S. M., Arun, T., Doshi, A., </w:t>
      </w:r>
      <w:proofErr w:type="spellStart"/>
      <w:r w:rsidRPr="004D5943">
        <w:rPr>
          <w:rFonts w:cs="Arial"/>
          <w:color w:val="0D0D0D" w:themeColor="text1" w:themeTint="F2"/>
          <w:szCs w:val="23"/>
          <w:shd w:val="clear" w:color="auto" w:fill="FFFFFF"/>
        </w:rPr>
        <w:t>Evangelou</w:t>
      </w:r>
      <w:proofErr w:type="spellEnd"/>
      <w:r w:rsidRPr="004D5943">
        <w:rPr>
          <w:rFonts w:cs="Arial"/>
          <w:color w:val="0D0D0D" w:themeColor="text1" w:themeTint="F2"/>
          <w:szCs w:val="23"/>
          <w:shd w:val="clear" w:color="auto" w:fill="FFFFFF"/>
        </w:rPr>
        <w:t xml:space="preserve">, N., Ford, H. L., Hobart, J., Jacob, S., </w:t>
      </w:r>
      <w:proofErr w:type="spellStart"/>
      <w:r w:rsidRPr="004D5943">
        <w:rPr>
          <w:rFonts w:cs="Arial"/>
          <w:color w:val="0D0D0D" w:themeColor="text1" w:themeTint="F2"/>
          <w:szCs w:val="23"/>
          <w:shd w:val="clear" w:color="auto" w:fill="FFFFFF"/>
        </w:rPr>
        <w:t>Muraro</w:t>
      </w:r>
      <w:proofErr w:type="spellEnd"/>
      <w:r w:rsidRPr="004D5943">
        <w:rPr>
          <w:rFonts w:cs="Arial"/>
          <w:color w:val="0D0D0D" w:themeColor="text1" w:themeTint="F2"/>
          <w:szCs w:val="23"/>
          <w:shd w:val="clear" w:color="auto" w:fill="FFFFFF"/>
        </w:rPr>
        <w:t>, P. A., Murray, K., Palace, J., and Dobson, R. (2025).</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“Using disease-modifying treatments in multiple sclerosis: Association of British Neurologists (ABN) 2024 guidance,”</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Practical neurology</w:t>
      </w:r>
      <w:r w:rsidRPr="004D5943">
        <w:rPr>
          <w:rFonts w:cs="Arial"/>
          <w:color w:val="0D0D0D" w:themeColor="text1" w:themeTint="F2"/>
          <w:szCs w:val="23"/>
          <w:shd w:val="clear" w:color="auto" w:fill="FFFFFF"/>
        </w:rPr>
        <w:t>, 25(1), pp. 18–24. Available at: https://doi.org/10.1136/pn-2024-004228.</w:t>
      </w:r>
      <w:r w:rsidRPr="004D5943">
        <w:rPr>
          <w:rFonts w:cs="Arial"/>
          <w:color w:val="0D0D0D" w:themeColor="text1" w:themeTint="F2"/>
          <w:sz w:val="22"/>
          <w:szCs w:val="22"/>
        </w:rPr>
        <w:t xml:space="preserve"> (Accessed: 4 March 2026).</w:t>
      </w:r>
    </w:p>
    <w:p w14:paraId="087D29A7" w14:textId="77777777" w:rsidR="006379C5" w:rsidRPr="004D5943" w:rsidRDefault="006379C5" w:rsidP="006379C5">
      <w:pPr>
        <w:rPr>
          <w:rFonts w:cs="Arial"/>
          <w:color w:val="0D0D0D" w:themeColor="text1" w:themeTint="F2"/>
          <w:szCs w:val="23"/>
          <w:shd w:val="clear" w:color="auto" w:fill="FFFFFF"/>
        </w:rPr>
      </w:pPr>
    </w:p>
    <w:p w14:paraId="44B3A6B6"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Tank, P., Jacobs, B. M., </w:t>
      </w:r>
      <w:proofErr w:type="spellStart"/>
      <w:r w:rsidRPr="004D5943">
        <w:rPr>
          <w:rFonts w:cs="Arial"/>
          <w:color w:val="0D0D0D" w:themeColor="text1" w:themeTint="F2"/>
          <w:szCs w:val="23"/>
          <w:shd w:val="clear" w:color="auto" w:fill="FFFFFF"/>
        </w:rPr>
        <w:t>Bestwick</w:t>
      </w:r>
      <w:proofErr w:type="spellEnd"/>
      <w:r w:rsidRPr="004D5943">
        <w:rPr>
          <w:rFonts w:cs="Arial"/>
          <w:color w:val="0D0D0D" w:themeColor="text1" w:themeTint="F2"/>
          <w:szCs w:val="23"/>
          <w:shd w:val="clear" w:color="auto" w:fill="FFFFFF"/>
        </w:rPr>
        <w:t>, J., and Dobson, R. (2026).</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 xml:space="preserve"> “Pre</w:t>
      </w:r>
      <w:r w:rsidRPr="004D5943">
        <w:rPr>
          <w:rFonts w:ascii="Cambria Math" w:hAnsi="Cambria Math" w:cs="Cambria Math"/>
          <w:color w:val="0D0D0D" w:themeColor="text1" w:themeTint="F2"/>
          <w:szCs w:val="23"/>
          <w:shd w:val="clear" w:color="auto" w:fill="FFFFFF"/>
        </w:rPr>
        <w:t>‐</w:t>
      </w:r>
      <w:r w:rsidRPr="004D5943">
        <w:rPr>
          <w:rFonts w:cs="Arial"/>
          <w:color w:val="0D0D0D" w:themeColor="text1" w:themeTint="F2"/>
          <w:szCs w:val="23"/>
          <w:shd w:val="clear" w:color="auto" w:fill="FFFFFF"/>
        </w:rPr>
        <w:t>Diagnostic Features of Multiple Sclerosis in a Diverse UK Cohort: A Nested Case–Control Study,”</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Annals of Clinical and Translational Neurology</w:t>
      </w:r>
      <w:r w:rsidRPr="004D5943">
        <w:rPr>
          <w:rFonts w:cs="Arial"/>
          <w:color w:val="0D0D0D" w:themeColor="text1" w:themeTint="F2"/>
          <w:szCs w:val="23"/>
          <w:shd w:val="clear" w:color="auto" w:fill="FFFFFF"/>
        </w:rPr>
        <w:t>, 13(1), pp. 71–84. Available at: https://doi.org/10.1002/acn3.70175.</w:t>
      </w:r>
      <w:r w:rsidRPr="004D5943">
        <w:rPr>
          <w:rFonts w:cs="Arial"/>
          <w:color w:val="0D0D0D" w:themeColor="text1" w:themeTint="F2"/>
          <w:sz w:val="22"/>
          <w:szCs w:val="22"/>
        </w:rPr>
        <w:t xml:space="preserve"> (Accessed: 15 March 2026).</w:t>
      </w:r>
    </w:p>
    <w:p w14:paraId="3B0F730D" w14:textId="77777777" w:rsidR="006379C5" w:rsidRPr="004D5943" w:rsidRDefault="006379C5" w:rsidP="006379C5">
      <w:pPr>
        <w:rPr>
          <w:rFonts w:cs="Arial"/>
          <w:color w:val="0D0D0D" w:themeColor="text1" w:themeTint="F2"/>
          <w:szCs w:val="23"/>
          <w:shd w:val="clear" w:color="auto" w:fill="FFFFFF"/>
        </w:rPr>
      </w:pPr>
    </w:p>
    <w:p w14:paraId="5ABD98E1" w14:textId="77777777" w:rsidR="006379C5" w:rsidRPr="004D5943" w:rsidRDefault="006379C5" w:rsidP="006379C5">
      <w:pPr>
        <w:rPr>
          <w:rFonts w:cs="Arial"/>
          <w:color w:val="0D0D0D" w:themeColor="text1" w:themeTint="F2"/>
          <w:szCs w:val="23"/>
          <w:shd w:val="clear" w:color="auto" w:fill="FFFFFF"/>
        </w:rPr>
      </w:pPr>
      <w:proofErr w:type="spellStart"/>
      <w:r w:rsidRPr="004D5943">
        <w:rPr>
          <w:rFonts w:cs="Arial"/>
          <w:color w:val="0D0D0D" w:themeColor="text1" w:themeTint="F2"/>
          <w:szCs w:val="23"/>
          <w:shd w:val="clear" w:color="auto" w:fill="FFFFFF"/>
        </w:rPr>
        <w:t>Vitturi</w:t>
      </w:r>
      <w:proofErr w:type="spellEnd"/>
      <w:r w:rsidRPr="004D5943">
        <w:rPr>
          <w:rFonts w:cs="Arial"/>
          <w:color w:val="0D0D0D" w:themeColor="text1" w:themeTint="F2"/>
          <w:szCs w:val="23"/>
          <w:shd w:val="clear" w:color="auto" w:fill="FFFFFF"/>
        </w:rPr>
        <w:t xml:space="preserve">, B. K., </w:t>
      </w:r>
      <w:proofErr w:type="spellStart"/>
      <w:r w:rsidRPr="004D5943">
        <w:rPr>
          <w:rFonts w:cs="Arial"/>
          <w:color w:val="0D0D0D" w:themeColor="text1" w:themeTint="F2"/>
          <w:szCs w:val="23"/>
          <w:shd w:val="clear" w:color="auto" w:fill="FFFFFF"/>
        </w:rPr>
        <w:t>Cellerino</w:t>
      </w:r>
      <w:proofErr w:type="spellEnd"/>
      <w:r w:rsidRPr="004D5943">
        <w:rPr>
          <w:rFonts w:cs="Arial"/>
          <w:color w:val="0D0D0D" w:themeColor="text1" w:themeTint="F2"/>
          <w:szCs w:val="23"/>
          <w:shd w:val="clear" w:color="auto" w:fill="FFFFFF"/>
        </w:rPr>
        <w:t xml:space="preserve">, M., Boccia, D., </w:t>
      </w:r>
      <w:proofErr w:type="spellStart"/>
      <w:r w:rsidRPr="004D5943">
        <w:rPr>
          <w:rFonts w:cs="Arial"/>
          <w:color w:val="0D0D0D" w:themeColor="text1" w:themeTint="F2"/>
          <w:szCs w:val="23"/>
          <w:shd w:val="clear" w:color="auto" w:fill="FFFFFF"/>
        </w:rPr>
        <w:t>Leray</w:t>
      </w:r>
      <w:proofErr w:type="spellEnd"/>
      <w:r w:rsidRPr="004D5943">
        <w:rPr>
          <w:rFonts w:cs="Arial"/>
          <w:color w:val="0D0D0D" w:themeColor="text1" w:themeTint="F2"/>
          <w:szCs w:val="23"/>
          <w:shd w:val="clear" w:color="auto" w:fill="FFFFFF"/>
        </w:rPr>
        <w:t xml:space="preserve">, E., </w:t>
      </w:r>
      <w:proofErr w:type="spellStart"/>
      <w:r w:rsidRPr="004D5943">
        <w:rPr>
          <w:rFonts w:cs="Arial"/>
          <w:color w:val="0D0D0D" w:themeColor="text1" w:themeTint="F2"/>
          <w:szCs w:val="23"/>
          <w:shd w:val="clear" w:color="auto" w:fill="FFFFFF"/>
        </w:rPr>
        <w:t>Correale</w:t>
      </w:r>
      <w:proofErr w:type="spellEnd"/>
      <w:r w:rsidRPr="004D5943">
        <w:rPr>
          <w:rFonts w:cs="Arial"/>
          <w:color w:val="0D0D0D" w:themeColor="text1" w:themeTint="F2"/>
          <w:szCs w:val="23"/>
          <w:shd w:val="clear" w:color="auto" w:fill="FFFFFF"/>
        </w:rPr>
        <w:t xml:space="preserve">, J., Dobson, R., Mei, I., </w:t>
      </w:r>
      <w:proofErr w:type="spellStart"/>
      <w:r w:rsidRPr="004D5943">
        <w:rPr>
          <w:rFonts w:cs="Arial"/>
          <w:color w:val="0D0D0D" w:themeColor="text1" w:themeTint="F2"/>
          <w:szCs w:val="23"/>
          <w:shd w:val="clear" w:color="auto" w:fill="FFFFFF"/>
        </w:rPr>
        <w:t>Fujihara</w:t>
      </w:r>
      <w:proofErr w:type="spellEnd"/>
      <w:r w:rsidRPr="004D5943">
        <w:rPr>
          <w:rFonts w:cs="Arial"/>
          <w:color w:val="0D0D0D" w:themeColor="text1" w:themeTint="F2"/>
          <w:szCs w:val="23"/>
          <w:shd w:val="clear" w:color="auto" w:fill="FFFFFF"/>
        </w:rPr>
        <w:t xml:space="preserve">, K., and Inglese, M. (2025). “Childhood and Adolescent Environmental Risk Factors for Multiple Sclerosis: A Systematic Review </w:t>
      </w:r>
      <w:proofErr w:type="gramStart"/>
      <w:r w:rsidRPr="004D5943">
        <w:rPr>
          <w:rFonts w:cs="Arial"/>
          <w:color w:val="0D0D0D" w:themeColor="text1" w:themeTint="F2"/>
          <w:szCs w:val="23"/>
          <w:shd w:val="clear" w:color="auto" w:fill="FFFFFF"/>
        </w:rPr>
        <w:t>With</w:t>
      </w:r>
      <w:proofErr w:type="gramEnd"/>
      <w:r w:rsidRPr="004D5943">
        <w:rPr>
          <w:rFonts w:cs="Arial"/>
          <w:color w:val="0D0D0D" w:themeColor="text1" w:themeTint="F2"/>
          <w:szCs w:val="23"/>
          <w:shd w:val="clear" w:color="auto" w:fill="FFFFFF"/>
        </w:rPr>
        <w:t xml:space="preserve"> Meta</w:t>
      </w:r>
      <w:r w:rsidRPr="004D5943">
        <w:rPr>
          <w:rFonts w:ascii="Cambria Math" w:hAnsi="Cambria Math" w:cs="Cambria Math"/>
          <w:color w:val="0D0D0D" w:themeColor="text1" w:themeTint="F2"/>
          <w:szCs w:val="23"/>
          <w:shd w:val="clear" w:color="auto" w:fill="FFFFFF"/>
        </w:rPr>
        <w:t>‐</w:t>
      </w:r>
      <w:r w:rsidRPr="004D5943">
        <w:rPr>
          <w:rFonts w:cs="Arial"/>
          <w:color w:val="0D0D0D" w:themeColor="text1" w:themeTint="F2"/>
          <w:szCs w:val="23"/>
          <w:shd w:val="clear" w:color="auto" w:fill="FFFFFF"/>
        </w:rPr>
        <w:t>Analysis,”</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European journal of neurology</w:t>
      </w:r>
      <w:r w:rsidRPr="004D5943">
        <w:rPr>
          <w:rFonts w:cs="Arial"/>
          <w:color w:val="0D0D0D" w:themeColor="text1" w:themeTint="F2"/>
          <w:szCs w:val="23"/>
          <w:shd w:val="clear" w:color="auto" w:fill="FFFFFF"/>
        </w:rPr>
        <w:t>, 32(11), pp. e70398-n/a. Available at: https://doi.org/10.1111/ene.70398.</w:t>
      </w:r>
      <w:r w:rsidRPr="004D5943">
        <w:rPr>
          <w:rFonts w:cs="Arial"/>
          <w:color w:val="0D0D0D" w:themeColor="text1" w:themeTint="F2"/>
          <w:sz w:val="22"/>
          <w:szCs w:val="22"/>
        </w:rPr>
        <w:t xml:space="preserve"> (Accessed: 7 March 2026).</w:t>
      </w:r>
    </w:p>
    <w:p w14:paraId="369EE3CE" w14:textId="77777777" w:rsidR="006379C5" w:rsidRPr="004D5943" w:rsidRDefault="006379C5" w:rsidP="006379C5">
      <w:pPr>
        <w:rPr>
          <w:rFonts w:cs="Arial"/>
          <w:color w:val="0D0D0D" w:themeColor="text1" w:themeTint="F2"/>
          <w:szCs w:val="23"/>
          <w:shd w:val="clear" w:color="auto" w:fill="FFFFFF"/>
        </w:rPr>
      </w:pPr>
    </w:p>
    <w:p w14:paraId="0896172D"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 xml:space="preserve">Walton, C., King, R., </w:t>
      </w:r>
      <w:proofErr w:type="spellStart"/>
      <w:r w:rsidRPr="004D5943">
        <w:rPr>
          <w:rFonts w:cs="Arial"/>
          <w:color w:val="0D0D0D" w:themeColor="text1" w:themeTint="F2"/>
          <w:szCs w:val="23"/>
          <w:shd w:val="clear" w:color="auto" w:fill="FFFFFF"/>
        </w:rPr>
        <w:t>Rechtman</w:t>
      </w:r>
      <w:proofErr w:type="spellEnd"/>
      <w:r w:rsidRPr="004D5943">
        <w:rPr>
          <w:rFonts w:cs="Arial"/>
          <w:color w:val="0D0D0D" w:themeColor="text1" w:themeTint="F2"/>
          <w:szCs w:val="23"/>
          <w:shd w:val="clear" w:color="auto" w:fill="FFFFFF"/>
        </w:rPr>
        <w:t xml:space="preserve">, L., Kaye, W., </w:t>
      </w:r>
      <w:proofErr w:type="spellStart"/>
      <w:r w:rsidRPr="004D5943">
        <w:rPr>
          <w:rFonts w:cs="Arial"/>
          <w:color w:val="0D0D0D" w:themeColor="text1" w:themeTint="F2"/>
          <w:szCs w:val="23"/>
          <w:shd w:val="clear" w:color="auto" w:fill="FFFFFF"/>
        </w:rPr>
        <w:t>Leray</w:t>
      </w:r>
      <w:proofErr w:type="spellEnd"/>
      <w:r w:rsidRPr="004D5943">
        <w:rPr>
          <w:rFonts w:cs="Arial"/>
          <w:color w:val="0D0D0D" w:themeColor="text1" w:themeTint="F2"/>
          <w:szCs w:val="23"/>
          <w:shd w:val="clear" w:color="auto" w:fill="FFFFFF"/>
        </w:rPr>
        <w:t xml:space="preserve">, E., </w:t>
      </w:r>
      <w:proofErr w:type="spellStart"/>
      <w:r w:rsidRPr="004D5943">
        <w:rPr>
          <w:rFonts w:cs="Arial"/>
          <w:color w:val="0D0D0D" w:themeColor="text1" w:themeTint="F2"/>
          <w:szCs w:val="23"/>
          <w:shd w:val="clear" w:color="auto" w:fill="FFFFFF"/>
        </w:rPr>
        <w:t>Marrie</w:t>
      </w:r>
      <w:proofErr w:type="spellEnd"/>
      <w:r w:rsidRPr="004D5943">
        <w:rPr>
          <w:rFonts w:cs="Arial"/>
          <w:color w:val="0D0D0D" w:themeColor="text1" w:themeTint="F2"/>
          <w:szCs w:val="23"/>
          <w:shd w:val="clear" w:color="auto" w:fill="FFFFFF"/>
        </w:rPr>
        <w:t xml:space="preserve">, R. A., Robertson, N., La Rocca, N., </w:t>
      </w:r>
      <w:proofErr w:type="spellStart"/>
      <w:r w:rsidRPr="004D5943">
        <w:rPr>
          <w:rFonts w:cs="Arial"/>
          <w:color w:val="0D0D0D" w:themeColor="text1" w:themeTint="F2"/>
          <w:szCs w:val="23"/>
          <w:shd w:val="clear" w:color="auto" w:fill="FFFFFF"/>
        </w:rPr>
        <w:t>Uitdehaag</w:t>
      </w:r>
      <w:proofErr w:type="spellEnd"/>
      <w:r w:rsidRPr="004D5943">
        <w:rPr>
          <w:rFonts w:cs="Arial"/>
          <w:color w:val="0D0D0D" w:themeColor="text1" w:themeTint="F2"/>
          <w:szCs w:val="23"/>
          <w:shd w:val="clear" w:color="auto" w:fill="FFFFFF"/>
        </w:rPr>
        <w:t xml:space="preserve">, B., van der Mei, I., </w:t>
      </w:r>
      <w:proofErr w:type="spellStart"/>
      <w:r w:rsidRPr="004D5943">
        <w:rPr>
          <w:rFonts w:cs="Arial"/>
          <w:color w:val="0D0D0D" w:themeColor="text1" w:themeTint="F2"/>
          <w:szCs w:val="23"/>
          <w:shd w:val="clear" w:color="auto" w:fill="FFFFFF"/>
        </w:rPr>
        <w:t>Wallin</w:t>
      </w:r>
      <w:proofErr w:type="spellEnd"/>
      <w:r w:rsidRPr="004D5943">
        <w:rPr>
          <w:rFonts w:cs="Arial"/>
          <w:color w:val="0D0D0D" w:themeColor="text1" w:themeTint="F2"/>
          <w:szCs w:val="23"/>
          <w:shd w:val="clear" w:color="auto" w:fill="FFFFFF"/>
        </w:rPr>
        <w:t xml:space="preserve">, M., </w:t>
      </w:r>
      <w:proofErr w:type="spellStart"/>
      <w:r w:rsidRPr="004D5943">
        <w:rPr>
          <w:rFonts w:cs="Arial"/>
          <w:color w:val="0D0D0D" w:themeColor="text1" w:themeTint="F2"/>
          <w:szCs w:val="23"/>
          <w:shd w:val="clear" w:color="auto" w:fill="FFFFFF"/>
        </w:rPr>
        <w:t>Helme</w:t>
      </w:r>
      <w:proofErr w:type="spellEnd"/>
      <w:r w:rsidRPr="004D5943">
        <w:rPr>
          <w:rFonts w:cs="Arial"/>
          <w:color w:val="0D0D0D" w:themeColor="text1" w:themeTint="F2"/>
          <w:szCs w:val="23"/>
          <w:shd w:val="clear" w:color="auto" w:fill="FFFFFF"/>
        </w:rPr>
        <w:t xml:space="preserve">, A., </w:t>
      </w:r>
      <w:proofErr w:type="spellStart"/>
      <w:r w:rsidRPr="004D5943">
        <w:rPr>
          <w:rFonts w:cs="Arial"/>
          <w:color w:val="0D0D0D" w:themeColor="text1" w:themeTint="F2"/>
          <w:szCs w:val="23"/>
          <w:shd w:val="clear" w:color="auto" w:fill="FFFFFF"/>
        </w:rPr>
        <w:t>Angood</w:t>
      </w:r>
      <w:proofErr w:type="spellEnd"/>
      <w:r w:rsidRPr="004D5943">
        <w:rPr>
          <w:rFonts w:cs="Arial"/>
          <w:color w:val="0D0D0D" w:themeColor="text1" w:themeTint="F2"/>
          <w:szCs w:val="23"/>
          <w:shd w:val="clear" w:color="auto" w:fill="FFFFFF"/>
        </w:rPr>
        <w:t xml:space="preserve"> Napier, C., </w:t>
      </w:r>
      <w:proofErr w:type="spellStart"/>
      <w:r w:rsidRPr="004D5943">
        <w:rPr>
          <w:rFonts w:cs="Arial"/>
          <w:color w:val="0D0D0D" w:themeColor="text1" w:themeTint="F2"/>
          <w:szCs w:val="23"/>
          <w:shd w:val="clear" w:color="auto" w:fill="FFFFFF"/>
        </w:rPr>
        <w:t>Rijke</w:t>
      </w:r>
      <w:proofErr w:type="spellEnd"/>
      <w:r w:rsidRPr="004D5943">
        <w:rPr>
          <w:rFonts w:cs="Arial"/>
          <w:color w:val="0D0D0D" w:themeColor="text1" w:themeTint="F2"/>
          <w:szCs w:val="23"/>
          <w:shd w:val="clear" w:color="auto" w:fill="FFFFFF"/>
        </w:rPr>
        <w:t xml:space="preserve">, N., &amp; </w:t>
      </w:r>
      <w:proofErr w:type="spellStart"/>
      <w:r w:rsidRPr="004D5943">
        <w:rPr>
          <w:rFonts w:cs="Arial"/>
          <w:color w:val="0D0D0D" w:themeColor="text1" w:themeTint="F2"/>
          <w:szCs w:val="23"/>
          <w:shd w:val="clear" w:color="auto" w:fill="FFFFFF"/>
        </w:rPr>
        <w:t>Baneke</w:t>
      </w:r>
      <w:proofErr w:type="spellEnd"/>
      <w:r w:rsidRPr="004D5943">
        <w:rPr>
          <w:rFonts w:cs="Arial"/>
          <w:color w:val="0D0D0D" w:themeColor="text1" w:themeTint="F2"/>
          <w:szCs w:val="23"/>
          <w:shd w:val="clear" w:color="auto" w:fill="FFFFFF"/>
        </w:rPr>
        <w:t>, P. (2020).</w:t>
      </w:r>
      <w:r w:rsidRPr="004D5943">
        <w:rPr>
          <w:rStyle w:val="apple-converted-space"/>
          <w:rFonts w:cs="Arial"/>
          <w:color w:val="0D0D0D" w:themeColor="text1" w:themeTint="F2"/>
          <w:szCs w:val="23"/>
          <w:shd w:val="clear" w:color="auto" w:fill="FFFFFF"/>
        </w:rPr>
        <w:t> </w:t>
      </w:r>
      <w:r w:rsidRPr="004D5943">
        <w:rPr>
          <w:rFonts w:cs="Arial"/>
          <w:color w:val="0D0D0D" w:themeColor="text1" w:themeTint="F2"/>
          <w:szCs w:val="23"/>
          <w:shd w:val="clear" w:color="auto" w:fill="FFFFFF"/>
        </w:rPr>
        <w:t xml:space="preserve"> “Rising prevalence of multiple sclerosis worldwide: Insights from the Atlas of MS, third edition,”</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Multiple sclerosis</w:t>
      </w:r>
      <w:r w:rsidRPr="004D5943">
        <w:rPr>
          <w:rFonts w:cs="Arial"/>
          <w:color w:val="0D0D0D" w:themeColor="text1" w:themeTint="F2"/>
          <w:szCs w:val="23"/>
          <w:shd w:val="clear" w:color="auto" w:fill="FFFFFF"/>
        </w:rPr>
        <w:t>, 26(14), pp. 1816–1821. Available at: https://doi.org/10.1177/1352458520970841.</w:t>
      </w:r>
      <w:r w:rsidRPr="004D5943">
        <w:rPr>
          <w:rFonts w:cs="Arial"/>
          <w:color w:val="0D0D0D" w:themeColor="text1" w:themeTint="F2"/>
          <w:sz w:val="22"/>
          <w:szCs w:val="22"/>
        </w:rPr>
        <w:t xml:space="preserve"> (Accessed: 9 March 2026).</w:t>
      </w:r>
    </w:p>
    <w:p w14:paraId="0103DBD0" w14:textId="77777777" w:rsidR="006379C5" w:rsidRPr="004D5943" w:rsidRDefault="006379C5" w:rsidP="006379C5">
      <w:pPr>
        <w:rPr>
          <w:rFonts w:cs="Arial"/>
          <w:color w:val="0D0D0D" w:themeColor="text1" w:themeTint="F2"/>
          <w:szCs w:val="23"/>
          <w:shd w:val="clear" w:color="auto" w:fill="FFFFFF"/>
        </w:rPr>
      </w:pPr>
    </w:p>
    <w:p w14:paraId="0C147276" w14:textId="77777777" w:rsidR="006379C5" w:rsidRPr="004D5943" w:rsidRDefault="006379C5" w:rsidP="006379C5">
      <w:pPr>
        <w:rPr>
          <w:rFonts w:cs="Arial"/>
          <w:color w:val="0D0D0D" w:themeColor="text1" w:themeTint="F2"/>
          <w:szCs w:val="23"/>
          <w:shd w:val="clear" w:color="auto" w:fill="FFFFFF"/>
        </w:rPr>
      </w:pPr>
      <w:r w:rsidRPr="004D5943">
        <w:rPr>
          <w:rFonts w:cs="Arial"/>
          <w:color w:val="0D0D0D" w:themeColor="text1" w:themeTint="F2"/>
          <w:szCs w:val="23"/>
          <w:shd w:val="clear" w:color="auto" w:fill="FFFFFF"/>
        </w:rPr>
        <w:t>Zhao, P., Guan, C., Lu, J., Zhang, Y., Wang, B., Huang, L., Ye, D., Nan, H., Wang, J., and Xu, P. (2025). “Global, regional, and national trends and burden of multiple sclerosis in adolescents and young adults: a data analysis from 1990 to 2021 and projections to 2040,”</w:t>
      </w:r>
      <w:r w:rsidRPr="004D5943">
        <w:rPr>
          <w:rStyle w:val="apple-converted-space"/>
          <w:rFonts w:cs="Arial"/>
          <w:color w:val="0D0D0D" w:themeColor="text1" w:themeTint="F2"/>
          <w:szCs w:val="23"/>
          <w:shd w:val="clear" w:color="auto" w:fill="FFFFFF"/>
        </w:rPr>
        <w:t> </w:t>
      </w:r>
      <w:r w:rsidRPr="004D5943">
        <w:rPr>
          <w:rFonts w:cs="Arial"/>
          <w:i/>
          <w:iCs/>
          <w:color w:val="0D0D0D" w:themeColor="text1" w:themeTint="F2"/>
          <w:szCs w:val="23"/>
        </w:rPr>
        <w:t>Frontiers in immunology</w:t>
      </w:r>
      <w:r w:rsidRPr="004D5943">
        <w:rPr>
          <w:rFonts w:cs="Arial"/>
          <w:color w:val="0D0D0D" w:themeColor="text1" w:themeTint="F2"/>
          <w:szCs w:val="23"/>
          <w:shd w:val="clear" w:color="auto" w:fill="FFFFFF"/>
        </w:rPr>
        <w:t>, 16, p. 1685316. Available at: https://doi.org/10.3389/fimmu.2025.1685316.</w:t>
      </w:r>
      <w:r w:rsidRPr="004D5943">
        <w:rPr>
          <w:rFonts w:cs="Arial"/>
          <w:color w:val="0D0D0D" w:themeColor="text1" w:themeTint="F2"/>
          <w:sz w:val="22"/>
          <w:szCs w:val="22"/>
        </w:rPr>
        <w:t xml:space="preserve"> (Accessed: 11 March 2026).</w:t>
      </w:r>
    </w:p>
    <w:p w14:paraId="0B27CAD8" w14:textId="77777777" w:rsidR="00EE56E8" w:rsidRPr="004D5943" w:rsidRDefault="00EE56E8" w:rsidP="00583849">
      <w:pPr>
        <w:rPr>
          <w:rFonts w:cs="Arial"/>
          <w:b/>
          <w:bCs/>
          <w:color w:val="0D0D0D" w:themeColor="text1" w:themeTint="F2"/>
          <w:sz w:val="40"/>
          <w:szCs w:val="40"/>
        </w:rPr>
      </w:pPr>
    </w:p>
    <w:sectPr w:rsidR="00EE56E8" w:rsidRPr="004D5943">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E296A" w14:textId="77777777" w:rsidR="00C6083E" w:rsidRDefault="00C6083E" w:rsidP="00BB2F3A">
      <w:r>
        <w:separator/>
      </w:r>
    </w:p>
  </w:endnote>
  <w:endnote w:type="continuationSeparator" w:id="0">
    <w:p w14:paraId="5FA05D64" w14:textId="77777777" w:rsidR="00C6083E" w:rsidRDefault="00C6083E" w:rsidP="00BB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926846"/>
      <w:docPartObj>
        <w:docPartGallery w:val="Page Numbers (Bottom of Page)"/>
        <w:docPartUnique/>
      </w:docPartObj>
    </w:sdtPr>
    <w:sdtContent>
      <w:p w14:paraId="74270749" w14:textId="3CB1B54C" w:rsidR="00BB2F3A" w:rsidRDefault="00BB2F3A" w:rsidP="00973F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E3D6C" w14:textId="77777777" w:rsidR="00BB2F3A" w:rsidRDefault="00BB2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5580723"/>
      <w:docPartObj>
        <w:docPartGallery w:val="Page Numbers (Bottom of Page)"/>
        <w:docPartUnique/>
      </w:docPartObj>
    </w:sdtPr>
    <w:sdtContent>
      <w:p w14:paraId="6A8AB5C7" w14:textId="0C5C1EDA" w:rsidR="00BB2F3A" w:rsidRDefault="00BB2F3A" w:rsidP="00973F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8D9B47" w14:textId="77777777" w:rsidR="00BB2F3A" w:rsidRDefault="00BB2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37843" w14:textId="77777777" w:rsidR="00C6083E" w:rsidRDefault="00C6083E" w:rsidP="00BB2F3A">
      <w:r>
        <w:separator/>
      </w:r>
    </w:p>
  </w:footnote>
  <w:footnote w:type="continuationSeparator" w:id="0">
    <w:p w14:paraId="571FADBF" w14:textId="77777777" w:rsidR="00C6083E" w:rsidRDefault="00C6083E" w:rsidP="00BB2F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849"/>
    <w:rsid w:val="00001C5C"/>
    <w:rsid w:val="000025F2"/>
    <w:rsid w:val="00005DFE"/>
    <w:rsid w:val="000216F9"/>
    <w:rsid w:val="000235C9"/>
    <w:rsid w:val="00023C9F"/>
    <w:rsid w:val="00024E50"/>
    <w:rsid w:val="0002598B"/>
    <w:rsid w:val="000346EA"/>
    <w:rsid w:val="000424BE"/>
    <w:rsid w:val="00042E78"/>
    <w:rsid w:val="0005608C"/>
    <w:rsid w:val="00066EA2"/>
    <w:rsid w:val="000758DF"/>
    <w:rsid w:val="00077561"/>
    <w:rsid w:val="00084344"/>
    <w:rsid w:val="00091A72"/>
    <w:rsid w:val="00091F61"/>
    <w:rsid w:val="00092712"/>
    <w:rsid w:val="000A14CD"/>
    <w:rsid w:val="000A4B9B"/>
    <w:rsid w:val="000B21B8"/>
    <w:rsid w:val="000C2D83"/>
    <w:rsid w:val="000C2F0D"/>
    <w:rsid w:val="000C577C"/>
    <w:rsid w:val="000D5123"/>
    <w:rsid w:val="000D52DF"/>
    <w:rsid w:val="000D6AE3"/>
    <w:rsid w:val="000E1CDD"/>
    <w:rsid w:val="000F2248"/>
    <w:rsid w:val="000F3703"/>
    <w:rsid w:val="000F6CA4"/>
    <w:rsid w:val="00101DB4"/>
    <w:rsid w:val="00103054"/>
    <w:rsid w:val="00103B9A"/>
    <w:rsid w:val="001225D5"/>
    <w:rsid w:val="00135321"/>
    <w:rsid w:val="00141A9D"/>
    <w:rsid w:val="00161C76"/>
    <w:rsid w:val="00167425"/>
    <w:rsid w:val="00181894"/>
    <w:rsid w:val="001844D8"/>
    <w:rsid w:val="00193D82"/>
    <w:rsid w:val="001957EA"/>
    <w:rsid w:val="001A2C28"/>
    <w:rsid w:val="001A3916"/>
    <w:rsid w:val="001A60E1"/>
    <w:rsid w:val="001B1F3C"/>
    <w:rsid w:val="001C4807"/>
    <w:rsid w:val="001D3393"/>
    <w:rsid w:val="001D4315"/>
    <w:rsid w:val="001D4492"/>
    <w:rsid w:val="001D5E47"/>
    <w:rsid w:val="001D68E3"/>
    <w:rsid w:val="001F0779"/>
    <w:rsid w:val="001F1285"/>
    <w:rsid w:val="001F3F94"/>
    <w:rsid w:val="001F4C9E"/>
    <w:rsid w:val="00202547"/>
    <w:rsid w:val="0020411E"/>
    <w:rsid w:val="002049E4"/>
    <w:rsid w:val="0021691A"/>
    <w:rsid w:val="00227226"/>
    <w:rsid w:val="0022742A"/>
    <w:rsid w:val="002351A1"/>
    <w:rsid w:val="0023748B"/>
    <w:rsid w:val="00237C70"/>
    <w:rsid w:val="00237D7C"/>
    <w:rsid w:val="00237E56"/>
    <w:rsid w:val="002433ED"/>
    <w:rsid w:val="002445D3"/>
    <w:rsid w:val="002518C1"/>
    <w:rsid w:val="00251E77"/>
    <w:rsid w:val="0025374F"/>
    <w:rsid w:val="00254E6D"/>
    <w:rsid w:val="00254EDB"/>
    <w:rsid w:val="00255543"/>
    <w:rsid w:val="00256025"/>
    <w:rsid w:val="0026382B"/>
    <w:rsid w:val="00265F3C"/>
    <w:rsid w:val="00267D54"/>
    <w:rsid w:val="0027350B"/>
    <w:rsid w:val="002738F9"/>
    <w:rsid w:val="00280EB6"/>
    <w:rsid w:val="00284674"/>
    <w:rsid w:val="00286B8A"/>
    <w:rsid w:val="0028746A"/>
    <w:rsid w:val="0029073E"/>
    <w:rsid w:val="00297158"/>
    <w:rsid w:val="002A3421"/>
    <w:rsid w:val="002A447F"/>
    <w:rsid w:val="002B2C97"/>
    <w:rsid w:val="002B7AEB"/>
    <w:rsid w:val="002C0329"/>
    <w:rsid w:val="002C63A1"/>
    <w:rsid w:val="002D534E"/>
    <w:rsid w:val="002F0014"/>
    <w:rsid w:val="002F422A"/>
    <w:rsid w:val="002F69FC"/>
    <w:rsid w:val="00307A49"/>
    <w:rsid w:val="00307BE2"/>
    <w:rsid w:val="003143DC"/>
    <w:rsid w:val="003204D4"/>
    <w:rsid w:val="00325117"/>
    <w:rsid w:val="00332212"/>
    <w:rsid w:val="00334DB8"/>
    <w:rsid w:val="00336484"/>
    <w:rsid w:val="00352812"/>
    <w:rsid w:val="00366CE8"/>
    <w:rsid w:val="00382086"/>
    <w:rsid w:val="00394294"/>
    <w:rsid w:val="003949B1"/>
    <w:rsid w:val="00397633"/>
    <w:rsid w:val="003A38D3"/>
    <w:rsid w:val="003A3A08"/>
    <w:rsid w:val="003B1874"/>
    <w:rsid w:val="003C0CB9"/>
    <w:rsid w:val="003D35ED"/>
    <w:rsid w:val="003D6727"/>
    <w:rsid w:val="003E0843"/>
    <w:rsid w:val="003F3DF9"/>
    <w:rsid w:val="003F5409"/>
    <w:rsid w:val="004035C7"/>
    <w:rsid w:val="00405C2B"/>
    <w:rsid w:val="004168B9"/>
    <w:rsid w:val="00426EEB"/>
    <w:rsid w:val="00427F94"/>
    <w:rsid w:val="0044442E"/>
    <w:rsid w:val="00445A3B"/>
    <w:rsid w:val="00450268"/>
    <w:rsid w:val="0045548C"/>
    <w:rsid w:val="00463166"/>
    <w:rsid w:val="004730F1"/>
    <w:rsid w:val="004779A8"/>
    <w:rsid w:val="00477B8A"/>
    <w:rsid w:val="00480323"/>
    <w:rsid w:val="004869C6"/>
    <w:rsid w:val="00491A2A"/>
    <w:rsid w:val="004941FE"/>
    <w:rsid w:val="004A130C"/>
    <w:rsid w:val="004A3A55"/>
    <w:rsid w:val="004B0500"/>
    <w:rsid w:val="004B34D9"/>
    <w:rsid w:val="004B56C9"/>
    <w:rsid w:val="004B7751"/>
    <w:rsid w:val="004C02FD"/>
    <w:rsid w:val="004C3D67"/>
    <w:rsid w:val="004D5943"/>
    <w:rsid w:val="004F1BC3"/>
    <w:rsid w:val="004F3871"/>
    <w:rsid w:val="004F7805"/>
    <w:rsid w:val="00503232"/>
    <w:rsid w:val="00524369"/>
    <w:rsid w:val="00526A85"/>
    <w:rsid w:val="00531256"/>
    <w:rsid w:val="005312B8"/>
    <w:rsid w:val="005435C7"/>
    <w:rsid w:val="00544A84"/>
    <w:rsid w:val="0057153D"/>
    <w:rsid w:val="00572DE7"/>
    <w:rsid w:val="00580CF7"/>
    <w:rsid w:val="00580D10"/>
    <w:rsid w:val="005814AA"/>
    <w:rsid w:val="00581E46"/>
    <w:rsid w:val="00583849"/>
    <w:rsid w:val="0059122D"/>
    <w:rsid w:val="005951D5"/>
    <w:rsid w:val="005A576A"/>
    <w:rsid w:val="005B28E6"/>
    <w:rsid w:val="005B67FE"/>
    <w:rsid w:val="005B7B8E"/>
    <w:rsid w:val="005B7BF3"/>
    <w:rsid w:val="005C3820"/>
    <w:rsid w:val="005D3194"/>
    <w:rsid w:val="005D55EF"/>
    <w:rsid w:val="005D79AC"/>
    <w:rsid w:val="005F0039"/>
    <w:rsid w:val="005F0BCB"/>
    <w:rsid w:val="005F14FD"/>
    <w:rsid w:val="005F6EDF"/>
    <w:rsid w:val="00610652"/>
    <w:rsid w:val="00620646"/>
    <w:rsid w:val="00622E97"/>
    <w:rsid w:val="00636DD7"/>
    <w:rsid w:val="006379C5"/>
    <w:rsid w:val="00641C2D"/>
    <w:rsid w:val="00643C20"/>
    <w:rsid w:val="00654D45"/>
    <w:rsid w:val="006566DB"/>
    <w:rsid w:val="00661689"/>
    <w:rsid w:val="00661DF7"/>
    <w:rsid w:val="00670439"/>
    <w:rsid w:val="00693BF7"/>
    <w:rsid w:val="006970C5"/>
    <w:rsid w:val="006A2D52"/>
    <w:rsid w:val="006A3752"/>
    <w:rsid w:val="006A3F8A"/>
    <w:rsid w:val="006B0D73"/>
    <w:rsid w:val="006B34FF"/>
    <w:rsid w:val="006B4102"/>
    <w:rsid w:val="006B7482"/>
    <w:rsid w:val="006C2344"/>
    <w:rsid w:val="006E08A5"/>
    <w:rsid w:val="006E1076"/>
    <w:rsid w:val="006E59E2"/>
    <w:rsid w:val="006F17C5"/>
    <w:rsid w:val="006F2FE3"/>
    <w:rsid w:val="006F4128"/>
    <w:rsid w:val="006F4E33"/>
    <w:rsid w:val="006F78DD"/>
    <w:rsid w:val="00703C0B"/>
    <w:rsid w:val="0071331B"/>
    <w:rsid w:val="0071418C"/>
    <w:rsid w:val="00717E3D"/>
    <w:rsid w:val="00721B3F"/>
    <w:rsid w:val="007278E6"/>
    <w:rsid w:val="00733637"/>
    <w:rsid w:val="0073410B"/>
    <w:rsid w:val="00735827"/>
    <w:rsid w:val="007437D0"/>
    <w:rsid w:val="00744164"/>
    <w:rsid w:val="007469D8"/>
    <w:rsid w:val="00750CC7"/>
    <w:rsid w:val="007513FD"/>
    <w:rsid w:val="0075604D"/>
    <w:rsid w:val="00763DA8"/>
    <w:rsid w:val="0077029E"/>
    <w:rsid w:val="00781489"/>
    <w:rsid w:val="00784916"/>
    <w:rsid w:val="007923C7"/>
    <w:rsid w:val="00792C11"/>
    <w:rsid w:val="00792F82"/>
    <w:rsid w:val="007A1797"/>
    <w:rsid w:val="007A2444"/>
    <w:rsid w:val="007B5603"/>
    <w:rsid w:val="007B610D"/>
    <w:rsid w:val="007B6BA3"/>
    <w:rsid w:val="007B7D4E"/>
    <w:rsid w:val="007C1400"/>
    <w:rsid w:val="007C7E26"/>
    <w:rsid w:val="007D29B5"/>
    <w:rsid w:val="007D606A"/>
    <w:rsid w:val="007D72E1"/>
    <w:rsid w:val="007E623C"/>
    <w:rsid w:val="007F1D12"/>
    <w:rsid w:val="007F20DB"/>
    <w:rsid w:val="0080150D"/>
    <w:rsid w:val="008029C9"/>
    <w:rsid w:val="00811E64"/>
    <w:rsid w:val="0082542B"/>
    <w:rsid w:val="00852684"/>
    <w:rsid w:val="00852C2A"/>
    <w:rsid w:val="00853D18"/>
    <w:rsid w:val="00870FAD"/>
    <w:rsid w:val="008723F0"/>
    <w:rsid w:val="00872EF5"/>
    <w:rsid w:val="008739C1"/>
    <w:rsid w:val="00885063"/>
    <w:rsid w:val="00893E55"/>
    <w:rsid w:val="008A043E"/>
    <w:rsid w:val="008A3802"/>
    <w:rsid w:val="008A46E7"/>
    <w:rsid w:val="008B3223"/>
    <w:rsid w:val="008C0966"/>
    <w:rsid w:val="008C0C5D"/>
    <w:rsid w:val="008C1C99"/>
    <w:rsid w:val="008D65A5"/>
    <w:rsid w:val="008D6C3F"/>
    <w:rsid w:val="008D6CDD"/>
    <w:rsid w:val="008E36CF"/>
    <w:rsid w:val="008E495A"/>
    <w:rsid w:val="008E4D9C"/>
    <w:rsid w:val="008E7F55"/>
    <w:rsid w:val="00900284"/>
    <w:rsid w:val="00904FEF"/>
    <w:rsid w:val="00906981"/>
    <w:rsid w:val="00906DC0"/>
    <w:rsid w:val="00912BE0"/>
    <w:rsid w:val="009167DF"/>
    <w:rsid w:val="009170D8"/>
    <w:rsid w:val="0093128B"/>
    <w:rsid w:val="00935BC0"/>
    <w:rsid w:val="00950A13"/>
    <w:rsid w:val="00971953"/>
    <w:rsid w:val="009719CB"/>
    <w:rsid w:val="00972A71"/>
    <w:rsid w:val="00973AC4"/>
    <w:rsid w:val="00982E39"/>
    <w:rsid w:val="00987152"/>
    <w:rsid w:val="009B7C7F"/>
    <w:rsid w:val="009C1CED"/>
    <w:rsid w:val="009C257B"/>
    <w:rsid w:val="009C3D51"/>
    <w:rsid w:val="009D1ACD"/>
    <w:rsid w:val="009D2157"/>
    <w:rsid w:val="009D3EC3"/>
    <w:rsid w:val="009D5D9B"/>
    <w:rsid w:val="009E0683"/>
    <w:rsid w:val="009E0C65"/>
    <w:rsid w:val="009E3A14"/>
    <w:rsid w:val="009E5698"/>
    <w:rsid w:val="009E5B5E"/>
    <w:rsid w:val="009E6356"/>
    <w:rsid w:val="009F5C76"/>
    <w:rsid w:val="00A211BE"/>
    <w:rsid w:val="00A417CC"/>
    <w:rsid w:val="00A46C85"/>
    <w:rsid w:val="00A50579"/>
    <w:rsid w:val="00A52F0F"/>
    <w:rsid w:val="00A54B84"/>
    <w:rsid w:val="00A55577"/>
    <w:rsid w:val="00A57786"/>
    <w:rsid w:val="00A605EE"/>
    <w:rsid w:val="00A60CFD"/>
    <w:rsid w:val="00A6383F"/>
    <w:rsid w:val="00A64F82"/>
    <w:rsid w:val="00A71336"/>
    <w:rsid w:val="00A83862"/>
    <w:rsid w:val="00A94C81"/>
    <w:rsid w:val="00AB3CD7"/>
    <w:rsid w:val="00AB579D"/>
    <w:rsid w:val="00AD66DE"/>
    <w:rsid w:val="00AE2008"/>
    <w:rsid w:val="00AF474F"/>
    <w:rsid w:val="00AF4DE4"/>
    <w:rsid w:val="00B03D8A"/>
    <w:rsid w:val="00B1407E"/>
    <w:rsid w:val="00B21AA1"/>
    <w:rsid w:val="00B4282F"/>
    <w:rsid w:val="00B50CE4"/>
    <w:rsid w:val="00B6428F"/>
    <w:rsid w:val="00B646AA"/>
    <w:rsid w:val="00B72823"/>
    <w:rsid w:val="00B76247"/>
    <w:rsid w:val="00B85F51"/>
    <w:rsid w:val="00B85FC6"/>
    <w:rsid w:val="00B87798"/>
    <w:rsid w:val="00B9342E"/>
    <w:rsid w:val="00BA0D6B"/>
    <w:rsid w:val="00BA6506"/>
    <w:rsid w:val="00BB0E0C"/>
    <w:rsid w:val="00BB2106"/>
    <w:rsid w:val="00BB2F3A"/>
    <w:rsid w:val="00BB472A"/>
    <w:rsid w:val="00BB5640"/>
    <w:rsid w:val="00BC7982"/>
    <w:rsid w:val="00BD4129"/>
    <w:rsid w:val="00BD6611"/>
    <w:rsid w:val="00BE2C85"/>
    <w:rsid w:val="00C24BA1"/>
    <w:rsid w:val="00C25A97"/>
    <w:rsid w:val="00C345E0"/>
    <w:rsid w:val="00C3466E"/>
    <w:rsid w:val="00C348F3"/>
    <w:rsid w:val="00C35542"/>
    <w:rsid w:val="00C355D3"/>
    <w:rsid w:val="00C35C46"/>
    <w:rsid w:val="00C35F6D"/>
    <w:rsid w:val="00C571FB"/>
    <w:rsid w:val="00C600FB"/>
    <w:rsid w:val="00C6083E"/>
    <w:rsid w:val="00C85B51"/>
    <w:rsid w:val="00C85BE2"/>
    <w:rsid w:val="00C92A32"/>
    <w:rsid w:val="00CA2F31"/>
    <w:rsid w:val="00CA5D03"/>
    <w:rsid w:val="00CA7AEE"/>
    <w:rsid w:val="00CB286D"/>
    <w:rsid w:val="00CC78A3"/>
    <w:rsid w:val="00CD2322"/>
    <w:rsid w:val="00CD3114"/>
    <w:rsid w:val="00CD538A"/>
    <w:rsid w:val="00CD70CE"/>
    <w:rsid w:val="00CE280D"/>
    <w:rsid w:val="00CF0D17"/>
    <w:rsid w:val="00CF4D57"/>
    <w:rsid w:val="00D01DD5"/>
    <w:rsid w:val="00D05A7D"/>
    <w:rsid w:val="00D13D51"/>
    <w:rsid w:val="00D13D7D"/>
    <w:rsid w:val="00D15322"/>
    <w:rsid w:val="00D245B9"/>
    <w:rsid w:val="00D24DAF"/>
    <w:rsid w:val="00D25DFF"/>
    <w:rsid w:val="00D32537"/>
    <w:rsid w:val="00D4118B"/>
    <w:rsid w:val="00D417FF"/>
    <w:rsid w:val="00D41A44"/>
    <w:rsid w:val="00D4270A"/>
    <w:rsid w:val="00D43066"/>
    <w:rsid w:val="00D442F1"/>
    <w:rsid w:val="00D5682A"/>
    <w:rsid w:val="00D708B0"/>
    <w:rsid w:val="00D75B59"/>
    <w:rsid w:val="00D86E6A"/>
    <w:rsid w:val="00D87FA5"/>
    <w:rsid w:val="00D91FE7"/>
    <w:rsid w:val="00D935A1"/>
    <w:rsid w:val="00D95ACA"/>
    <w:rsid w:val="00DA39FE"/>
    <w:rsid w:val="00DB00E8"/>
    <w:rsid w:val="00DB262C"/>
    <w:rsid w:val="00DB3DB0"/>
    <w:rsid w:val="00DB535E"/>
    <w:rsid w:val="00DC26A6"/>
    <w:rsid w:val="00DD0F55"/>
    <w:rsid w:val="00DD55F5"/>
    <w:rsid w:val="00DD59B3"/>
    <w:rsid w:val="00DE2A9A"/>
    <w:rsid w:val="00DE3361"/>
    <w:rsid w:val="00E051CF"/>
    <w:rsid w:val="00E225B5"/>
    <w:rsid w:val="00E23617"/>
    <w:rsid w:val="00E26B79"/>
    <w:rsid w:val="00E27778"/>
    <w:rsid w:val="00E318B4"/>
    <w:rsid w:val="00E44E4A"/>
    <w:rsid w:val="00E500BD"/>
    <w:rsid w:val="00E5040A"/>
    <w:rsid w:val="00E602DB"/>
    <w:rsid w:val="00E701E6"/>
    <w:rsid w:val="00E82F6D"/>
    <w:rsid w:val="00E93309"/>
    <w:rsid w:val="00E93702"/>
    <w:rsid w:val="00E93A10"/>
    <w:rsid w:val="00E9434D"/>
    <w:rsid w:val="00E97412"/>
    <w:rsid w:val="00E97930"/>
    <w:rsid w:val="00E97B32"/>
    <w:rsid w:val="00E97F4E"/>
    <w:rsid w:val="00EA4B8E"/>
    <w:rsid w:val="00EA5CD2"/>
    <w:rsid w:val="00EB32AC"/>
    <w:rsid w:val="00EB473F"/>
    <w:rsid w:val="00EC1B25"/>
    <w:rsid w:val="00ED2C5E"/>
    <w:rsid w:val="00ED66A5"/>
    <w:rsid w:val="00ED7521"/>
    <w:rsid w:val="00EE56E8"/>
    <w:rsid w:val="00EE77CE"/>
    <w:rsid w:val="00F0181C"/>
    <w:rsid w:val="00F05CC3"/>
    <w:rsid w:val="00F05FBB"/>
    <w:rsid w:val="00F1125E"/>
    <w:rsid w:val="00F17CD4"/>
    <w:rsid w:val="00F25165"/>
    <w:rsid w:val="00F3552C"/>
    <w:rsid w:val="00F4362E"/>
    <w:rsid w:val="00F44659"/>
    <w:rsid w:val="00F4708D"/>
    <w:rsid w:val="00F471DC"/>
    <w:rsid w:val="00F620D8"/>
    <w:rsid w:val="00F62547"/>
    <w:rsid w:val="00F633A6"/>
    <w:rsid w:val="00F64A54"/>
    <w:rsid w:val="00F6628E"/>
    <w:rsid w:val="00F6713A"/>
    <w:rsid w:val="00F705F1"/>
    <w:rsid w:val="00F72770"/>
    <w:rsid w:val="00F7405E"/>
    <w:rsid w:val="00F82D22"/>
    <w:rsid w:val="00F84574"/>
    <w:rsid w:val="00F93F5F"/>
    <w:rsid w:val="00F945E9"/>
    <w:rsid w:val="00F95983"/>
    <w:rsid w:val="00FA31F8"/>
    <w:rsid w:val="00FB130B"/>
    <w:rsid w:val="00FB5546"/>
    <w:rsid w:val="00FB5BEA"/>
    <w:rsid w:val="00FC2C04"/>
    <w:rsid w:val="00FC7396"/>
    <w:rsid w:val="00FD72AE"/>
    <w:rsid w:val="00FE0BB5"/>
    <w:rsid w:val="00FE45CF"/>
    <w:rsid w:val="00FF14B1"/>
    <w:rsid w:val="00FF2894"/>
    <w:rsid w:val="00FF31B5"/>
    <w:rsid w:val="00FF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5819"/>
  <w15:chartTrackingRefBased/>
  <w15:docId w15:val="{D78272A3-C191-3841-BA4C-25238BBE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3"/>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8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8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838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8384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384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384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384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8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8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838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838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838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838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838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83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8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8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838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3849"/>
    <w:rPr>
      <w:i/>
      <w:iCs/>
      <w:color w:val="404040" w:themeColor="text1" w:themeTint="BF"/>
    </w:rPr>
  </w:style>
  <w:style w:type="paragraph" w:styleId="ListParagraph">
    <w:name w:val="List Paragraph"/>
    <w:basedOn w:val="Normal"/>
    <w:uiPriority w:val="34"/>
    <w:qFormat/>
    <w:rsid w:val="00583849"/>
    <w:pPr>
      <w:ind w:left="720"/>
      <w:contextualSpacing/>
    </w:pPr>
  </w:style>
  <w:style w:type="character" w:styleId="IntenseEmphasis">
    <w:name w:val="Intense Emphasis"/>
    <w:basedOn w:val="DefaultParagraphFont"/>
    <w:uiPriority w:val="21"/>
    <w:qFormat/>
    <w:rsid w:val="00583849"/>
    <w:rPr>
      <w:i/>
      <w:iCs/>
      <w:color w:val="0F4761" w:themeColor="accent1" w:themeShade="BF"/>
    </w:rPr>
  </w:style>
  <w:style w:type="paragraph" w:styleId="IntenseQuote">
    <w:name w:val="Intense Quote"/>
    <w:basedOn w:val="Normal"/>
    <w:next w:val="Normal"/>
    <w:link w:val="IntenseQuoteChar"/>
    <w:uiPriority w:val="30"/>
    <w:qFormat/>
    <w:rsid w:val="00583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849"/>
    <w:rPr>
      <w:i/>
      <w:iCs/>
      <w:color w:val="0F4761" w:themeColor="accent1" w:themeShade="BF"/>
    </w:rPr>
  </w:style>
  <w:style w:type="character" w:styleId="IntenseReference">
    <w:name w:val="Intense Reference"/>
    <w:basedOn w:val="DefaultParagraphFont"/>
    <w:uiPriority w:val="32"/>
    <w:qFormat/>
    <w:rsid w:val="00583849"/>
    <w:rPr>
      <w:b/>
      <w:bCs/>
      <w:smallCaps/>
      <w:color w:val="0F4761" w:themeColor="accent1" w:themeShade="BF"/>
      <w:spacing w:val="5"/>
    </w:rPr>
  </w:style>
  <w:style w:type="character" w:customStyle="1" w:styleId="apple-converted-space">
    <w:name w:val="apple-converted-space"/>
    <w:basedOn w:val="DefaultParagraphFont"/>
    <w:rsid w:val="00135321"/>
  </w:style>
  <w:style w:type="character" w:styleId="Strong">
    <w:name w:val="Strong"/>
    <w:basedOn w:val="DefaultParagraphFont"/>
    <w:uiPriority w:val="22"/>
    <w:qFormat/>
    <w:rsid w:val="007D606A"/>
    <w:rPr>
      <w:b/>
      <w:bCs/>
    </w:rPr>
  </w:style>
  <w:style w:type="character" w:styleId="Hyperlink">
    <w:name w:val="Hyperlink"/>
    <w:basedOn w:val="DefaultParagraphFont"/>
    <w:uiPriority w:val="99"/>
    <w:unhideWhenUsed/>
    <w:rsid w:val="006B34FF"/>
    <w:rPr>
      <w:color w:val="467886" w:themeColor="hyperlink"/>
      <w:u w:val="single"/>
    </w:rPr>
  </w:style>
  <w:style w:type="character" w:styleId="UnresolvedMention">
    <w:name w:val="Unresolved Mention"/>
    <w:basedOn w:val="DefaultParagraphFont"/>
    <w:uiPriority w:val="99"/>
    <w:semiHidden/>
    <w:unhideWhenUsed/>
    <w:rsid w:val="006B34FF"/>
    <w:rPr>
      <w:color w:val="605E5C"/>
      <w:shd w:val="clear" w:color="auto" w:fill="E1DFDD"/>
    </w:rPr>
  </w:style>
  <w:style w:type="paragraph" w:styleId="NormalWeb">
    <w:name w:val="Normal (Web)"/>
    <w:basedOn w:val="Normal"/>
    <w:uiPriority w:val="99"/>
    <w:unhideWhenUsed/>
    <w:rsid w:val="001A2C28"/>
    <w:pPr>
      <w:spacing w:before="100" w:beforeAutospacing="1" w:after="100" w:afterAutospacing="1"/>
    </w:pPr>
    <w:rPr>
      <w:rFonts w:ascii="Times New Roman" w:eastAsia="Times New Roman" w:hAnsi="Times New Roman" w:cs="Times New Roman"/>
      <w:kern w:val="0"/>
      <w:sz w:val="24"/>
      <w:lang w:eastAsia="en-GB"/>
      <w14:ligatures w14:val="none"/>
    </w:rPr>
  </w:style>
  <w:style w:type="paragraph" w:styleId="Footer">
    <w:name w:val="footer"/>
    <w:basedOn w:val="Normal"/>
    <w:link w:val="FooterChar"/>
    <w:uiPriority w:val="99"/>
    <w:unhideWhenUsed/>
    <w:rsid w:val="00BB2F3A"/>
    <w:pPr>
      <w:tabs>
        <w:tab w:val="center" w:pos="4513"/>
        <w:tab w:val="right" w:pos="9026"/>
      </w:tabs>
    </w:pPr>
  </w:style>
  <w:style w:type="character" w:customStyle="1" w:styleId="FooterChar">
    <w:name w:val="Footer Char"/>
    <w:basedOn w:val="DefaultParagraphFont"/>
    <w:link w:val="Footer"/>
    <w:uiPriority w:val="99"/>
    <w:rsid w:val="00BB2F3A"/>
  </w:style>
  <w:style w:type="character" w:styleId="PageNumber">
    <w:name w:val="page number"/>
    <w:basedOn w:val="DefaultParagraphFont"/>
    <w:uiPriority w:val="99"/>
    <w:semiHidden/>
    <w:unhideWhenUsed/>
    <w:rsid w:val="00BB2F3A"/>
  </w:style>
  <w:style w:type="character" w:styleId="FollowedHyperlink">
    <w:name w:val="FollowedHyperlink"/>
    <w:basedOn w:val="DefaultParagraphFont"/>
    <w:uiPriority w:val="99"/>
    <w:semiHidden/>
    <w:unhideWhenUsed/>
    <w:rsid w:val="00B21A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9301">
      <w:bodyDiv w:val="1"/>
      <w:marLeft w:val="0"/>
      <w:marRight w:val="0"/>
      <w:marTop w:val="0"/>
      <w:marBottom w:val="0"/>
      <w:divBdr>
        <w:top w:val="none" w:sz="0" w:space="0" w:color="auto"/>
        <w:left w:val="none" w:sz="0" w:space="0" w:color="auto"/>
        <w:bottom w:val="none" w:sz="0" w:space="0" w:color="auto"/>
        <w:right w:val="none" w:sz="0" w:space="0" w:color="auto"/>
      </w:divBdr>
      <w:divsChild>
        <w:div w:id="420689300">
          <w:marLeft w:val="0"/>
          <w:marRight w:val="0"/>
          <w:marTop w:val="0"/>
          <w:marBottom w:val="0"/>
          <w:divBdr>
            <w:top w:val="none" w:sz="0" w:space="0" w:color="auto"/>
            <w:left w:val="none" w:sz="0" w:space="0" w:color="auto"/>
            <w:bottom w:val="none" w:sz="0" w:space="0" w:color="auto"/>
            <w:right w:val="none" w:sz="0" w:space="0" w:color="auto"/>
          </w:divBdr>
        </w:div>
      </w:divsChild>
    </w:div>
    <w:div w:id="630670872">
      <w:bodyDiv w:val="1"/>
      <w:marLeft w:val="0"/>
      <w:marRight w:val="0"/>
      <w:marTop w:val="0"/>
      <w:marBottom w:val="0"/>
      <w:divBdr>
        <w:top w:val="none" w:sz="0" w:space="0" w:color="auto"/>
        <w:left w:val="none" w:sz="0" w:space="0" w:color="auto"/>
        <w:bottom w:val="none" w:sz="0" w:space="0" w:color="auto"/>
        <w:right w:val="none" w:sz="0" w:space="0" w:color="auto"/>
      </w:divBdr>
      <w:divsChild>
        <w:div w:id="1792895425">
          <w:marLeft w:val="0"/>
          <w:marRight w:val="0"/>
          <w:marTop w:val="0"/>
          <w:marBottom w:val="0"/>
          <w:divBdr>
            <w:top w:val="none" w:sz="0" w:space="0" w:color="auto"/>
            <w:left w:val="none" w:sz="0" w:space="0" w:color="auto"/>
            <w:bottom w:val="none" w:sz="0" w:space="0" w:color="auto"/>
            <w:right w:val="none" w:sz="0" w:space="0" w:color="auto"/>
          </w:divBdr>
        </w:div>
      </w:divsChild>
    </w:div>
    <w:div w:id="649285160">
      <w:bodyDiv w:val="1"/>
      <w:marLeft w:val="0"/>
      <w:marRight w:val="0"/>
      <w:marTop w:val="0"/>
      <w:marBottom w:val="0"/>
      <w:divBdr>
        <w:top w:val="none" w:sz="0" w:space="0" w:color="auto"/>
        <w:left w:val="none" w:sz="0" w:space="0" w:color="auto"/>
        <w:bottom w:val="none" w:sz="0" w:space="0" w:color="auto"/>
        <w:right w:val="none" w:sz="0" w:space="0" w:color="auto"/>
      </w:divBdr>
      <w:divsChild>
        <w:div w:id="1070662240">
          <w:marLeft w:val="0"/>
          <w:marRight w:val="0"/>
          <w:marTop w:val="0"/>
          <w:marBottom w:val="0"/>
          <w:divBdr>
            <w:top w:val="none" w:sz="0" w:space="0" w:color="auto"/>
            <w:left w:val="none" w:sz="0" w:space="0" w:color="auto"/>
            <w:bottom w:val="none" w:sz="0" w:space="0" w:color="auto"/>
            <w:right w:val="none" w:sz="0" w:space="0" w:color="auto"/>
          </w:divBdr>
        </w:div>
      </w:divsChild>
    </w:div>
    <w:div w:id="805585261">
      <w:bodyDiv w:val="1"/>
      <w:marLeft w:val="0"/>
      <w:marRight w:val="0"/>
      <w:marTop w:val="0"/>
      <w:marBottom w:val="0"/>
      <w:divBdr>
        <w:top w:val="none" w:sz="0" w:space="0" w:color="auto"/>
        <w:left w:val="none" w:sz="0" w:space="0" w:color="auto"/>
        <w:bottom w:val="none" w:sz="0" w:space="0" w:color="auto"/>
        <w:right w:val="none" w:sz="0" w:space="0" w:color="auto"/>
      </w:divBdr>
      <w:divsChild>
        <w:div w:id="49623405">
          <w:marLeft w:val="0"/>
          <w:marRight w:val="0"/>
          <w:marTop w:val="0"/>
          <w:marBottom w:val="0"/>
          <w:divBdr>
            <w:top w:val="none" w:sz="0" w:space="0" w:color="auto"/>
            <w:left w:val="none" w:sz="0" w:space="0" w:color="auto"/>
            <w:bottom w:val="none" w:sz="0" w:space="0" w:color="auto"/>
            <w:right w:val="none" w:sz="0" w:space="0" w:color="auto"/>
          </w:divBdr>
        </w:div>
      </w:divsChild>
    </w:div>
    <w:div w:id="884832003">
      <w:bodyDiv w:val="1"/>
      <w:marLeft w:val="0"/>
      <w:marRight w:val="0"/>
      <w:marTop w:val="0"/>
      <w:marBottom w:val="0"/>
      <w:divBdr>
        <w:top w:val="none" w:sz="0" w:space="0" w:color="auto"/>
        <w:left w:val="none" w:sz="0" w:space="0" w:color="auto"/>
        <w:bottom w:val="none" w:sz="0" w:space="0" w:color="auto"/>
        <w:right w:val="none" w:sz="0" w:space="0" w:color="auto"/>
      </w:divBdr>
      <w:divsChild>
        <w:div w:id="429013247">
          <w:marLeft w:val="0"/>
          <w:marRight w:val="0"/>
          <w:marTop w:val="0"/>
          <w:marBottom w:val="0"/>
          <w:divBdr>
            <w:top w:val="none" w:sz="0" w:space="0" w:color="auto"/>
            <w:left w:val="none" w:sz="0" w:space="0" w:color="auto"/>
            <w:bottom w:val="none" w:sz="0" w:space="0" w:color="auto"/>
            <w:right w:val="none" w:sz="0" w:space="0" w:color="auto"/>
          </w:divBdr>
        </w:div>
      </w:divsChild>
    </w:div>
    <w:div w:id="994574426">
      <w:bodyDiv w:val="1"/>
      <w:marLeft w:val="0"/>
      <w:marRight w:val="0"/>
      <w:marTop w:val="0"/>
      <w:marBottom w:val="0"/>
      <w:divBdr>
        <w:top w:val="none" w:sz="0" w:space="0" w:color="auto"/>
        <w:left w:val="none" w:sz="0" w:space="0" w:color="auto"/>
        <w:bottom w:val="none" w:sz="0" w:space="0" w:color="auto"/>
        <w:right w:val="none" w:sz="0" w:space="0" w:color="auto"/>
      </w:divBdr>
    </w:div>
    <w:div w:id="1054281835">
      <w:bodyDiv w:val="1"/>
      <w:marLeft w:val="0"/>
      <w:marRight w:val="0"/>
      <w:marTop w:val="0"/>
      <w:marBottom w:val="0"/>
      <w:divBdr>
        <w:top w:val="none" w:sz="0" w:space="0" w:color="auto"/>
        <w:left w:val="none" w:sz="0" w:space="0" w:color="auto"/>
        <w:bottom w:val="none" w:sz="0" w:space="0" w:color="auto"/>
        <w:right w:val="none" w:sz="0" w:space="0" w:color="auto"/>
      </w:divBdr>
      <w:divsChild>
        <w:div w:id="1396977178">
          <w:marLeft w:val="0"/>
          <w:marRight w:val="0"/>
          <w:marTop w:val="0"/>
          <w:marBottom w:val="0"/>
          <w:divBdr>
            <w:top w:val="none" w:sz="0" w:space="0" w:color="auto"/>
            <w:left w:val="none" w:sz="0" w:space="0" w:color="auto"/>
            <w:bottom w:val="none" w:sz="0" w:space="0" w:color="auto"/>
            <w:right w:val="none" w:sz="0" w:space="0" w:color="auto"/>
          </w:divBdr>
        </w:div>
      </w:divsChild>
    </w:div>
    <w:div w:id="1071149476">
      <w:bodyDiv w:val="1"/>
      <w:marLeft w:val="0"/>
      <w:marRight w:val="0"/>
      <w:marTop w:val="0"/>
      <w:marBottom w:val="0"/>
      <w:divBdr>
        <w:top w:val="none" w:sz="0" w:space="0" w:color="auto"/>
        <w:left w:val="none" w:sz="0" w:space="0" w:color="auto"/>
        <w:bottom w:val="none" w:sz="0" w:space="0" w:color="auto"/>
        <w:right w:val="none" w:sz="0" w:space="0" w:color="auto"/>
      </w:divBdr>
    </w:div>
    <w:div w:id="1491869167">
      <w:bodyDiv w:val="1"/>
      <w:marLeft w:val="0"/>
      <w:marRight w:val="0"/>
      <w:marTop w:val="0"/>
      <w:marBottom w:val="0"/>
      <w:divBdr>
        <w:top w:val="none" w:sz="0" w:space="0" w:color="auto"/>
        <w:left w:val="none" w:sz="0" w:space="0" w:color="auto"/>
        <w:bottom w:val="none" w:sz="0" w:space="0" w:color="auto"/>
        <w:right w:val="none" w:sz="0" w:space="0" w:color="auto"/>
      </w:divBdr>
      <w:divsChild>
        <w:div w:id="291131877">
          <w:marLeft w:val="0"/>
          <w:marRight w:val="0"/>
          <w:marTop w:val="0"/>
          <w:marBottom w:val="0"/>
          <w:divBdr>
            <w:top w:val="none" w:sz="0" w:space="0" w:color="auto"/>
            <w:left w:val="none" w:sz="0" w:space="0" w:color="auto"/>
            <w:bottom w:val="none" w:sz="0" w:space="0" w:color="auto"/>
            <w:right w:val="none" w:sz="0" w:space="0" w:color="auto"/>
          </w:divBdr>
        </w:div>
      </w:divsChild>
    </w:div>
    <w:div w:id="1535271087">
      <w:bodyDiv w:val="1"/>
      <w:marLeft w:val="0"/>
      <w:marRight w:val="0"/>
      <w:marTop w:val="0"/>
      <w:marBottom w:val="0"/>
      <w:divBdr>
        <w:top w:val="none" w:sz="0" w:space="0" w:color="auto"/>
        <w:left w:val="none" w:sz="0" w:space="0" w:color="auto"/>
        <w:bottom w:val="none" w:sz="0" w:space="0" w:color="auto"/>
        <w:right w:val="none" w:sz="0" w:space="0" w:color="auto"/>
      </w:divBdr>
      <w:divsChild>
        <w:div w:id="2100979925">
          <w:marLeft w:val="0"/>
          <w:marRight w:val="0"/>
          <w:marTop w:val="0"/>
          <w:marBottom w:val="0"/>
          <w:divBdr>
            <w:top w:val="none" w:sz="0" w:space="0" w:color="auto"/>
            <w:left w:val="none" w:sz="0" w:space="0" w:color="auto"/>
            <w:bottom w:val="none" w:sz="0" w:space="0" w:color="auto"/>
            <w:right w:val="none" w:sz="0" w:space="0" w:color="auto"/>
          </w:divBdr>
        </w:div>
      </w:divsChild>
    </w:div>
    <w:div w:id="1542280592">
      <w:bodyDiv w:val="1"/>
      <w:marLeft w:val="0"/>
      <w:marRight w:val="0"/>
      <w:marTop w:val="0"/>
      <w:marBottom w:val="0"/>
      <w:divBdr>
        <w:top w:val="none" w:sz="0" w:space="0" w:color="auto"/>
        <w:left w:val="none" w:sz="0" w:space="0" w:color="auto"/>
        <w:bottom w:val="none" w:sz="0" w:space="0" w:color="auto"/>
        <w:right w:val="none" w:sz="0" w:space="0" w:color="auto"/>
      </w:divBdr>
    </w:div>
    <w:div w:id="1793162930">
      <w:bodyDiv w:val="1"/>
      <w:marLeft w:val="0"/>
      <w:marRight w:val="0"/>
      <w:marTop w:val="0"/>
      <w:marBottom w:val="0"/>
      <w:divBdr>
        <w:top w:val="none" w:sz="0" w:space="0" w:color="auto"/>
        <w:left w:val="none" w:sz="0" w:space="0" w:color="auto"/>
        <w:bottom w:val="none" w:sz="0" w:space="0" w:color="auto"/>
        <w:right w:val="none" w:sz="0" w:space="0" w:color="auto"/>
      </w:divBdr>
    </w:div>
    <w:div w:id="1811946468">
      <w:bodyDiv w:val="1"/>
      <w:marLeft w:val="0"/>
      <w:marRight w:val="0"/>
      <w:marTop w:val="0"/>
      <w:marBottom w:val="0"/>
      <w:divBdr>
        <w:top w:val="none" w:sz="0" w:space="0" w:color="auto"/>
        <w:left w:val="none" w:sz="0" w:space="0" w:color="auto"/>
        <w:bottom w:val="none" w:sz="0" w:space="0" w:color="auto"/>
        <w:right w:val="none" w:sz="0" w:space="0" w:color="auto"/>
      </w:divBdr>
      <w:divsChild>
        <w:div w:id="1762531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16</Pages>
  <Words>5804</Words>
  <Characters>33088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468</cp:revision>
  <dcterms:created xsi:type="dcterms:W3CDTF">2026-03-16T02:34:00Z</dcterms:created>
  <dcterms:modified xsi:type="dcterms:W3CDTF">2026-03-25T03:08:00Z</dcterms:modified>
</cp:coreProperties>
</file>