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735EC3" w14:textId="520D15FE" w:rsidR="00FA6FD2" w:rsidRDefault="00FA6FD2" w:rsidP="0042754C">
      <w:r>
        <w:t xml:space="preserve">Daniela Stefania Stanila </w:t>
      </w:r>
    </w:p>
    <w:p w14:paraId="4D1AF1CC" w14:textId="4B8A9678" w:rsidR="00FA6FD2" w:rsidRDefault="00362FAE" w:rsidP="0042754C">
      <w:r>
        <w:t>2336910</w:t>
      </w:r>
    </w:p>
    <w:p w14:paraId="7D3C5186" w14:textId="6DA71F94" w:rsidR="00FA6FD2" w:rsidRDefault="0042754C" w:rsidP="0042754C">
      <w:r>
        <w:t>Assessing Cross-Cultural Communication Between AstraZeneca and Daiichi Sankyo</w:t>
      </w:r>
    </w:p>
    <w:p w14:paraId="4714162B" w14:textId="77777777" w:rsidR="0042754C" w:rsidRDefault="0042754C" w:rsidP="0042754C"/>
    <w:p w14:paraId="68A343EA" w14:textId="2EEAC5DC" w:rsidR="0042754C" w:rsidRDefault="0042754C" w:rsidP="0042754C">
      <w:r>
        <w:t>Table of Contents</w:t>
      </w:r>
    </w:p>
    <w:p w14:paraId="5A714F1C" w14:textId="77777777" w:rsidR="0042754C" w:rsidRDefault="0042754C" w:rsidP="0042754C"/>
    <w:p w14:paraId="47F4BC9D" w14:textId="77777777" w:rsidR="0042754C" w:rsidRDefault="0042754C" w:rsidP="0042754C">
      <w:r>
        <w:t xml:space="preserve">1. Introduction  </w:t>
      </w:r>
    </w:p>
    <w:p w14:paraId="12F4ABE7" w14:textId="77777777" w:rsidR="0042754C" w:rsidRDefault="0042754C" w:rsidP="0042754C">
      <w:r>
        <w:t xml:space="preserve">2. Overview of AstraZeneca and Daiichi Sankyo  </w:t>
      </w:r>
    </w:p>
    <w:p w14:paraId="4F7380BA" w14:textId="77777777" w:rsidR="0042754C" w:rsidRDefault="0042754C" w:rsidP="0042754C">
      <w:r>
        <w:t xml:space="preserve">3. Cultural Variations Between the UK and Japan  </w:t>
      </w:r>
    </w:p>
    <w:p w14:paraId="1D1E482C" w14:textId="77777777" w:rsidR="0042754C" w:rsidRDefault="0042754C" w:rsidP="0042754C">
      <w:r>
        <w:t xml:space="preserve">4. Hofstede’s Cultural Framework  </w:t>
      </w:r>
    </w:p>
    <w:p w14:paraId="2DC38957" w14:textId="77777777" w:rsidR="0042754C" w:rsidRDefault="0042754C" w:rsidP="0042754C">
      <w:r>
        <w:t xml:space="preserve">5. High-Context Versus Low-Context Communication  </w:t>
      </w:r>
    </w:p>
    <w:p w14:paraId="4178A1C7" w14:textId="77777777" w:rsidR="0042754C" w:rsidRDefault="0042754C" w:rsidP="0042754C">
      <w:r>
        <w:t xml:space="preserve">6. Possible Misunderstandings in the Collaboration  </w:t>
      </w:r>
    </w:p>
    <w:p w14:paraId="4BE31A98" w14:textId="77777777" w:rsidR="0042754C" w:rsidRDefault="0042754C" w:rsidP="0042754C">
      <w:r>
        <w:t xml:space="preserve">7. Strategies for Managing Cross-Cultural Communication  </w:t>
      </w:r>
    </w:p>
    <w:p w14:paraId="6280281C" w14:textId="77777777" w:rsidR="0042754C" w:rsidRDefault="0042754C" w:rsidP="0042754C">
      <w:r>
        <w:t xml:space="preserve">8. Conclusion  </w:t>
      </w:r>
    </w:p>
    <w:p w14:paraId="698FB3C7" w14:textId="77777777" w:rsidR="0042754C" w:rsidRDefault="0042754C" w:rsidP="0042754C">
      <w:r>
        <w:t xml:space="preserve">9. References  </w:t>
      </w:r>
    </w:p>
    <w:p w14:paraId="48F0D1ED" w14:textId="77777777" w:rsidR="0042754C" w:rsidRDefault="0042754C" w:rsidP="0042754C"/>
    <w:p w14:paraId="59B25BDF" w14:textId="21BD1DCE" w:rsidR="0042754C" w:rsidRDefault="0042754C" w:rsidP="0042754C">
      <w:r>
        <w:t>1. Introduction</w:t>
      </w:r>
    </w:p>
    <w:p w14:paraId="2A7B4DA2" w14:textId="77777777" w:rsidR="0042754C" w:rsidRDefault="0042754C" w:rsidP="0042754C"/>
    <w:p w14:paraId="575E0E9A" w14:textId="77777777" w:rsidR="0042754C" w:rsidRDefault="0042754C" w:rsidP="0042754C">
      <w:r>
        <w:t>The rise of globalisation has underscored the necessity for effective communication among organisations that operate across different national and cultural landscapes. International collaborations enable businesses to tap into new markets, acquire specialized knowledge, technology, and resources. However, cultural disparities can pose communication challenges, especially when employees from varied backgrounds have different expectations regarding hierarchy, decision-making processes, disagreement, meetings, and both verbal and non-verbal communication. Therefore, successful international business communication requires managers to acknowledge these cultural differences, rather than presume that practices from one nation will be readily understood in another.</w:t>
      </w:r>
    </w:p>
    <w:p w14:paraId="4E63001D" w14:textId="77777777" w:rsidR="0042754C" w:rsidRDefault="0042754C" w:rsidP="0042754C"/>
    <w:p w14:paraId="47082E07" w14:textId="77777777" w:rsidR="0042754C" w:rsidRDefault="0042754C" w:rsidP="0042754C">
      <w:r>
        <w:t xml:space="preserve">This essay examines the communication styles that differ between the United Kingdom and Japan by focusing on AstraZeneca and Daiichi Sankyo. AstraZeneca is a multinational pharmaceutical firm based in the UK, whereas Daiichi Sankyo is a Tokyo-based Japanese </w:t>
      </w:r>
      <w:r>
        <w:lastRenderedPageBreak/>
        <w:t>pharmaceutical company. These two companies exemplify the communication challenges faced in international collaborations, as they have established significant partnerships for developing and commercializing innovative cancer treatments. In March 2019, they formed a global collaboration for ENHERTU, subsequently expanding their partnership to include datopotamab deruxtecan in 2020. Together, they leverage Daiichi Sankyo’s scientific expertise and AstraZeneca’s global resources in oncology.</w:t>
      </w:r>
    </w:p>
    <w:p w14:paraId="1FDAA60D" w14:textId="77777777" w:rsidR="0042754C" w:rsidRDefault="0042754C" w:rsidP="0042754C"/>
    <w:p w14:paraId="2220FC98" w14:textId="77777777" w:rsidR="0042754C" w:rsidRDefault="0042754C" w:rsidP="0042754C">
      <w:r>
        <w:t>This assessment utilizes Hofstede’s cultural dimensions and Hall’s theories on high-context and low-context communication to explore potential misunderstandings that may arise due to the cultural differences between British and Japanese employees. It also acknowledges that relying solely on national cultural models has limitations, as not every individual behaves according to national stereotypes.</w:t>
      </w:r>
    </w:p>
    <w:p w14:paraId="66870BB6" w14:textId="77777777" w:rsidR="0042754C" w:rsidRDefault="0042754C" w:rsidP="0042754C"/>
    <w:p w14:paraId="65D943AB" w14:textId="050157F4" w:rsidR="0042754C" w:rsidRDefault="0042754C" w:rsidP="0042754C">
      <w:r>
        <w:t>2. Overview of AstraZeneca and Daiichi Sankyo</w:t>
      </w:r>
    </w:p>
    <w:p w14:paraId="5B05EF4E" w14:textId="77777777" w:rsidR="0042754C" w:rsidRDefault="0042754C" w:rsidP="0042754C"/>
    <w:p w14:paraId="0DBA6AAA" w14:textId="77777777" w:rsidR="0042754C" w:rsidRDefault="0042754C" w:rsidP="0042754C">
      <w:r>
        <w:t>AstraZeneca is a prominent pharmaceutical company with its registered UK office situated in the Cambridge Biomedical Campus, focusing on pharmaceutical research, development, and manufacturing, particularly in oncology.</w:t>
      </w:r>
    </w:p>
    <w:p w14:paraId="439AC1BE" w14:textId="77777777" w:rsidR="0042754C" w:rsidRDefault="0042754C" w:rsidP="0042754C"/>
    <w:p w14:paraId="23076287" w14:textId="77777777" w:rsidR="0042754C" w:rsidRDefault="0042754C" w:rsidP="0042754C">
      <w:r>
        <w:t>Daiichi Sankyo, a global pharmaceutical entity based in Tokyo, has cultivated a robust international presence while increasingly concentrating on oncology and innovative drug therapies. Its UK division indicates that the broader organization has origins in Japan with its global headquarters in Tokyo.</w:t>
      </w:r>
    </w:p>
    <w:p w14:paraId="6D5B99F9" w14:textId="77777777" w:rsidR="0042754C" w:rsidRDefault="0042754C" w:rsidP="0042754C"/>
    <w:p w14:paraId="6E2EE9DA" w14:textId="77777777" w:rsidR="0042754C" w:rsidRDefault="0042754C" w:rsidP="0042754C">
      <w:r>
        <w:t>The partnership between AstraZeneca and Daiichi Sankyo illustrates the critical role of cross-cultural communication, as their collaboration extends beyond a typical buyer-supplier dynamic. It encompasses research, development, manufacturing, regulatory affairs, and commercialization in diverse international markets. Under this alliance, Daiichi Sankyo retains exclusive rights in Japan, while the organizations collectively work globally on product development and commercialization.</w:t>
      </w:r>
    </w:p>
    <w:p w14:paraId="18CE4EE7" w14:textId="77777777" w:rsidR="0042754C" w:rsidRDefault="0042754C" w:rsidP="0042754C"/>
    <w:p w14:paraId="3DB5AD63" w14:textId="77777777" w:rsidR="0042754C" w:rsidRDefault="0042754C" w:rsidP="0042754C">
      <w:r>
        <w:t xml:space="preserve">This setup necessitates effective communication between employees from both companies, especially given their potentially differing expectations related to hierarchy, meetings, negotiation, and decision-making. In the pharmaceutical sector, communication challenges </w:t>
      </w:r>
      <w:r>
        <w:lastRenderedPageBreak/>
        <w:t>can be particularly crucial due to the complexity of scientific data, regulatory demands, financial decisions, and tight timelines.</w:t>
      </w:r>
    </w:p>
    <w:p w14:paraId="7DC99504" w14:textId="77777777" w:rsidR="0042754C" w:rsidRDefault="0042754C" w:rsidP="0042754C"/>
    <w:p w14:paraId="3966A36E" w14:textId="4EE6EF2F" w:rsidR="0042754C" w:rsidRDefault="0042754C" w:rsidP="0042754C">
      <w:r>
        <w:t>3. Cultural Variations Between the UK and Japa</w:t>
      </w:r>
      <w:r w:rsidR="00C73166">
        <w:t>n</w:t>
      </w:r>
    </w:p>
    <w:p w14:paraId="319878DF" w14:textId="77777777" w:rsidR="0042754C" w:rsidRDefault="0042754C" w:rsidP="0042754C"/>
    <w:p w14:paraId="4161C88C" w14:textId="77777777" w:rsidR="0042754C" w:rsidRDefault="0042754C" w:rsidP="0042754C">
      <w:r>
        <w:t>Business cultures in the UK and Japan significantly differ in several respects. UK organizations typically feature more informal workplace relationships, a focus on individual accountability, and communication that seeks to be polite but still expresses opinions. In contrast, Japanese business culture emphasizes hierarchy, group consensus, relationship-building, and indirect communication.</w:t>
      </w:r>
    </w:p>
    <w:p w14:paraId="5F576BEA" w14:textId="77777777" w:rsidR="0042754C" w:rsidRDefault="0042754C" w:rsidP="0042754C"/>
    <w:p w14:paraId="37D3CDAB" w14:textId="77777777" w:rsidR="0042754C" w:rsidRDefault="0042754C" w:rsidP="0042754C">
      <w:r>
        <w:t>These cultural disparities should not be seen as absolute; they indicate tendencies rather than strict rules. Individual and organizational behavior is influenced by factors such as professional background, organizational culture, age, personality, and international experience. Consequently, cultural frameworks should serve as analytical tools rather than definitive predictions of individual behavior.</w:t>
      </w:r>
    </w:p>
    <w:p w14:paraId="5385F4E8" w14:textId="77777777" w:rsidR="0042754C" w:rsidRDefault="0042754C" w:rsidP="0042754C"/>
    <w:p w14:paraId="551155AD" w14:textId="77777777" w:rsidR="0042754C" w:rsidRDefault="0042754C" w:rsidP="0042754C">
      <w:r>
        <w:t>One critical difference lies in expressions of disagreement. A British manager might communicate a difference of opinion with phrases such as “I am not sure this is the best approach,” which a Japanese colleague might interpret differently based on context and their relationship. A Japanese employee, in aiming to maintain harmony, may refrain from directly rejecting a proposal, leading a British colleague—unfamiliar with this indirect style—to mistakenly assume agreement.</w:t>
      </w:r>
    </w:p>
    <w:p w14:paraId="1510AF2F" w14:textId="77777777" w:rsidR="0042754C" w:rsidRDefault="0042754C" w:rsidP="0042754C"/>
    <w:p w14:paraId="3C1D4FAD" w14:textId="77777777" w:rsidR="0042754C" w:rsidRDefault="0042754C" w:rsidP="0042754C">
      <w:r>
        <w:t>Such misinterpretations can lead to ambiguous responsibilities, delayed decisions, and incorrect assumptions, which, in an international pharmaceutical context, could disrupt research timelines, regulatory communications, or commercial strategies.</w:t>
      </w:r>
    </w:p>
    <w:p w14:paraId="4B868321" w14:textId="77777777" w:rsidR="0042754C" w:rsidRDefault="0042754C" w:rsidP="0042754C"/>
    <w:p w14:paraId="6B392648" w14:textId="19FD0C3B" w:rsidR="0042754C" w:rsidRDefault="0042754C" w:rsidP="0042754C">
      <w:r>
        <w:t>4. Hofstede’s Cultural Framework</w:t>
      </w:r>
    </w:p>
    <w:p w14:paraId="74FB9D01" w14:textId="77777777" w:rsidR="00C73166" w:rsidRDefault="00C73166" w:rsidP="0042754C"/>
    <w:p w14:paraId="0A7E9598" w14:textId="77777777" w:rsidR="0042754C" w:rsidRDefault="0042754C" w:rsidP="0042754C">
      <w:r>
        <w:t xml:space="preserve">Hofstede’s cultural dimensions offer a valuable lens for analyzing national cultural discrepancies. This framework examines dimensions like power distance, individualism versus collectivism, uncertainty avoidance, and long-term orientation. While widely applied </w:t>
      </w:r>
      <w:r>
        <w:lastRenderedPageBreak/>
        <w:t>in international business research, it should not be regarded as a comprehensive explanation of individual behavior.</w:t>
      </w:r>
    </w:p>
    <w:p w14:paraId="353D8ECF" w14:textId="77777777" w:rsidR="0042754C" w:rsidRDefault="0042754C" w:rsidP="0042754C"/>
    <w:p w14:paraId="159C6395" w14:textId="77777777" w:rsidR="0042754C" w:rsidRDefault="0042754C" w:rsidP="0042754C">
      <w:r>
        <w:t>Power distance is particularly relevant in the context of UK-Japan communication. Societies that accept greater hierarchy tend to emphasize seniority and formal authority. Japan typically reflects this hierarchical culture, influencing meetings where junior staff may hesitate to confront senior managers directly.</w:t>
      </w:r>
    </w:p>
    <w:p w14:paraId="2BA51070" w14:textId="77777777" w:rsidR="0042754C" w:rsidRDefault="0042754C" w:rsidP="0042754C"/>
    <w:p w14:paraId="76747333" w14:textId="77777777" w:rsidR="0042754C" w:rsidRDefault="0042754C" w:rsidP="0042754C">
      <w:r>
        <w:t>Conversely, the UK, while still hierarchical, typically encourages individual involvement and informal interactions. Thus, British managers may expect team members to voice opinions regardless of their position. Those in British leadership roles might misinterpret silence from Japanese colleagues as consent or disinterest, whereas it could instead indicate respect for hierarchy or reluctance to publicly challenge consensus.</w:t>
      </w:r>
    </w:p>
    <w:p w14:paraId="6C74558C" w14:textId="77777777" w:rsidR="0042754C" w:rsidRDefault="0042754C" w:rsidP="0042754C"/>
    <w:p w14:paraId="4602DCF6" w14:textId="77777777" w:rsidR="0042754C" w:rsidRDefault="0042754C" w:rsidP="0042754C">
      <w:r>
        <w:t>The distinction between individualism and collectivism also warrants consideration. UK culture is generally seen as more individualistic, where employees are encouraged to take individual responsibility and share personal views. Japanese culture, meanwhile, often prioritizes group relationships and organizational cohesion.</w:t>
      </w:r>
    </w:p>
    <w:p w14:paraId="76E3A201" w14:textId="77777777" w:rsidR="0042754C" w:rsidRDefault="0042754C" w:rsidP="0042754C"/>
    <w:p w14:paraId="15CAFBFF" w14:textId="77777777" w:rsidR="0042754C" w:rsidRDefault="0042754C" w:rsidP="0042754C">
      <w:r>
        <w:t>This difference could affect decision-making processes. A British employee might directly ask a Japanese colleague, “What do you think we should do?” expecting a personal perspective, while the Japanese employee might feel the need to consult with others first, potentially leading the British manager to perceive the process as slow.</w:t>
      </w:r>
    </w:p>
    <w:p w14:paraId="2732343D" w14:textId="77777777" w:rsidR="0042754C" w:rsidRDefault="0042754C" w:rsidP="0042754C"/>
    <w:p w14:paraId="4C0AD064" w14:textId="77777777" w:rsidR="0042754C" w:rsidRDefault="0042754C" w:rsidP="0042754C">
      <w:r>
        <w:t>Uncertainty avoidance is another pertinent aspect in pharmaceutical collaboration. Both companies operate within a highly regulated environment where accuracy and risk management are critical. Nonetheless, varying organizational expectations regarding decision-making pace might lead to frustration if one side anticipates extensive consultation while the other favors swift decisions.</w:t>
      </w:r>
    </w:p>
    <w:p w14:paraId="55E96A10" w14:textId="77777777" w:rsidR="0042754C" w:rsidRDefault="0042754C" w:rsidP="0042754C"/>
    <w:p w14:paraId="7696CA91" w14:textId="77777777" w:rsidR="0042754C" w:rsidRDefault="0042754C" w:rsidP="0042754C">
      <w:r>
        <w:t>Long-term orientation can also shape business interactions. Japanese organizations are often characterized by a focus on long-term relationship cultivation and planning, whereas British managers might prioritize short-term objectives and measurable results. Understanding these differences is essential, as one team may view the other as either too cautious or overly short-sighted.</w:t>
      </w:r>
    </w:p>
    <w:p w14:paraId="11E605F4" w14:textId="77777777" w:rsidR="0042754C" w:rsidRDefault="0042754C" w:rsidP="0042754C"/>
    <w:p w14:paraId="407F1D0F" w14:textId="77777777" w:rsidR="0042754C" w:rsidRDefault="0042754C" w:rsidP="0042754C">
      <w:r>
        <w:t>Hofstede’s framework highlights how seemingly simple communication issues can reveal deeper cultural expectations. However, the model's limitations must be acknowledged; relying too heavily on national stereotypes can lead to inaccuracies. Effective managers should use this framework as a discussion starting point and not assume that every individual from a culture adheres to the same behavioral norms.</w:t>
      </w:r>
    </w:p>
    <w:p w14:paraId="678AA3DC" w14:textId="77777777" w:rsidR="0042754C" w:rsidRDefault="0042754C" w:rsidP="0042754C"/>
    <w:p w14:paraId="4CBD1FD7" w14:textId="7AC093E6" w:rsidR="0042754C" w:rsidRDefault="0042754C" w:rsidP="0042754C">
      <w:r>
        <w:t>5. High-Context Versus Low-Context Communication</w:t>
      </w:r>
    </w:p>
    <w:p w14:paraId="0E7B4AAF" w14:textId="77777777" w:rsidR="0042754C" w:rsidRDefault="0042754C" w:rsidP="0042754C"/>
    <w:p w14:paraId="2AECCB4E" w14:textId="77777777" w:rsidR="0042754C" w:rsidRDefault="0042754C" w:rsidP="0042754C">
      <w:r>
        <w:t>Hall’s theory regarding high-context and low-context communication presents another useful framework. High-context communication emphasizes surrounding contexts, interpersonal relationships, and non-verbal cues, while low-context communication relies on explicit verbal or written messages. Nonetheless, it is important to approach the categorization of entire nations into high or low-context groups with caution, as established research suggests that these classifications can be inconsistent.</w:t>
      </w:r>
    </w:p>
    <w:p w14:paraId="59403DDC" w14:textId="77777777" w:rsidR="0042754C" w:rsidRDefault="0042754C" w:rsidP="0042754C"/>
    <w:p w14:paraId="1092088D" w14:textId="77777777" w:rsidR="0042754C" w:rsidRDefault="0042754C" w:rsidP="0042754C">
      <w:r>
        <w:t>Japan is often described as a high-context communication culture, whereas British communication tends to be more explicit. This variance can result in challenges during cross-cultural interactions.</w:t>
      </w:r>
    </w:p>
    <w:p w14:paraId="4D5EC4B7" w14:textId="77777777" w:rsidR="0042754C" w:rsidRDefault="0042754C" w:rsidP="0042754C"/>
    <w:p w14:paraId="47AD82DC" w14:textId="77777777" w:rsidR="0042754C" w:rsidRDefault="0042754C" w:rsidP="0042754C">
      <w:r>
        <w:t>For instance, if the AstraZeneca team presents a proposed project schedule and inquires if the Japanese team is in agreement, a British manager may anticipate a direct “yes” or “no.” Conversely, Japanese colleagues might respond warily, suggesting the proposal requires additional evaluation. The British team might misinterpret this hesitation as a minor issue, while the Japanese team may be signifying considerable reservations.</w:t>
      </w:r>
    </w:p>
    <w:p w14:paraId="66821EB7" w14:textId="77777777" w:rsidR="0042754C" w:rsidRDefault="0042754C" w:rsidP="0042754C"/>
    <w:p w14:paraId="28E148CB" w14:textId="77777777" w:rsidR="0042754C" w:rsidRDefault="0042754C" w:rsidP="0042754C">
      <w:r>
        <w:t>Additionally, silence during discussions can vary in meaning between cultures. In Western business contexts, silence may prompt discomfort and encourage dialogue. However, for a Japanese participant, silence might be a means of contemplating information before responding. A British manager eager to fill the silence may inadvertently obstruct a thoughtful contribution from the Japanese employee.</w:t>
      </w:r>
    </w:p>
    <w:p w14:paraId="65B26651" w14:textId="77777777" w:rsidR="0042754C" w:rsidRDefault="0042754C" w:rsidP="0042754C"/>
    <w:p w14:paraId="080C11B6" w14:textId="77777777" w:rsidR="0042754C" w:rsidRDefault="0042754C" w:rsidP="0042754C">
      <w:r>
        <w:t>Non-verbal cues are also critical, where facial expressions, pauses, tone, eye contact, and body language can significantly shape message interpretation. Such behaviors might carry different implications in diverse cultural contexts.</w:t>
      </w:r>
    </w:p>
    <w:p w14:paraId="52103641" w14:textId="77777777" w:rsidR="0042754C" w:rsidRDefault="0042754C" w:rsidP="0042754C"/>
    <w:p w14:paraId="52FE2BDC" w14:textId="77777777" w:rsidR="0042754C" w:rsidRDefault="0042754C" w:rsidP="0042754C">
      <w:r>
        <w:t>Written communication poses another potential challenge. British employees may assume that a clear email includes explicit main requests and deadlines, while Japanese counterparts may prioritize politeness, relational dynamics, and appropriate wording. Thus, a brief and direct email from a British sender might be perceived by Japanese employees as unnecessarily blunt, even without any negative intention from the sender.</w:t>
      </w:r>
    </w:p>
    <w:p w14:paraId="7BE5855D" w14:textId="77777777" w:rsidR="0042754C" w:rsidRDefault="0042754C" w:rsidP="0042754C"/>
    <w:p w14:paraId="2F3A36F3" w14:textId="0F1AA455" w:rsidR="0042754C" w:rsidRDefault="0042754C" w:rsidP="0042754C">
      <w:r>
        <w:t>6. Possible Misunderstandings in the Collaboration</w:t>
      </w:r>
    </w:p>
    <w:p w14:paraId="675ACCFC" w14:textId="77777777" w:rsidR="0042754C" w:rsidRDefault="0042754C" w:rsidP="0042754C"/>
    <w:p w14:paraId="2176CF0B" w14:textId="77777777" w:rsidR="0042754C" w:rsidRDefault="0042754C" w:rsidP="0042754C">
      <w:r>
        <w:t>The cultural differences outlined may lead to various misunderstandings between the AstraZeneca and Daiichi Sankyo teams.</w:t>
      </w:r>
    </w:p>
    <w:p w14:paraId="65F19742" w14:textId="77777777" w:rsidR="0042754C" w:rsidRDefault="0042754C" w:rsidP="0042754C"/>
    <w:p w14:paraId="0044BD03" w14:textId="77777777" w:rsidR="0042754C" w:rsidRDefault="0042754C" w:rsidP="0042754C">
      <w:r>
        <w:t>First, issues surrounding disagreement might emerge. If Japanese employees shy away from direct refusals, British colleagues may not recognize underlying concerns until further along in the project, potentially causing delays when issues arise after decisions have been made.</w:t>
      </w:r>
    </w:p>
    <w:p w14:paraId="6813BD22" w14:textId="77777777" w:rsidR="0042754C" w:rsidRDefault="0042754C" w:rsidP="0042754C"/>
    <w:p w14:paraId="584B9F29" w14:textId="77777777" w:rsidR="0042754C" w:rsidRDefault="0042754C" w:rsidP="0042754C">
      <w:r>
        <w:t>Second, decision-making discrepancies could lead to frustration. British managers may expect meetings to yield clear decisions, while Japanese team members might anticipate internal discussions and consensus before committing. The British perspective may regard this as inefficient, while the Japanese view could reflect cautious and responsible decision-making.</w:t>
      </w:r>
    </w:p>
    <w:p w14:paraId="6825E001" w14:textId="77777777" w:rsidR="0042754C" w:rsidRDefault="0042754C" w:rsidP="0042754C"/>
    <w:p w14:paraId="100F66B9" w14:textId="77777777" w:rsidR="0042754C" w:rsidRDefault="0042754C" w:rsidP="0042754C">
      <w:r>
        <w:t>Third, hierarchy could affect meeting engagements. Junior Japanese employees might be reluctant to dispute senior management openly, prompting British colleagues to misinterpret limited input as a lack of insight, despite the junior employee possessing relevant knowledge.</w:t>
      </w:r>
    </w:p>
    <w:p w14:paraId="39E49150" w14:textId="77777777" w:rsidR="0042754C" w:rsidRDefault="0042754C" w:rsidP="0042754C"/>
    <w:p w14:paraId="10A77631" w14:textId="77777777" w:rsidR="0042754C" w:rsidRDefault="0042754C" w:rsidP="0042754C">
      <w:r>
        <w:t>Lastly, challenges in written communication may arise, with direct British emails perceived as overly curt, while the indirect style of Japanese communication may be deemed vague by British employees. In a multinational context, these differences could complicate project management, reporting, and adherence to timelines.</w:t>
      </w:r>
    </w:p>
    <w:p w14:paraId="036DFE43" w14:textId="77777777" w:rsidR="0042754C" w:rsidRDefault="0042754C" w:rsidP="0042754C"/>
    <w:p w14:paraId="2DBFF641" w14:textId="77777777" w:rsidR="0042754C" w:rsidRDefault="0042754C" w:rsidP="0042754C">
      <w:r>
        <w:t xml:space="preserve">Importantly, it is inaccurate to assume that cultural variations will inherently produce conflict. Instead, they can also yield advantages, as Japanese employees may offer careful </w:t>
      </w:r>
      <w:r>
        <w:lastRenderedPageBreak/>
        <w:t>analysis and a strong focus on group cohesion, while British employees could contribute openness, initiative, and a willingness to challenge existing paradigms. When effectively managed, these differences can enable rather than detract from organizational goals.</w:t>
      </w:r>
    </w:p>
    <w:p w14:paraId="3856F202" w14:textId="77777777" w:rsidR="0042754C" w:rsidRDefault="0042754C" w:rsidP="0042754C"/>
    <w:p w14:paraId="7A8EFAC2" w14:textId="77777777" w:rsidR="0042754C" w:rsidRDefault="0042754C" w:rsidP="0042754C">
      <w:r>
        <w:t>**7. Strategies for Managing Cross-Cultural Communication**</w:t>
      </w:r>
    </w:p>
    <w:p w14:paraId="5A36E1FB" w14:textId="77777777" w:rsidR="0042754C" w:rsidRDefault="0042754C" w:rsidP="0042754C"/>
    <w:p w14:paraId="06883D9E" w14:textId="77777777" w:rsidR="0042754C" w:rsidRDefault="0042754C" w:rsidP="0042754C">
      <w:r>
        <w:t>To mitigate communication challenges, AstraZeneca and Daiichi Sankyo could implement proactive cross-cultural management strategies. First, team members involved in the collaboration should receive cultural sensitivity training to foster an understanding that behaviors may have different implications across cultures, without relying on stereotypes.</w:t>
      </w:r>
    </w:p>
    <w:p w14:paraId="33B08B4D" w14:textId="77777777" w:rsidR="0042754C" w:rsidRDefault="0042754C" w:rsidP="0042754C"/>
    <w:p w14:paraId="16DCC598" w14:textId="77777777" w:rsidR="0042754C" w:rsidRDefault="0042754C" w:rsidP="0042754C">
      <w:r>
        <w:t>Second, project leaders should create clear communication protocols. Meeting conclusions should include written summaries outlining decisions, responsibilities, and deadlines to minimize misinterpretations of indirect communication as agreement.</w:t>
      </w:r>
    </w:p>
    <w:p w14:paraId="2E9509AC" w14:textId="77777777" w:rsidR="0042754C" w:rsidRDefault="0042754C" w:rsidP="0042754C"/>
    <w:p w14:paraId="26A0E0D4" w14:textId="77777777" w:rsidR="0042754C" w:rsidRDefault="0042754C" w:rsidP="0042754C">
      <w:r>
        <w:t>Third, managers should facilitate private avenues for employees to express issues, especially in instances where they may feel uncomfortable dissenting from senior colleagues in larger forums.</w:t>
      </w:r>
    </w:p>
    <w:p w14:paraId="04DDFA96" w14:textId="77777777" w:rsidR="0042754C" w:rsidRDefault="0042754C" w:rsidP="0042754C"/>
    <w:p w14:paraId="52E3109A" w14:textId="77777777" w:rsidR="0042754C" w:rsidRDefault="0042754C" w:rsidP="0042754C">
      <w:r>
        <w:t>Fourth, it’s essential for teams to allocate adequate time for consultation. British managers should not automatically presume that swift decisions are the ideal approach, and Japanese managers should be explicit when additional input is necessary. Striking a balance between expediency and consensus can thereby be achieved.</w:t>
      </w:r>
    </w:p>
    <w:p w14:paraId="6C00C20E" w14:textId="77777777" w:rsidR="0042754C" w:rsidRDefault="0042754C" w:rsidP="0042754C"/>
    <w:p w14:paraId="74217251" w14:textId="77777777" w:rsidR="0042754C" w:rsidRDefault="0042754C" w:rsidP="0042754C">
      <w:r>
        <w:t>Fifth, enhancing cultural intelligence among managers is crucial. Cultural intelligence refers to the ability to understand and adjust behavior within varied cultural settings. Instead of evaluating one culture as superior, managers should consider which communication method best suits the particular context.</w:t>
      </w:r>
    </w:p>
    <w:p w14:paraId="422B8888" w14:textId="77777777" w:rsidR="0042754C" w:rsidRDefault="0042754C" w:rsidP="0042754C"/>
    <w:p w14:paraId="1B21B408" w14:textId="77777777" w:rsidR="0042754C" w:rsidRDefault="0042754C" w:rsidP="0042754C">
      <w:r>
        <w:t>Finally, ongoing assessment of communication effectiveness is vital. International teams should analyze misunderstandings and use these instances as learning experiences to craft shared practices that capitalize on the strengths of both organizations.</w:t>
      </w:r>
    </w:p>
    <w:p w14:paraId="77045C96" w14:textId="77777777" w:rsidR="0042754C" w:rsidRDefault="0042754C" w:rsidP="0042754C"/>
    <w:p w14:paraId="7D60E3D8" w14:textId="1DB497A1" w:rsidR="0042754C" w:rsidRDefault="0042754C" w:rsidP="0042754C">
      <w:r>
        <w:lastRenderedPageBreak/>
        <w:t>8. Conclusion</w:t>
      </w:r>
    </w:p>
    <w:p w14:paraId="0911D154" w14:textId="77777777" w:rsidR="0042754C" w:rsidRDefault="0042754C" w:rsidP="0042754C"/>
    <w:p w14:paraId="0B9840BC" w14:textId="77777777" w:rsidR="0042754C" w:rsidRDefault="0042754C" w:rsidP="0042754C">
      <w:r>
        <w:t>The partnership between AstraZeneca and Daiichi Sankyo underscores the significance of effective cross-cultural communication in global business environments. Operating within the international pharmaceutical landscape, both companies collaborate on developing and distributing innovative medicines. This cooperation necessitates employees from different cultural backgrounds to unite on complex projects.</w:t>
      </w:r>
    </w:p>
    <w:p w14:paraId="6AF82F21" w14:textId="77777777" w:rsidR="0042754C" w:rsidRDefault="0042754C" w:rsidP="0042754C"/>
    <w:p w14:paraId="4E350617" w14:textId="77777777" w:rsidR="0042754C" w:rsidRDefault="0042754C" w:rsidP="0042754C">
      <w:r>
        <w:t>Hofstede’s cultural dimensions reveal potential variances related to hierarchy, individualism, uncertainty, and long-term planning, while Hall’s high-context and low-context framework illustrates how differences in directness and non-verbal communication can lead to misunderstandings. However, these theoretical frameworks have limitations and should not be utilized for stereotyping individuals, as rigid national classifications within these concepts have been questioned.</w:t>
      </w:r>
    </w:p>
    <w:p w14:paraId="633778FE" w14:textId="77777777" w:rsidR="0042754C" w:rsidRDefault="0042754C" w:rsidP="0042754C"/>
    <w:p w14:paraId="6229A3E7" w14:textId="77777777" w:rsidR="0042754C" w:rsidRDefault="0042754C" w:rsidP="0042754C">
      <w:r>
        <w:t>The primary risks in the AstraZeneca-Daiichi Sankyo relationship may involve nuanced disagreement, differing decision-making expectations, hierarchy influences, and varying interpretations of written correspondence. Nonetheless, these cultural distinctions can also foster opportunities for organizational learning and informed decision-making.</w:t>
      </w:r>
    </w:p>
    <w:p w14:paraId="7281C9E1" w14:textId="77777777" w:rsidR="0042754C" w:rsidRDefault="0042754C" w:rsidP="0042754C"/>
    <w:p w14:paraId="782AAB54" w14:textId="77777777" w:rsidR="0042754C" w:rsidRDefault="0042754C" w:rsidP="0042754C">
      <w:r>
        <w:t>In summary, successful international communication hinges on establishing common practices rather than expecting one culture to conform to another's standards. Cross-cultural training, defined meeting outcomes, clear written expectations, appropriate consultation, and culturally attuned leadership can assist AstraZeneca and Daiichi Sankyo in minimizing misunderstandings. Ultimately, the effectiveness of an international partnership relies not only on technical and financial resources but also on the ability of employees to comprehend, adjust, and effectively navigate cultural differences.</w:t>
      </w:r>
    </w:p>
    <w:p w14:paraId="17FBB99E" w14:textId="77777777" w:rsidR="0042754C" w:rsidRDefault="0042754C" w:rsidP="0042754C"/>
    <w:p w14:paraId="2F0C9EDE" w14:textId="7943DDA9" w:rsidR="0042754C" w:rsidRDefault="0042754C" w:rsidP="0042754C">
      <w:r>
        <w:t>9. References</w:t>
      </w:r>
    </w:p>
    <w:p w14:paraId="12377488" w14:textId="77777777" w:rsidR="0042754C" w:rsidRDefault="0042754C" w:rsidP="0042754C"/>
    <w:p w14:paraId="747E3CA0" w14:textId="7C8A0688" w:rsidR="0042754C" w:rsidRDefault="0042754C" w:rsidP="0042754C">
      <w:r>
        <w:t>AstraZeneca plc (2024) Annual Report and Form 20-F 2024. Available at: AstraZeneca corporate reporting resources (Accessed: 12 August 2026).</w:t>
      </w:r>
    </w:p>
    <w:p w14:paraId="29E8C14F" w14:textId="474B1A1B" w:rsidR="0042754C" w:rsidRDefault="0042754C" w:rsidP="0042754C">
      <w:r>
        <w:t>Daiichi Sankyo (2019) ‘Daiichi Sankyo and AstraZeneca announce global development and commercialization collaboration for Daiichi Sankyo’s HER2 targeting antibody drug conjugate’. Available at: Daiichi Sankyo corporate website (Accessed: 12 August 2026).</w:t>
      </w:r>
    </w:p>
    <w:p w14:paraId="614CBEDA" w14:textId="56299B39" w:rsidR="0042754C" w:rsidRDefault="0042754C" w:rsidP="0042754C">
      <w:r>
        <w:lastRenderedPageBreak/>
        <w:t xml:space="preserve"> Daiichi Sankyo (2020) ‘About the collaboration between Daiichi Sankyo and AstraZeneca’. Available at: Daiichi Sankyo corporate website (Accessed: 12 August 2026).</w:t>
      </w:r>
    </w:p>
    <w:p w14:paraId="58429227" w14:textId="2182976A" w:rsidR="0042754C" w:rsidRDefault="0042754C" w:rsidP="0042754C">
      <w:r>
        <w:t>Hall, E.T. (1976) Beyond Culture. New York: Anchor Press.</w:t>
      </w:r>
    </w:p>
    <w:p w14:paraId="0CEDBDA9" w14:textId="29F77914" w:rsidR="0042754C" w:rsidRDefault="0042754C" w:rsidP="0042754C">
      <w:r>
        <w:t xml:space="preserve"> Hofstede, G. (2001) Culture’s Consequences: Comparing Values, Behaviors, Institutions and Organizations Across Nations. 2nd edn. Thousand Oaks, CA: Sage.</w:t>
      </w:r>
    </w:p>
    <w:p w14:paraId="1791A78E" w14:textId="15ECB741" w:rsidR="0042754C" w:rsidRDefault="0042754C" w:rsidP="0042754C">
      <w:r>
        <w:t xml:space="preserve"> Kittler, M.G., Rygl, D. and Mackinnon, A. (2011) ‘Beyond culture or beyond control? Reviewing the use of Hall’s high-/low-context concept’, International Journal of Cross Cultural Management, 11(1), pp. 63–82. doi: 10.1177/1470595811398797.</w:t>
      </w:r>
    </w:p>
    <w:p w14:paraId="49D5BE0A" w14:textId="4C2D266C" w:rsidR="0042754C" w:rsidRDefault="0042754C" w:rsidP="0042754C">
      <w:r>
        <w:t>Meyer, E. (2014) The Culture Map: Breaking Through the Invisible Boundaries of Global Business. New York: PublicAffairs.</w:t>
      </w:r>
    </w:p>
    <w:p w14:paraId="44002E34" w14:textId="7B27CC48" w:rsidR="0042754C" w:rsidRDefault="0042754C">
      <w:r>
        <w:t xml:space="preserve"> Ting-Toomey, S. and Dorjee, T. (2019) Communicating Across Cultures. 2nd edn. New York: Guilford Press.</w:t>
      </w:r>
    </w:p>
    <w:p w14:paraId="4076E189" w14:textId="77777777" w:rsidR="00A41E13" w:rsidRDefault="00A41E13"/>
    <w:sectPr w:rsidR="00A41E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7"/>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54C"/>
    <w:rsid w:val="00362FAE"/>
    <w:rsid w:val="0042754C"/>
    <w:rsid w:val="00A41E13"/>
    <w:rsid w:val="00C73166"/>
    <w:rsid w:val="00C93DD7"/>
    <w:rsid w:val="00FA6F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469947"/>
  <w15:chartTrackingRefBased/>
  <w15:docId w15:val="{005FD7F7-2BC8-A640-951B-C2D914EB8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754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2754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2754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2754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2754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275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75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75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75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54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2754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2754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2754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2754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275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75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75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754C"/>
    <w:rPr>
      <w:rFonts w:eastAsiaTheme="majorEastAsia" w:cstheme="majorBidi"/>
      <w:color w:val="272727" w:themeColor="text1" w:themeTint="D8"/>
    </w:rPr>
  </w:style>
  <w:style w:type="paragraph" w:styleId="Title">
    <w:name w:val="Title"/>
    <w:basedOn w:val="Normal"/>
    <w:next w:val="Normal"/>
    <w:link w:val="TitleChar"/>
    <w:uiPriority w:val="10"/>
    <w:qFormat/>
    <w:rsid w:val="004275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75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75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75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754C"/>
    <w:pPr>
      <w:spacing w:before="160"/>
      <w:jc w:val="center"/>
    </w:pPr>
    <w:rPr>
      <w:i/>
      <w:iCs/>
      <w:color w:val="404040" w:themeColor="text1" w:themeTint="BF"/>
    </w:rPr>
  </w:style>
  <w:style w:type="character" w:customStyle="1" w:styleId="QuoteChar">
    <w:name w:val="Quote Char"/>
    <w:basedOn w:val="DefaultParagraphFont"/>
    <w:link w:val="Quote"/>
    <w:uiPriority w:val="29"/>
    <w:rsid w:val="0042754C"/>
    <w:rPr>
      <w:i/>
      <w:iCs/>
      <w:color w:val="404040" w:themeColor="text1" w:themeTint="BF"/>
    </w:rPr>
  </w:style>
  <w:style w:type="paragraph" w:styleId="ListParagraph">
    <w:name w:val="List Paragraph"/>
    <w:basedOn w:val="Normal"/>
    <w:uiPriority w:val="34"/>
    <w:qFormat/>
    <w:rsid w:val="0042754C"/>
    <w:pPr>
      <w:ind w:left="720"/>
      <w:contextualSpacing/>
    </w:pPr>
  </w:style>
  <w:style w:type="character" w:styleId="IntenseEmphasis">
    <w:name w:val="Intense Emphasis"/>
    <w:basedOn w:val="DefaultParagraphFont"/>
    <w:uiPriority w:val="21"/>
    <w:qFormat/>
    <w:rsid w:val="0042754C"/>
    <w:rPr>
      <w:i/>
      <w:iCs/>
      <w:color w:val="2F5496" w:themeColor="accent1" w:themeShade="BF"/>
    </w:rPr>
  </w:style>
  <w:style w:type="paragraph" w:styleId="IntenseQuote">
    <w:name w:val="Intense Quote"/>
    <w:basedOn w:val="Normal"/>
    <w:next w:val="Normal"/>
    <w:link w:val="IntenseQuoteChar"/>
    <w:uiPriority w:val="30"/>
    <w:qFormat/>
    <w:rsid w:val="0042754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2754C"/>
    <w:rPr>
      <w:i/>
      <w:iCs/>
      <w:color w:val="2F5496" w:themeColor="accent1" w:themeShade="BF"/>
    </w:rPr>
  </w:style>
  <w:style w:type="character" w:styleId="IntenseReference">
    <w:name w:val="Intense Reference"/>
    <w:basedOn w:val="DefaultParagraphFont"/>
    <w:uiPriority w:val="32"/>
    <w:qFormat/>
    <w:rsid w:val="0042754C"/>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2596</Words>
  <Characters>14798</Characters>
  <Application>Microsoft Office Word</Application>
  <DocSecurity>0</DocSecurity>
  <Lines>123</Lines>
  <Paragraphs>34</Paragraphs>
  <ScaleCrop>false</ScaleCrop>
  <Company/>
  <LinksUpToDate>false</LinksUpToDate>
  <CharactersWithSpaces>17360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smadu</dc:creator>
  <cp:keywords/>
  <dc:description/>
  <cp:lastModifiedBy>razvan smadu</cp:lastModifiedBy>
  <cp:revision>2</cp:revision>
  <dcterms:created xsi:type="dcterms:W3CDTF">2026-08-12T21:32:00Z</dcterms:created>
  <dcterms:modified xsi:type="dcterms:W3CDTF">2026-08-12T21:32:00Z</dcterms:modified>
</cp:coreProperties>
</file>