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bookmarkStart w:id="0" w:name="_Hlk64287735"/>
      <w:bookmarkEnd w:id="0"/>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1F35B3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A4299">
              <w:rPr>
                <w:b/>
                <w:color w:val="auto"/>
                <w:sz w:val="32"/>
              </w:rPr>
              <w:t>Emma-Louise Tucker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1DABE4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A4299">
              <w:rPr>
                <w:b/>
                <w:color w:val="auto"/>
                <w:sz w:val="32"/>
              </w:rPr>
              <w:t xml:space="preserve"> 1922438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5783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ECC046E" w14:textId="11C6BE6C" w:rsidR="00013B87" w:rsidRPr="00F30B5E" w:rsidRDefault="00013B87" w:rsidP="00013B87">
      <w:pPr>
        <w:ind w:right="107"/>
        <w:jc w:val="both"/>
        <w:rPr>
          <w:sz w:val="22"/>
          <w:szCs w:val="22"/>
        </w:rPr>
      </w:pPr>
      <w:r w:rsidRPr="00F30B5E">
        <w:rPr>
          <w:sz w:val="22"/>
          <w:szCs w:val="22"/>
        </w:rPr>
        <w:t>In this assignment, I’m going to discuss and compare the coping strategies I’ve applied to develop resilience and minimise stress during my initial 6 months of learning and since being attested as a Police Constable.</w:t>
      </w:r>
      <w:r w:rsidR="00E85E58">
        <w:rPr>
          <w:sz w:val="22"/>
          <w:szCs w:val="22"/>
        </w:rPr>
        <w:t xml:space="preserve">  </w:t>
      </w:r>
      <w:r w:rsidR="00E85E58" w:rsidRPr="00F30B5E">
        <w:rPr>
          <w:sz w:val="22"/>
          <w:szCs w:val="22"/>
        </w:rPr>
        <w:t>I’ll be looking at the coping methods I implemented into my daily routine when preparing for assessments and exams to minimise stress and build resilience.  Exploring what strategies worked, that I’ll be able to take forward with me in my continued learning phase at the tutor hub and my career as a whole.  I’ll also be analysing what coping strategies did not work and delving into what I can do differently going forward to help minimise stress and build resilience even further to cope with the challenging role that lies ahead of me.</w:t>
      </w:r>
      <w:r w:rsidR="00E85E58" w:rsidRPr="00E85E58">
        <w:rPr>
          <w:sz w:val="22"/>
          <w:szCs w:val="22"/>
        </w:rPr>
        <w:t xml:space="preserve"> </w:t>
      </w:r>
      <w:r w:rsidR="00E85E58" w:rsidRPr="00F30B5E">
        <w:rPr>
          <w:sz w:val="22"/>
          <w:szCs w:val="22"/>
        </w:rPr>
        <w:t xml:space="preserve">In this assignment, I will be using the reflective writing method the Borton (1970) reflection tool to answer my assignment question.  </w:t>
      </w:r>
    </w:p>
    <w:p w14:paraId="7B2968E1" w14:textId="77777777" w:rsidR="00013B87" w:rsidRPr="00F30B5E" w:rsidRDefault="00013B87" w:rsidP="00013B87">
      <w:pPr>
        <w:ind w:right="107"/>
        <w:jc w:val="both"/>
        <w:rPr>
          <w:sz w:val="22"/>
          <w:szCs w:val="22"/>
        </w:rPr>
      </w:pPr>
    </w:p>
    <w:p w14:paraId="489DE6B6" w14:textId="7E51FD1D" w:rsidR="00013B87" w:rsidRDefault="00013B87" w:rsidP="00013B87">
      <w:pPr>
        <w:ind w:right="107"/>
        <w:jc w:val="both"/>
        <w:rPr>
          <w:sz w:val="22"/>
          <w:szCs w:val="22"/>
        </w:rPr>
      </w:pPr>
      <w:r w:rsidRPr="00F30B5E">
        <w:rPr>
          <w:sz w:val="22"/>
          <w:szCs w:val="22"/>
        </w:rPr>
        <w:t xml:space="preserve">Anna Williamson (2018) states that stress is a </w:t>
      </w:r>
      <w:r w:rsidR="00E10FF6">
        <w:rPr>
          <w:sz w:val="22"/>
          <w:szCs w:val="22"/>
        </w:rPr>
        <w:t xml:space="preserve">form of pressures </w:t>
      </w:r>
      <w:r w:rsidRPr="00F30B5E">
        <w:rPr>
          <w:sz w:val="22"/>
          <w:szCs w:val="22"/>
        </w:rPr>
        <w:t>which have built up to a level that a person can no longer cope physically or psychologically.  Resilience is a psychological quality that allows some people to come back stronger as before when faced with knock backs such as traumatic events and failures (Psychology today, 2021</w:t>
      </w:r>
      <w:r w:rsidR="00E85E58">
        <w:rPr>
          <w:sz w:val="22"/>
          <w:szCs w:val="22"/>
        </w:rPr>
        <w:t xml:space="preserve">). </w:t>
      </w:r>
      <w:r w:rsidRPr="00F30B5E">
        <w:rPr>
          <w:sz w:val="22"/>
          <w:szCs w:val="22"/>
        </w:rPr>
        <w:t xml:space="preserve"> Zeidner and Saklofske (1996) </w:t>
      </w:r>
      <w:r w:rsidR="00F30B5E">
        <w:rPr>
          <w:sz w:val="22"/>
          <w:szCs w:val="22"/>
        </w:rPr>
        <w:t>state that coping</w:t>
      </w:r>
      <w:r w:rsidRPr="00F30B5E">
        <w:rPr>
          <w:sz w:val="22"/>
          <w:szCs w:val="22"/>
        </w:rPr>
        <w:t xml:space="preserve"> is more than a</w:t>
      </w:r>
      <w:r w:rsidR="00F30B5E">
        <w:rPr>
          <w:sz w:val="22"/>
          <w:szCs w:val="22"/>
        </w:rPr>
        <w:t xml:space="preserve">n </w:t>
      </w:r>
      <w:r w:rsidRPr="00F30B5E">
        <w:rPr>
          <w:sz w:val="22"/>
          <w:szCs w:val="22"/>
        </w:rPr>
        <w:t>adjustment</w:t>
      </w:r>
      <w:r w:rsidR="00F30B5E">
        <w:rPr>
          <w:sz w:val="22"/>
          <w:szCs w:val="22"/>
        </w:rPr>
        <w:t xml:space="preserve"> to life or situations, however it goes further </w:t>
      </w:r>
      <w:r w:rsidR="00E85E58">
        <w:rPr>
          <w:sz w:val="22"/>
          <w:szCs w:val="22"/>
        </w:rPr>
        <w:t xml:space="preserve">than </w:t>
      </w:r>
      <w:r w:rsidR="00F30B5E">
        <w:rPr>
          <w:sz w:val="22"/>
          <w:szCs w:val="22"/>
        </w:rPr>
        <w:t xml:space="preserve">basic survival </w:t>
      </w:r>
      <w:r w:rsidR="00E85E58">
        <w:rPr>
          <w:sz w:val="22"/>
          <w:szCs w:val="22"/>
        </w:rPr>
        <w:t>but more</w:t>
      </w:r>
      <w:r w:rsidR="00F30B5E">
        <w:rPr>
          <w:sz w:val="22"/>
          <w:szCs w:val="22"/>
        </w:rPr>
        <w:t xml:space="preserve"> individual growth and development. </w:t>
      </w:r>
    </w:p>
    <w:p w14:paraId="3B38EC1C" w14:textId="77777777" w:rsidR="00E85E58" w:rsidRPr="00F30B5E" w:rsidRDefault="00E85E58" w:rsidP="00013B87">
      <w:pPr>
        <w:ind w:right="107"/>
        <w:jc w:val="both"/>
        <w:rPr>
          <w:sz w:val="22"/>
          <w:szCs w:val="22"/>
        </w:rPr>
      </w:pPr>
    </w:p>
    <w:p w14:paraId="14645F63" w14:textId="2A68494F" w:rsidR="00013B87" w:rsidRPr="00F30B5E" w:rsidRDefault="00013B87" w:rsidP="00013B87">
      <w:pPr>
        <w:ind w:right="107"/>
        <w:jc w:val="both"/>
        <w:rPr>
          <w:sz w:val="22"/>
          <w:szCs w:val="22"/>
        </w:rPr>
      </w:pPr>
      <w:r w:rsidRPr="00F30B5E">
        <w:rPr>
          <w:sz w:val="22"/>
          <w:szCs w:val="22"/>
        </w:rPr>
        <w:t>Resilience is a very important aspect in a police officer’s role.  Police officers deal with traumatic events, challenging situations and face many pressures of the organisation where officers need to cope and adapt to these stressful situations (Janssens, 2018, p.1).   Police officers may face with a sudden death of a child at one call, and then will need to move on to the next call and deal with that professionally and provide a service to the public that is expected.  For this, police officers need to be resilient to deal with challenging situations and adapting to being able to respond quickly to unforeseen circumstances (Rowlands, M. 2020).</w:t>
      </w:r>
    </w:p>
    <w:p w14:paraId="209EC53A" w14:textId="77777777" w:rsidR="00013B87" w:rsidRPr="00F30B5E" w:rsidRDefault="00013B87" w:rsidP="00013B87">
      <w:pPr>
        <w:ind w:right="107"/>
        <w:jc w:val="both"/>
        <w:rPr>
          <w:sz w:val="22"/>
          <w:szCs w:val="22"/>
        </w:rPr>
      </w:pPr>
    </w:p>
    <w:p w14:paraId="69AC0E9C" w14:textId="178BE48C" w:rsidR="00013B87" w:rsidRPr="00F30B5E" w:rsidRDefault="00013B87" w:rsidP="00013B87">
      <w:pPr>
        <w:ind w:right="107"/>
        <w:jc w:val="both"/>
        <w:rPr>
          <w:sz w:val="22"/>
          <w:szCs w:val="22"/>
        </w:rPr>
      </w:pPr>
      <w:r w:rsidRPr="00F30B5E">
        <w:rPr>
          <w:sz w:val="22"/>
          <w:szCs w:val="22"/>
        </w:rPr>
        <w:t>Kristina Obodovskiy (2019) states that resilience can be taught and strengthened and can be accomplished by practicing coping and emotional resilience to the</w:t>
      </w:r>
      <w:r w:rsidR="00F30B5E">
        <w:rPr>
          <w:sz w:val="22"/>
          <w:szCs w:val="22"/>
        </w:rPr>
        <w:t xml:space="preserve"> pressures and</w:t>
      </w:r>
      <w:r w:rsidRPr="00F30B5E">
        <w:rPr>
          <w:sz w:val="22"/>
          <w:szCs w:val="22"/>
        </w:rPr>
        <w:t xml:space="preserve"> </w:t>
      </w:r>
      <w:r w:rsidR="00F30B5E">
        <w:rPr>
          <w:sz w:val="22"/>
          <w:szCs w:val="22"/>
        </w:rPr>
        <w:t>traumatic events</w:t>
      </w:r>
      <w:r w:rsidRPr="00F30B5E">
        <w:rPr>
          <w:sz w:val="22"/>
          <w:szCs w:val="22"/>
        </w:rPr>
        <w:t xml:space="preserve"> of policing. </w:t>
      </w:r>
      <w:r w:rsidR="00A1178A">
        <w:rPr>
          <w:sz w:val="22"/>
          <w:szCs w:val="22"/>
        </w:rPr>
        <w:t xml:space="preserve">Lucy Hone (2016) provides a definition of resilience as </w:t>
      </w:r>
      <w:r w:rsidR="00240643">
        <w:rPr>
          <w:sz w:val="22"/>
          <w:szCs w:val="22"/>
        </w:rPr>
        <w:t>‘</w:t>
      </w:r>
      <w:r w:rsidR="00A1178A" w:rsidRPr="00240643">
        <w:rPr>
          <w:i/>
          <w:iCs/>
          <w:sz w:val="22"/>
          <w:szCs w:val="22"/>
        </w:rPr>
        <w:t>coping with adversity and learning from it</w:t>
      </w:r>
      <w:r w:rsidR="00240643">
        <w:rPr>
          <w:i/>
          <w:iCs/>
          <w:sz w:val="22"/>
          <w:szCs w:val="22"/>
        </w:rPr>
        <w:t>’</w:t>
      </w:r>
      <w:r w:rsidR="00A1178A">
        <w:rPr>
          <w:sz w:val="22"/>
          <w:szCs w:val="22"/>
        </w:rPr>
        <w:t xml:space="preserve">. </w:t>
      </w:r>
      <w:r w:rsidRPr="00F30B5E">
        <w:rPr>
          <w:sz w:val="22"/>
          <w:szCs w:val="22"/>
        </w:rPr>
        <w:t xml:space="preserve"> Kristina Obodovskiy (2019) mentions that peer and family support is vital with building resilience.  During my training, I built a good bond and strong relationships with my colleagues.  As we were all going through the same stresses and pressures of training, I felt I could confide in my peers and in turn them confide in me.  This helped me greatly, as a system of trust was formed between us to help each other through a challenging time.</w:t>
      </w:r>
    </w:p>
    <w:p w14:paraId="6FE9B5BC" w14:textId="77777777" w:rsidR="00013B87" w:rsidRPr="00F30B5E" w:rsidRDefault="00013B87" w:rsidP="00013B87">
      <w:pPr>
        <w:ind w:right="107"/>
        <w:jc w:val="both"/>
        <w:rPr>
          <w:sz w:val="22"/>
          <w:szCs w:val="22"/>
        </w:rPr>
      </w:pPr>
    </w:p>
    <w:p w14:paraId="08B978FA" w14:textId="7A358B6A" w:rsidR="00013B87" w:rsidRPr="00F30B5E" w:rsidRDefault="00013B87" w:rsidP="00013B87">
      <w:pPr>
        <w:ind w:right="107"/>
        <w:jc w:val="both"/>
        <w:rPr>
          <w:sz w:val="22"/>
          <w:szCs w:val="22"/>
        </w:rPr>
      </w:pPr>
      <w:r w:rsidRPr="00F30B5E">
        <w:rPr>
          <w:sz w:val="22"/>
          <w:szCs w:val="22"/>
        </w:rPr>
        <w:t xml:space="preserve">Self-awareness is very beneficial to build resilience, as this helps look at </w:t>
      </w:r>
      <w:r w:rsidR="00E10FF6">
        <w:rPr>
          <w:sz w:val="22"/>
          <w:szCs w:val="22"/>
        </w:rPr>
        <w:t xml:space="preserve">the </w:t>
      </w:r>
      <w:r w:rsidRPr="00F30B5E">
        <w:rPr>
          <w:sz w:val="22"/>
          <w:szCs w:val="22"/>
        </w:rPr>
        <w:t>weaknesses</w:t>
      </w:r>
      <w:r w:rsidR="00E10FF6">
        <w:rPr>
          <w:sz w:val="22"/>
          <w:szCs w:val="22"/>
        </w:rPr>
        <w:t xml:space="preserve"> </w:t>
      </w:r>
      <w:r w:rsidRPr="00F30B5E">
        <w:rPr>
          <w:sz w:val="22"/>
          <w:szCs w:val="22"/>
        </w:rPr>
        <w:t xml:space="preserve">and strengths </w:t>
      </w:r>
      <w:r w:rsidR="00E10FF6">
        <w:rPr>
          <w:sz w:val="22"/>
          <w:szCs w:val="22"/>
        </w:rPr>
        <w:t xml:space="preserve">you possess for you to </w:t>
      </w:r>
      <w:r w:rsidRPr="00F30B5E">
        <w:rPr>
          <w:sz w:val="22"/>
          <w:szCs w:val="22"/>
        </w:rPr>
        <w:t xml:space="preserve">improve on these qualities (Rowland, M. 2020).  During my training, I’d receive feedback on my practical assessments’ performances.  Rather than dwelling on what I </w:t>
      </w:r>
      <w:r w:rsidRPr="00F30B5E">
        <w:rPr>
          <w:sz w:val="22"/>
          <w:szCs w:val="22"/>
        </w:rPr>
        <w:lastRenderedPageBreak/>
        <w:t>should have done and the mistakes I made, I’d look at the constructive feedback and look at what I can develop and do differently next time</w:t>
      </w:r>
      <w:r w:rsidR="00A1178A">
        <w:rPr>
          <w:sz w:val="22"/>
          <w:szCs w:val="22"/>
        </w:rPr>
        <w:t>, this helping with personal growth and development.</w:t>
      </w:r>
    </w:p>
    <w:p w14:paraId="05450CB9" w14:textId="77777777" w:rsidR="00013B87" w:rsidRPr="00F30B5E" w:rsidRDefault="00013B87" w:rsidP="00013B87">
      <w:pPr>
        <w:ind w:right="107"/>
        <w:jc w:val="both"/>
        <w:rPr>
          <w:sz w:val="22"/>
          <w:szCs w:val="22"/>
        </w:rPr>
      </w:pPr>
    </w:p>
    <w:p w14:paraId="4E62BD6D" w14:textId="47D637B0" w:rsidR="00013B87" w:rsidRPr="00F30B5E" w:rsidRDefault="00013B87" w:rsidP="00013B87">
      <w:pPr>
        <w:ind w:right="107"/>
        <w:jc w:val="both"/>
        <w:rPr>
          <w:sz w:val="22"/>
          <w:szCs w:val="22"/>
        </w:rPr>
      </w:pPr>
      <w:r w:rsidRPr="00F30B5E">
        <w:rPr>
          <w:sz w:val="22"/>
          <w:szCs w:val="22"/>
        </w:rPr>
        <w:t xml:space="preserve">Exercise has always been the most successful coping strategy for me to manage anxiety and a general day-to-day stress reliever.  During the first few months of training, I ensured I made time for myself each day to exercise.  </w:t>
      </w:r>
      <w:r w:rsidR="00AE72A6">
        <w:rPr>
          <w:sz w:val="22"/>
          <w:szCs w:val="22"/>
        </w:rPr>
        <w:t xml:space="preserve">Robin Madell </w:t>
      </w:r>
      <w:r w:rsidR="0039205F">
        <w:rPr>
          <w:sz w:val="22"/>
          <w:szCs w:val="22"/>
        </w:rPr>
        <w:t xml:space="preserve">(2020) </w:t>
      </w:r>
      <w:r w:rsidRPr="00F30B5E">
        <w:rPr>
          <w:sz w:val="22"/>
          <w:szCs w:val="22"/>
        </w:rPr>
        <w:t xml:space="preserve">suggests </w:t>
      </w:r>
      <w:r w:rsidR="0039205F">
        <w:rPr>
          <w:sz w:val="22"/>
          <w:szCs w:val="22"/>
        </w:rPr>
        <w:t>physical activity</w:t>
      </w:r>
      <w:r w:rsidRPr="00F30B5E">
        <w:rPr>
          <w:sz w:val="22"/>
          <w:szCs w:val="22"/>
        </w:rPr>
        <w:t xml:space="preserve"> during the working day is one of the most effective stress relievers and helps</w:t>
      </w:r>
      <w:r w:rsidR="00A867D1">
        <w:rPr>
          <w:sz w:val="22"/>
          <w:szCs w:val="22"/>
        </w:rPr>
        <w:t xml:space="preserve"> </w:t>
      </w:r>
      <w:r w:rsidRPr="00F30B5E">
        <w:rPr>
          <w:sz w:val="22"/>
          <w:szCs w:val="22"/>
        </w:rPr>
        <w:t>boosts</w:t>
      </w:r>
      <w:r w:rsidR="0039205F">
        <w:rPr>
          <w:sz w:val="22"/>
          <w:szCs w:val="22"/>
        </w:rPr>
        <w:t xml:space="preserve"> mood,</w:t>
      </w:r>
      <w:r w:rsidRPr="00F30B5E">
        <w:rPr>
          <w:sz w:val="22"/>
          <w:szCs w:val="22"/>
        </w:rPr>
        <w:t xml:space="preserve"> energy, reduces fatigue, and improves our concentration, and </w:t>
      </w:r>
      <w:r w:rsidR="0039205F">
        <w:rPr>
          <w:sz w:val="22"/>
          <w:szCs w:val="22"/>
        </w:rPr>
        <w:t>boosts confidence levels</w:t>
      </w:r>
      <w:r w:rsidRPr="00F30B5E">
        <w:rPr>
          <w:sz w:val="22"/>
          <w:szCs w:val="22"/>
        </w:rPr>
        <w:t xml:space="preserve">.  Which during my training all these factors were important to remain focused and motivated for all the new legislation I was to learn and the </w:t>
      </w:r>
      <w:r w:rsidR="00A867D1">
        <w:rPr>
          <w:sz w:val="22"/>
          <w:szCs w:val="22"/>
        </w:rPr>
        <w:t xml:space="preserve">new </w:t>
      </w:r>
      <w:r w:rsidRPr="00F30B5E">
        <w:rPr>
          <w:sz w:val="22"/>
          <w:szCs w:val="22"/>
        </w:rPr>
        <w:t>journey that laid ahead of me.</w:t>
      </w:r>
    </w:p>
    <w:p w14:paraId="0983782A" w14:textId="77777777" w:rsidR="00013B87" w:rsidRPr="00F30B5E" w:rsidRDefault="00013B87" w:rsidP="00013B87">
      <w:pPr>
        <w:ind w:right="107"/>
        <w:jc w:val="both"/>
        <w:rPr>
          <w:sz w:val="22"/>
          <w:szCs w:val="22"/>
        </w:rPr>
      </w:pPr>
    </w:p>
    <w:p w14:paraId="3D09D7B0" w14:textId="5321882B" w:rsidR="00013B87" w:rsidRPr="00F30B5E" w:rsidRDefault="00013B87" w:rsidP="00013B87">
      <w:pPr>
        <w:ind w:right="107"/>
        <w:jc w:val="both"/>
        <w:rPr>
          <w:sz w:val="22"/>
          <w:szCs w:val="22"/>
        </w:rPr>
      </w:pPr>
      <w:r w:rsidRPr="00F30B5E">
        <w:rPr>
          <w:sz w:val="22"/>
          <w:szCs w:val="22"/>
        </w:rPr>
        <w:t>During my training, I had to figure out a healthy work life balance with having a young family.  Susan Ward (2020) states that work-life balance is the idea that a fulfilling life outside of work, helps improve work performance while reducing stress, and having a poor work-life balance can have serious effects on a person’s mental health.   At times, I had to sacrifice some of my usual time with my family to complete pre-reading of topics ahead of training, or to prepare for practical assessments and written exams, although ensuring that I spent quality time with my husband and children.   I managed this by being pragmatic and structuring my revision, by creating a timetable for each week for general pre-reads and a revision timetable for exam preparations.  By setting objectives it helped me to visualise my workload, so it didn’t overwhelm me.  Bloomsbury publishing (2005) states that keeping in control of tasks</w:t>
      </w:r>
      <w:r w:rsidR="00E10FF6">
        <w:rPr>
          <w:sz w:val="22"/>
          <w:szCs w:val="22"/>
        </w:rPr>
        <w:t xml:space="preserve"> is an</w:t>
      </w:r>
      <w:r w:rsidRPr="00F30B5E">
        <w:rPr>
          <w:sz w:val="22"/>
          <w:szCs w:val="22"/>
        </w:rPr>
        <w:t xml:space="preserve"> essential skill</w:t>
      </w:r>
      <w:r w:rsidR="00E10FF6">
        <w:rPr>
          <w:sz w:val="22"/>
          <w:szCs w:val="22"/>
        </w:rPr>
        <w:t xml:space="preserve"> </w:t>
      </w:r>
      <w:r w:rsidRPr="00F30B5E">
        <w:rPr>
          <w:sz w:val="22"/>
          <w:szCs w:val="22"/>
        </w:rPr>
        <w:t>when trying to balance life and work, and states that good prioritisation helps to avoid distraction and to be more efficient</w:t>
      </w:r>
      <w:r w:rsidR="00035809">
        <w:rPr>
          <w:sz w:val="22"/>
          <w:szCs w:val="22"/>
        </w:rPr>
        <w:t>.</w:t>
      </w:r>
      <w:r w:rsidRPr="00F30B5E">
        <w:rPr>
          <w:sz w:val="22"/>
          <w:szCs w:val="22"/>
        </w:rPr>
        <w:t xml:space="preserve">  </w:t>
      </w:r>
      <w:r w:rsidR="00035809">
        <w:rPr>
          <w:sz w:val="22"/>
          <w:szCs w:val="22"/>
        </w:rPr>
        <w:t>This also helping employees to be more productive, being happier in work leading to less time off for sickness and fewer stress-related illnesses.</w:t>
      </w:r>
    </w:p>
    <w:p w14:paraId="52FBF750" w14:textId="77777777" w:rsidR="00013B87" w:rsidRPr="00F30B5E" w:rsidRDefault="00013B87" w:rsidP="00013B87">
      <w:pPr>
        <w:ind w:right="107"/>
        <w:jc w:val="both"/>
        <w:rPr>
          <w:sz w:val="22"/>
          <w:szCs w:val="22"/>
        </w:rPr>
      </w:pPr>
    </w:p>
    <w:p w14:paraId="3DA453A7" w14:textId="4EFF2949" w:rsidR="00013B87" w:rsidRPr="00F30B5E" w:rsidRDefault="00013B87" w:rsidP="00013B87">
      <w:pPr>
        <w:ind w:right="107"/>
        <w:jc w:val="both"/>
        <w:rPr>
          <w:sz w:val="22"/>
          <w:szCs w:val="22"/>
        </w:rPr>
      </w:pPr>
      <w:r w:rsidRPr="00F30B5E">
        <w:rPr>
          <w:sz w:val="22"/>
          <w:szCs w:val="22"/>
        </w:rPr>
        <w:t>As workload increased, particularly during exam preparations, I needed to sacrifice an aspect of my life which was part of my usual daily routine.   I felt that I needed to look at this, as I felt the extra studying I was conducting, and my usual exercise routine meant that my time with my family had significantly lessened.   I decided that exercise was a less of a priority in comparison to everything else within my life to ensure I was effectively managing my work life balance.  However, on reflection, exercise would have helped my anxiety and mood especially during the most stressful times.</w:t>
      </w:r>
      <w:r w:rsidR="00035809">
        <w:rPr>
          <w:sz w:val="22"/>
          <w:szCs w:val="22"/>
        </w:rPr>
        <w:t xml:space="preserve">  W</w:t>
      </w:r>
      <w:r w:rsidRPr="00F30B5E">
        <w:rPr>
          <w:sz w:val="22"/>
          <w:szCs w:val="22"/>
        </w:rPr>
        <w:t xml:space="preserve">ith having to juggle work, revision, and family life, I felt the only thing I could sacrifice would be the time for myself to relax and exercise.  This probably contributed to experiencing sleeping problems during the most stressful times of the training, as lack of good quality sleep can have an impact on your physical and mental health causing many issues such as anxiety (Williamson, 2018, p.73).  In hindsight, my exercise routine would have helped with my insomnia.  Logan Foley (2021) states that there is a link between regular exercise and sleep quality where current research suggests that exercise and sleep </w:t>
      </w:r>
      <w:r w:rsidR="00E10FF6">
        <w:rPr>
          <w:sz w:val="22"/>
          <w:szCs w:val="22"/>
        </w:rPr>
        <w:t>work hand in hand with each other</w:t>
      </w:r>
      <w:r w:rsidRPr="00F30B5E">
        <w:rPr>
          <w:sz w:val="22"/>
          <w:szCs w:val="22"/>
        </w:rPr>
        <w:t xml:space="preserve">, whereby moderate exercise during the day helps people sleep better.  In contrast to this, by sacrificing my exercise routine, I utilised the time I had free to spend time with my young family, which helped me to be distracted from exam pressures and achieve a healthy work-life balance with my family which is very important to me. </w:t>
      </w:r>
    </w:p>
    <w:p w14:paraId="19DB5493" w14:textId="77777777" w:rsidR="00013B87" w:rsidRPr="00F30B5E" w:rsidRDefault="00013B87" w:rsidP="00013B87">
      <w:pPr>
        <w:ind w:right="107"/>
        <w:jc w:val="both"/>
        <w:rPr>
          <w:sz w:val="22"/>
          <w:szCs w:val="22"/>
        </w:rPr>
      </w:pPr>
    </w:p>
    <w:p w14:paraId="642A09E7" w14:textId="3BB78DF8" w:rsidR="00013B87" w:rsidRDefault="00013B87" w:rsidP="00013B87">
      <w:pPr>
        <w:ind w:right="107"/>
        <w:jc w:val="both"/>
        <w:rPr>
          <w:sz w:val="22"/>
          <w:szCs w:val="22"/>
        </w:rPr>
      </w:pPr>
      <w:r w:rsidRPr="00F30B5E">
        <w:rPr>
          <w:sz w:val="22"/>
          <w:szCs w:val="22"/>
        </w:rPr>
        <w:t xml:space="preserve">During my </w:t>
      </w:r>
      <w:r w:rsidR="00035809">
        <w:rPr>
          <w:sz w:val="22"/>
          <w:szCs w:val="22"/>
        </w:rPr>
        <w:t xml:space="preserve">6-month </w:t>
      </w:r>
      <w:r w:rsidRPr="00F30B5E">
        <w:rPr>
          <w:sz w:val="22"/>
          <w:szCs w:val="22"/>
        </w:rPr>
        <w:t>training, I experienced sleeping issues when practical assessments and exams were approaching.  I found where I’d been revising for most of the day, my brain would be over stimulated</w:t>
      </w:r>
      <w:r w:rsidR="00035809">
        <w:rPr>
          <w:sz w:val="22"/>
          <w:szCs w:val="22"/>
        </w:rPr>
        <w:t xml:space="preserve"> resulting</w:t>
      </w:r>
      <w:r w:rsidRPr="00F30B5E">
        <w:rPr>
          <w:sz w:val="22"/>
          <w:szCs w:val="22"/>
        </w:rPr>
        <w:t xml:space="preserve"> sleeping problems</w:t>
      </w:r>
      <w:r w:rsidR="00035809">
        <w:rPr>
          <w:sz w:val="22"/>
          <w:szCs w:val="22"/>
        </w:rPr>
        <w:t xml:space="preserve"> as I couldn’t wind down</w:t>
      </w:r>
      <w:r w:rsidRPr="00F30B5E">
        <w:rPr>
          <w:sz w:val="22"/>
          <w:szCs w:val="22"/>
        </w:rPr>
        <w:t xml:space="preserve">.  I tried to overcome this issue by trying not to read and revise too late in the evening. </w:t>
      </w:r>
    </w:p>
    <w:p w14:paraId="36B326C0" w14:textId="77777777" w:rsidR="00035809" w:rsidRPr="00F30B5E" w:rsidRDefault="00035809" w:rsidP="00013B87">
      <w:pPr>
        <w:ind w:right="107"/>
        <w:jc w:val="both"/>
        <w:rPr>
          <w:sz w:val="22"/>
          <w:szCs w:val="22"/>
        </w:rPr>
      </w:pPr>
    </w:p>
    <w:p w14:paraId="3BCAD3C3" w14:textId="0DB96F19" w:rsidR="00013B87" w:rsidRPr="00F30B5E" w:rsidRDefault="00013B87" w:rsidP="00013B87">
      <w:pPr>
        <w:ind w:right="107"/>
        <w:jc w:val="both"/>
        <w:rPr>
          <w:sz w:val="22"/>
          <w:szCs w:val="22"/>
        </w:rPr>
      </w:pPr>
      <w:r w:rsidRPr="00F30B5E">
        <w:rPr>
          <w:sz w:val="22"/>
          <w:szCs w:val="22"/>
        </w:rPr>
        <w:t xml:space="preserve">To help overcome my sleeping issues further, I decided to implement mindfulness into my bed routine, to help unwind and to help ease any worries or anxieties prior to going to sleep. Kabat-Zinn (2013) highlighted that mindfulness can help individuals </w:t>
      </w:r>
      <w:r w:rsidR="00E15463">
        <w:rPr>
          <w:sz w:val="22"/>
          <w:szCs w:val="22"/>
        </w:rPr>
        <w:t>utilise</w:t>
      </w:r>
      <w:r w:rsidRPr="00F30B5E">
        <w:rPr>
          <w:sz w:val="22"/>
          <w:szCs w:val="22"/>
        </w:rPr>
        <w:t xml:space="preserve"> a ‘</w:t>
      </w:r>
      <w:r w:rsidRPr="00E15463">
        <w:rPr>
          <w:i/>
          <w:iCs/>
          <w:sz w:val="22"/>
          <w:szCs w:val="22"/>
        </w:rPr>
        <w:t>mindfulness-mediated stress response’</w:t>
      </w:r>
      <w:r w:rsidRPr="00F30B5E">
        <w:rPr>
          <w:sz w:val="22"/>
          <w:szCs w:val="22"/>
        </w:rPr>
        <w:t xml:space="preserve">, this meaning that individuals can observe their own thoughts and feelings with more clarity, this reducing the reaction to stress and applying effective coping strategies which in turn reduces stress. </w:t>
      </w:r>
    </w:p>
    <w:p w14:paraId="0683F9B0" w14:textId="77777777" w:rsidR="00013B87" w:rsidRPr="00F30B5E" w:rsidRDefault="00013B87" w:rsidP="00013B87">
      <w:pPr>
        <w:ind w:right="107"/>
        <w:jc w:val="both"/>
        <w:rPr>
          <w:sz w:val="22"/>
          <w:szCs w:val="22"/>
        </w:rPr>
      </w:pPr>
    </w:p>
    <w:p w14:paraId="6F2AA871" w14:textId="100E862B" w:rsidR="00013B87" w:rsidRPr="00F30B5E" w:rsidRDefault="00013B87" w:rsidP="00013B87">
      <w:pPr>
        <w:ind w:right="107"/>
        <w:jc w:val="both"/>
        <w:rPr>
          <w:sz w:val="22"/>
          <w:szCs w:val="22"/>
        </w:rPr>
      </w:pPr>
      <w:r w:rsidRPr="00F30B5E">
        <w:rPr>
          <w:sz w:val="22"/>
          <w:szCs w:val="22"/>
        </w:rPr>
        <w:lastRenderedPageBreak/>
        <w:t>However, when it came to practical assessments and when exams were approaching, then the steps I took to overcome my sleeping problems were not sufficient, and I’d have difficulty sleeping again due to the natural anxieties and worries I had prior to the exams.  Anna Williamson (2018) suggests writing down thoughts and worries down on paper before going to bed, will help with putting aside worries of forgetting what I need to do/action the next day.  This is an approach that I will implement going forward when I’m at the tutor hub and during my career as a police officer as a whole, when I’m feeling particularly stressed and overwhelmed with work so it doesn’t impact on my sleep which can in turn have an effect on anxiety and mental health as a whole.</w:t>
      </w:r>
    </w:p>
    <w:p w14:paraId="183DE010" w14:textId="77777777" w:rsidR="00013B87" w:rsidRPr="00F30B5E" w:rsidRDefault="00013B87" w:rsidP="00013B87">
      <w:pPr>
        <w:ind w:right="107"/>
        <w:jc w:val="both"/>
        <w:rPr>
          <w:sz w:val="22"/>
          <w:szCs w:val="22"/>
        </w:rPr>
      </w:pPr>
    </w:p>
    <w:p w14:paraId="528CF7A0" w14:textId="28D19890" w:rsidR="00013B87" w:rsidRPr="00F30B5E" w:rsidRDefault="00013B87" w:rsidP="00013B87">
      <w:pPr>
        <w:ind w:right="107"/>
        <w:jc w:val="both"/>
        <w:rPr>
          <w:sz w:val="22"/>
          <w:szCs w:val="22"/>
        </w:rPr>
      </w:pPr>
      <w:r w:rsidRPr="00F30B5E">
        <w:rPr>
          <w:sz w:val="22"/>
          <w:szCs w:val="22"/>
        </w:rPr>
        <w:t>A study conducted by the Police Federation in 2016, involving 17,000 officers found that the mental wellbeing of officers w</w:t>
      </w:r>
      <w:r w:rsidR="00035809">
        <w:rPr>
          <w:sz w:val="22"/>
          <w:szCs w:val="22"/>
        </w:rPr>
        <w:t>as</w:t>
      </w:r>
      <w:r w:rsidRPr="00F30B5E">
        <w:rPr>
          <w:sz w:val="22"/>
          <w:szCs w:val="22"/>
        </w:rPr>
        <w:t xml:space="preserve"> considerably poorer than the general population, with 39% needing help for mental health (Houdmont and Elliott-Davies 2016).  This study reiterates how important it is to seek support whether it is with peers, a family member or friend, and having that support network to discuss traumatic incidents.  Individuals without a strong social network tend to </w:t>
      </w:r>
      <w:r w:rsidR="00776EC3">
        <w:rPr>
          <w:sz w:val="22"/>
          <w:szCs w:val="22"/>
        </w:rPr>
        <w:t xml:space="preserve">withdraw </w:t>
      </w:r>
      <w:r w:rsidRPr="00F30B5E">
        <w:rPr>
          <w:sz w:val="22"/>
          <w:szCs w:val="22"/>
        </w:rPr>
        <w:t>and suppress their frustrations (Todd, C. 2018).  During my training, I’d confide in my husband if I felt overwhelmed during stressful times which helped me to cope and become more resilient during this time.</w:t>
      </w:r>
    </w:p>
    <w:p w14:paraId="05754F97" w14:textId="77777777" w:rsidR="00013B87" w:rsidRPr="00F30B5E" w:rsidRDefault="00013B87" w:rsidP="00013B87">
      <w:pPr>
        <w:ind w:right="107"/>
        <w:jc w:val="both"/>
        <w:rPr>
          <w:sz w:val="22"/>
          <w:szCs w:val="22"/>
        </w:rPr>
      </w:pPr>
    </w:p>
    <w:p w14:paraId="3B855813" w14:textId="69B47BC5" w:rsidR="00FF7784" w:rsidRPr="00F30B5E" w:rsidRDefault="00013B87" w:rsidP="00013B87">
      <w:pPr>
        <w:ind w:right="107"/>
        <w:jc w:val="both"/>
        <w:rPr>
          <w:sz w:val="22"/>
          <w:szCs w:val="22"/>
        </w:rPr>
      </w:pPr>
      <w:r w:rsidRPr="00F30B5E">
        <w:rPr>
          <w:sz w:val="22"/>
          <w:szCs w:val="22"/>
        </w:rPr>
        <w:t>In conclusion, I</w:t>
      </w:r>
      <w:r w:rsidR="0018679F">
        <w:rPr>
          <w:sz w:val="22"/>
          <w:szCs w:val="22"/>
        </w:rPr>
        <w:t xml:space="preserve"> feel I’ve</w:t>
      </w:r>
      <w:r w:rsidRPr="00F30B5E">
        <w:rPr>
          <w:sz w:val="22"/>
          <w:szCs w:val="22"/>
        </w:rPr>
        <w:t xml:space="preserve"> been resilient during my training which has helped to minimise stress to cope well within my first 6 months of training, by utilising a pragmatic approach to my work, being open and honest to my peers and family if I felt overwhelmed, reflected on my mistakes and performance and turned it into self-growth and generally being well organised.  I realise, that sacrificing my exercising may not have helped with my sleeping problems, however going forward I’ll ensure that I use my time effectively by incorporating exercise into family time, such as a family walk to help me with this.  </w:t>
      </w:r>
    </w:p>
    <w:p w14:paraId="77419098" w14:textId="29550E6E" w:rsidR="00A03A1A" w:rsidRPr="00F30B5E" w:rsidRDefault="00A03A1A" w:rsidP="00013B87">
      <w:pPr>
        <w:ind w:right="107"/>
        <w:jc w:val="both"/>
        <w:rPr>
          <w:sz w:val="22"/>
          <w:szCs w:val="22"/>
        </w:rPr>
      </w:pPr>
    </w:p>
    <w:p w14:paraId="3F176B80" w14:textId="61D1B6C1" w:rsidR="00A03A1A" w:rsidRPr="00F30B5E" w:rsidRDefault="00A03A1A" w:rsidP="00013B87">
      <w:pPr>
        <w:ind w:right="107"/>
        <w:jc w:val="both"/>
        <w:rPr>
          <w:sz w:val="22"/>
          <w:szCs w:val="22"/>
        </w:rPr>
      </w:pPr>
      <w:r w:rsidRPr="00F30B5E">
        <w:rPr>
          <w:sz w:val="22"/>
          <w:szCs w:val="22"/>
        </w:rPr>
        <w:t>Word count: 159</w:t>
      </w:r>
      <w:r w:rsidR="00776EC3">
        <w:rPr>
          <w:sz w:val="22"/>
          <w:szCs w:val="22"/>
        </w:rPr>
        <w:t>2</w:t>
      </w: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2CAAB90"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In this assignment, I’ll be critically assessing a policing incident involving conflict in which I played a significant role with the offender.  I’ll be reflecting upon the methods of communication I used during the incident, evaluating what went well about the experience, exploring what else I could’ve done, and what I can learn from the experience to know what to do differently next time.  I’ll also be describing the process for determining whether the use of force was necessary during the incident, exploring and critically evaluating any theories or models underpinning the causes of conflict within policing interventions.  In this assignment, I’ll be using the reflective writing method the ‘Gibb’s model of reflection (1988)’ to answer my assignment question.  </w:t>
      </w:r>
    </w:p>
    <w:p w14:paraId="74248C66"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The National decision model (NDM) was used throughout this incident to help with dealing with the issues I was facing at the time to help resolve the situation effectively and that is expected as a police officer as the model underpins ethical decision-making within the police.  There are five stages which consist within the NDM however the 'Code of Ethics' are at the centre of the NDM which are at the heart of all police decision making (ACPO, 2011). By using the NDM, the decision-makers will be able to say that they were proportionate, legitimate, necessary, and ethical and was it reasonable in the circumstances facing them at the time.  In all situations police decisions need to be consistent with the principles and standards of behaviour set out in the code and expected to uphold these which the police are expected to meet (ACPO, 2011).</w:t>
      </w:r>
    </w:p>
    <w:p w14:paraId="392B2422"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lastRenderedPageBreak/>
        <w:t xml:space="preserve">The first stage of the NDM is gathering information and intelligence.  I did this by obtaining as much information as possible from the control room, such as brief circumstances of the incident, address of the alleged party taking place and the homeowner details.  On receiving this information, I conducted a PNC on the address and homeowner.  This helped to identify any risks that could be presented to us and allow to be prepared and develop a working strategy.  The risk assessment would help establish categorising the subject, and the likelihood of harm and how best to deal with a particular individual (College of Policing, 2013). </w:t>
      </w:r>
    </w:p>
    <w:p w14:paraId="47160897" w14:textId="3BDA1C99" w:rsidR="00A03A1A" w:rsidRPr="00F30B5E" w:rsidRDefault="0018679F" w:rsidP="00A03A1A">
      <w:pPr>
        <w:overflowPunct/>
        <w:autoSpaceDE/>
        <w:autoSpaceDN/>
        <w:adjustRightInd/>
        <w:spacing w:after="160" w:line="259" w:lineRule="auto"/>
        <w:textAlignment w:val="auto"/>
        <w:rPr>
          <w:rFonts w:eastAsia="Calibri"/>
          <w:color w:val="auto"/>
          <w:sz w:val="22"/>
          <w:szCs w:val="22"/>
          <w:lang w:eastAsia="en-US"/>
        </w:rPr>
      </w:pPr>
      <w:r>
        <w:rPr>
          <w:rFonts w:eastAsia="Calibri"/>
          <w:color w:val="auto"/>
          <w:sz w:val="22"/>
          <w:szCs w:val="22"/>
          <w:lang w:eastAsia="en-US"/>
        </w:rPr>
        <w:t xml:space="preserve">A call came in stating </w:t>
      </w:r>
      <w:r w:rsidR="00A03A1A" w:rsidRPr="00F30B5E">
        <w:rPr>
          <w:rFonts w:eastAsia="Calibri"/>
          <w:color w:val="auto"/>
          <w:sz w:val="22"/>
          <w:szCs w:val="22"/>
          <w:lang w:eastAsia="en-US"/>
        </w:rPr>
        <w:t xml:space="preserve">a party </w:t>
      </w:r>
      <w:r>
        <w:rPr>
          <w:rFonts w:eastAsia="Calibri"/>
          <w:color w:val="auto"/>
          <w:sz w:val="22"/>
          <w:szCs w:val="22"/>
          <w:lang w:eastAsia="en-US"/>
        </w:rPr>
        <w:t xml:space="preserve">was </w:t>
      </w:r>
      <w:r w:rsidR="00A03A1A" w:rsidRPr="00F30B5E">
        <w:rPr>
          <w:rFonts w:eastAsia="Calibri"/>
          <w:color w:val="auto"/>
          <w:sz w:val="22"/>
          <w:szCs w:val="22"/>
          <w:lang w:eastAsia="en-US"/>
        </w:rPr>
        <w:t>being held at an address which was breaching Covid-19 regulations.  On approaching the property, the national decision process was still in motion and I was gathering as much information as possible.  It was evident that a large gathering was happening inside the property.  There was approximately 20 people that could be seen through the downstairs front window, there was loud music playing from inside the property, blue and red flashing lights that could be seen through the downstairs front window, and birthday banners displayed on the front door.  These actions concreting my suspicions of a party and regulations being breached at the property.</w:t>
      </w:r>
    </w:p>
    <w:p w14:paraId="33545356"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On approaching the subject, I had the force policy ‘4 E’s’ in mind to deal with the incident relating to coronavirus breaches to resolve the situation by communicating clearly and encourage people to behave responsibly.   The ‘4 E’s’ are engage, explain, encourage, and enforce.  If all the first three stages have been implemented with no success, then police do have the power to arrest if they think it is proportionate and necessary (College of Policing, 2020). I engaged and explained to the homeowner that having a party during lockdown with people outside of her household is breaching Covid-19 regulations.  The subject denied that she was having a party but was having a gathering of a few friends within her house.  I explained that gathering in large groups of people with people outside of their home, not adhering to the 2-meter social distancing, and those who had travelled to be at her house was not essential travel and all these mentioned were breaching Covid-19 regulations.  The subject denied of having a party and appeared to be closing the door.  </w:t>
      </w:r>
    </w:p>
    <w:p w14:paraId="450DD2D9"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policy and powers available to me in this situation was the power of entry </w:t>
      </w:r>
      <w:bookmarkStart w:id="1" w:name="_Hlk62720585"/>
      <w:r w:rsidRPr="00F30B5E">
        <w:rPr>
          <w:rFonts w:eastAsia="Calibri"/>
          <w:color w:val="auto"/>
          <w:sz w:val="22"/>
          <w:szCs w:val="22"/>
          <w:lang w:eastAsia="en-US"/>
        </w:rPr>
        <w:t>under ‘The Health Protection (Coronavirus Restrictions) (No. 3) (Wales) Regulations 2020’ part 5 regulation 27 (1</w:t>
      </w:r>
      <w:bookmarkEnd w:id="1"/>
      <w:r w:rsidRPr="00F30B5E">
        <w:rPr>
          <w:rFonts w:eastAsia="Calibri"/>
          <w:color w:val="auto"/>
          <w:sz w:val="22"/>
          <w:szCs w:val="22"/>
          <w:lang w:eastAsia="en-US"/>
        </w:rPr>
        <w:t xml:space="preserve">), which states that if an officer has reasonable grounds for suspecting that a breach of COVID-19 regulations is being committed or about to be committed then an officer may enter premises (Legislation, 2020). </w:t>
      </w:r>
    </w:p>
    <w:p w14:paraId="3E5EA90C"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 asked the subject if we could come into the property to deal with the issue at hand in which the subject declined.  I explained that we have a power of entry if we have reasonable grounds to suspect that covid-19 regulations have been breached. </w:t>
      </w:r>
    </w:p>
    <w:p w14:paraId="5087FF82"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I was continually assessing the risk and threat presented to myself and officers.  As I could sense that tension was rising due to the swearing and shouting of the crowds of people within the property, myself and other officers present activated our body worn cameras.  The subject became hostile and pushed back one of the officers to shut the front door.  Using the national decision model, I looked at policy and powers available to me.  I had the power to use reasonable force under Section 3 of the Criminal Law Act 1967 to prevent a crime to work alongside the power of entry under ‘The Health Protection (Coronavirus Restrictions) (No. 3) (Wales) Regulations 2020’ part 5 regulation 27 (1), by walking our way through the crowd that was gathered by the front door just inside the house (Legislation, 2020).</w:t>
      </w:r>
    </w:p>
    <w:p w14:paraId="0C620961" w14:textId="5644ABA5"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On entering the property, I was immediately aware that we were outnumbered as there were approximately 20 people inside.  By assessing the threat and risk in front of me I could clearly see there were major impact factors that made me extra vigilant of my surroundings which is known as situational awareness.  Situational awareness has been defined as the ability to perceive and </w:t>
      </w:r>
      <w:r w:rsidRPr="00F30B5E">
        <w:rPr>
          <w:rFonts w:eastAsia="Calibri"/>
          <w:color w:val="auto"/>
          <w:sz w:val="22"/>
          <w:szCs w:val="22"/>
          <w:lang w:eastAsia="en-US"/>
        </w:rPr>
        <w:lastRenderedPageBreak/>
        <w:t>process potential threats in the environment (Andersen, J et al, 2016).  By conducting a risk assessment, I determined many impact factors inside the property such as the crowd of people and the confined space in the hallway.  The people inside the house were intoxicated with alcohol and there were many bottles of nitrous oxide in the living room which indicated the persons were high on this substance. Steele (1985), states that drinking alcohol clearly impacts on the social behaviours of individuals such as</w:t>
      </w:r>
      <w:r w:rsidR="00B91BE3">
        <w:rPr>
          <w:rFonts w:eastAsia="Calibri"/>
          <w:color w:val="auto"/>
          <w:sz w:val="22"/>
          <w:szCs w:val="22"/>
          <w:lang w:eastAsia="en-US"/>
        </w:rPr>
        <w:t xml:space="preserve"> the</w:t>
      </w:r>
      <w:r w:rsidRPr="00F30B5E">
        <w:rPr>
          <w:rFonts w:eastAsia="Calibri"/>
          <w:color w:val="auto"/>
          <w:sz w:val="22"/>
          <w:szCs w:val="22"/>
          <w:lang w:eastAsia="en-US"/>
        </w:rPr>
        <w:t xml:space="preserve"> increase of aggression.   This was evident in this situation, as hostility was shown by individuals pointing phones in our faces trying to get myself or other officers to react.  Looking at officer experiences, evidence review suggests that officers are more likely to get assaulted when individuals present themselves as being hostile and intoxicated (College of Policing, 2019).  Hostility and intoxication were both presented to us officers in this situation</w:t>
      </w:r>
      <w:r w:rsidR="00B91BE3">
        <w:rPr>
          <w:rFonts w:eastAsia="Calibri"/>
          <w:color w:val="auto"/>
          <w:sz w:val="22"/>
          <w:szCs w:val="22"/>
          <w:lang w:eastAsia="en-US"/>
        </w:rPr>
        <w:t>,</w:t>
      </w:r>
      <w:r w:rsidRPr="00F30B5E">
        <w:rPr>
          <w:rFonts w:eastAsia="Calibri"/>
          <w:color w:val="auto"/>
          <w:sz w:val="22"/>
          <w:szCs w:val="22"/>
          <w:lang w:eastAsia="en-US"/>
        </w:rPr>
        <w:t xml:space="preserve"> therefore </w:t>
      </w:r>
      <w:r w:rsidR="00B91BE3">
        <w:rPr>
          <w:rFonts w:eastAsia="Calibri"/>
          <w:color w:val="auto"/>
          <w:sz w:val="22"/>
          <w:szCs w:val="22"/>
          <w:lang w:eastAsia="en-US"/>
        </w:rPr>
        <w:t xml:space="preserve">we </w:t>
      </w:r>
      <w:r w:rsidRPr="00F30B5E">
        <w:rPr>
          <w:rFonts w:eastAsia="Calibri"/>
          <w:color w:val="auto"/>
          <w:sz w:val="22"/>
          <w:szCs w:val="22"/>
          <w:lang w:eastAsia="en-US"/>
        </w:rPr>
        <w:t xml:space="preserve">needed to ensure we presented emotional awareness, by remaining calm and controlling our own emotions.  Emotional awareness and self-regulation are key aspects of emotional intelligence and are closely linked with effective communication by demonstrating empathy, managing your own emotions and understanding the possible reasons for a person’s behaviour (College of Policing, 2019).  </w:t>
      </w:r>
    </w:p>
    <w:p w14:paraId="280E77FA"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Throughout this incident I ensured that the Betari’s box theory was in the forefront of my mind by using appropriate body language.  Betari’s box relates to the concept of effective communication between people and how people’s behaviour can influence the ways in which people respond or communicate with one another (Mindtools, 1996).  This includes body language, facial expression and tone of voice.   Positive attitudes and behaviours towards the person you are meeting, affects every aspect of your communication, and if you change your attitude towards others, you can change their behaviour towards you</w:t>
      </w:r>
      <w:r w:rsidRPr="00F30B5E">
        <w:rPr>
          <w:rFonts w:eastAsia="Calibri"/>
          <w:i/>
          <w:iCs/>
          <w:color w:val="auto"/>
          <w:sz w:val="22"/>
          <w:szCs w:val="22"/>
          <w:lang w:eastAsia="en-US"/>
        </w:rPr>
        <w:t xml:space="preserve"> </w:t>
      </w:r>
      <w:r w:rsidRPr="00F30B5E">
        <w:rPr>
          <w:rFonts w:eastAsia="Calibri"/>
          <w:color w:val="auto"/>
          <w:sz w:val="22"/>
          <w:szCs w:val="22"/>
          <w:lang w:eastAsia="en-US"/>
        </w:rPr>
        <w:t xml:space="preserve">(Farmer, C. 2019).  On entering the property, the subject became an immediate threat as she was shouting and swearing in my face.  I kept calm, gave clear instructions to the subject to stop.  I calmly repeated to the subject that we do have a power of entry as this seemed to cause the subject to be very hostile and behave aggressively.  I wanted to reassure the subject we weren’t doing anything unlawful.  I used non-threatening open palm hand gestures to try to calm the situation, remained assertive and spoke with authority to control the situation. Body language is very important while communicating especially during conflict.  Kandell (2016), states that one of the most common sources of conflict is misinterpretation of communication, and that tone of voice and body language make up 93% of human communication.   </w:t>
      </w:r>
    </w:p>
    <w:p w14:paraId="4E1D6BF7"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 explained to the subject if she didn’t stop shouting and swearing in an aggressive manner that it could result in her being arrested for ‘Breach of the peace’.  This Betari’s box theory helped me to be in control of the situation, and by remaining calm and repeatedly explaining the situation with authority, this helped the subject to calm down to my level and walk away into the living room where there were two other officers located dispersing the crowd in that room.  </w:t>
      </w:r>
    </w:p>
    <w:p w14:paraId="316218BD" w14:textId="77777777" w:rsidR="00604116"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Considering the NDM, I reassessed the situation.  There was still a large crowd in the hallway where two officers and I were located. The options at this point were to either issue fines to all of those involved who were breaching COVID-19 regulations or disperse the crowd and then issue the subject who was the homeowner a fixed-penalty notice.   </w:t>
      </w:r>
      <w:r w:rsidR="00604116">
        <w:rPr>
          <w:rFonts w:eastAsia="Calibri"/>
          <w:color w:val="auto"/>
          <w:sz w:val="22"/>
          <w:szCs w:val="22"/>
          <w:lang w:eastAsia="en-US"/>
        </w:rPr>
        <w:t xml:space="preserve">Tom Gillespie (2021) stated that the National Police Chiefs’ Council published data that showed a total of 42,675 fixed penalty notices were issued by forces in England and Wales between 27 March 2020 and 17 January this year, in which 80% of all notices were given to those aged between 18-39.  </w:t>
      </w:r>
    </w:p>
    <w:p w14:paraId="59C3BAC5" w14:textId="48885643"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Continually reassessing the threat and risk presented to us as officers, as we were outnumbered, I decided that we needed to gain control of the situation and reduce the number of people within the property by dispersing the crowd as soon as possible.  This would allow us to issue the homeowner a fixed penalty safely.   Dealing with a large crowd, I ensured I continued to reflect on the Betari’s box theory by ensuring I was professional in the way I communicated, assertive and using my authority to gain control of the situation by providing clear instructions.  I thought this would be the </w:t>
      </w:r>
      <w:r w:rsidRPr="00F30B5E">
        <w:rPr>
          <w:rFonts w:eastAsia="Calibri"/>
          <w:color w:val="auto"/>
          <w:sz w:val="22"/>
          <w:szCs w:val="22"/>
          <w:lang w:eastAsia="en-US"/>
        </w:rPr>
        <w:lastRenderedPageBreak/>
        <w:t xml:space="preserve">best way to effectively communicate to influence the crowd’s behaviour and respond positively to my instructions (Mindtools, 1996).  Although these actions helped to disperse the crowd and leave the property in calm and safe manner, the subject starting to scream and shout at the other two officers located in the living room.  </w:t>
      </w:r>
    </w:p>
    <w:p w14:paraId="44E101D1" w14:textId="6B5CA256"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On hearing the altercation in the living room, I could then see an officer had arrested the subject for breach of peace.  Assessing the subject’s behaviour, it was evident by the screams, swearing and her aggressive body language that her behaviour had escalated and became very hostile.  The subject’s behaviour escalated from verbal resistant where the subject was refusing to comply verbally or by their body language, to now active resistant very quickly where she was pushing and pulling the officer to be resisting to be handcuffed (Central Police Training Development Authority, 2005).  While being escorted through the crowd, the subject tried lunging at myself to headbutt me.   In this instance I reacted in self-defence and took down the subject to the ground using force under Common law for self-defence (CPS, 2019).   In Dewar V DPP (2010) it was </w:t>
      </w:r>
      <w:r w:rsidR="00B91BE3">
        <w:rPr>
          <w:rFonts w:eastAsia="Calibri"/>
          <w:color w:val="auto"/>
          <w:sz w:val="22"/>
          <w:szCs w:val="22"/>
          <w:lang w:eastAsia="en-US"/>
        </w:rPr>
        <w:t xml:space="preserve">strengthened </w:t>
      </w:r>
      <w:r w:rsidRPr="00F30B5E">
        <w:rPr>
          <w:rFonts w:eastAsia="Calibri"/>
          <w:color w:val="auto"/>
          <w:sz w:val="22"/>
          <w:szCs w:val="22"/>
          <w:lang w:eastAsia="en-US"/>
        </w:rPr>
        <w:t>that there is a two- part test to self-defence such as the individual believes that he/she was acting in self-defence and the use of force was reasonable in the circumstances.  I then assisted my fellow officer by helping with safe handcuffing to the rear in a back-to-back technique, under the use of force power S3 Criminal law act 1967 to assist in a lawful arrest (Legislation, 1967). For this defence, the person must have had an honest held belief that the force was necessary and proportionate, and both conditions need to be fulfilled (Bryant, R. et al, 2020).  I assisted by restraining the subject on the ground and taking hold of the subject by the upper arm and bringing it to her lower back. The arresting officer and I helped the subject onto her feet, and we quickly escorted the subject outside away from the crowd of people in the hallway. Further units then arrived and supported us to ensure that the persons left the property and the area efficiently.</w:t>
      </w:r>
    </w:p>
    <w:p w14:paraId="070F7822"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subject was then placed in the back of a marked police van.  The subject became hostile again and started to hit her head against the wall of the police van.  I instructed the subject in an assertive manner to stop hitting her head, as she could harm herself however the subject did not listen and continued to do so. In all cases breach of the peace should be consistent with the human rights act 1998, such as Article 5 ‘the right to liberty and security’, Article 10 ‘the right to freedom of expression’, and Article 11 (the right to freedom of assembly and association’ </w:t>
      </w:r>
      <w:bookmarkStart w:id="2" w:name="_Hlk63177514"/>
      <w:r w:rsidRPr="00F30B5E">
        <w:rPr>
          <w:rFonts w:eastAsia="Calibri"/>
          <w:color w:val="auto"/>
          <w:sz w:val="22"/>
          <w:szCs w:val="22"/>
          <w:lang w:eastAsia="en-US"/>
        </w:rPr>
        <w:t xml:space="preserve">(Equality and Human Rights Commission, 2018). Bryant, R et al (2020) </w:t>
      </w:r>
      <w:bookmarkEnd w:id="2"/>
      <w:r w:rsidRPr="00F30B5E">
        <w:rPr>
          <w:rFonts w:eastAsia="Calibri"/>
          <w:color w:val="auto"/>
          <w:sz w:val="22"/>
          <w:szCs w:val="22"/>
          <w:lang w:eastAsia="en-US"/>
        </w:rPr>
        <w:t>states that once breach of peace ceases then we can de-arrest the subject to prevent criminalising people.  In this incident, the subject’s behaviour continued, therefore could not de-arrest as ‘breach of the peace’ was still imminent as the subject was still displaying hostile behaviour.  This decision was necessary to prevent harm for officers involved, the community and to the subject herself this decision in keeping with Article 2 ‘the right to life’ under the Human rights Act 1998 (Equality and Human Rights Commission, 2018). I</w:t>
      </w:r>
    </w:p>
    <w:p w14:paraId="77807595"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As the subject was a risk of hurting herself, I sat in the back of the van with the subject to restrain her to prevent her hitting her head on the police van.    This action was necessary and proportionate to prevent the subject hurting herself using force under Common law in self-defence of another person (CPS, 2019). </w:t>
      </w:r>
    </w:p>
    <w:p w14:paraId="162BCF0A"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My initial feelings were that we would be dealing with this incident by issuing a Covid-19 fine to the homeowner, although potentially issuing to all persons involved depending how many were there, and risk involved.   However, within minutes of interacting with the homeowner and analysing the subject’s behaviour I could see a change in her behaviour immediately when challenged that she was breaching Covid-19 regulations.   I found that the NDM was continually being reassessed as the level of risk and threat kept changing, therefore policies and powers differed and become available as the situation progressed and became more hostile.  I ensured I was always vigilant and remained calm within the property, and actively listened to the persons involved to build a rapport and to remain in control.</w:t>
      </w:r>
    </w:p>
    <w:p w14:paraId="29B27A7E" w14:textId="77777777"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lastRenderedPageBreak/>
        <w:t xml:space="preserve">Analysing the situation and looking at lessons learnt, looking back I could’ve asked the subject to step outside the property, away from her friends who were escalating the situation.   I could’ve taken her away from the crowd to speak to her by herself and reason with her, and go through the ‘4 E’s’, which are engage, explain, encourage, and enforce on her own without distraction of the crowd.    This may have helped de-escalate the situation, and deal with the situation in a more calming manner and not result in an arrest but issuing a ticket as originally thought.   This would also have lessened the risk for my fellow officers and I, by dealing with her in an opened space outside and then dispersing the crowd afterwards. Although, throughout the incident I believe that I acted in line with the 10 standards and 9 principles of the code of ethics. These being that I acted with honesty and integrity and remained ethical throughout my decision-making process by using the NDM throughout the incident.   By doing this I was able to deal with the incident in a lawful, professional, and calm manner and reserving judgement and dealing with an incident that I had to quickly respond and ensure the safety of all officers and people involved.  </w:t>
      </w:r>
    </w:p>
    <w:p w14:paraId="3F11EEAB" w14:textId="122CE068" w:rsidR="00A03A1A" w:rsidRPr="00F30B5E" w:rsidRDefault="00A03A1A" w:rsidP="00A03A1A">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In conclusion, I </w:t>
      </w:r>
      <w:r w:rsidR="002D3A28">
        <w:rPr>
          <w:rFonts w:eastAsia="Calibri"/>
          <w:color w:val="auto"/>
          <w:sz w:val="22"/>
          <w:szCs w:val="22"/>
          <w:lang w:eastAsia="en-US"/>
        </w:rPr>
        <w:t>feel that</w:t>
      </w:r>
      <w:r w:rsidRPr="00F30B5E">
        <w:rPr>
          <w:rFonts w:eastAsia="Calibri"/>
          <w:color w:val="auto"/>
          <w:sz w:val="22"/>
          <w:szCs w:val="22"/>
          <w:lang w:eastAsia="en-US"/>
        </w:rPr>
        <w:t xml:space="preserve"> I’ve analysed the whole incident critically by looking at what tactical communications I used, and the use of force that was implemented explaining the necessities behind the force used.  I’ve also reflected on the situation </w:t>
      </w:r>
      <w:r w:rsidR="002D3A28">
        <w:rPr>
          <w:rFonts w:eastAsia="Calibri"/>
          <w:color w:val="auto"/>
          <w:sz w:val="22"/>
          <w:szCs w:val="22"/>
          <w:lang w:eastAsia="en-US"/>
        </w:rPr>
        <w:t>on</w:t>
      </w:r>
      <w:r w:rsidRPr="00F30B5E">
        <w:rPr>
          <w:rFonts w:eastAsia="Calibri"/>
          <w:color w:val="auto"/>
          <w:sz w:val="22"/>
          <w:szCs w:val="22"/>
          <w:lang w:eastAsia="en-US"/>
        </w:rPr>
        <w:t xml:space="preserve"> how I dealt with it</w:t>
      </w:r>
      <w:r w:rsidR="002D3A28">
        <w:rPr>
          <w:rFonts w:eastAsia="Calibri"/>
          <w:color w:val="auto"/>
          <w:sz w:val="22"/>
          <w:szCs w:val="22"/>
          <w:lang w:eastAsia="en-US"/>
        </w:rPr>
        <w:t>, and how the NDM was used throughout for my decision-making and</w:t>
      </w:r>
      <w:r w:rsidRPr="00F30B5E">
        <w:rPr>
          <w:rFonts w:eastAsia="Calibri"/>
          <w:color w:val="auto"/>
          <w:sz w:val="22"/>
          <w:szCs w:val="22"/>
          <w:lang w:eastAsia="en-US"/>
        </w:rPr>
        <w:t xml:space="preserve"> looking at what could have been done differently to achieve a more effective outcome and lessen the risk for all officers involved.</w:t>
      </w:r>
    </w:p>
    <w:p w14:paraId="4A8B313D" w14:textId="2ABA4F7E" w:rsidR="008B28E7" w:rsidRPr="00F30B5E" w:rsidRDefault="00A03A1A" w:rsidP="00A25726">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Word count: 2</w:t>
      </w:r>
      <w:r w:rsidR="00604116">
        <w:rPr>
          <w:rFonts w:eastAsia="Calibri"/>
          <w:color w:val="auto"/>
          <w:sz w:val="22"/>
          <w:szCs w:val="22"/>
          <w:lang w:eastAsia="en-US"/>
        </w:rPr>
        <w:t>739</w:t>
      </w:r>
    </w:p>
    <w:p w14:paraId="0B42781D" w14:textId="77777777" w:rsidR="00A25726" w:rsidRDefault="00A25726" w:rsidP="00A25726">
      <w:pPr>
        <w:ind w:right="107"/>
        <w:rPr>
          <w:sz w:val="24"/>
          <w:szCs w:val="24"/>
        </w:rPr>
      </w:pPr>
    </w:p>
    <w:p w14:paraId="491FF24C" w14:textId="77777777" w:rsidR="00F30B5E" w:rsidRDefault="00F30B5E" w:rsidP="00A25726">
      <w:pPr>
        <w:ind w:right="107"/>
        <w:jc w:val="center"/>
        <w:rPr>
          <w:b/>
          <w:bCs/>
          <w:color w:val="auto"/>
          <w:sz w:val="24"/>
          <w:szCs w:val="24"/>
        </w:rPr>
      </w:pPr>
    </w:p>
    <w:p w14:paraId="1CAD3670" w14:textId="77777777" w:rsidR="00F30B5E" w:rsidRDefault="00F30B5E" w:rsidP="00A25726">
      <w:pPr>
        <w:ind w:right="107"/>
        <w:jc w:val="center"/>
        <w:rPr>
          <w:b/>
          <w:bCs/>
          <w:color w:val="auto"/>
          <w:sz w:val="24"/>
          <w:szCs w:val="24"/>
        </w:rPr>
      </w:pPr>
    </w:p>
    <w:p w14:paraId="084A3E2D" w14:textId="77777777" w:rsidR="00F30B5E" w:rsidRDefault="00F30B5E" w:rsidP="00A25726">
      <w:pPr>
        <w:ind w:right="107"/>
        <w:jc w:val="center"/>
        <w:rPr>
          <w:b/>
          <w:bCs/>
          <w:color w:val="auto"/>
          <w:sz w:val="24"/>
          <w:szCs w:val="24"/>
        </w:rPr>
      </w:pPr>
    </w:p>
    <w:p w14:paraId="6AE4AADC" w14:textId="77777777" w:rsidR="00F30B5E" w:rsidRDefault="00F30B5E" w:rsidP="00A25726">
      <w:pPr>
        <w:ind w:right="107"/>
        <w:jc w:val="center"/>
        <w:rPr>
          <w:b/>
          <w:bCs/>
          <w:color w:val="auto"/>
          <w:sz w:val="24"/>
          <w:szCs w:val="24"/>
        </w:rPr>
      </w:pPr>
    </w:p>
    <w:p w14:paraId="62C58D9D" w14:textId="77777777" w:rsidR="00F30B5E" w:rsidRDefault="00F30B5E" w:rsidP="00A25726">
      <w:pPr>
        <w:ind w:right="107"/>
        <w:jc w:val="center"/>
        <w:rPr>
          <w:b/>
          <w:bCs/>
          <w:color w:val="auto"/>
          <w:sz w:val="24"/>
          <w:szCs w:val="24"/>
        </w:rPr>
      </w:pPr>
    </w:p>
    <w:p w14:paraId="7A40F0DC" w14:textId="77777777" w:rsidR="00F30B5E" w:rsidRDefault="00F30B5E" w:rsidP="00A25726">
      <w:pPr>
        <w:ind w:right="107"/>
        <w:jc w:val="center"/>
        <w:rPr>
          <w:b/>
          <w:bCs/>
          <w:color w:val="auto"/>
          <w:sz w:val="24"/>
          <w:szCs w:val="24"/>
        </w:rPr>
      </w:pPr>
    </w:p>
    <w:p w14:paraId="48882A6A" w14:textId="77777777" w:rsidR="00F30B5E" w:rsidRDefault="00F30B5E" w:rsidP="00A25726">
      <w:pPr>
        <w:ind w:right="107"/>
        <w:jc w:val="center"/>
        <w:rPr>
          <w:b/>
          <w:bCs/>
          <w:color w:val="auto"/>
          <w:sz w:val="24"/>
          <w:szCs w:val="24"/>
        </w:rPr>
      </w:pPr>
    </w:p>
    <w:p w14:paraId="07521A09" w14:textId="77777777" w:rsidR="00F30B5E" w:rsidRDefault="00F30B5E" w:rsidP="00A25726">
      <w:pPr>
        <w:ind w:right="107"/>
        <w:jc w:val="center"/>
        <w:rPr>
          <w:b/>
          <w:bCs/>
          <w:color w:val="auto"/>
          <w:sz w:val="24"/>
          <w:szCs w:val="24"/>
        </w:rPr>
      </w:pPr>
    </w:p>
    <w:p w14:paraId="4794987B" w14:textId="77777777" w:rsidR="00F30B5E" w:rsidRDefault="00F30B5E" w:rsidP="00A25726">
      <w:pPr>
        <w:ind w:right="107"/>
        <w:jc w:val="center"/>
        <w:rPr>
          <w:b/>
          <w:bCs/>
          <w:color w:val="auto"/>
          <w:sz w:val="24"/>
          <w:szCs w:val="24"/>
        </w:rPr>
      </w:pPr>
    </w:p>
    <w:p w14:paraId="6B0E5AF8" w14:textId="77777777" w:rsidR="00F30B5E" w:rsidRDefault="00F30B5E" w:rsidP="00A25726">
      <w:pPr>
        <w:ind w:right="107"/>
        <w:jc w:val="center"/>
        <w:rPr>
          <w:b/>
          <w:bCs/>
          <w:color w:val="auto"/>
          <w:sz w:val="24"/>
          <w:szCs w:val="24"/>
        </w:rPr>
      </w:pPr>
    </w:p>
    <w:p w14:paraId="38980023" w14:textId="77777777" w:rsidR="00F30B5E" w:rsidRDefault="00F30B5E" w:rsidP="00A25726">
      <w:pPr>
        <w:ind w:right="107"/>
        <w:jc w:val="center"/>
        <w:rPr>
          <w:b/>
          <w:bCs/>
          <w:color w:val="auto"/>
          <w:sz w:val="24"/>
          <w:szCs w:val="24"/>
        </w:rPr>
      </w:pPr>
    </w:p>
    <w:p w14:paraId="4618C2B7" w14:textId="77777777" w:rsidR="00F30B5E" w:rsidRDefault="00F30B5E" w:rsidP="00A25726">
      <w:pPr>
        <w:ind w:right="107"/>
        <w:jc w:val="center"/>
        <w:rPr>
          <w:b/>
          <w:bCs/>
          <w:color w:val="auto"/>
          <w:sz w:val="24"/>
          <w:szCs w:val="24"/>
        </w:rPr>
      </w:pPr>
    </w:p>
    <w:p w14:paraId="049A5B01" w14:textId="77777777" w:rsidR="00F30B5E" w:rsidRDefault="00F30B5E" w:rsidP="00A25726">
      <w:pPr>
        <w:ind w:right="107"/>
        <w:jc w:val="center"/>
        <w:rPr>
          <w:b/>
          <w:bCs/>
          <w:color w:val="auto"/>
          <w:sz w:val="24"/>
          <w:szCs w:val="24"/>
        </w:rPr>
      </w:pPr>
    </w:p>
    <w:p w14:paraId="4E93B018" w14:textId="77777777" w:rsidR="00F30B5E" w:rsidRDefault="00F30B5E" w:rsidP="00A25726">
      <w:pPr>
        <w:ind w:right="107"/>
        <w:jc w:val="center"/>
        <w:rPr>
          <w:b/>
          <w:bCs/>
          <w:color w:val="auto"/>
          <w:sz w:val="24"/>
          <w:szCs w:val="24"/>
        </w:rPr>
      </w:pPr>
    </w:p>
    <w:p w14:paraId="6F53D26F" w14:textId="77777777" w:rsidR="00F30B5E" w:rsidRDefault="00F30B5E" w:rsidP="00A25726">
      <w:pPr>
        <w:ind w:right="107"/>
        <w:jc w:val="center"/>
        <w:rPr>
          <w:b/>
          <w:bCs/>
          <w:color w:val="auto"/>
          <w:sz w:val="24"/>
          <w:szCs w:val="24"/>
        </w:rPr>
      </w:pPr>
    </w:p>
    <w:p w14:paraId="5091CDD5" w14:textId="77777777" w:rsidR="00F30B5E" w:rsidRDefault="00F30B5E" w:rsidP="00A25726">
      <w:pPr>
        <w:ind w:right="107"/>
        <w:jc w:val="center"/>
        <w:rPr>
          <w:b/>
          <w:bCs/>
          <w:color w:val="auto"/>
          <w:sz w:val="24"/>
          <w:szCs w:val="24"/>
        </w:rPr>
      </w:pPr>
    </w:p>
    <w:p w14:paraId="786147E9" w14:textId="77777777" w:rsidR="00F30B5E" w:rsidRDefault="00F30B5E" w:rsidP="00A25726">
      <w:pPr>
        <w:ind w:right="107"/>
        <w:jc w:val="center"/>
        <w:rPr>
          <w:b/>
          <w:bCs/>
          <w:color w:val="auto"/>
          <w:sz w:val="24"/>
          <w:szCs w:val="24"/>
        </w:rPr>
      </w:pPr>
    </w:p>
    <w:p w14:paraId="665F601D" w14:textId="77777777" w:rsidR="00F30B5E" w:rsidRDefault="00F30B5E" w:rsidP="00A25726">
      <w:pPr>
        <w:ind w:right="107"/>
        <w:jc w:val="center"/>
        <w:rPr>
          <w:b/>
          <w:bCs/>
          <w:color w:val="auto"/>
          <w:sz w:val="24"/>
          <w:szCs w:val="24"/>
        </w:rPr>
      </w:pPr>
    </w:p>
    <w:p w14:paraId="6A070D58" w14:textId="77777777" w:rsidR="00F30B5E" w:rsidRDefault="00F30B5E" w:rsidP="00A25726">
      <w:pPr>
        <w:ind w:right="107"/>
        <w:jc w:val="center"/>
        <w:rPr>
          <w:b/>
          <w:bCs/>
          <w:color w:val="auto"/>
          <w:sz w:val="24"/>
          <w:szCs w:val="24"/>
        </w:rPr>
      </w:pPr>
    </w:p>
    <w:p w14:paraId="7C24224F" w14:textId="77777777" w:rsidR="00F30B5E" w:rsidRDefault="00F30B5E" w:rsidP="00A25726">
      <w:pPr>
        <w:ind w:right="107"/>
        <w:jc w:val="center"/>
        <w:rPr>
          <w:b/>
          <w:bCs/>
          <w:color w:val="auto"/>
          <w:sz w:val="24"/>
          <w:szCs w:val="24"/>
        </w:rPr>
      </w:pPr>
    </w:p>
    <w:p w14:paraId="28438AB7" w14:textId="77777777" w:rsidR="00F30B5E" w:rsidRDefault="00F30B5E" w:rsidP="00A25726">
      <w:pPr>
        <w:ind w:right="107"/>
        <w:jc w:val="center"/>
        <w:rPr>
          <w:b/>
          <w:bCs/>
          <w:color w:val="auto"/>
          <w:sz w:val="24"/>
          <w:szCs w:val="24"/>
        </w:rPr>
      </w:pPr>
    </w:p>
    <w:p w14:paraId="61B1D2D9" w14:textId="77777777" w:rsidR="00F30B5E" w:rsidRDefault="00F30B5E" w:rsidP="00A25726">
      <w:pPr>
        <w:ind w:right="107"/>
        <w:jc w:val="center"/>
        <w:rPr>
          <w:b/>
          <w:bCs/>
          <w:color w:val="auto"/>
          <w:sz w:val="24"/>
          <w:szCs w:val="24"/>
        </w:rPr>
      </w:pPr>
    </w:p>
    <w:p w14:paraId="65AD0D12" w14:textId="77777777" w:rsidR="00F30B5E" w:rsidRDefault="00F30B5E" w:rsidP="00A25726">
      <w:pPr>
        <w:ind w:right="107"/>
        <w:jc w:val="center"/>
        <w:rPr>
          <w:b/>
          <w:bCs/>
          <w:color w:val="auto"/>
          <w:sz w:val="24"/>
          <w:szCs w:val="24"/>
        </w:rPr>
      </w:pPr>
    </w:p>
    <w:p w14:paraId="0C3786ED" w14:textId="77777777" w:rsidR="00F30B5E" w:rsidRDefault="00F30B5E" w:rsidP="00A25726">
      <w:pPr>
        <w:ind w:right="107"/>
        <w:jc w:val="center"/>
        <w:rPr>
          <w:b/>
          <w:bCs/>
          <w:color w:val="auto"/>
          <w:sz w:val="24"/>
          <w:szCs w:val="24"/>
        </w:rPr>
      </w:pPr>
    </w:p>
    <w:p w14:paraId="34DDF87D" w14:textId="77777777" w:rsidR="00F30B5E" w:rsidRDefault="00F30B5E" w:rsidP="00A25726">
      <w:pPr>
        <w:ind w:right="107"/>
        <w:jc w:val="center"/>
        <w:rPr>
          <w:b/>
          <w:bCs/>
          <w:color w:val="auto"/>
          <w:sz w:val="24"/>
          <w:szCs w:val="24"/>
        </w:rPr>
      </w:pPr>
    </w:p>
    <w:p w14:paraId="0C7B2B0D" w14:textId="77777777" w:rsidR="00F30B5E" w:rsidRDefault="00F30B5E" w:rsidP="00A25726">
      <w:pPr>
        <w:ind w:right="107"/>
        <w:jc w:val="center"/>
        <w:rPr>
          <w:b/>
          <w:bCs/>
          <w:color w:val="auto"/>
          <w:sz w:val="24"/>
          <w:szCs w:val="24"/>
        </w:rPr>
      </w:pPr>
    </w:p>
    <w:p w14:paraId="6D58FD5E" w14:textId="77777777" w:rsidR="00F30B5E" w:rsidRDefault="00F30B5E" w:rsidP="00A25726">
      <w:pPr>
        <w:ind w:right="107"/>
        <w:jc w:val="center"/>
        <w:rPr>
          <w:b/>
          <w:bCs/>
          <w:color w:val="auto"/>
          <w:sz w:val="24"/>
          <w:szCs w:val="24"/>
        </w:rPr>
      </w:pPr>
    </w:p>
    <w:p w14:paraId="48DFFCD3" w14:textId="77777777" w:rsidR="00F30B5E" w:rsidRDefault="00F30B5E" w:rsidP="00A25726">
      <w:pPr>
        <w:ind w:right="107"/>
        <w:jc w:val="center"/>
        <w:rPr>
          <w:b/>
          <w:bCs/>
          <w:color w:val="auto"/>
          <w:sz w:val="24"/>
          <w:szCs w:val="24"/>
        </w:rPr>
      </w:pPr>
    </w:p>
    <w:p w14:paraId="2AD56068" w14:textId="77777777" w:rsidR="00F30B5E" w:rsidRDefault="00F30B5E" w:rsidP="00A25726">
      <w:pPr>
        <w:ind w:right="107"/>
        <w:jc w:val="center"/>
        <w:rPr>
          <w:b/>
          <w:bCs/>
          <w:color w:val="auto"/>
          <w:sz w:val="24"/>
          <w:szCs w:val="24"/>
        </w:rPr>
      </w:pPr>
    </w:p>
    <w:p w14:paraId="74C04AED" w14:textId="77777777" w:rsidR="00F30B5E" w:rsidRDefault="00F30B5E" w:rsidP="00A25726">
      <w:pPr>
        <w:ind w:right="107"/>
        <w:jc w:val="center"/>
        <w:rPr>
          <w:b/>
          <w:bCs/>
          <w:color w:val="auto"/>
          <w:sz w:val="24"/>
          <w:szCs w:val="24"/>
        </w:rPr>
      </w:pPr>
    </w:p>
    <w:p w14:paraId="032F34DD" w14:textId="77777777" w:rsidR="00F30B5E" w:rsidRDefault="00F30B5E" w:rsidP="00A25726">
      <w:pPr>
        <w:ind w:right="107"/>
        <w:jc w:val="center"/>
        <w:rPr>
          <w:b/>
          <w:bCs/>
          <w:color w:val="auto"/>
          <w:sz w:val="24"/>
          <w:szCs w:val="24"/>
        </w:rPr>
      </w:pPr>
    </w:p>
    <w:p w14:paraId="6DFDE35D" w14:textId="77777777" w:rsidR="00F30B5E" w:rsidRDefault="00F30B5E" w:rsidP="00A25726">
      <w:pPr>
        <w:ind w:right="107"/>
        <w:jc w:val="center"/>
        <w:rPr>
          <w:b/>
          <w:bCs/>
          <w:color w:val="auto"/>
          <w:sz w:val="24"/>
          <w:szCs w:val="24"/>
        </w:rPr>
      </w:pPr>
    </w:p>
    <w:p w14:paraId="13F4B7E0" w14:textId="450BBA7B" w:rsidR="00082668" w:rsidRPr="00A25726" w:rsidRDefault="28A9B94D" w:rsidP="00A25726">
      <w:pPr>
        <w:ind w:right="107"/>
        <w:jc w:val="cente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49E9C64A"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bookmarkStart w:id="3" w:name="_Hlk64462971"/>
      <w:r w:rsidRPr="00F30B5E">
        <w:rPr>
          <w:rFonts w:eastAsia="Calibri"/>
          <w:color w:val="auto"/>
          <w:sz w:val="22"/>
          <w:szCs w:val="22"/>
          <w:lang w:eastAsia="en-US"/>
        </w:rPr>
        <w:t>In this assignment, I’ll be critically assessing a policing incident involving domestic abuse in which I played a significant role with both the victim and offender.  I’ll be reflecting on my responsibilities and procedures in line with the relevant codes of practice to support victims and witnesses.  I’ll also be illustrating how policing values were engaged during the incident, and considerations that were made dealing with sensitive cultural issues.  In this assignment, I’ll be using the reflective writing method the ‘Gibb’s model of reflection (1998)’ to answer my assignment question.</w:t>
      </w:r>
    </w:p>
    <w:bookmarkEnd w:id="3"/>
    <w:p w14:paraId="2868EDC9" w14:textId="346019AB" w:rsidR="00F30B5E" w:rsidRPr="00F30B5E" w:rsidRDefault="00DC72D9" w:rsidP="00F30B5E">
      <w:pPr>
        <w:overflowPunct/>
        <w:autoSpaceDE/>
        <w:autoSpaceDN/>
        <w:adjustRightInd/>
        <w:spacing w:after="160" w:line="259" w:lineRule="auto"/>
        <w:textAlignment w:val="auto"/>
        <w:rPr>
          <w:rFonts w:eastAsia="Calibri"/>
          <w:color w:val="auto"/>
          <w:sz w:val="22"/>
          <w:szCs w:val="22"/>
          <w:lang w:eastAsia="en-US"/>
        </w:rPr>
      </w:pPr>
      <w:r>
        <w:rPr>
          <w:rFonts w:eastAsia="Calibri"/>
          <w:color w:val="auto"/>
          <w:sz w:val="22"/>
          <w:szCs w:val="22"/>
          <w:lang w:eastAsia="en-US"/>
        </w:rPr>
        <w:t xml:space="preserve">A call came in from a </w:t>
      </w:r>
      <w:r w:rsidR="00F30B5E" w:rsidRPr="00F30B5E">
        <w:rPr>
          <w:rFonts w:eastAsia="Calibri"/>
          <w:color w:val="auto"/>
          <w:sz w:val="22"/>
          <w:szCs w:val="22"/>
          <w:lang w:eastAsia="en-US"/>
        </w:rPr>
        <w:t>neighbour</w:t>
      </w:r>
      <w:r>
        <w:rPr>
          <w:rFonts w:eastAsia="Calibri"/>
          <w:color w:val="auto"/>
          <w:sz w:val="22"/>
          <w:szCs w:val="22"/>
          <w:lang w:eastAsia="en-US"/>
        </w:rPr>
        <w:t xml:space="preserve"> who</w:t>
      </w:r>
      <w:r w:rsidR="00F30B5E" w:rsidRPr="00F30B5E">
        <w:rPr>
          <w:rFonts w:eastAsia="Calibri"/>
          <w:color w:val="auto"/>
          <w:sz w:val="22"/>
          <w:szCs w:val="22"/>
          <w:lang w:eastAsia="en-US"/>
        </w:rPr>
        <w:t xml:space="preserve"> had reported a disturbance of a </w:t>
      </w:r>
      <w:r w:rsidR="004B336A">
        <w:rPr>
          <w:rFonts w:eastAsia="Calibri"/>
          <w:color w:val="auto"/>
          <w:sz w:val="22"/>
          <w:szCs w:val="22"/>
          <w:lang w:eastAsia="en-US"/>
        </w:rPr>
        <w:t xml:space="preserve">couple </w:t>
      </w:r>
      <w:r w:rsidR="00F30B5E" w:rsidRPr="00F30B5E">
        <w:rPr>
          <w:rFonts w:eastAsia="Calibri"/>
          <w:color w:val="auto"/>
          <w:sz w:val="22"/>
          <w:szCs w:val="22"/>
          <w:lang w:eastAsia="en-US"/>
        </w:rPr>
        <w:t xml:space="preserve">next door.  The person expressed concerns of screams from the female and noise that </w:t>
      </w:r>
      <w:r w:rsidR="007549D9">
        <w:rPr>
          <w:rFonts w:eastAsia="Calibri"/>
          <w:color w:val="auto"/>
          <w:sz w:val="22"/>
          <w:szCs w:val="22"/>
          <w:lang w:eastAsia="en-US"/>
        </w:rPr>
        <w:t xml:space="preserve">indicated </w:t>
      </w:r>
      <w:r w:rsidR="00F30B5E" w:rsidRPr="00F30B5E">
        <w:rPr>
          <w:rFonts w:eastAsia="Calibri"/>
          <w:color w:val="auto"/>
          <w:sz w:val="22"/>
          <w:szCs w:val="22"/>
          <w:lang w:eastAsia="en-US"/>
        </w:rPr>
        <w:t>that a domestic abuse incident was taking place inside the property.  While on route to the address, I requested that control room conduct a PNC check on the address and the individuals living at the address.  This identif</w:t>
      </w:r>
      <w:r w:rsidR="007549D9">
        <w:rPr>
          <w:rFonts w:eastAsia="Calibri"/>
          <w:color w:val="auto"/>
          <w:sz w:val="22"/>
          <w:szCs w:val="22"/>
          <w:lang w:eastAsia="en-US"/>
        </w:rPr>
        <w:t>ied</w:t>
      </w:r>
      <w:r w:rsidR="00F30B5E" w:rsidRPr="00F30B5E">
        <w:rPr>
          <w:rFonts w:eastAsia="Calibri"/>
          <w:color w:val="auto"/>
          <w:sz w:val="22"/>
          <w:szCs w:val="22"/>
          <w:lang w:eastAsia="en-US"/>
        </w:rPr>
        <w:t xml:space="preserve"> if there </w:t>
      </w:r>
      <w:r w:rsidR="007549D9">
        <w:rPr>
          <w:rFonts w:eastAsia="Calibri"/>
          <w:color w:val="auto"/>
          <w:sz w:val="22"/>
          <w:szCs w:val="22"/>
          <w:lang w:eastAsia="en-US"/>
        </w:rPr>
        <w:t xml:space="preserve">was </w:t>
      </w:r>
      <w:r w:rsidR="00F30B5E" w:rsidRPr="00F30B5E">
        <w:rPr>
          <w:rFonts w:eastAsia="Calibri"/>
          <w:color w:val="auto"/>
          <w:sz w:val="22"/>
          <w:szCs w:val="22"/>
          <w:lang w:eastAsia="en-US"/>
        </w:rPr>
        <w:t xml:space="preserve">a history of domestic abuse at the address, and if there were any warning markers on the individuals.  This information </w:t>
      </w:r>
      <w:r w:rsidR="007549D9">
        <w:rPr>
          <w:rFonts w:eastAsia="Calibri"/>
          <w:color w:val="auto"/>
          <w:sz w:val="22"/>
          <w:szCs w:val="22"/>
          <w:lang w:eastAsia="en-US"/>
        </w:rPr>
        <w:t xml:space="preserve">identified </w:t>
      </w:r>
      <w:r w:rsidR="00F30B5E" w:rsidRPr="00F30B5E">
        <w:rPr>
          <w:rFonts w:eastAsia="Calibri"/>
          <w:color w:val="auto"/>
          <w:sz w:val="22"/>
          <w:szCs w:val="22"/>
          <w:lang w:eastAsia="en-US"/>
        </w:rPr>
        <w:t xml:space="preserve">any risks that could be presented to us and allow us to be prepared and develop a working strategy.  The risk assessment would help establish categorising the subject, and the likelihood of harm and how best to deal with a particular individual (College of Policing, 2013).  </w:t>
      </w:r>
    </w:p>
    <w:p w14:paraId="5C76F6E2" w14:textId="3CEA636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The control room confirmed a history of domestic abuse at the address and confirmed that a young child was living at the property</w:t>
      </w:r>
      <w:r w:rsidR="007549D9">
        <w:rPr>
          <w:rFonts w:eastAsia="Calibri"/>
          <w:color w:val="auto"/>
          <w:sz w:val="22"/>
          <w:szCs w:val="22"/>
          <w:lang w:eastAsia="en-US"/>
        </w:rPr>
        <w:t xml:space="preserve">, this making me </w:t>
      </w:r>
      <w:r w:rsidRPr="00F30B5E">
        <w:rPr>
          <w:rFonts w:eastAsia="Calibri"/>
          <w:color w:val="auto"/>
          <w:sz w:val="22"/>
          <w:szCs w:val="22"/>
          <w:lang w:eastAsia="en-US"/>
        </w:rPr>
        <w:t>aware</w:t>
      </w:r>
      <w:r w:rsidR="007549D9">
        <w:rPr>
          <w:rFonts w:eastAsia="Calibri"/>
          <w:color w:val="auto"/>
          <w:sz w:val="22"/>
          <w:szCs w:val="22"/>
          <w:lang w:eastAsia="en-US"/>
        </w:rPr>
        <w:t xml:space="preserve"> to ensure the safety of the child</w:t>
      </w:r>
      <w:r w:rsidRPr="00F30B5E">
        <w:rPr>
          <w:rFonts w:eastAsia="Calibri"/>
          <w:color w:val="auto"/>
          <w:sz w:val="22"/>
          <w:szCs w:val="22"/>
          <w:lang w:eastAsia="en-US"/>
        </w:rPr>
        <w:t>.</w:t>
      </w:r>
      <w:r w:rsidR="005B1544">
        <w:rPr>
          <w:rFonts w:eastAsia="Calibri"/>
          <w:color w:val="auto"/>
          <w:sz w:val="22"/>
          <w:szCs w:val="22"/>
          <w:lang w:eastAsia="en-US"/>
        </w:rPr>
        <w:t xml:space="preserve"> Kristy L. O’brien et al (2012) suggests that children witnessing domestic violence is equivalent to child </w:t>
      </w:r>
      <w:r w:rsidR="005B1544">
        <w:rPr>
          <w:rFonts w:eastAsia="Calibri"/>
          <w:color w:val="auto"/>
          <w:sz w:val="22"/>
          <w:szCs w:val="22"/>
          <w:lang w:eastAsia="en-US"/>
        </w:rPr>
        <w:lastRenderedPageBreak/>
        <w:t xml:space="preserve">abuse, which may lead to long-term damage to their emotional and social wellbeing.  </w:t>
      </w:r>
      <w:r w:rsidR="007770F8">
        <w:rPr>
          <w:rFonts w:eastAsia="Calibri"/>
          <w:color w:val="auto"/>
          <w:sz w:val="22"/>
          <w:szCs w:val="22"/>
          <w:lang w:eastAsia="en-US"/>
        </w:rPr>
        <w:t xml:space="preserve">The office of Statistics suggests that </w:t>
      </w:r>
      <w:r w:rsidR="00F02818">
        <w:rPr>
          <w:rFonts w:eastAsia="Calibri"/>
          <w:color w:val="auto"/>
          <w:sz w:val="22"/>
          <w:szCs w:val="22"/>
          <w:lang w:eastAsia="en-US"/>
        </w:rPr>
        <w:t>d</w:t>
      </w:r>
      <w:r w:rsidR="007770F8" w:rsidRPr="007770F8">
        <w:rPr>
          <w:rFonts w:eastAsia="Calibri"/>
          <w:color w:val="auto"/>
          <w:sz w:val="22"/>
          <w:szCs w:val="22"/>
          <w:lang w:eastAsia="en-US"/>
        </w:rPr>
        <w:t xml:space="preserve">omestic </w:t>
      </w:r>
      <w:r w:rsidR="00F02818">
        <w:rPr>
          <w:rFonts w:eastAsia="Calibri"/>
          <w:color w:val="auto"/>
          <w:sz w:val="22"/>
          <w:szCs w:val="22"/>
          <w:lang w:eastAsia="en-US"/>
        </w:rPr>
        <w:t>v</w:t>
      </w:r>
      <w:r w:rsidR="007770F8" w:rsidRPr="007770F8">
        <w:rPr>
          <w:rFonts w:eastAsia="Calibri"/>
          <w:color w:val="auto"/>
          <w:sz w:val="22"/>
          <w:szCs w:val="22"/>
          <w:lang w:eastAsia="en-US"/>
        </w:rPr>
        <w:t xml:space="preserve">iolence during the current pandemic has increased in 2020, </w:t>
      </w:r>
      <w:r w:rsidR="00F02818">
        <w:rPr>
          <w:rFonts w:eastAsia="Calibri"/>
          <w:color w:val="auto"/>
          <w:sz w:val="22"/>
          <w:szCs w:val="22"/>
          <w:lang w:eastAsia="en-US"/>
        </w:rPr>
        <w:t>Emily Leslie (2020) also stated that during March through to May 2020 that there was a 7.5% calls for police service relating to domestic violence,</w:t>
      </w:r>
      <w:r w:rsidR="00F02818" w:rsidRPr="007770F8">
        <w:rPr>
          <w:rFonts w:eastAsia="Calibri"/>
          <w:color w:val="auto"/>
          <w:sz w:val="22"/>
          <w:szCs w:val="22"/>
          <w:lang w:eastAsia="en-US"/>
        </w:rPr>
        <w:t xml:space="preserve"> </w:t>
      </w:r>
      <w:r w:rsidR="008826FF" w:rsidRPr="007770F8">
        <w:rPr>
          <w:rFonts w:eastAsia="Calibri"/>
          <w:color w:val="auto"/>
          <w:sz w:val="22"/>
          <w:szCs w:val="22"/>
          <w:lang w:eastAsia="en-US"/>
        </w:rPr>
        <w:t>however,</w:t>
      </w:r>
      <w:r w:rsidR="007770F8" w:rsidRPr="007770F8">
        <w:rPr>
          <w:rFonts w:eastAsia="Calibri"/>
          <w:color w:val="auto"/>
          <w:sz w:val="22"/>
          <w:szCs w:val="22"/>
          <w:lang w:eastAsia="en-US"/>
        </w:rPr>
        <w:t xml:space="preserve"> as there has been a steady increase for the past few years it’s difficult to determine if the pandemic has contributed to this rise (Stripe, N. 2020)</w:t>
      </w:r>
      <w:r w:rsidR="00F02818">
        <w:rPr>
          <w:rFonts w:eastAsia="Calibri"/>
          <w:color w:val="auto"/>
          <w:sz w:val="22"/>
          <w:szCs w:val="22"/>
          <w:lang w:eastAsia="en-US"/>
        </w:rPr>
        <w:t xml:space="preserve">.  </w:t>
      </w:r>
      <w:r w:rsidR="007549D9">
        <w:rPr>
          <w:rFonts w:eastAsia="Calibri"/>
          <w:color w:val="auto"/>
          <w:sz w:val="22"/>
          <w:szCs w:val="22"/>
          <w:lang w:eastAsia="en-US"/>
        </w:rPr>
        <w:t>T</w:t>
      </w:r>
      <w:r w:rsidR="007770F8">
        <w:rPr>
          <w:rFonts w:eastAsia="Calibri"/>
          <w:color w:val="auto"/>
          <w:sz w:val="22"/>
          <w:szCs w:val="22"/>
          <w:lang w:eastAsia="en-US"/>
        </w:rPr>
        <w:t xml:space="preserve">his </w:t>
      </w:r>
      <w:r w:rsidR="007549D9">
        <w:rPr>
          <w:rFonts w:eastAsia="Calibri"/>
          <w:color w:val="auto"/>
          <w:sz w:val="22"/>
          <w:szCs w:val="22"/>
          <w:lang w:eastAsia="en-US"/>
        </w:rPr>
        <w:t>information shows</w:t>
      </w:r>
      <w:r w:rsidR="007770F8" w:rsidRPr="007770F8">
        <w:rPr>
          <w:rFonts w:eastAsia="Calibri"/>
          <w:color w:val="auto"/>
          <w:sz w:val="22"/>
          <w:szCs w:val="22"/>
          <w:lang w:eastAsia="en-US"/>
        </w:rPr>
        <w:t xml:space="preserve"> the significance of positive action during these incidents.</w:t>
      </w:r>
    </w:p>
    <w:p w14:paraId="5AEA2526"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On approaching the address, I couldn’t hear any disturbance, therefore I knocked the door to gain the attention of those present within the property.  There wasn’t any answer, however I could see outlines of people moving through the frosted glass of the front door.  Analysing the situation and looking at my options at this point, I knew it wouldn’t be lawful to conduct S17 of PACE 1984 to save life and limb, as at this point there wasn’t sufficient evidence to indicate this and as shown in the case of Syed v DPP (2010) I knew a concern of welfare wouldn’t be held in court.  I then heard screams from the male and female within the property which seemed to escalate very quickly.  At this point, I knew I could enter the address under power of entry of Breach of Peace, as under common law an officer is entitled to enter either private or public premises to make an arrest for a breach of peace or to prevent such a breach (Bryant, R. et al, 2020 p.308).  Under the circumstances, I knew entering the premises would be to prevent a breach of peace due to the shouting and swearing I could hear inside the property.</w:t>
      </w:r>
    </w:p>
    <w:p w14:paraId="63A015F8"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A breach of peace may take place in both public and private premises (English, M. 2013).  As stated in the R v Howell 1981 case, it can occur when there is actual or likely disturbance where harm is done or likely to be done to a person, which was the situation in this incident.</w:t>
      </w:r>
    </w:p>
    <w:p w14:paraId="0F77ABE8" w14:textId="0A717A73"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 tried the front door, which was unlocked, and myself and another officer entered the property.  On entering the property, I could see the male’s hands wrapped around the female’s throat.  I immediately shouted to the male to let her go as I ran into the property.  The male continued therefore </w:t>
      </w:r>
      <w:r w:rsidR="007654D9">
        <w:rPr>
          <w:rFonts w:eastAsia="Calibri"/>
          <w:color w:val="auto"/>
          <w:sz w:val="22"/>
          <w:szCs w:val="22"/>
          <w:lang w:eastAsia="en-US"/>
        </w:rPr>
        <w:t xml:space="preserve">my fellow officer and I </w:t>
      </w:r>
      <w:r w:rsidRPr="00F30B5E">
        <w:rPr>
          <w:rFonts w:eastAsia="Calibri"/>
          <w:color w:val="auto"/>
          <w:sz w:val="22"/>
          <w:szCs w:val="22"/>
          <w:lang w:eastAsia="en-US"/>
        </w:rPr>
        <w:t xml:space="preserve">grabbed the male to pull him off the female under common law to defend a person (CPS, 2019).  We managed to pull the male away from the female, however there was a struggle and the male charged towards the female again.   Assessing the subject impact factors, </w:t>
      </w:r>
      <w:r w:rsidR="004B336A">
        <w:rPr>
          <w:rFonts w:eastAsia="Calibri"/>
          <w:color w:val="auto"/>
          <w:sz w:val="22"/>
          <w:szCs w:val="22"/>
          <w:lang w:eastAsia="en-US"/>
        </w:rPr>
        <w:t>due to t</w:t>
      </w:r>
      <w:r w:rsidRPr="00F30B5E">
        <w:rPr>
          <w:rFonts w:eastAsia="Calibri"/>
          <w:color w:val="auto"/>
          <w:sz w:val="22"/>
          <w:szCs w:val="22"/>
          <w:lang w:eastAsia="en-US"/>
        </w:rPr>
        <w:t xml:space="preserve">he strength and size of the male accompanied with his level of aggression, I knew the level of risk was high for injuries and the subject being a major threat (Central Police Training and Development Authority, 2004).  </w:t>
      </w:r>
    </w:p>
    <w:p w14:paraId="7D0A8A77" w14:textId="5BA5F431"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I quickly ran through my options and knew I needed to use force under common law to defend another person by conducting a pre-emptive strike (CPS, 2019). Standing approximately 8 feet away from the male, I quickly deployed my PAVA spray and sprayed the male.  This was effective as the male dropped to the floor, allowing myself to restrain the male under S117 of PACE 1984 to conduct an arrest under s24 of PACE 1984. S117 of PACE 1984 is a power of constable to use reasonable force, if necessary, in the exercise of a PACE power (Legislation, 2017).  Under the Police and Criminal Evidence Act 1984 (PACE), a lawful arrest by a police officer requires two elements such as a person’s involvement, suspected involvement, or attempted involvement in the commission of a criminal offence, and reasonable grounds that the person’s arrest is necessary (College of Policing, 2013).  In this incident, I witnessed the subject assault the female, therefore I arrested the subject for S39 Criminal Justice Act 1988 Common Assault by battery, which is an act by which a person intentionally or recklessly causes another to suffer immediate unlawful violence (CPS, 2020).  The arrest was necessary to prevent any further harm to another and to protect a vulnerable child who was living at the property.</w:t>
      </w:r>
    </w:p>
    <w:p w14:paraId="186EF75C"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 immediately called the control room for a police van to escort the offender to custody and an ambulance for the female victim.  As the subject was exposed to PAVA, I then conducted my aftercare with the subject to help with the discomfort.  I took the subject outside into the fresh air, </w:t>
      </w:r>
      <w:r w:rsidRPr="00F30B5E">
        <w:rPr>
          <w:rFonts w:eastAsia="Calibri"/>
          <w:color w:val="auto"/>
          <w:sz w:val="22"/>
          <w:szCs w:val="22"/>
          <w:lang w:eastAsia="en-US"/>
        </w:rPr>
        <w:lastRenderedPageBreak/>
        <w:t xml:space="preserve">asked him to face the wind, to continually blink and reassured that the discomfort would ease and should recover within the next 30-45 minutes (NHS Foundation Trust, 2003).  </w:t>
      </w:r>
    </w:p>
    <w:p w14:paraId="74144F46"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police van arrived, so my fellow officer escorted the subject to custody, and I stayed at the property to be with the victim.  The female expressed how she felt fine and requested for the ambulance to be stood down, so I followed her requests. There were no injuries or any marks to the victim to take photos as evidence for the case.  </w:t>
      </w:r>
    </w:p>
    <w:p w14:paraId="4A321BE0"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 asked the victim if she was prepared to provide a statement and for myself to conduct a DASH form which is a risk assessment and risk management of her relationship with the subject. I explained to the victim that providing a statement may result in her needing to give evidence in court should the case goes to trial.  I further explained to the victim the purpose of the DASH form, and that once completed it would be assessed by the Public Protection Unit who would then determine the appropriate referral process, such as social services etc.  The victim agreed to provide a statement and for the risk assessment to be conducted.  </w:t>
      </w:r>
    </w:p>
    <w:p w14:paraId="7F644C7E"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Victims’ code of practice which I used throughout the incident is the statutory code that sets out the minimum level of service that victim should receive from the criminal justice system.  The code was established by the ‘Domestic Violence, Crime and Victims Act 2004’ and came into effect in 2006 (Victim support, 2006).  The code of practice for victims of crime plays an important part of the wider Government strategy to transform the criminal justice system by putting victims first whereby they should be treated respectfully, sensitively, and professionally without any discrimination. (Ministry of Justice, 2005). </w:t>
      </w:r>
    </w:p>
    <w:p w14:paraId="45D78219"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victim’s code of practice also states that a victim should be given the opportunity to provide a victim personal statement.  A VPS gives the victim an opportunity to explain what impact the crime or incident has had on them physically, emotionally, psychologically, or financially which will be read out in court should the case go to court (Ministry of Justice, 2013).  The victim agreed to provide a VPS, however stated she preferred to do this in a few days’ time, therefore I arranged a date for me to meet with the victim which was most convenient for her.  </w:t>
      </w:r>
    </w:p>
    <w:p w14:paraId="77A6CA87"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Ministry of Justice (2020) outlines in the ‘Code of practice for victims of crime in England and Wales’ consultation, how victims are entitled to be referred to supportive services.  Once the DASH form and victim statement was completed, I then outlined to the victim the support services available to her through Connect Gwent.  Connect Gwent is a multi-agency hub for victims and witnesses of crime whether a recent experience or historic crime, who provide several support services such as Women’s aid, mental health services and victim support services (Umbrella Cymru, 2021).   I asked if she consented for me to put a referral in on her behalf, in which she agreed.  </w:t>
      </w:r>
    </w:p>
    <w:p w14:paraId="54B487E4"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To comply with the ‘Operation Encompass’ I ensured I obtained further details of her child’s school and GP to add to the public protection notice referral.  Women’s aid works in partnership with ‘Operation Encompass’ to improve local responses to domestic abuse, ensuring that schools are supporting children as soon as possible, whose parents are experiencing domestic abuse to make women and children safer (Women’s aid, 2020).</w:t>
      </w:r>
    </w:p>
    <w:p w14:paraId="2CCE1091" w14:textId="19E2FD40"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I proceeded to explain additional services available, such as the Independent Domestic Violence Advisor (IDVA) who works with victims of domestic abuse to understand their experience and their risk of ongoing harm.  The IDVA works with the victim to develop a safety plan, which helps the victims to access statutory services such as health care and housing services and tailoring the support to the victims’ needs</w:t>
      </w:r>
      <w:r w:rsidR="00661B1A">
        <w:rPr>
          <w:rFonts w:eastAsia="Calibri"/>
          <w:color w:val="auto"/>
          <w:sz w:val="22"/>
          <w:szCs w:val="22"/>
          <w:lang w:eastAsia="en-US"/>
        </w:rPr>
        <w:t xml:space="preserve"> and provide information sharing on the victim’s partner through ‘Clare’s Law, also known as the Domestic Violence Disclosure Scheme</w:t>
      </w:r>
      <w:r w:rsidRPr="00F30B5E">
        <w:rPr>
          <w:rFonts w:eastAsia="Calibri"/>
          <w:color w:val="auto"/>
          <w:sz w:val="22"/>
          <w:szCs w:val="22"/>
          <w:lang w:eastAsia="en-US"/>
        </w:rPr>
        <w:t xml:space="preserve"> (</w:t>
      </w:r>
      <w:r w:rsidR="00661B1A">
        <w:rPr>
          <w:rFonts w:eastAsia="Calibri"/>
          <w:color w:val="auto"/>
          <w:sz w:val="22"/>
          <w:szCs w:val="22"/>
          <w:lang w:eastAsia="en-US"/>
        </w:rPr>
        <w:t>Duggan, M. 2020</w:t>
      </w:r>
      <w:r w:rsidRPr="00F30B5E">
        <w:rPr>
          <w:rFonts w:eastAsia="Calibri"/>
          <w:color w:val="auto"/>
          <w:sz w:val="22"/>
          <w:szCs w:val="22"/>
          <w:lang w:eastAsia="en-US"/>
        </w:rPr>
        <w:t xml:space="preserve">). </w:t>
      </w:r>
    </w:p>
    <w:p w14:paraId="785E633D"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The Victim’s code states that victims have the right to be provided with written confirmation of the crime (Ministry of Justice, 2020).  I provided the victim with the crime reference number and my </w:t>
      </w:r>
      <w:r w:rsidRPr="00F30B5E">
        <w:rPr>
          <w:rFonts w:eastAsia="Calibri"/>
          <w:color w:val="auto"/>
          <w:sz w:val="22"/>
          <w:szCs w:val="22"/>
          <w:lang w:eastAsia="en-US"/>
        </w:rPr>
        <w:lastRenderedPageBreak/>
        <w:t>contact details, to allow the victim to contact me directly if she had any questions relating to the case. I emphasised that she calls 999 in an emergency rather using my contact details.  To ensure that the victim was safe and manage risk I conducted a safety plan with her (College of Policing, 2015).  I called a family member to come and stay with the victim and expressed that she locks her doors and windows.  I told the victim to keep her mobile phone charged, and always kept near to her, and to call 999 in an emergency.  I provided the victim with a safety plan leaflet outlining these details and further actions to take if she would like to secure her home and protection further (College of Policing, 2015).</w:t>
      </w:r>
    </w:p>
    <w:p w14:paraId="58120FD3" w14:textId="2BE9270E"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I explained I</w:t>
      </w:r>
      <w:r w:rsidR="00C75C51">
        <w:rPr>
          <w:rFonts w:eastAsia="Calibri"/>
          <w:color w:val="auto"/>
          <w:sz w:val="22"/>
          <w:szCs w:val="22"/>
          <w:lang w:eastAsia="en-US"/>
        </w:rPr>
        <w:t>’d</w:t>
      </w:r>
      <w:r w:rsidRPr="00F30B5E">
        <w:rPr>
          <w:rFonts w:eastAsia="Calibri"/>
          <w:color w:val="auto"/>
          <w:sz w:val="22"/>
          <w:szCs w:val="22"/>
          <w:lang w:eastAsia="en-US"/>
        </w:rPr>
        <w:t xml:space="preserve"> update the victim of any key decisions about the investigation within one working day due to her enhanced rights of being an intimidated victim rather than five working days (CPS, 2018). Enhanced rights are whereby a victim or witness is entitled to further rights if they fall into a vulnerable or intimidated category.  </w:t>
      </w:r>
      <w:r w:rsidR="00657832">
        <w:rPr>
          <w:rFonts w:eastAsia="Calibri"/>
          <w:color w:val="auto"/>
          <w:sz w:val="22"/>
          <w:szCs w:val="22"/>
          <w:lang w:eastAsia="en-US"/>
        </w:rPr>
        <w:t xml:space="preserve">The Ministry of Justice (2020) suggests that a </w:t>
      </w:r>
      <w:r w:rsidRPr="00F30B5E">
        <w:rPr>
          <w:rFonts w:eastAsia="Calibri"/>
          <w:color w:val="auto"/>
          <w:sz w:val="22"/>
          <w:szCs w:val="22"/>
          <w:lang w:eastAsia="en-US"/>
        </w:rPr>
        <w:t xml:space="preserve">vulnerable witness is either a person under 18 years old, or the quality of evidence would be impacted because a person suffers with </w:t>
      </w:r>
      <w:r w:rsidR="00657832">
        <w:rPr>
          <w:rFonts w:eastAsia="Calibri"/>
          <w:color w:val="auto"/>
          <w:sz w:val="22"/>
          <w:szCs w:val="22"/>
          <w:lang w:eastAsia="en-US"/>
        </w:rPr>
        <w:t xml:space="preserve">a mental disorder, </w:t>
      </w:r>
      <w:r w:rsidRPr="00F30B5E">
        <w:rPr>
          <w:rFonts w:eastAsia="Calibri"/>
          <w:color w:val="auto"/>
          <w:sz w:val="22"/>
          <w:szCs w:val="22"/>
          <w:lang w:eastAsia="en-US"/>
        </w:rPr>
        <w:t>significant impairment or intelligence, or a person has a physical disability or suffers from a physical disorder</w:t>
      </w:r>
      <w:r w:rsidR="00657832">
        <w:rPr>
          <w:rFonts w:eastAsia="Calibri"/>
          <w:color w:val="auto"/>
          <w:sz w:val="22"/>
          <w:szCs w:val="22"/>
          <w:lang w:eastAsia="en-US"/>
        </w:rPr>
        <w:t xml:space="preserve">.  </w:t>
      </w:r>
      <w:r w:rsidRPr="00F30B5E">
        <w:rPr>
          <w:rFonts w:eastAsia="Calibri"/>
          <w:color w:val="auto"/>
          <w:sz w:val="22"/>
          <w:szCs w:val="22"/>
          <w:lang w:eastAsia="en-US"/>
        </w:rPr>
        <w:t xml:space="preserve">Under the victims’ code you’re also entitled to enhanced rights as an intimidated victim if the quality of the person’s evidence will be affected because of the fear or distress </w:t>
      </w:r>
      <w:r w:rsidR="00C75C51">
        <w:rPr>
          <w:rFonts w:eastAsia="Calibri"/>
          <w:color w:val="auto"/>
          <w:sz w:val="22"/>
          <w:szCs w:val="22"/>
          <w:lang w:eastAsia="en-US"/>
        </w:rPr>
        <w:t xml:space="preserve">providing evidence </w:t>
      </w:r>
      <w:r w:rsidRPr="00F30B5E">
        <w:rPr>
          <w:rFonts w:eastAsia="Calibri"/>
          <w:color w:val="auto"/>
          <w:sz w:val="22"/>
          <w:szCs w:val="22"/>
          <w:lang w:eastAsia="en-US"/>
        </w:rPr>
        <w:t xml:space="preserve">in court defined by section 17 Youth Justice and Criminal Evidence Act 1999 (CPS, 2020).  As this victim suffered </w:t>
      </w:r>
      <w:r w:rsidR="00C75C51">
        <w:rPr>
          <w:rFonts w:eastAsia="Calibri"/>
          <w:color w:val="auto"/>
          <w:sz w:val="22"/>
          <w:szCs w:val="22"/>
          <w:lang w:eastAsia="en-US"/>
        </w:rPr>
        <w:t xml:space="preserve">historic </w:t>
      </w:r>
      <w:r w:rsidRPr="00F30B5E">
        <w:rPr>
          <w:rFonts w:eastAsia="Calibri"/>
          <w:color w:val="auto"/>
          <w:sz w:val="22"/>
          <w:szCs w:val="22"/>
          <w:lang w:eastAsia="en-US"/>
        </w:rPr>
        <w:t>domestic abuse</w:t>
      </w:r>
      <w:r w:rsidR="008826FF">
        <w:rPr>
          <w:rFonts w:eastAsia="Calibri"/>
          <w:color w:val="auto"/>
          <w:sz w:val="22"/>
          <w:szCs w:val="22"/>
          <w:lang w:eastAsia="en-US"/>
        </w:rPr>
        <w:t xml:space="preserve"> and feared for her life, </w:t>
      </w:r>
      <w:r w:rsidRPr="00F30B5E">
        <w:rPr>
          <w:rFonts w:eastAsia="Calibri"/>
          <w:color w:val="auto"/>
          <w:sz w:val="22"/>
          <w:szCs w:val="22"/>
          <w:lang w:eastAsia="en-US"/>
        </w:rPr>
        <w:t xml:space="preserve">the victim would fall under the intimidated victim in this case.   Key decisions of the case would include any update which involved the subject being interviewed under caution, released without charge, or released on police bail and if there any conditions set within the subject’s bail (Ministry of Justice, 2020). </w:t>
      </w:r>
    </w:p>
    <w:p w14:paraId="47F5E473" w14:textId="31529F6D" w:rsidR="00F30B5E" w:rsidRPr="00F30B5E" w:rsidRDefault="00EB5F0B" w:rsidP="00F30B5E">
      <w:pPr>
        <w:overflowPunct/>
        <w:autoSpaceDE/>
        <w:autoSpaceDN/>
        <w:adjustRightInd/>
        <w:spacing w:after="160" w:line="259" w:lineRule="auto"/>
        <w:textAlignment w:val="auto"/>
        <w:rPr>
          <w:rFonts w:eastAsia="Calibri"/>
          <w:color w:val="auto"/>
          <w:sz w:val="22"/>
          <w:szCs w:val="22"/>
          <w:lang w:eastAsia="en-US"/>
        </w:rPr>
      </w:pPr>
      <w:r>
        <w:rPr>
          <w:rFonts w:eastAsia="Calibri"/>
          <w:color w:val="auto"/>
          <w:sz w:val="22"/>
          <w:szCs w:val="22"/>
          <w:lang w:eastAsia="en-US"/>
        </w:rPr>
        <w:t>Surveys were completed over 1000 vulnerable and intimidated witnesses within a Home Office research (Hamlyn et al.2004) which determined that witnesses who were granted and used the special measures felt less intimidated and less anxious than those who didn’t use them.</w:t>
      </w:r>
      <w:r w:rsidR="00F30B5E" w:rsidRPr="00F30B5E">
        <w:rPr>
          <w:rFonts w:eastAsia="Calibri"/>
          <w:color w:val="auto"/>
          <w:sz w:val="22"/>
          <w:szCs w:val="22"/>
          <w:lang w:eastAsia="en-US"/>
        </w:rPr>
        <w:t xml:space="preserve">  </w:t>
      </w:r>
      <w:r w:rsidR="00FF5B35" w:rsidRPr="00F30B5E">
        <w:rPr>
          <w:rFonts w:eastAsia="Calibri"/>
          <w:color w:val="auto"/>
          <w:sz w:val="22"/>
          <w:szCs w:val="22"/>
          <w:lang w:eastAsia="en-US"/>
        </w:rPr>
        <w:t>The victim being entitled to enhanced rights meant she was eligible for special measures which can be used during trial</w:t>
      </w:r>
      <w:r w:rsidR="00FF5B35">
        <w:rPr>
          <w:rFonts w:eastAsia="Calibri"/>
          <w:color w:val="auto"/>
          <w:sz w:val="22"/>
          <w:szCs w:val="22"/>
          <w:lang w:eastAsia="en-US"/>
        </w:rPr>
        <w:t>, helping</w:t>
      </w:r>
      <w:r w:rsidR="00FF5B35" w:rsidRPr="00F30B5E">
        <w:rPr>
          <w:rFonts w:eastAsia="Calibri"/>
          <w:color w:val="auto"/>
          <w:sz w:val="22"/>
          <w:szCs w:val="22"/>
          <w:lang w:eastAsia="en-US"/>
        </w:rPr>
        <w:t xml:space="preserve"> victims and witnesses to give the best evidence in court (CPS, 2020)</w:t>
      </w:r>
      <w:r w:rsidR="00FF5B35">
        <w:rPr>
          <w:rFonts w:eastAsia="Calibri"/>
          <w:color w:val="auto"/>
          <w:sz w:val="22"/>
          <w:szCs w:val="22"/>
          <w:lang w:eastAsia="en-US"/>
        </w:rPr>
        <w:t xml:space="preserve">.  </w:t>
      </w:r>
      <w:r w:rsidR="00F30B5E" w:rsidRPr="00F30B5E">
        <w:rPr>
          <w:rFonts w:eastAsia="Calibri"/>
          <w:color w:val="auto"/>
          <w:sz w:val="22"/>
          <w:szCs w:val="22"/>
          <w:lang w:eastAsia="en-US"/>
        </w:rPr>
        <w:t xml:space="preserve">If the victim is eligible, a judge or the magistrate will decide whether special measures should be granted. </w:t>
      </w:r>
      <w:r>
        <w:rPr>
          <w:rFonts w:eastAsia="Calibri"/>
          <w:color w:val="auto"/>
          <w:sz w:val="22"/>
          <w:szCs w:val="22"/>
          <w:lang w:eastAsia="en-US"/>
        </w:rPr>
        <w:t xml:space="preserve">A further Home Office report (Burton et al.,2006) showed that pre-court visits weren’t always offered to vulnerable and intimidated witnesses this leading to inaccurate information regarding the availability of special measures from the police.  </w:t>
      </w:r>
      <w:r w:rsidR="00F30B5E" w:rsidRPr="00F30B5E">
        <w:rPr>
          <w:rFonts w:eastAsia="Calibri"/>
          <w:color w:val="auto"/>
          <w:sz w:val="22"/>
          <w:szCs w:val="22"/>
          <w:lang w:eastAsia="en-US"/>
        </w:rPr>
        <w:t xml:space="preserve">  Special measures include giving evidence in a private room</w:t>
      </w:r>
      <w:r>
        <w:rPr>
          <w:rFonts w:eastAsia="Calibri"/>
          <w:color w:val="auto"/>
          <w:sz w:val="22"/>
          <w:szCs w:val="22"/>
          <w:lang w:eastAsia="en-US"/>
        </w:rPr>
        <w:t xml:space="preserve">, </w:t>
      </w:r>
      <w:r w:rsidR="00F30B5E" w:rsidRPr="00F30B5E">
        <w:rPr>
          <w:rFonts w:eastAsia="Calibri"/>
          <w:color w:val="auto"/>
          <w:sz w:val="22"/>
          <w:szCs w:val="22"/>
          <w:lang w:eastAsia="en-US"/>
        </w:rPr>
        <w:t>the use of communication aids, having a screen/curtain around the witness box or providing evidence via a link video link etc. (Ministry of Justice, 2020).  I asked the victim her views</w:t>
      </w:r>
      <w:r w:rsidR="00FF5B35">
        <w:rPr>
          <w:rFonts w:eastAsia="Calibri"/>
          <w:color w:val="auto"/>
          <w:sz w:val="22"/>
          <w:szCs w:val="22"/>
          <w:lang w:eastAsia="en-US"/>
        </w:rPr>
        <w:t xml:space="preserve"> as I knew these measures would be vital to achieve best evidence in court</w:t>
      </w:r>
      <w:r w:rsidR="00F30B5E" w:rsidRPr="00F30B5E">
        <w:rPr>
          <w:rFonts w:eastAsia="Calibri"/>
          <w:color w:val="auto"/>
          <w:sz w:val="22"/>
          <w:szCs w:val="22"/>
          <w:lang w:eastAsia="en-US"/>
        </w:rPr>
        <w:t xml:space="preserve">, and </w:t>
      </w:r>
      <w:r w:rsidR="007549D9">
        <w:rPr>
          <w:rFonts w:eastAsia="Calibri"/>
          <w:color w:val="auto"/>
          <w:sz w:val="22"/>
          <w:szCs w:val="22"/>
          <w:lang w:eastAsia="en-US"/>
        </w:rPr>
        <w:t>she stated</w:t>
      </w:r>
      <w:r w:rsidR="00C75C51">
        <w:rPr>
          <w:rFonts w:eastAsia="Calibri"/>
          <w:color w:val="auto"/>
          <w:sz w:val="22"/>
          <w:szCs w:val="22"/>
          <w:lang w:eastAsia="en-US"/>
        </w:rPr>
        <w:t xml:space="preserve"> a</w:t>
      </w:r>
      <w:r w:rsidR="00F30B5E" w:rsidRPr="00F30B5E">
        <w:rPr>
          <w:rFonts w:eastAsia="Calibri"/>
          <w:color w:val="auto"/>
          <w:sz w:val="22"/>
          <w:szCs w:val="22"/>
          <w:lang w:eastAsia="en-US"/>
        </w:rPr>
        <w:t xml:space="preserve"> via video link or having a screen/curtain around the witness box, so she didn’t have to face the defendant as she would feel intimidated</w:t>
      </w:r>
      <w:r w:rsidR="007549D9">
        <w:rPr>
          <w:rFonts w:eastAsia="Calibri"/>
          <w:color w:val="auto"/>
          <w:sz w:val="22"/>
          <w:szCs w:val="22"/>
          <w:lang w:eastAsia="en-US"/>
        </w:rPr>
        <w:t>,</w:t>
      </w:r>
      <w:r w:rsidR="00F30B5E" w:rsidRPr="00F30B5E">
        <w:rPr>
          <w:rFonts w:eastAsia="Calibri"/>
          <w:color w:val="auto"/>
          <w:sz w:val="22"/>
          <w:szCs w:val="22"/>
          <w:lang w:eastAsia="en-US"/>
        </w:rPr>
        <w:t xml:space="preserve"> </w:t>
      </w:r>
      <w:r w:rsidR="007549D9">
        <w:rPr>
          <w:rFonts w:eastAsia="Calibri"/>
          <w:color w:val="auto"/>
          <w:sz w:val="22"/>
          <w:szCs w:val="22"/>
          <w:lang w:eastAsia="en-US"/>
        </w:rPr>
        <w:t xml:space="preserve">potentially </w:t>
      </w:r>
      <w:r w:rsidR="00F30B5E" w:rsidRPr="00F30B5E">
        <w:rPr>
          <w:rFonts w:eastAsia="Calibri"/>
          <w:color w:val="auto"/>
          <w:sz w:val="22"/>
          <w:szCs w:val="22"/>
          <w:lang w:eastAsia="en-US"/>
        </w:rPr>
        <w:t>hinder</w:t>
      </w:r>
      <w:r>
        <w:rPr>
          <w:rFonts w:eastAsia="Calibri"/>
          <w:color w:val="auto"/>
          <w:sz w:val="22"/>
          <w:szCs w:val="22"/>
          <w:lang w:eastAsia="en-US"/>
        </w:rPr>
        <w:t>ing</w:t>
      </w:r>
      <w:r w:rsidR="00F30B5E" w:rsidRPr="00F30B5E">
        <w:rPr>
          <w:rFonts w:eastAsia="Calibri"/>
          <w:color w:val="auto"/>
          <w:sz w:val="22"/>
          <w:szCs w:val="22"/>
          <w:lang w:eastAsia="en-US"/>
        </w:rPr>
        <w:t xml:space="preserve"> the evidence provided.</w:t>
      </w:r>
    </w:p>
    <w:p w14:paraId="28C9D201" w14:textId="3C43B582"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The following day</w:t>
      </w:r>
      <w:r w:rsidR="00FF5B35">
        <w:rPr>
          <w:rFonts w:eastAsia="Calibri"/>
          <w:color w:val="auto"/>
          <w:sz w:val="22"/>
          <w:szCs w:val="22"/>
          <w:lang w:eastAsia="en-US"/>
        </w:rPr>
        <w:t xml:space="preserve">, </w:t>
      </w:r>
      <w:r w:rsidRPr="00F30B5E">
        <w:rPr>
          <w:rFonts w:eastAsia="Calibri"/>
          <w:color w:val="auto"/>
          <w:sz w:val="22"/>
          <w:szCs w:val="22"/>
          <w:lang w:eastAsia="en-US"/>
        </w:rPr>
        <w:t>the subject was interviewed under caution and released on bail with conditions.   The subject was not allowed to attend the address of the victim or contact the victim whatsoever.  I provided this update to the victim of these decisions immediately under the victims’ code (Ministry of Justice, 2020).</w:t>
      </w:r>
    </w:p>
    <w:p w14:paraId="618A2DE1" w14:textId="3D7190BF"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In all situations police decisions need to be consistent with the principles and standards of behaviour set out in the code which the police are expected to meet (ACPO, 2011).  I </w:t>
      </w:r>
      <w:r w:rsidR="008008AD">
        <w:rPr>
          <w:rFonts w:eastAsia="Calibri"/>
          <w:color w:val="auto"/>
          <w:sz w:val="22"/>
          <w:szCs w:val="22"/>
          <w:lang w:eastAsia="en-US"/>
        </w:rPr>
        <w:t xml:space="preserve">feel I </w:t>
      </w:r>
      <w:r w:rsidRPr="00F30B5E">
        <w:rPr>
          <w:rFonts w:eastAsia="Calibri"/>
          <w:color w:val="auto"/>
          <w:sz w:val="22"/>
          <w:szCs w:val="22"/>
          <w:lang w:eastAsia="en-US"/>
        </w:rPr>
        <w:t xml:space="preserve">acted with integrity and honesty and remained ethical throughout my whole decision-making process, ensuring that the powers used during the incident were </w:t>
      </w:r>
      <w:r w:rsidR="004B336A">
        <w:rPr>
          <w:rFonts w:eastAsia="Calibri"/>
          <w:color w:val="auto"/>
          <w:sz w:val="22"/>
          <w:szCs w:val="22"/>
          <w:lang w:eastAsia="en-US"/>
        </w:rPr>
        <w:t>proportionate</w:t>
      </w:r>
      <w:r w:rsidRPr="00F30B5E">
        <w:rPr>
          <w:rFonts w:eastAsia="Calibri"/>
          <w:color w:val="auto"/>
          <w:sz w:val="22"/>
          <w:szCs w:val="22"/>
          <w:lang w:eastAsia="en-US"/>
        </w:rPr>
        <w:t xml:space="preserve"> and were lawful</w:t>
      </w:r>
      <w:r w:rsidR="004B336A">
        <w:rPr>
          <w:rFonts w:eastAsia="Calibri"/>
          <w:color w:val="auto"/>
          <w:sz w:val="22"/>
          <w:szCs w:val="22"/>
          <w:lang w:eastAsia="en-US"/>
        </w:rPr>
        <w:t xml:space="preserve"> while using the NDM throughout.  </w:t>
      </w:r>
      <w:r w:rsidRPr="00F30B5E">
        <w:rPr>
          <w:rFonts w:eastAsia="Calibri"/>
          <w:color w:val="auto"/>
          <w:sz w:val="22"/>
          <w:szCs w:val="22"/>
          <w:lang w:eastAsia="en-US"/>
        </w:rPr>
        <w:t xml:space="preserve">During the whole incident I demonstrated policing values, ensuring I used positive action to deal with the domestic abuse situation by arresting the subject and taking him away from the property, and ensuring the care and appropriate referrals were made for the victim to ensure she had the support services she needed in line with the Victim’s code of practice.  </w:t>
      </w:r>
    </w:p>
    <w:p w14:paraId="1104D909" w14:textId="1666CF38" w:rsidR="00F30B5E" w:rsidRPr="00F30B5E" w:rsidRDefault="008008AD" w:rsidP="00F30B5E">
      <w:pPr>
        <w:overflowPunct/>
        <w:autoSpaceDE/>
        <w:autoSpaceDN/>
        <w:adjustRightInd/>
        <w:spacing w:after="160" w:line="259" w:lineRule="auto"/>
        <w:textAlignment w:val="auto"/>
        <w:rPr>
          <w:rFonts w:eastAsia="Calibri"/>
          <w:color w:val="auto"/>
          <w:sz w:val="22"/>
          <w:szCs w:val="22"/>
          <w:lang w:eastAsia="en-US"/>
        </w:rPr>
      </w:pPr>
      <w:r>
        <w:rPr>
          <w:rFonts w:eastAsia="Calibri"/>
          <w:color w:val="auto"/>
          <w:sz w:val="22"/>
          <w:szCs w:val="22"/>
          <w:lang w:eastAsia="en-US"/>
        </w:rPr>
        <w:lastRenderedPageBreak/>
        <w:t xml:space="preserve">Analysing how I dealt with this incident, next time </w:t>
      </w:r>
      <w:r w:rsidR="00F30B5E" w:rsidRPr="00F30B5E">
        <w:rPr>
          <w:rFonts w:eastAsia="Calibri"/>
          <w:color w:val="auto"/>
          <w:sz w:val="22"/>
          <w:szCs w:val="22"/>
          <w:lang w:eastAsia="en-US"/>
        </w:rPr>
        <w:t>I could consider applying for a Domestic Violence Protection Notice (DVPN) which would require authorisation from a Superintendent to prohibit the subject from returning to the victim’s address for up to 48 hours (College of Policing, 2015).   This then allows the OIC to apply for a Domestic Violence Protection Order (DVPO) to the magistrates’ court within 48 hours without the victim’s support (Hardy, R. 2018).  The DVPO can prohibit the subject returning to the address and contacting the victim between for up to 28 days, not only to ensure safety of the victim but to allow them to have a bit of breathing space to make decisions regarding the situation (Hardy, R. 2018).  Stripe (2020) states that 26 forces who applied for DVPN’s granted by superintendent between 1</w:t>
      </w:r>
      <w:r w:rsidR="00F30B5E" w:rsidRPr="00F30B5E">
        <w:rPr>
          <w:rFonts w:eastAsia="Calibri"/>
          <w:color w:val="auto"/>
          <w:sz w:val="22"/>
          <w:szCs w:val="22"/>
          <w:vertAlign w:val="superscript"/>
          <w:lang w:eastAsia="en-US"/>
        </w:rPr>
        <w:t>st</w:t>
      </w:r>
      <w:r w:rsidR="00F30B5E" w:rsidRPr="00F30B5E">
        <w:rPr>
          <w:rFonts w:eastAsia="Calibri"/>
          <w:color w:val="auto"/>
          <w:sz w:val="22"/>
          <w:szCs w:val="22"/>
          <w:lang w:eastAsia="en-US"/>
        </w:rPr>
        <w:t xml:space="preserve"> April and 30</w:t>
      </w:r>
      <w:r w:rsidR="00F30B5E" w:rsidRPr="00F30B5E">
        <w:rPr>
          <w:rFonts w:eastAsia="Calibri"/>
          <w:color w:val="auto"/>
          <w:sz w:val="22"/>
          <w:szCs w:val="22"/>
          <w:vertAlign w:val="superscript"/>
          <w:lang w:eastAsia="en-US"/>
        </w:rPr>
        <w:t>th</w:t>
      </w:r>
      <w:r w:rsidR="00F30B5E" w:rsidRPr="00F30B5E">
        <w:rPr>
          <w:rFonts w:eastAsia="Calibri"/>
          <w:color w:val="auto"/>
          <w:sz w:val="22"/>
          <w:szCs w:val="22"/>
          <w:lang w:eastAsia="en-US"/>
        </w:rPr>
        <w:t xml:space="preserve"> June 2020 91% were granted which shows successful applications.</w:t>
      </w:r>
    </w:p>
    <w:p w14:paraId="0206E1F9" w14:textId="77777777"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 xml:space="preserve">In conclusion, I believe I’ve assessed the whole incident critically by looking at how I dealt with a domestic situation and what positive action I took to ensure the safety of the victim and child at the property.  I reflected on my responsibilities and procedures in line with the relevant codes of practice to support victims by conducting a risk assessment, making the appropriate referrals, ensuring the appropriate support services in place for an intimidated victim and updating the victim of any key decisions made within the case.   </w:t>
      </w:r>
    </w:p>
    <w:p w14:paraId="5D17CDAB" w14:textId="1ED2A4F4" w:rsidR="00F30B5E" w:rsidRPr="00F30B5E" w:rsidRDefault="00F30B5E" w:rsidP="00F30B5E">
      <w:pPr>
        <w:overflowPunct/>
        <w:autoSpaceDE/>
        <w:autoSpaceDN/>
        <w:adjustRightInd/>
        <w:spacing w:after="160" w:line="259" w:lineRule="auto"/>
        <w:textAlignment w:val="auto"/>
        <w:rPr>
          <w:rFonts w:eastAsia="Calibri"/>
          <w:color w:val="auto"/>
          <w:sz w:val="22"/>
          <w:szCs w:val="22"/>
          <w:lang w:eastAsia="en-US"/>
        </w:rPr>
      </w:pPr>
      <w:r w:rsidRPr="00F30B5E">
        <w:rPr>
          <w:rFonts w:eastAsia="Calibri"/>
          <w:color w:val="auto"/>
          <w:sz w:val="22"/>
          <w:szCs w:val="22"/>
          <w:lang w:eastAsia="en-US"/>
        </w:rPr>
        <w:t>Word Count: 27</w:t>
      </w:r>
      <w:r w:rsidR="00657832">
        <w:rPr>
          <w:rFonts w:eastAsia="Calibri"/>
          <w:color w:val="auto"/>
          <w:sz w:val="22"/>
          <w:szCs w:val="22"/>
          <w:lang w:eastAsia="en-US"/>
        </w:rPr>
        <w:t>07</w:t>
      </w:r>
    </w:p>
    <w:p w14:paraId="1967E2A8" w14:textId="77777777" w:rsidR="00025650" w:rsidRPr="00F30B5E" w:rsidRDefault="00025650" w:rsidP="00E6298B">
      <w:pPr>
        <w:ind w:right="107"/>
        <w:jc w:val="both"/>
        <w:rPr>
          <w:sz w:val="24"/>
          <w:szCs w:val="24"/>
        </w:rPr>
      </w:pPr>
    </w:p>
    <w:p w14:paraId="416EFA95" w14:textId="77777777" w:rsidR="00025650" w:rsidRPr="00F30B5E" w:rsidRDefault="00025650" w:rsidP="00E6298B">
      <w:pPr>
        <w:ind w:right="107"/>
        <w:jc w:val="both"/>
        <w:rPr>
          <w:sz w:val="24"/>
          <w:szCs w:val="24"/>
        </w:rPr>
      </w:pPr>
    </w:p>
    <w:p w14:paraId="598FFEC5" w14:textId="77777777" w:rsidR="00025650" w:rsidRPr="00F30B5E" w:rsidRDefault="00025650" w:rsidP="00E6298B">
      <w:pPr>
        <w:ind w:right="107"/>
        <w:jc w:val="both"/>
        <w:rPr>
          <w:sz w:val="24"/>
          <w:szCs w:val="24"/>
        </w:rPr>
      </w:pPr>
    </w:p>
    <w:p w14:paraId="042DA0D7" w14:textId="77777777" w:rsidR="00025650" w:rsidRPr="00F30B5E" w:rsidRDefault="00025650" w:rsidP="00E6298B">
      <w:pPr>
        <w:ind w:right="107"/>
        <w:jc w:val="both"/>
        <w:rPr>
          <w:sz w:val="24"/>
          <w:szCs w:val="24"/>
        </w:rPr>
      </w:pPr>
    </w:p>
    <w:p w14:paraId="65800057" w14:textId="77777777" w:rsidR="00025650" w:rsidRPr="00F30B5E"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A25726">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461B598" w14:textId="4984FAA8" w:rsidR="005B4B6C" w:rsidRPr="005B4B6C" w:rsidRDefault="005B4B6C" w:rsidP="005B4B6C">
      <w:pPr>
        <w:ind w:right="107"/>
        <w:jc w:val="both"/>
        <w:rPr>
          <w:sz w:val="22"/>
          <w:szCs w:val="22"/>
        </w:rPr>
      </w:pPr>
      <w:r w:rsidRPr="005B4B6C">
        <w:rPr>
          <w:sz w:val="22"/>
          <w:szCs w:val="22"/>
        </w:rPr>
        <w:t>In this assignment, I’m going to critically assess a policing incident where I played a significant role with an offender.  I’ll be reflecting on what happened by looking at the actions I undertook by using the national decision model (NDM) and illustrating how the policing values were engaged throughout the incident.  I’ll be exploring the responsibilities I took with regards to the provision of the Criminal Procedure Investigatory Act 1996 when conducting the investigation, where I managed the offender and recorded and retained significant information.  In this assignment, I’ll be using the reflective writing method the ‘Gibb’s model of reflection (1998)’ to answer my assignment question.</w:t>
      </w:r>
    </w:p>
    <w:p w14:paraId="0D90DCEB" w14:textId="77777777" w:rsidR="005B4B6C" w:rsidRPr="005B4B6C" w:rsidRDefault="005B4B6C" w:rsidP="005B4B6C">
      <w:pPr>
        <w:ind w:right="107"/>
        <w:jc w:val="both"/>
        <w:rPr>
          <w:sz w:val="22"/>
          <w:szCs w:val="22"/>
        </w:rPr>
      </w:pPr>
    </w:p>
    <w:p w14:paraId="63808A38" w14:textId="0977EDB4" w:rsidR="005B4B6C" w:rsidRPr="005B4B6C" w:rsidRDefault="005B4B6C" w:rsidP="005B4B6C">
      <w:pPr>
        <w:ind w:right="107"/>
        <w:jc w:val="both"/>
        <w:rPr>
          <w:sz w:val="22"/>
          <w:szCs w:val="22"/>
        </w:rPr>
      </w:pPr>
      <w:r w:rsidRPr="005B4B6C">
        <w:rPr>
          <w:sz w:val="22"/>
          <w:szCs w:val="22"/>
        </w:rPr>
        <w:t xml:space="preserve">A call came in from a security guard of a supermarket who had reported a female shoplifter who he had detained at the store and requested police assistance.  On arriving at the store, I saw a young female was with the security guard at the front of the store.  I spoke with the security guard who gave brief circumstances and stated that he witnessed a female pick up a few items and concealed them within in her coat pocket and bag.  The security guard stated he witnessed her actions on CCTV, and as the female was leaving the store the security guard approached the female and detained her for police to assist and investigate.  </w:t>
      </w:r>
    </w:p>
    <w:p w14:paraId="58E6CD0F" w14:textId="77777777" w:rsidR="005B4B6C" w:rsidRPr="005B4B6C" w:rsidRDefault="005B4B6C" w:rsidP="005B4B6C">
      <w:pPr>
        <w:ind w:right="107"/>
        <w:jc w:val="both"/>
        <w:rPr>
          <w:sz w:val="22"/>
          <w:szCs w:val="22"/>
        </w:rPr>
      </w:pPr>
    </w:p>
    <w:p w14:paraId="554365E0" w14:textId="7FB15CA3" w:rsidR="005B4B6C" w:rsidRPr="005B4B6C" w:rsidRDefault="005B4B6C" w:rsidP="005B4B6C">
      <w:pPr>
        <w:ind w:right="107"/>
        <w:jc w:val="both"/>
        <w:rPr>
          <w:sz w:val="22"/>
          <w:szCs w:val="22"/>
        </w:rPr>
      </w:pPr>
      <w:r w:rsidRPr="005B4B6C">
        <w:rPr>
          <w:sz w:val="22"/>
          <w:szCs w:val="22"/>
        </w:rPr>
        <w:t>A criminal investigation has been defined within the code of practice of the Criminal Procedure and Investigations Act 1996 (CPIA) as an investigation conducted by police officers to ascertain whether a person is to be charged with an offence, or whether a person charged with an offence is guilty of it (College of Policing, 2013).  As an offence had allegedly been committed my role was to investigate this incident and carry out the duties imposed with</w:t>
      </w:r>
      <w:r w:rsidR="00E15463">
        <w:rPr>
          <w:sz w:val="22"/>
          <w:szCs w:val="22"/>
        </w:rPr>
        <w:t>in</w:t>
      </w:r>
      <w:r w:rsidRPr="005B4B6C">
        <w:rPr>
          <w:sz w:val="22"/>
          <w:szCs w:val="22"/>
        </w:rPr>
        <w:t xml:space="preserve"> the CPIA.  By gathering information and evaluating the evidence, recording information, and retaining this recorded information, however ensuring that the investigation is proportionate to the crime committed. (College of Policing, 2013). Within a criminal investigation all officers need to exhaust all lines of enquiry whether these further </w:t>
      </w:r>
      <w:r w:rsidRPr="005B4B6C">
        <w:rPr>
          <w:sz w:val="22"/>
          <w:szCs w:val="22"/>
        </w:rPr>
        <w:lastRenderedPageBreak/>
        <w:t xml:space="preserve">lines of enquiry are to point towards or away from the suspect, therefore officers need to remain impartial throughout the investigation process and retain all relevant material of the investigation (CPS, 2018). </w:t>
      </w:r>
    </w:p>
    <w:p w14:paraId="2BB13D2F" w14:textId="77777777" w:rsidR="005B4B6C" w:rsidRPr="005B4B6C" w:rsidRDefault="005B4B6C" w:rsidP="005B4B6C">
      <w:pPr>
        <w:ind w:right="107"/>
        <w:jc w:val="both"/>
        <w:rPr>
          <w:sz w:val="22"/>
          <w:szCs w:val="22"/>
        </w:rPr>
      </w:pPr>
    </w:p>
    <w:p w14:paraId="15A832EC" w14:textId="752DEDD4" w:rsidR="005B4B6C" w:rsidRPr="005B4B6C" w:rsidRDefault="005B4B6C" w:rsidP="005B4B6C">
      <w:pPr>
        <w:ind w:right="107"/>
        <w:jc w:val="both"/>
        <w:rPr>
          <w:sz w:val="22"/>
          <w:szCs w:val="22"/>
        </w:rPr>
      </w:pPr>
      <w:r w:rsidRPr="005B4B6C">
        <w:rPr>
          <w:sz w:val="22"/>
          <w:szCs w:val="22"/>
        </w:rPr>
        <w:t xml:space="preserve">The National decision model (NDM) was used throughout this incident to help make decisions ethically and proportionately to the nature of the incident that had taken place.    This helped resolve the situation effectively, which is expected as a police officer as the model underpins ethical decision-making within the police.  There are five stages which consist within the NDM however the 'Code of Ethics' are at the centre of the NDM which are at the heart of all police decision making (ACPO, 2011). By using the NDM, the decision-makers will be able to say that they were proportionate, legitimate, necessary, and ethical and was it reasonable in the circumstances facing them at the time.  In all situations police decisions need to be consistent with the principles and standards of behaviour set out in the code and expected to uphold these which the police are expected to meet (ACPO, 2011). </w:t>
      </w:r>
    </w:p>
    <w:p w14:paraId="7E09DB4B" w14:textId="77777777" w:rsidR="005B4B6C" w:rsidRPr="005B4B6C" w:rsidRDefault="005B4B6C" w:rsidP="005B4B6C">
      <w:pPr>
        <w:ind w:right="107"/>
        <w:jc w:val="both"/>
        <w:rPr>
          <w:sz w:val="22"/>
          <w:szCs w:val="22"/>
        </w:rPr>
      </w:pPr>
    </w:p>
    <w:p w14:paraId="70B63477" w14:textId="0F9EC961" w:rsidR="005B4B6C" w:rsidRPr="005B4B6C" w:rsidRDefault="005B4B6C" w:rsidP="005B4B6C">
      <w:pPr>
        <w:ind w:right="107"/>
        <w:jc w:val="both"/>
        <w:rPr>
          <w:sz w:val="22"/>
          <w:szCs w:val="22"/>
        </w:rPr>
      </w:pPr>
      <w:r w:rsidRPr="005B4B6C">
        <w:rPr>
          <w:sz w:val="22"/>
          <w:szCs w:val="22"/>
        </w:rPr>
        <w:t>The first stage of the NDM is gathering information and intelligence.  I did this by obtaining as much information as possible from the control room such as brief circumstances of the incident while on route to the supermarket.    On receiving this information, due to the lack of details of the offender etc. I was unable to conduct any relevant PNC checks beforehand.  On arrival, I gathered more information by obtaining a brief account from the security guard who had also mentioned that the incident had been captured on CCTV inside the store, which I viewed to confirm that this female had been concealing items in her clothing within the store.  I took a witness statement from the security guard and seized the CCTV as the security guard’s exhibit for evidence and stated this in my electronic pocket notebook. I ensured I made a note of the both the security guard and supermarket details on my pocket notebook to add to the occurrence on Niche.  By doing this I ensured that this relevant information and seized material were retained efficiently as part of the investigation.</w:t>
      </w:r>
    </w:p>
    <w:p w14:paraId="59A0496E" w14:textId="77777777" w:rsidR="005B4B6C" w:rsidRPr="005B4B6C" w:rsidRDefault="005B4B6C" w:rsidP="005B4B6C">
      <w:pPr>
        <w:ind w:right="107"/>
        <w:jc w:val="both"/>
        <w:rPr>
          <w:sz w:val="22"/>
          <w:szCs w:val="22"/>
        </w:rPr>
      </w:pPr>
    </w:p>
    <w:p w14:paraId="1907A3EE" w14:textId="02C63500" w:rsidR="005B4B6C" w:rsidRPr="005B4B6C" w:rsidRDefault="005B4B6C" w:rsidP="005B4B6C">
      <w:pPr>
        <w:ind w:right="107"/>
        <w:jc w:val="both"/>
        <w:rPr>
          <w:sz w:val="22"/>
          <w:szCs w:val="22"/>
        </w:rPr>
      </w:pPr>
      <w:r w:rsidRPr="005B4B6C">
        <w:rPr>
          <w:sz w:val="22"/>
          <w:szCs w:val="22"/>
        </w:rPr>
        <w:t xml:space="preserve">Shoplifting is an offence whereby a person dishonestly removes goods from a shop without paying for them or with the intention of not paying for them (Law, J. 2018).   This means that the shoplifter doesn’t need to leave the shop with the stolen goods to be guilty of the offence, however it is advisable for the accused shoplifter to leave the store with the stolen goods before stopping the suspect, as it’s easier to prove the intention of stealing (Law, J. 2018).  </w:t>
      </w:r>
    </w:p>
    <w:p w14:paraId="1C980905" w14:textId="77777777" w:rsidR="005B4B6C" w:rsidRPr="005B4B6C" w:rsidRDefault="005B4B6C" w:rsidP="005B4B6C">
      <w:pPr>
        <w:ind w:right="107"/>
        <w:jc w:val="both"/>
        <w:rPr>
          <w:sz w:val="22"/>
          <w:szCs w:val="22"/>
        </w:rPr>
      </w:pPr>
    </w:p>
    <w:p w14:paraId="5528AE1D" w14:textId="605F2732" w:rsidR="005B4B6C" w:rsidRPr="005B4B6C" w:rsidRDefault="005B4B6C" w:rsidP="005B4B6C">
      <w:pPr>
        <w:ind w:right="107"/>
        <w:jc w:val="both"/>
        <w:rPr>
          <w:sz w:val="22"/>
          <w:szCs w:val="22"/>
        </w:rPr>
      </w:pPr>
      <w:r w:rsidRPr="005B4B6C">
        <w:rPr>
          <w:sz w:val="22"/>
          <w:szCs w:val="22"/>
        </w:rPr>
        <w:t xml:space="preserve">I continued to gather information by obtaining the female’s details, such as the suspects name, address, date of birth to conduct a PNC.   This helped to identify any risks that could be presented to me and allow to be prepared and develop a working strategy.  The PNC came back to state that the female hadn’t been in trouble with the police before and no warning markers identified.  The risk assessment helped establish categorising the subject, and the likelihood of harm and how best to deal with the individual (College of Policing, 2013). </w:t>
      </w:r>
    </w:p>
    <w:p w14:paraId="3D6F80E8" w14:textId="77777777" w:rsidR="005B4B6C" w:rsidRPr="005B4B6C" w:rsidRDefault="005B4B6C" w:rsidP="005B4B6C">
      <w:pPr>
        <w:ind w:right="107"/>
        <w:jc w:val="both"/>
        <w:rPr>
          <w:sz w:val="22"/>
          <w:szCs w:val="22"/>
        </w:rPr>
      </w:pPr>
    </w:p>
    <w:p w14:paraId="14AC6169" w14:textId="0A9BA461" w:rsidR="005B4B6C" w:rsidRDefault="005B4B6C" w:rsidP="005B4B6C">
      <w:pPr>
        <w:ind w:right="107"/>
        <w:jc w:val="both"/>
        <w:rPr>
          <w:sz w:val="22"/>
          <w:szCs w:val="22"/>
        </w:rPr>
      </w:pPr>
      <w:r w:rsidRPr="005B4B6C">
        <w:rPr>
          <w:sz w:val="22"/>
          <w:szCs w:val="22"/>
        </w:rPr>
        <w:t xml:space="preserve">Shoplifting is a common offence in the UK.  In 2011 the Centre of Retail Research estimated that customer and staff theft </w:t>
      </w:r>
      <w:r w:rsidR="00657832">
        <w:rPr>
          <w:sz w:val="22"/>
          <w:szCs w:val="22"/>
        </w:rPr>
        <w:t xml:space="preserve">amounted to </w:t>
      </w:r>
      <w:r w:rsidRPr="005B4B6C">
        <w:rPr>
          <w:sz w:val="22"/>
          <w:szCs w:val="22"/>
        </w:rPr>
        <w:t>nearly £4000 million in the UK (Martin, S. 2013).  Shoplifting can be associated with depression although there isn’t a link with mental disorder, and often associated with people who are usually law-abiding women</w:t>
      </w:r>
      <w:r w:rsidR="006A5BB0">
        <w:rPr>
          <w:sz w:val="22"/>
          <w:szCs w:val="22"/>
        </w:rPr>
        <w:t xml:space="preserve"> </w:t>
      </w:r>
      <w:r w:rsidRPr="005B4B6C">
        <w:rPr>
          <w:sz w:val="22"/>
          <w:szCs w:val="22"/>
        </w:rPr>
        <w:t>(Humphreys, Martin S. 2013).   David Maddox (2018) states that people who have a drug addiction fuel their habit by stealing such as shoplifting.  The Centre for Social Justice claimed that 70 per cent of class A drug use is fuelled by theft from shops (Maddox, D. 2018).</w:t>
      </w:r>
    </w:p>
    <w:p w14:paraId="0FFDE0E7" w14:textId="77777777" w:rsidR="006A5BB0" w:rsidRPr="005B4B6C" w:rsidRDefault="006A5BB0" w:rsidP="005B4B6C">
      <w:pPr>
        <w:ind w:right="107"/>
        <w:jc w:val="both"/>
        <w:rPr>
          <w:sz w:val="22"/>
          <w:szCs w:val="22"/>
        </w:rPr>
      </w:pPr>
    </w:p>
    <w:p w14:paraId="3421A893" w14:textId="29559AE8" w:rsidR="005B4B6C" w:rsidRPr="005B4B6C" w:rsidRDefault="005B4B6C" w:rsidP="005B4B6C">
      <w:pPr>
        <w:ind w:right="107"/>
        <w:jc w:val="both"/>
        <w:rPr>
          <w:sz w:val="22"/>
          <w:szCs w:val="22"/>
        </w:rPr>
      </w:pPr>
      <w:r w:rsidRPr="005B4B6C">
        <w:rPr>
          <w:sz w:val="22"/>
          <w:szCs w:val="22"/>
        </w:rPr>
        <w:t xml:space="preserve">Assessing the information presented to me, this helped me to decide on the next decision-making process of dealing with the incident.  As there were no previous convictions or no warning markers on the 18-year-old female, and as she was being calm and compliant, I decided to conduct a S1 of PACE stop and search on the subject with no handcuffs. </w:t>
      </w:r>
    </w:p>
    <w:p w14:paraId="542483AE" w14:textId="77777777" w:rsidR="005B4B6C" w:rsidRPr="005B4B6C" w:rsidRDefault="005B4B6C" w:rsidP="005B4B6C">
      <w:pPr>
        <w:ind w:right="107"/>
        <w:jc w:val="both"/>
        <w:rPr>
          <w:sz w:val="22"/>
          <w:szCs w:val="22"/>
        </w:rPr>
      </w:pPr>
    </w:p>
    <w:p w14:paraId="0A4CE86C" w14:textId="457DB66A" w:rsidR="005B4B6C" w:rsidRPr="005B4B6C" w:rsidRDefault="005B4B6C" w:rsidP="005B4B6C">
      <w:pPr>
        <w:ind w:right="107"/>
        <w:jc w:val="both"/>
        <w:rPr>
          <w:sz w:val="22"/>
          <w:szCs w:val="22"/>
        </w:rPr>
      </w:pPr>
      <w:r w:rsidRPr="005B4B6C">
        <w:rPr>
          <w:sz w:val="22"/>
          <w:szCs w:val="22"/>
        </w:rPr>
        <w:t xml:space="preserve">The CCTV footage clearly showed the female removing several items off the shelves and concealing the items inside her bag and coat pockets.  This gave me enough grounds to search the female </w:t>
      </w:r>
      <w:r w:rsidRPr="005B4B6C">
        <w:rPr>
          <w:sz w:val="22"/>
          <w:szCs w:val="22"/>
        </w:rPr>
        <w:lastRenderedPageBreak/>
        <w:t>under section 1 of Police and Criminal Evidence Act 1984 which I revealed to the female as part of my grounds for the search.   The Section 1 of Police and Criminal Evidence Act 1984 provides police officers the power to stop and search any person or vehicle for stolen or prohibited articles, points and blades, or fireworks in a public area (College of Policing, 2016).  In this situation, I was looking for stolen items that the female may have concealed within her bag and coat pockets in an area where public have access to, which was at the front of the store.</w:t>
      </w:r>
    </w:p>
    <w:p w14:paraId="02CBD2B5" w14:textId="77777777" w:rsidR="005B4B6C" w:rsidRPr="005B4B6C" w:rsidRDefault="005B4B6C" w:rsidP="005B4B6C">
      <w:pPr>
        <w:ind w:right="107"/>
        <w:jc w:val="both"/>
        <w:rPr>
          <w:sz w:val="22"/>
          <w:szCs w:val="22"/>
        </w:rPr>
      </w:pPr>
    </w:p>
    <w:p w14:paraId="437D229E" w14:textId="3C4DC6B3" w:rsidR="005B4B6C" w:rsidRPr="005B4B6C" w:rsidRDefault="005B4B6C" w:rsidP="005B4B6C">
      <w:pPr>
        <w:ind w:right="107"/>
        <w:jc w:val="both"/>
        <w:rPr>
          <w:sz w:val="22"/>
          <w:szCs w:val="22"/>
        </w:rPr>
      </w:pPr>
      <w:r w:rsidRPr="005B4B6C">
        <w:rPr>
          <w:sz w:val="22"/>
          <w:szCs w:val="22"/>
        </w:rPr>
        <w:t>Over the years the stop and search police powers are of a national interest which has been a controversial power.   Dominic Casciani (2002) stated that in 2001, home office statistics showed that black people were five times more likely to be stopped by police than white people, in which race campaigners argued that the police powers were disproportionately used, this causing a negative public perception.  The issues with stop and search powers have stemmed back to 1981 where ‘Operation Swamp’ triggered the Brixton Riots.  This operation consisted of a 10-day operation whereby 150 plain clothed officers made 1000 stops and 150 arrests in which 2 nights of rioting followed by this operation (Jefferson</w:t>
      </w:r>
      <w:r w:rsidR="00013682">
        <w:rPr>
          <w:sz w:val="22"/>
          <w:szCs w:val="22"/>
        </w:rPr>
        <w:t>, T. 2011</w:t>
      </w:r>
      <w:r w:rsidRPr="005B4B6C">
        <w:rPr>
          <w:sz w:val="22"/>
          <w:szCs w:val="22"/>
        </w:rPr>
        <w:t xml:space="preserve">).  With this is mind, police need to always ensure that their decisions are made lawfully, respectfully, and ethically with the policing values in the forefront of their decision-making process and have sufficient grounds to stop and search a person. </w:t>
      </w:r>
    </w:p>
    <w:p w14:paraId="08C69639" w14:textId="77777777" w:rsidR="005B4B6C" w:rsidRPr="005B4B6C" w:rsidRDefault="005B4B6C" w:rsidP="005B4B6C">
      <w:pPr>
        <w:ind w:right="107"/>
        <w:jc w:val="both"/>
        <w:rPr>
          <w:sz w:val="22"/>
          <w:szCs w:val="22"/>
        </w:rPr>
      </w:pPr>
    </w:p>
    <w:p w14:paraId="32A5E7C2" w14:textId="528CCAB0" w:rsidR="005B4B6C" w:rsidRPr="005B4B6C" w:rsidRDefault="005B4B6C" w:rsidP="005B4B6C">
      <w:pPr>
        <w:ind w:right="107"/>
        <w:jc w:val="both"/>
        <w:rPr>
          <w:sz w:val="22"/>
          <w:szCs w:val="22"/>
        </w:rPr>
      </w:pPr>
      <w:r w:rsidRPr="005B4B6C">
        <w:rPr>
          <w:sz w:val="22"/>
          <w:szCs w:val="22"/>
        </w:rPr>
        <w:t>I conducted the stop and search ethically and lawfully, by activating my body worn video and going through the mnemonic GOWISELY which includes the grounds of the search and the objection of the search.    During the search it is important to follow a process called JOG which explains the items of clothing you can request a person to remove in a public place, such as jackets (any outer jacket), out garments such as handbags and gloves (UK Constable’s Blog, 2012).  In this incident, I requested the female to remove her coat and bag for me to search them.</w:t>
      </w:r>
    </w:p>
    <w:p w14:paraId="7E48A49D" w14:textId="77777777" w:rsidR="005B4B6C" w:rsidRPr="005B4B6C" w:rsidRDefault="005B4B6C" w:rsidP="005B4B6C">
      <w:pPr>
        <w:ind w:right="107"/>
        <w:jc w:val="both"/>
        <w:rPr>
          <w:sz w:val="22"/>
          <w:szCs w:val="22"/>
        </w:rPr>
      </w:pPr>
    </w:p>
    <w:p w14:paraId="21B8C795" w14:textId="01142BD1" w:rsidR="005B4B6C" w:rsidRPr="005B4B6C" w:rsidRDefault="005B4B6C" w:rsidP="005B4B6C">
      <w:pPr>
        <w:ind w:right="107"/>
        <w:jc w:val="both"/>
        <w:rPr>
          <w:sz w:val="22"/>
          <w:szCs w:val="22"/>
        </w:rPr>
      </w:pPr>
      <w:r w:rsidRPr="005B4B6C">
        <w:rPr>
          <w:sz w:val="22"/>
          <w:szCs w:val="22"/>
        </w:rPr>
        <w:t>During the search I found several items belonging to the store in the female’s bag and coat pockets, amounting to the value of £40.  I cautioned the female, and then asked the female why she had concealed these items.  The female made a full admission and expressed how remorseful she was.  The female stated that it was out of character and only did it as her friends pressured her to steal the items.  My body worn video recorded the stop and search and the full admission by the female, which I retained and exhibited as relevant material and linked to the occurrence on niche as evidence.  The Code of Practice within the CPIA states that an investigator must retain all relevant material in a criminal investigation, and that the material can be captured digitally, photographed or video-recorded or retained as a copy rather than the original at any time (CPS, 2018).</w:t>
      </w:r>
    </w:p>
    <w:p w14:paraId="7DE197E3" w14:textId="77777777" w:rsidR="005B4B6C" w:rsidRPr="005B4B6C" w:rsidRDefault="005B4B6C" w:rsidP="005B4B6C">
      <w:pPr>
        <w:ind w:right="107"/>
        <w:jc w:val="both"/>
        <w:rPr>
          <w:sz w:val="22"/>
          <w:szCs w:val="22"/>
        </w:rPr>
      </w:pPr>
    </w:p>
    <w:p w14:paraId="48CD6B41" w14:textId="70D17BA6" w:rsidR="005B4B6C" w:rsidRDefault="005B4B6C" w:rsidP="005B4B6C">
      <w:pPr>
        <w:ind w:right="107"/>
        <w:jc w:val="both"/>
        <w:rPr>
          <w:sz w:val="22"/>
          <w:szCs w:val="22"/>
        </w:rPr>
      </w:pPr>
      <w:r w:rsidRPr="005B4B6C">
        <w:rPr>
          <w:sz w:val="22"/>
          <w:szCs w:val="22"/>
        </w:rPr>
        <w:t>Looking at the information presented to me I had a couple of options of methods of disposal.  I could either arrest the female as the necessity would have been to prevent further loss or I could issue a Penalty Notice of Disorder ticket.  A penalty notice for disorder (PND) is a scheme to tackle disorderly behaviour and minor offences which consists of a fixed penalty fine of either £60 or £90 depending on the seriousness of the offence (Ministry of Justice, 2014).  A PND was brought in under the Criminal Justice and Police Act 2001 to allow police officers to deal with disorderly behaviour and minor offences swiftly as an ‘on the spot fine’ to help reduce police time on paperwork and court appearances (Grace, S. 2013).</w:t>
      </w:r>
    </w:p>
    <w:p w14:paraId="2F817582" w14:textId="77777777" w:rsidR="008C373E" w:rsidRPr="005B4B6C" w:rsidRDefault="008C373E" w:rsidP="005B4B6C">
      <w:pPr>
        <w:ind w:right="107"/>
        <w:jc w:val="both"/>
        <w:rPr>
          <w:sz w:val="22"/>
          <w:szCs w:val="22"/>
        </w:rPr>
      </w:pPr>
    </w:p>
    <w:p w14:paraId="0B988B70" w14:textId="274CBDE5" w:rsidR="005B4B6C" w:rsidRPr="005B4B6C" w:rsidRDefault="005B4B6C" w:rsidP="005B4B6C">
      <w:pPr>
        <w:ind w:right="107"/>
        <w:jc w:val="both"/>
        <w:rPr>
          <w:sz w:val="22"/>
          <w:szCs w:val="22"/>
        </w:rPr>
      </w:pPr>
      <w:r w:rsidRPr="005B4B6C">
        <w:rPr>
          <w:sz w:val="22"/>
          <w:szCs w:val="22"/>
        </w:rPr>
        <w:t>The Home Office states that a PND for shoplifting should only ever be given once to an individual, therefore the police officer should conduct a PNC on the individual before issuing an PND for shoplifting.  The home office also states that to issue a PND for shoplifting, the value of goods stolen should not exceed £100 and that the goods should be recovered and fit for resale (Ministry of Justice, 2014).</w:t>
      </w:r>
    </w:p>
    <w:p w14:paraId="461DD228" w14:textId="77777777" w:rsidR="005B4B6C" w:rsidRPr="005B4B6C" w:rsidRDefault="005B4B6C" w:rsidP="005B4B6C">
      <w:pPr>
        <w:ind w:right="107"/>
        <w:jc w:val="both"/>
        <w:rPr>
          <w:sz w:val="22"/>
          <w:szCs w:val="22"/>
        </w:rPr>
      </w:pPr>
    </w:p>
    <w:p w14:paraId="7629ED99" w14:textId="0534BDAE" w:rsidR="005B4B6C" w:rsidRPr="005B4B6C" w:rsidRDefault="005B4B6C" w:rsidP="005B4B6C">
      <w:pPr>
        <w:ind w:right="107"/>
        <w:jc w:val="both"/>
        <w:rPr>
          <w:sz w:val="22"/>
          <w:szCs w:val="22"/>
        </w:rPr>
      </w:pPr>
      <w:r w:rsidRPr="005B4B6C">
        <w:rPr>
          <w:sz w:val="22"/>
          <w:szCs w:val="22"/>
        </w:rPr>
        <w:t xml:space="preserve">As this was the female’s first offence and the value of items she intended on stealing were under £100, I used my discretion and decided that the PND would be the best method of disposal to deal with this offence.  A PND may only be given if a person is over 18 years old, and the police officer has reason to believe that the person has committed a penalty offence and the officer has sufficient evidence to support this (Ministry of Justice, 2014).   In this incident, I had the CCTV footage </w:t>
      </w:r>
      <w:r w:rsidRPr="005B4B6C">
        <w:rPr>
          <w:sz w:val="22"/>
          <w:szCs w:val="22"/>
        </w:rPr>
        <w:lastRenderedPageBreak/>
        <w:t>capturing the female taking items off shelves and concealing them in her bag and clothing, the stop and search found the stolen items and finally the female gave a full admission of committing the offence.  This giving me enough evidence to provide the female a PND.   Sara Grace (2013) states that if the fine is paid within the time frame of 21 days, then a PND does not form part of an individual’s criminal record which I explained to the female.    The office for Criminal Justice Reform (2011) states that people who receive a PND were less likely to reoffend (25%) than people who were released from custody or commenced a court order (39%), which shows that PNDs are an effective method of disposal.</w:t>
      </w:r>
    </w:p>
    <w:p w14:paraId="535D7096" w14:textId="77777777" w:rsidR="005B4B6C" w:rsidRPr="005B4B6C" w:rsidRDefault="005B4B6C" w:rsidP="005B4B6C">
      <w:pPr>
        <w:ind w:right="107"/>
        <w:jc w:val="both"/>
        <w:rPr>
          <w:sz w:val="22"/>
          <w:szCs w:val="22"/>
        </w:rPr>
      </w:pPr>
    </w:p>
    <w:p w14:paraId="418D0356" w14:textId="42B5030F" w:rsidR="005B4B6C" w:rsidRPr="005B4B6C" w:rsidRDefault="005B4B6C" w:rsidP="005B4B6C">
      <w:pPr>
        <w:ind w:right="107"/>
        <w:jc w:val="both"/>
        <w:rPr>
          <w:sz w:val="22"/>
          <w:szCs w:val="22"/>
        </w:rPr>
      </w:pPr>
      <w:r w:rsidRPr="005B4B6C">
        <w:rPr>
          <w:sz w:val="22"/>
          <w:szCs w:val="22"/>
        </w:rPr>
        <w:t>I spoke with the Manager of the supermarket to obtain their views on this method of disposal, and by relaying my reasons for why the PND would be the best option, they also agreed with this method.  Ensuring an effective police service to the witnesses and victims is one of the fundamental rules within the code of practice of the criminal procedure investigating act (College of Policing, 2013).   I took all necessary details from the female and explained the procedure of the PND.  I explained that if she was to shoplift again, that she may be liable for her actions and may be arrested, in which she confirmed she understood this.</w:t>
      </w:r>
    </w:p>
    <w:p w14:paraId="354324C0" w14:textId="77777777" w:rsidR="005B4B6C" w:rsidRPr="005B4B6C" w:rsidRDefault="005B4B6C" w:rsidP="005B4B6C">
      <w:pPr>
        <w:ind w:right="107"/>
        <w:jc w:val="both"/>
        <w:rPr>
          <w:sz w:val="22"/>
          <w:szCs w:val="22"/>
        </w:rPr>
      </w:pPr>
    </w:p>
    <w:p w14:paraId="59C5E4B7" w14:textId="6BE5AC78" w:rsidR="005B4B6C" w:rsidRPr="005B4B6C" w:rsidRDefault="005B4B6C" w:rsidP="005B4B6C">
      <w:pPr>
        <w:ind w:right="107"/>
        <w:jc w:val="both"/>
        <w:rPr>
          <w:sz w:val="22"/>
          <w:szCs w:val="22"/>
        </w:rPr>
      </w:pPr>
      <w:r w:rsidRPr="005B4B6C">
        <w:rPr>
          <w:sz w:val="22"/>
          <w:szCs w:val="22"/>
        </w:rPr>
        <w:t>On return to the station, I ensured the niche occurrence was updated and all the relevant information such as witness statements, electronic pocket notebook entries and body worn video were uploaded, to ensure I was in keeping with the CPIA regulations with recording and retaining relevant information and material.  I then shared this information with the Phoenix Bureau by sending them an email outlining the female’s details, the offence and method of disposal so that it could be recorded on PNC.  This would then flag on PNC under the female’s person record that she had been issued a PND for shoplifting, so that other officers don’t use this method if she commits this offence again (Ministry of Justice, 2014).</w:t>
      </w:r>
    </w:p>
    <w:p w14:paraId="651665D0" w14:textId="77777777" w:rsidR="005B4B6C" w:rsidRPr="005B4B6C" w:rsidRDefault="005B4B6C" w:rsidP="005B4B6C">
      <w:pPr>
        <w:ind w:right="107"/>
        <w:jc w:val="both"/>
        <w:rPr>
          <w:sz w:val="22"/>
          <w:szCs w:val="22"/>
        </w:rPr>
      </w:pPr>
    </w:p>
    <w:p w14:paraId="17E41E98" w14:textId="4A375506" w:rsidR="005B4B6C" w:rsidRPr="005B4B6C" w:rsidRDefault="005B4B6C" w:rsidP="005B4B6C">
      <w:pPr>
        <w:ind w:right="107"/>
        <w:jc w:val="both"/>
        <w:rPr>
          <w:sz w:val="22"/>
          <w:szCs w:val="22"/>
        </w:rPr>
      </w:pPr>
      <w:r w:rsidRPr="005B4B6C">
        <w:rPr>
          <w:sz w:val="22"/>
          <w:szCs w:val="22"/>
        </w:rPr>
        <w:t xml:space="preserve">Analysing how I dealt with the situation, I felt that I dealt with the incident proportionately and made lawful and ethical decision making within the investigation by using the NDM effectively.  Reflecting on this situation, I feel that the PND was the best method of disposal.  I was able to deal with the incident immediately and efficiently without burdening the courts.  There are other methods of disposal such as community resolution, which provides the victims with more of a say in the out-of-court disposals of offenders. This helping the victims getting justice quickly and the offender facing the consequences for their actions (Office of Police and Crime Commissioner, Gwent).  This disposal also deals with minor offences such as low value theft, low level criminal damage and anti-social behaviour which is something I could have considered during my decision-making process.  </w:t>
      </w:r>
    </w:p>
    <w:p w14:paraId="47C5AAC2" w14:textId="77777777" w:rsidR="005B4B6C" w:rsidRPr="005B4B6C" w:rsidRDefault="005B4B6C" w:rsidP="005B4B6C">
      <w:pPr>
        <w:ind w:right="107"/>
        <w:jc w:val="both"/>
        <w:rPr>
          <w:sz w:val="22"/>
          <w:szCs w:val="22"/>
        </w:rPr>
      </w:pPr>
    </w:p>
    <w:p w14:paraId="363979F9" w14:textId="25766617" w:rsidR="006C7CA5" w:rsidRPr="005B4B6C" w:rsidRDefault="005B4B6C" w:rsidP="005B4B6C">
      <w:pPr>
        <w:ind w:right="107"/>
        <w:jc w:val="both"/>
        <w:rPr>
          <w:sz w:val="22"/>
          <w:szCs w:val="22"/>
        </w:rPr>
      </w:pPr>
      <w:r w:rsidRPr="005B4B6C">
        <w:rPr>
          <w:sz w:val="22"/>
          <w:szCs w:val="22"/>
        </w:rPr>
        <w:t>In conclusion, I believe I have assessed the whole incident critically by looking at the actions I took by dealing with the offender who committed a low-level shoplifting offence.  I reflected on the decisions I made by remaining respectful, ethical and lawful by using the NDM and looking at the evidence and information provided to me at the scene.  I looked back on my responsibilities on recording and retaining relevant information within the investigation in line with the CPIA 1996 while having the policing values and standards in the forefront of my investigation.</w:t>
      </w:r>
    </w:p>
    <w:p w14:paraId="55E8513B" w14:textId="77777777" w:rsidR="00025650" w:rsidRPr="005B4B6C" w:rsidRDefault="00025650" w:rsidP="00E6298B">
      <w:pPr>
        <w:ind w:right="107"/>
        <w:jc w:val="both"/>
        <w:rPr>
          <w:sz w:val="22"/>
          <w:szCs w:val="22"/>
        </w:rPr>
      </w:pPr>
    </w:p>
    <w:p w14:paraId="4C811AD3" w14:textId="7F9B0CCD" w:rsidR="00025650" w:rsidRPr="005B4B6C" w:rsidRDefault="008C373E" w:rsidP="00E6298B">
      <w:pPr>
        <w:ind w:right="107"/>
        <w:jc w:val="both"/>
        <w:rPr>
          <w:sz w:val="22"/>
          <w:szCs w:val="22"/>
        </w:rPr>
      </w:pPr>
      <w:r>
        <w:rPr>
          <w:sz w:val="22"/>
          <w:szCs w:val="22"/>
        </w:rPr>
        <w:t>Word count: 2</w:t>
      </w:r>
      <w:r w:rsidR="002548AC">
        <w:rPr>
          <w:sz w:val="22"/>
          <w:szCs w:val="22"/>
        </w:rPr>
        <w:t>4</w:t>
      </w:r>
      <w:r w:rsidR="006A5BB0">
        <w:rPr>
          <w:sz w:val="22"/>
          <w:szCs w:val="22"/>
        </w:rPr>
        <w:t>56</w:t>
      </w:r>
    </w:p>
    <w:p w14:paraId="0FEEFB0E" w14:textId="77777777" w:rsidR="00025650" w:rsidRPr="005B4B6C" w:rsidRDefault="00025650" w:rsidP="00E6298B">
      <w:pPr>
        <w:ind w:right="107"/>
        <w:jc w:val="both"/>
        <w:rPr>
          <w:sz w:val="22"/>
          <w:szCs w:val="22"/>
        </w:rPr>
      </w:pPr>
    </w:p>
    <w:p w14:paraId="5E21F8DD" w14:textId="77777777" w:rsidR="00025650" w:rsidRPr="005B4B6C" w:rsidRDefault="00025650" w:rsidP="00E6298B">
      <w:pPr>
        <w:ind w:right="107"/>
        <w:jc w:val="both"/>
        <w:rPr>
          <w:sz w:val="22"/>
          <w:szCs w:val="22"/>
        </w:rPr>
      </w:pPr>
    </w:p>
    <w:p w14:paraId="585519A4" w14:textId="77777777" w:rsidR="00025650" w:rsidRPr="005B4B6C" w:rsidRDefault="00025650" w:rsidP="00E6298B">
      <w:pPr>
        <w:ind w:right="107"/>
        <w:jc w:val="both"/>
        <w:rPr>
          <w:sz w:val="22"/>
          <w:szCs w:val="22"/>
        </w:rPr>
      </w:pPr>
    </w:p>
    <w:p w14:paraId="53C57CDF" w14:textId="77777777" w:rsidR="00025650" w:rsidRPr="005B4B6C" w:rsidRDefault="00025650" w:rsidP="00E6298B">
      <w:pPr>
        <w:ind w:right="107"/>
        <w:jc w:val="both"/>
        <w:rPr>
          <w:sz w:val="22"/>
          <w:szCs w:val="22"/>
        </w:rPr>
      </w:pPr>
    </w:p>
    <w:p w14:paraId="5A545E1D" w14:textId="77777777" w:rsidR="00025650" w:rsidRPr="005B4B6C" w:rsidRDefault="00025650" w:rsidP="00E6298B">
      <w:pPr>
        <w:ind w:right="107"/>
        <w:jc w:val="both"/>
        <w:rPr>
          <w:sz w:val="22"/>
          <w:szCs w:val="22"/>
        </w:rPr>
      </w:pPr>
    </w:p>
    <w:p w14:paraId="71AB55F9" w14:textId="77777777" w:rsidR="00025650" w:rsidRPr="005B4B6C" w:rsidRDefault="00025650" w:rsidP="00E6298B">
      <w:pPr>
        <w:ind w:right="107"/>
        <w:jc w:val="both"/>
        <w:rPr>
          <w:sz w:val="22"/>
          <w:szCs w:val="22"/>
        </w:rPr>
      </w:pPr>
    </w:p>
    <w:p w14:paraId="550E30AF" w14:textId="77777777" w:rsidR="00025650" w:rsidRPr="005B4B6C" w:rsidRDefault="00025650" w:rsidP="00E6298B">
      <w:pPr>
        <w:ind w:right="107"/>
        <w:jc w:val="both"/>
        <w:rPr>
          <w:b/>
          <w:sz w:val="22"/>
          <w:szCs w:val="22"/>
        </w:rPr>
      </w:pPr>
    </w:p>
    <w:p w14:paraId="1C6E93E6" w14:textId="77777777" w:rsidR="00025650" w:rsidRPr="005B4B6C" w:rsidRDefault="00025650" w:rsidP="00E6298B">
      <w:pPr>
        <w:ind w:right="107"/>
        <w:rPr>
          <w:sz w:val="18"/>
          <w:szCs w:val="18"/>
        </w:rPr>
      </w:pPr>
      <w:r w:rsidRPr="005B4B6C">
        <w:rPr>
          <w:sz w:val="18"/>
          <w:szCs w:val="18"/>
        </w:rP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2835"/>
        <w:gridCol w:w="2364"/>
        <w:gridCol w:w="2426"/>
      </w:tblGrid>
      <w:tr w:rsidR="00575A8F" w:rsidRPr="00270EEB" w14:paraId="2BE34DB5" w14:textId="77777777" w:rsidTr="00733AB6">
        <w:tc>
          <w:tcPr>
            <w:tcW w:w="212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835"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364"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4F7D49">
        <w:trPr>
          <w:trHeight w:val="4907"/>
        </w:trPr>
        <w:tc>
          <w:tcPr>
            <w:tcW w:w="2122" w:type="dxa"/>
            <w:shd w:val="clear" w:color="auto" w:fill="auto"/>
          </w:tcPr>
          <w:p w14:paraId="32CBB0C5" w14:textId="6C500CFD" w:rsidR="00575A8F" w:rsidRPr="00125100" w:rsidRDefault="00C26446" w:rsidP="00E6298B">
            <w:pPr>
              <w:ind w:right="107"/>
              <w:jc w:val="both"/>
              <w:rPr>
                <w:sz w:val="22"/>
                <w:szCs w:val="22"/>
              </w:rPr>
            </w:pPr>
            <w:r w:rsidRPr="00125100">
              <w:rPr>
                <w:sz w:val="22"/>
                <w:szCs w:val="22"/>
              </w:rPr>
              <w:t>I need to improve my s</w:t>
            </w:r>
            <w:r w:rsidR="00D6784F" w:rsidRPr="00125100">
              <w:rPr>
                <w:sz w:val="22"/>
                <w:szCs w:val="22"/>
              </w:rPr>
              <w:t>tatement writin</w:t>
            </w:r>
            <w:r w:rsidR="00894132" w:rsidRPr="00125100">
              <w:rPr>
                <w:sz w:val="22"/>
                <w:szCs w:val="22"/>
              </w:rPr>
              <w:t>g,</w:t>
            </w:r>
            <w:r w:rsidR="004F7D49" w:rsidRPr="00125100">
              <w:rPr>
                <w:sz w:val="22"/>
                <w:szCs w:val="22"/>
              </w:rPr>
              <w:t xml:space="preserve"> </w:t>
            </w:r>
            <w:r w:rsidRPr="00125100">
              <w:rPr>
                <w:sz w:val="22"/>
                <w:szCs w:val="22"/>
              </w:rPr>
              <w:t>specifically arrest</w:t>
            </w:r>
            <w:r w:rsidR="00D6784F" w:rsidRPr="00125100">
              <w:rPr>
                <w:sz w:val="22"/>
                <w:szCs w:val="22"/>
              </w:rPr>
              <w:t xml:space="preserve"> statements</w:t>
            </w:r>
            <w:r w:rsidR="00894132" w:rsidRPr="00125100">
              <w:rPr>
                <w:sz w:val="22"/>
                <w:szCs w:val="22"/>
              </w:rPr>
              <w:t xml:space="preserve"> as I</w:t>
            </w:r>
            <w:r w:rsidR="004F7D49" w:rsidRPr="00125100">
              <w:rPr>
                <w:sz w:val="22"/>
                <w:szCs w:val="22"/>
              </w:rPr>
              <w:t>’ve been putting</w:t>
            </w:r>
            <w:r w:rsidR="00894132" w:rsidRPr="00125100">
              <w:rPr>
                <w:sz w:val="22"/>
                <w:szCs w:val="22"/>
              </w:rPr>
              <w:t xml:space="preserve"> too much detail for these which is not required.</w:t>
            </w:r>
            <w:r w:rsidRPr="00125100">
              <w:rPr>
                <w:sz w:val="22"/>
                <w:szCs w:val="22"/>
              </w:rPr>
              <w:t xml:space="preserve">  </w:t>
            </w:r>
          </w:p>
          <w:p w14:paraId="4B494930" w14:textId="77777777" w:rsidR="00575A8F" w:rsidRPr="00125100" w:rsidRDefault="00575A8F" w:rsidP="00E6298B">
            <w:pPr>
              <w:ind w:right="107"/>
              <w:jc w:val="both"/>
              <w:rPr>
                <w:sz w:val="22"/>
                <w:szCs w:val="22"/>
              </w:rPr>
            </w:pPr>
          </w:p>
          <w:p w14:paraId="55898530" w14:textId="77777777" w:rsidR="00575A8F" w:rsidRPr="00125100" w:rsidRDefault="00575A8F" w:rsidP="00E6298B">
            <w:pPr>
              <w:ind w:right="107"/>
              <w:jc w:val="both"/>
              <w:rPr>
                <w:sz w:val="22"/>
                <w:szCs w:val="22"/>
              </w:rPr>
            </w:pPr>
          </w:p>
          <w:p w14:paraId="17C7589C" w14:textId="77777777" w:rsidR="00575A8F" w:rsidRPr="00125100" w:rsidRDefault="00575A8F" w:rsidP="00E6298B">
            <w:pPr>
              <w:ind w:right="107"/>
              <w:jc w:val="both"/>
              <w:rPr>
                <w:sz w:val="22"/>
                <w:szCs w:val="22"/>
              </w:rPr>
            </w:pPr>
          </w:p>
          <w:p w14:paraId="559F07CD" w14:textId="77777777" w:rsidR="00575A8F" w:rsidRPr="00125100" w:rsidRDefault="00575A8F" w:rsidP="00E6298B">
            <w:pPr>
              <w:ind w:right="107"/>
              <w:jc w:val="both"/>
              <w:rPr>
                <w:sz w:val="22"/>
                <w:szCs w:val="22"/>
              </w:rPr>
            </w:pPr>
          </w:p>
          <w:p w14:paraId="50FB26FA" w14:textId="77777777" w:rsidR="00575A8F" w:rsidRPr="00125100" w:rsidRDefault="00575A8F" w:rsidP="00E6298B">
            <w:pPr>
              <w:ind w:right="107"/>
              <w:jc w:val="both"/>
              <w:rPr>
                <w:sz w:val="22"/>
                <w:szCs w:val="22"/>
              </w:rPr>
            </w:pPr>
          </w:p>
          <w:p w14:paraId="4E13270D" w14:textId="77777777" w:rsidR="00575A8F" w:rsidRPr="00125100" w:rsidRDefault="00575A8F" w:rsidP="00E6298B">
            <w:pPr>
              <w:ind w:right="107"/>
              <w:jc w:val="both"/>
              <w:rPr>
                <w:sz w:val="22"/>
                <w:szCs w:val="22"/>
              </w:rPr>
            </w:pPr>
          </w:p>
          <w:p w14:paraId="4FCDFC95" w14:textId="77777777" w:rsidR="00575A8F" w:rsidRPr="00125100" w:rsidRDefault="00575A8F" w:rsidP="00E6298B">
            <w:pPr>
              <w:ind w:right="107"/>
              <w:jc w:val="both"/>
              <w:rPr>
                <w:sz w:val="22"/>
                <w:szCs w:val="22"/>
              </w:rPr>
            </w:pPr>
          </w:p>
        </w:tc>
        <w:tc>
          <w:tcPr>
            <w:tcW w:w="2835" w:type="dxa"/>
            <w:shd w:val="clear" w:color="auto" w:fill="auto"/>
          </w:tcPr>
          <w:p w14:paraId="4EC6A0FA" w14:textId="1C3A03C6" w:rsidR="004F7D49" w:rsidRPr="00125100" w:rsidRDefault="00D6784F" w:rsidP="00E6298B">
            <w:pPr>
              <w:ind w:right="107"/>
              <w:jc w:val="both"/>
              <w:rPr>
                <w:sz w:val="22"/>
                <w:szCs w:val="22"/>
              </w:rPr>
            </w:pPr>
            <w:r w:rsidRPr="00125100">
              <w:rPr>
                <w:sz w:val="22"/>
                <w:szCs w:val="22"/>
              </w:rPr>
              <w:t>Practicing statement writing by going to calls that require statements taken.  Once</w:t>
            </w:r>
            <w:r w:rsidR="00733AB6" w:rsidRPr="00125100">
              <w:rPr>
                <w:sz w:val="22"/>
                <w:szCs w:val="22"/>
              </w:rPr>
              <w:t xml:space="preserve"> </w:t>
            </w:r>
            <w:r w:rsidRPr="00125100">
              <w:rPr>
                <w:sz w:val="22"/>
                <w:szCs w:val="22"/>
              </w:rPr>
              <w:t>completed, obtaining constructive feedback from tutors</w:t>
            </w:r>
            <w:r w:rsidR="00733AB6" w:rsidRPr="00125100">
              <w:rPr>
                <w:sz w:val="22"/>
                <w:szCs w:val="22"/>
              </w:rPr>
              <w:t xml:space="preserve"> </w:t>
            </w:r>
            <w:r w:rsidR="004F7D49" w:rsidRPr="00125100">
              <w:rPr>
                <w:sz w:val="22"/>
                <w:szCs w:val="22"/>
              </w:rPr>
              <w:t xml:space="preserve">or </w:t>
            </w:r>
            <w:r w:rsidRPr="00125100">
              <w:rPr>
                <w:sz w:val="22"/>
                <w:szCs w:val="22"/>
              </w:rPr>
              <w:t>an</w:t>
            </w:r>
            <w:r w:rsidR="00733AB6" w:rsidRPr="00125100">
              <w:rPr>
                <w:sz w:val="22"/>
                <w:szCs w:val="22"/>
              </w:rPr>
              <w:t xml:space="preserve"> experienced colleague</w:t>
            </w:r>
            <w:r w:rsidR="00290E9A" w:rsidRPr="00125100">
              <w:rPr>
                <w:sz w:val="22"/>
                <w:szCs w:val="22"/>
              </w:rPr>
              <w:t xml:space="preserve"> to identify areas to improve and develop.</w:t>
            </w:r>
          </w:p>
          <w:p w14:paraId="611C1FC6" w14:textId="77777777" w:rsidR="004F7D49" w:rsidRPr="00125100" w:rsidRDefault="004F7D49" w:rsidP="00E6298B">
            <w:pPr>
              <w:ind w:right="107"/>
              <w:jc w:val="both"/>
              <w:rPr>
                <w:sz w:val="22"/>
                <w:szCs w:val="22"/>
              </w:rPr>
            </w:pPr>
          </w:p>
          <w:p w14:paraId="208EF47A" w14:textId="77777777" w:rsidR="00575A8F" w:rsidRPr="00125100" w:rsidRDefault="004F7D49" w:rsidP="00E6298B">
            <w:pPr>
              <w:ind w:right="107"/>
              <w:jc w:val="both"/>
              <w:rPr>
                <w:sz w:val="22"/>
                <w:szCs w:val="22"/>
              </w:rPr>
            </w:pPr>
            <w:r w:rsidRPr="00125100">
              <w:rPr>
                <w:sz w:val="22"/>
                <w:szCs w:val="22"/>
              </w:rPr>
              <w:t>I could also practice taking statements from colleagues</w:t>
            </w:r>
            <w:r w:rsidR="00290E9A" w:rsidRPr="00125100">
              <w:rPr>
                <w:sz w:val="22"/>
                <w:szCs w:val="22"/>
              </w:rPr>
              <w:t xml:space="preserve"> to help improve this skill.</w:t>
            </w:r>
          </w:p>
          <w:p w14:paraId="38715FDB" w14:textId="77777777" w:rsidR="00C26446" w:rsidRPr="00125100" w:rsidRDefault="00C26446" w:rsidP="00E6298B">
            <w:pPr>
              <w:ind w:right="107"/>
              <w:jc w:val="both"/>
              <w:rPr>
                <w:sz w:val="22"/>
                <w:szCs w:val="22"/>
              </w:rPr>
            </w:pPr>
          </w:p>
          <w:p w14:paraId="2C5FB852" w14:textId="18FA54A3" w:rsidR="00C26446" w:rsidRPr="00125100" w:rsidRDefault="00C26446" w:rsidP="00E6298B">
            <w:pPr>
              <w:ind w:right="107"/>
              <w:jc w:val="both"/>
              <w:rPr>
                <w:sz w:val="22"/>
                <w:szCs w:val="22"/>
              </w:rPr>
            </w:pPr>
            <w:r w:rsidRPr="00125100">
              <w:rPr>
                <w:sz w:val="22"/>
                <w:szCs w:val="22"/>
              </w:rPr>
              <w:t>Read over my training notes and researching statement writing and refreshing this by reading my Blackstone’s book.</w:t>
            </w:r>
          </w:p>
        </w:tc>
        <w:tc>
          <w:tcPr>
            <w:tcW w:w="2364" w:type="dxa"/>
            <w:shd w:val="clear" w:color="auto" w:fill="auto"/>
          </w:tcPr>
          <w:p w14:paraId="777516CF" w14:textId="77777777" w:rsidR="00C26446" w:rsidRPr="00125100" w:rsidRDefault="00C26446" w:rsidP="00E6298B">
            <w:pPr>
              <w:ind w:right="107"/>
              <w:jc w:val="both"/>
              <w:rPr>
                <w:sz w:val="22"/>
                <w:szCs w:val="22"/>
              </w:rPr>
            </w:pPr>
            <w:r w:rsidRPr="00125100">
              <w:rPr>
                <w:sz w:val="22"/>
                <w:szCs w:val="22"/>
              </w:rPr>
              <w:t>The t</w:t>
            </w:r>
            <w:r w:rsidR="00D6784F" w:rsidRPr="00125100">
              <w:rPr>
                <w:sz w:val="22"/>
                <w:szCs w:val="22"/>
              </w:rPr>
              <w:t>utors in the PDU</w:t>
            </w:r>
            <w:r w:rsidRPr="00125100">
              <w:rPr>
                <w:sz w:val="22"/>
                <w:szCs w:val="22"/>
              </w:rPr>
              <w:t xml:space="preserve"> could provide guidance and useful pointers.</w:t>
            </w:r>
          </w:p>
          <w:p w14:paraId="27AB67B0" w14:textId="77777777" w:rsidR="00C26446" w:rsidRPr="00125100" w:rsidRDefault="00C26446" w:rsidP="00E6298B">
            <w:pPr>
              <w:ind w:right="107"/>
              <w:jc w:val="both"/>
              <w:rPr>
                <w:sz w:val="22"/>
                <w:szCs w:val="22"/>
              </w:rPr>
            </w:pPr>
          </w:p>
          <w:p w14:paraId="6F2EF39C" w14:textId="26304112" w:rsidR="00575A8F" w:rsidRPr="00125100" w:rsidRDefault="00D6784F" w:rsidP="00E6298B">
            <w:pPr>
              <w:ind w:right="107"/>
              <w:jc w:val="both"/>
              <w:rPr>
                <w:sz w:val="22"/>
                <w:szCs w:val="22"/>
              </w:rPr>
            </w:pPr>
            <w:r w:rsidRPr="00125100">
              <w:rPr>
                <w:sz w:val="22"/>
                <w:szCs w:val="22"/>
              </w:rPr>
              <w:t>Sergeants</w:t>
            </w:r>
            <w:r w:rsidR="004F7D49" w:rsidRPr="00125100">
              <w:rPr>
                <w:sz w:val="22"/>
                <w:szCs w:val="22"/>
              </w:rPr>
              <w:t xml:space="preserve"> and experience colleagues on </w:t>
            </w:r>
            <w:r w:rsidRPr="00125100">
              <w:rPr>
                <w:sz w:val="22"/>
                <w:szCs w:val="22"/>
              </w:rPr>
              <w:t xml:space="preserve">my shift </w:t>
            </w:r>
            <w:r w:rsidR="004F7D49" w:rsidRPr="00125100">
              <w:rPr>
                <w:sz w:val="22"/>
                <w:szCs w:val="22"/>
              </w:rPr>
              <w:t>who may be able to provide constructive feedback on how to improve</w:t>
            </w:r>
            <w:r w:rsidR="00C26446" w:rsidRPr="00125100">
              <w:rPr>
                <w:sz w:val="22"/>
                <w:szCs w:val="22"/>
              </w:rPr>
              <w:t xml:space="preserve"> my statements.</w:t>
            </w:r>
          </w:p>
        </w:tc>
        <w:tc>
          <w:tcPr>
            <w:tcW w:w="2426" w:type="dxa"/>
            <w:shd w:val="clear" w:color="auto" w:fill="auto"/>
          </w:tcPr>
          <w:p w14:paraId="0F3B2449" w14:textId="77777777" w:rsidR="00C26446" w:rsidRPr="00125100" w:rsidRDefault="00D6784F" w:rsidP="28A9B94D">
            <w:pPr>
              <w:jc w:val="both"/>
              <w:rPr>
                <w:sz w:val="22"/>
                <w:szCs w:val="22"/>
              </w:rPr>
            </w:pPr>
            <w:r w:rsidRPr="00125100">
              <w:rPr>
                <w:sz w:val="22"/>
                <w:szCs w:val="22"/>
              </w:rPr>
              <w:t xml:space="preserve">I hope to develop my skills during PDU and when I’m on my shift working independently. </w:t>
            </w:r>
          </w:p>
          <w:p w14:paraId="0FBC0BC8" w14:textId="77777777" w:rsidR="00C26446" w:rsidRPr="00125100" w:rsidRDefault="00C26446" w:rsidP="28A9B94D">
            <w:pPr>
              <w:jc w:val="both"/>
              <w:rPr>
                <w:sz w:val="22"/>
                <w:szCs w:val="22"/>
              </w:rPr>
            </w:pPr>
          </w:p>
          <w:p w14:paraId="3851D535" w14:textId="71C78EBE" w:rsidR="28A9B94D" w:rsidRPr="00125100" w:rsidRDefault="00D6784F" w:rsidP="28A9B94D">
            <w:pPr>
              <w:jc w:val="both"/>
              <w:rPr>
                <w:sz w:val="22"/>
                <w:szCs w:val="22"/>
              </w:rPr>
            </w:pPr>
            <w:r w:rsidRPr="00125100">
              <w:rPr>
                <w:sz w:val="22"/>
                <w:szCs w:val="22"/>
              </w:rPr>
              <w:t xml:space="preserve">Approximately in 12 </w:t>
            </w:r>
            <w:r w:rsidR="004F7D49" w:rsidRPr="00125100">
              <w:rPr>
                <w:sz w:val="22"/>
                <w:szCs w:val="22"/>
              </w:rPr>
              <w:t>weeks’ time</w:t>
            </w:r>
            <w:r w:rsidR="00733AB6" w:rsidRPr="00125100">
              <w:rPr>
                <w:sz w:val="22"/>
                <w:szCs w:val="22"/>
              </w:rPr>
              <w:t>, however I know this will be an ongoing development where I will continue to get better with experience</w:t>
            </w:r>
            <w:r w:rsidR="004F7D49" w:rsidRPr="00125100">
              <w:rPr>
                <w:sz w:val="22"/>
                <w:szCs w:val="22"/>
              </w:rPr>
              <w:t xml:space="preserve"> throughout my probationary period.</w:t>
            </w:r>
          </w:p>
        </w:tc>
      </w:tr>
      <w:tr w:rsidR="00575A8F" w:rsidRPr="00270EEB" w14:paraId="67CEB11A" w14:textId="77777777" w:rsidTr="00733AB6">
        <w:tc>
          <w:tcPr>
            <w:tcW w:w="2122" w:type="dxa"/>
            <w:shd w:val="clear" w:color="auto" w:fill="auto"/>
          </w:tcPr>
          <w:p w14:paraId="477E47FE" w14:textId="0CDC3DBA" w:rsidR="00575A8F" w:rsidRPr="00125100" w:rsidRDefault="00C26446" w:rsidP="00E6298B">
            <w:pPr>
              <w:ind w:right="107"/>
              <w:jc w:val="both"/>
              <w:rPr>
                <w:sz w:val="22"/>
                <w:szCs w:val="22"/>
              </w:rPr>
            </w:pPr>
            <w:r w:rsidRPr="00125100">
              <w:rPr>
                <w:sz w:val="22"/>
                <w:szCs w:val="22"/>
              </w:rPr>
              <w:t>I need to improve on b</w:t>
            </w:r>
            <w:r w:rsidR="00D6784F" w:rsidRPr="00125100">
              <w:rPr>
                <w:sz w:val="22"/>
                <w:szCs w:val="22"/>
              </w:rPr>
              <w:t>eing more in control of a situation</w:t>
            </w:r>
            <w:r w:rsidR="00733AB6" w:rsidRPr="00125100">
              <w:rPr>
                <w:sz w:val="22"/>
                <w:szCs w:val="22"/>
              </w:rPr>
              <w:t xml:space="preserve"> </w:t>
            </w:r>
            <w:r w:rsidR="00D6784F" w:rsidRPr="00125100">
              <w:rPr>
                <w:sz w:val="22"/>
                <w:szCs w:val="22"/>
              </w:rPr>
              <w:t xml:space="preserve">and </w:t>
            </w:r>
            <w:r w:rsidRPr="00125100">
              <w:rPr>
                <w:sz w:val="22"/>
                <w:szCs w:val="22"/>
              </w:rPr>
              <w:t xml:space="preserve">being </w:t>
            </w:r>
            <w:r w:rsidR="00D6784F" w:rsidRPr="00125100">
              <w:rPr>
                <w:sz w:val="22"/>
                <w:szCs w:val="22"/>
              </w:rPr>
              <w:t xml:space="preserve">more </w:t>
            </w:r>
            <w:r w:rsidR="00733AB6" w:rsidRPr="00125100">
              <w:rPr>
                <w:sz w:val="22"/>
                <w:szCs w:val="22"/>
              </w:rPr>
              <w:t>direct with people</w:t>
            </w:r>
            <w:r w:rsidR="00D6784F" w:rsidRPr="00125100">
              <w:rPr>
                <w:sz w:val="22"/>
                <w:szCs w:val="22"/>
              </w:rPr>
              <w:t>.</w:t>
            </w:r>
          </w:p>
          <w:p w14:paraId="529CC96B" w14:textId="77777777" w:rsidR="00575A8F" w:rsidRPr="00125100" w:rsidRDefault="00575A8F" w:rsidP="00E6298B">
            <w:pPr>
              <w:ind w:right="107"/>
              <w:jc w:val="both"/>
              <w:rPr>
                <w:sz w:val="22"/>
                <w:szCs w:val="22"/>
              </w:rPr>
            </w:pPr>
          </w:p>
          <w:p w14:paraId="63E7E828" w14:textId="77777777" w:rsidR="00575A8F" w:rsidRPr="00125100" w:rsidRDefault="00575A8F" w:rsidP="00E6298B">
            <w:pPr>
              <w:ind w:right="107"/>
              <w:jc w:val="both"/>
              <w:rPr>
                <w:sz w:val="22"/>
                <w:szCs w:val="22"/>
              </w:rPr>
            </w:pPr>
          </w:p>
          <w:p w14:paraId="52C24203" w14:textId="77777777" w:rsidR="00575A8F" w:rsidRPr="00125100" w:rsidRDefault="00575A8F" w:rsidP="00E6298B">
            <w:pPr>
              <w:ind w:right="107"/>
              <w:jc w:val="both"/>
              <w:rPr>
                <w:sz w:val="22"/>
                <w:szCs w:val="22"/>
              </w:rPr>
            </w:pPr>
          </w:p>
          <w:p w14:paraId="7F0DE516" w14:textId="77777777" w:rsidR="00575A8F" w:rsidRPr="00125100" w:rsidRDefault="00575A8F" w:rsidP="00E6298B">
            <w:pPr>
              <w:ind w:right="107"/>
              <w:jc w:val="both"/>
              <w:rPr>
                <w:sz w:val="22"/>
                <w:szCs w:val="22"/>
              </w:rPr>
            </w:pPr>
          </w:p>
          <w:p w14:paraId="531A87CC" w14:textId="77777777" w:rsidR="00575A8F" w:rsidRPr="00125100" w:rsidRDefault="00575A8F" w:rsidP="00E6298B">
            <w:pPr>
              <w:ind w:right="107"/>
              <w:jc w:val="both"/>
              <w:rPr>
                <w:sz w:val="22"/>
                <w:szCs w:val="22"/>
              </w:rPr>
            </w:pPr>
          </w:p>
        </w:tc>
        <w:tc>
          <w:tcPr>
            <w:tcW w:w="2835" w:type="dxa"/>
            <w:shd w:val="clear" w:color="auto" w:fill="auto"/>
          </w:tcPr>
          <w:p w14:paraId="2B4D9E90" w14:textId="1E7D2015" w:rsidR="00C26446" w:rsidRPr="00125100" w:rsidRDefault="00C26446" w:rsidP="00E6298B">
            <w:pPr>
              <w:ind w:right="107"/>
              <w:jc w:val="both"/>
              <w:rPr>
                <w:sz w:val="22"/>
                <w:szCs w:val="22"/>
              </w:rPr>
            </w:pPr>
            <w:r w:rsidRPr="00125100">
              <w:rPr>
                <w:sz w:val="22"/>
                <w:szCs w:val="22"/>
              </w:rPr>
              <w:t xml:space="preserve">I’m </w:t>
            </w:r>
            <w:r w:rsidR="00733AB6" w:rsidRPr="00125100">
              <w:rPr>
                <w:sz w:val="22"/>
                <w:szCs w:val="22"/>
              </w:rPr>
              <w:t>natural</w:t>
            </w:r>
            <w:r w:rsidRPr="00125100">
              <w:rPr>
                <w:sz w:val="22"/>
                <w:szCs w:val="22"/>
              </w:rPr>
              <w:t>ly</w:t>
            </w:r>
            <w:r w:rsidR="00733AB6" w:rsidRPr="00125100">
              <w:rPr>
                <w:sz w:val="22"/>
                <w:szCs w:val="22"/>
              </w:rPr>
              <w:t xml:space="preserve"> </w:t>
            </w:r>
            <w:r w:rsidRPr="00125100">
              <w:rPr>
                <w:sz w:val="22"/>
                <w:szCs w:val="22"/>
              </w:rPr>
              <w:t xml:space="preserve">a </w:t>
            </w:r>
            <w:r w:rsidR="00733AB6" w:rsidRPr="00125100">
              <w:rPr>
                <w:sz w:val="22"/>
                <w:szCs w:val="22"/>
              </w:rPr>
              <w:t>reserved and polite person</w:t>
            </w:r>
            <w:r w:rsidRPr="00125100">
              <w:rPr>
                <w:sz w:val="22"/>
                <w:szCs w:val="22"/>
              </w:rPr>
              <w:t xml:space="preserve"> and have come from a customer service background</w:t>
            </w:r>
            <w:r w:rsidR="00733AB6" w:rsidRPr="00125100">
              <w:rPr>
                <w:sz w:val="22"/>
                <w:szCs w:val="22"/>
              </w:rPr>
              <w:t xml:space="preserve">, </w:t>
            </w:r>
            <w:r w:rsidRPr="00125100">
              <w:rPr>
                <w:sz w:val="22"/>
                <w:szCs w:val="22"/>
              </w:rPr>
              <w:t xml:space="preserve">therefore </w:t>
            </w:r>
            <w:r w:rsidR="00733AB6" w:rsidRPr="00125100">
              <w:rPr>
                <w:sz w:val="22"/>
                <w:szCs w:val="22"/>
              </w:rPr>
              <w:t>this new role of being authorit</w:t>
            </w:r>
            <w:r w:rsidR="007C4874" w:rsidRPr="00125100">
              <w:rPr>
                <w:sz w:val="22"/>
                <w:szCs w:val="22"/>
              </w:rPr>
              <w:t>ative</w:t>
            </w:r>
            <w:r w:rsidRPr="00125100">
              <w:rPr>
                <w:sz w:val="22"/>
                <w:szCs w:val="22"/>
              </w:rPr>
              <w:t xml:space="preserve"> with the public</w:t>
            </w:r>
            <w:r w:rsidR="00733AB6" w:rsidRPr="00125100">
              <w:rPr>
                <w:sz w:val="22"/>
                <w:szCs w:val="22"/>
              </w:rPr>
              <w:t xml:space="preserve"> is </w:t>
            </w:r>
            <w:r w:rsidRPr="00125100">
              <w:rPr>
                <w:sz w:val="22"/>
                <w:szCs w:val="22"/>
              </w:rPr>
              <w:t>new and</w:t>
            </w:r>
            <w:r w:rsidR="00733AB6" w:rsidRPr="00125100">
              <w:rPr>
                <w:sz w:val="22"/>
                <w:szCs w:val="22"/>
              </w:rPr>
              <w:t xml:space="preserve"> gaining confidence in doing this will develop over time.  </w:t>
            </w:r>
          </w:p>
          <w:p w14:paraId="413DBC53" w14:textId="77777777" w:rsidR="00C26446" w:rsidRPr="00125100" w:rsidRDefault="00C26446" w:rsidP="00E6298B">
            <w:pPr>
              <w:ind w:right="107"/>
              <w:jc w:val="both"/>
              <w:rPr>
                <w:sz w:val="22"/>
                <w:szCs w:val="22"/>
              </w:rPr>
            </w:pPr>
          </w:p>
          <w:p w14:paraId="3BD876A6" w14:textId="1C3D55C1" w:rsidR="00575A8F" w:rsidRPr="00125100" w:rsidRDefault="00733AB6" w:rsidP="00E6298B">
            <w:pPr>
              <w:ind w:right="107"/>
              <w:jc w:val="both"/>
              <w:rPr>
                <w:sz w:val="22"/>
                <w:szCs w:val="22"/>
              </w:rPr>
            </w:pPr>
            <w:r w:rsidRPr="00125100">
              <w:rPr>
                <w:sz w:val="22"/>
                <w:szCs w:val="22"/>
              </w:rPr>
              <w:t xml:space="preserve">I’m going to achieve this by going to more calls and dealing with the public and learn from </w:t>
            </w:r>
            <w:r w:rsidR="00E27870" w:rsidRPr="00125100">
              <w:rPr>
                <w:sz w:val="22"/>
                <w:szCs w:val="22"/>
              </w:rPr>
              <w:t>experienced officers</w:t>
            </w:r>
            <w:r w:rsidRPr="00125100">
              <w:rPr>
                <w:sz w:val="22"/>
                <w:szCs w:val="22"/>
              </w:rPr>
              <w:t xml:space="preserve"> on my shift.</w:t>
            </w:r>
          </w:p>
        </w:tc>
        <w:tc>
          <w:tcPr>
            <w:tcW w:w="2364" w:type="dxa"/>
            <w:shd w:val="clear" w:color="auto" w:fill="auto"/>
          </w:tcPr>
          <w:p w14:paraId="41840859" w14:textId="475B3288" w:rsidR="00575A8F" w:rsidRPr="00125100" w:rsidRDefault="00C26446" w:rsidP="00E6298B">
            <w:pPr>
              <w:ind w:right="107"/>
              <w:jc w:val="both"/>
              <w:rPr>
                <w:sz w:val="22"/>
                <w:szCs w:val="22"/>
              </w:rPr>
            </w:pPr>
            <w:r w:rsidRPr="00125100">
              <w:rPr>
                <w:sz w:val="22"/>
                <w:szCs w:val="22"/>
              </w:rPr>
              <w:t>The t</w:t>
            </w:r>
            <w:r w:rsidR="00733AB6" w:rsidRPr="00125100">
              <w:rPr>
                <w:sz w:val="22"/>
                <w:szCs w:val="22"/>
              </w:rPr>
              <w:t xml:space="preserve">utors in the PDU who will be able to select calls that require dealing with confrontation and conflict.  </w:t>
            </w:r>
          </w:p>
          <w:p w14:paraId="10AE5DD5" w14:textId="77777777" w:rsidR="00C26446" w:rsidRPr="00125100" w:rsidRDefault="00C26446" w:rsidP="00E6298B">
            <w:pPr>
              <w:ind w:right="107"/>
              <w:jc w:val="both"/>
              <w:rPr>
                <w:sz w:val="22"/>
                <w:szCs w:val="22"/>
              </w:rPr>
            </w:pPr>
          </w:p>
          <w:p w14:paraId="7A4C9A77" w14:textId="7999ADFB" w:rsidR="00733AB6" w:rsidRPr="00125100" w:rsidRDefault="00733AB6" w:rsidP="00E6298B">
            <w:pPr>
              <w:ind w:right="107"/>
              <w:jc w:val="both"/>
              <w:rPr>
                <w:sz w:val="22"/>
                <w:szCs w:val="22"/>
              </w:rPr>
            </w:pPr>
            <w:r w:rsidRPr="00125100">
              <w:rPr>
                <w:sz w:val="22"/>
                <w:szCs w:val="22"/>
              </w:rPr>
              <w:t xml:space="preserve">When I’m on shift I’ll be able to watch </w:t>
            </w:r>
            <w:r w:rsidR="00C26446" w:rsidRPr="00125100">
              <w:rPr>
                <w:sz w:val="22"/>
                <w:szCs w:val="22"/>
              </w:rPr>
              <w:t xml:space="preserve">experienced officers </w:t>
            </w:r>
            <w:r w:rsidRPr="00125100">
              <w:rPr>
                <w:sz w:val="22"/>
                <w:szCs w:val="22"/>
              </w:rPr>
              <w:t>deal with the public which I’ll be able to learn from</w:t>
            </w:r>
            <w:r w:rsidR="00C26446" w:rsidRPr="00125100">
              <w:rPr>
                <w:sz w:val="22"/>
                <w:szCs w:val="22"/>
              </w:rPr>
              <w:t xml:space="preserve">, picking up points and gaining feedback from them in order to develop my skills. </w:t>
            </w:r>
          </w:p>
        </w:tc>
        <w:tc>
          <w:tcPr>
            <w:tcW w:w="2426" w:type="dxa"/>
            <w:shd w:val="clear" w:color="auto" w:fill="auto"/>
          </w:tcPr>
          <w:p w14:paraId="003BC03B" w14:textId="19EA2E70" w:rsidR="28A9B94D" w:rsidRPr="00125100" w:rsidRDefault="00733AB6" w:rsidP="28A9B94D">
            <w:pPr>
              <w:jc w:val="both"/>
              <w:rPr>
                <w:sz w:val="22"/>
                <w:szCs w:val="22"/>
              </w:rPr>
            </w:pPr>
            <w:r w:rsidRPr="00125100">
              <w:rPr>
                <w:sz w:val="22"/>
                <w:szCs w:val="22"/>
              </w:rPr>
              <w:t>I hope to develop this skill and become confident in my new role within PDU, however I know this is something that will develop with experience and will continue to develop over some time as a probationer.</w:t>
            </w:r>
          </w:p>
        </w:tc>
      </w:tr>
      <w:tr w:rsidR="00575A8F" w:rsidRPr="00270EEB" w14:paraId="3EE957C7" w14:textId="77777777" w:rsidTr="00733AB6">
        <w:tc>
          <w:tcPr>
            <w:tcW w:w="2122" w:type="dxa"/>
            <w:shd w:val="clear" w:color="auto" w:fill="auto"/>
          </w:tcPr>
          <w:p w14:paraId="63F84709" w14:textId="6593CB60" w:rsidR="00575A8F" w:rsidRPr="00125100" w:rsidRDefault="00C26446" w:rsidP="00E6298B">
            <w:pPr>
              <w:ind w:right="107"/>
              <w:jc w:val="both"/>
              <w:rPr>
                <w:sz w:val="22"/>
                <w:szCs w:val="22"/>
              </w:rPr>
            </w:pPr>
            <w:r w:rsidRPr="00125100">
              <w:rPr>
                <w:sz w:val="22"/>
                <w:szCs w:val="22"/>
              </w:rPr>
              <w:t>I need to improve w</w:t>
            </w:r>
            <w:r w:rsidR="00733AB6" w:rsidRPr="00125100">
              <w:rPr>
                <w:sz w:val="22"/>
                <w:szCs w:val="22"/>
              </w:rPr>
              <w:t>orking my way around Niche</w:t>
            </w:r>
            <w:r w:rsidR="007C4874" w:rsidRPr="00125100">
              <w:rPr>
                <w:sz w:val="22"/>
                <w:szCs w:val="22"/>
              </w:rPr>
              <w:t xml:space="preserve"> and being more </w:t>
            </w:r>
            <w:r w:rsidR="007C4874" w:rsidRPr="00125100">
              <w:rPr>
                <w:sz w:val="22"/>
                <w:szCs w:val="22"/>
              </w:rPr>
              <w:lastRenderedPageBreak/>
              <w:t>confident and familiar with it.</w:t>
            </w:r>
          </w:p>
          <w:p w14:paraId="46CA1F74" w14:textId="77777777" w:rsidR="00575A8F" w:rsidRPr="00125100" w:rsidRDefault="00575A8F" w:rsidP="00E6298B">
            <w:pPr>
              <w:ind w:right="107"/>
              <w:jc w:val="both"/>
              <w:rPr>
                <w:sz w:val="22"/>
                <w:szCs w:val="22"/>
              </w:rPr>
            </w:pPr>
          </w:p>
          <w:p w14:paraId="5325704B" w14:textId="77777777" w:rsidR="00575A8F" w:rsidRPr="00125100" w:rsidRDefault="00575A8F" w:rsidP="00E6298B">
            <w:pPr>
              <w:ind w:right="107"/>
              <w:jc w:val="both"/>
              <w:rPr>
                <w:sz w:val="22"/>
                <w:szCs w:val="22"/>
              </w:rPr>
            </w:pPr>
          </w:p>
          <w:p w14:paraId="5E51CE34" w14:textId="77777777" w:rsidR="00575A8F" w:rsidRPr="00125100" w:rsidRDefault="00575A8F" w:rsidP="00E6298B">
            <w:pPr>
              <w:ind w:right="107"/>
              <w:jc w:val="both"/>
              <w:rPr>
                <w:sz w:val="22"/>
                <w:szCs w:val="22"/>
              </w:rPr>
            </w:pPr>
          </w:p>
          <w:p w14:paraId="03607C62" w14:textId="77777777" w:rsidR="00575A8F" w:rsidRPr="00125100" w:rsidRDefault="00575A8F" w:rsidP="00E6298B">
            <w:pPr>
              <w:ind w:right="107"/>
              <w:jc w:val="both"/>
              <w:rPr>
                <w:sz w:val="22"/>
                <w:szCs w:val="22"/>
              </w:rPr>
            </w:pPr>
          </w:p>
          <w:p w14:paraId="279066C3" w14:textId="77777777" w:rsidR="00575A8F" w:rsidRPr="00125100" w:rsidRDefault="00575A8F" w:rsidP="00E6298B">
            <w:pPr>
              <w:ind w:right="107"/>
              <w:jc w:val="both"/>
              <w:rPr>
                <w:sz w:val="22"/>
                <w:szCs w:val="22"/>
              </w:rPr>
            </w:pPr>
          </w:p>
          <w:p w14:paraId="69C3124A" w14:textId="77777777" w:rsidR="00575A8F" w:rsidRPr="00125100" w:rsidRDefault="00575A8F" w:rsidP="00E6298B">
            <w:pPr>
              <w:ind w:right="107"/>
              <w:jc w:val="both"/>
              <w:rPr>
                <w:sz w:val="22"/>
                <w:szCs w:val="22"/>
              </w:rPr>
            </w:pPr>
          </w:p>
          <w:p w14:paraId="7BA19DB6" w14:textId="77777777" w:rsidR="00575A8F" w:rsidRPr="00125100" w:rsidRDefault="00575A8F" w:rsidP="00E6298B">
            <w:pPr>
              <w:ind w:right="107"/>
              <w:jc w:val="both"/>
              <w:rPr>
                <w:sz w:val="22"/>
                <w:szCs w:val="22"/>
              </w:rPr>
            </w:pPr>
          </w:p>
        </w:tc>
        <w:tc>
          <w:tcPr>
            <w:tcW w:w="2835" w:type="dxa"/>
            <w:shd w:val="clear" w:color="auto" w:fill="auto"/>
          </w:tcPr>
          <w:p w14:paraId="6AF07FCE" w14:textId="4AB86613" w:rsidR="00C26446" w:rsidRPr="00125100" w:rsidRDefault="007C4874" w:rsidP="00E6298B">
            <w:pPr>
              <w:ind w:right="107"/>
              <w:jc w:val="both"/>
              <w:rPr>
                <w:sz w:val="22"/>
                <w:szCs w:val="22"/>
              </w:rPr>
            </w:pPr>
            <w:r w:rsidRPr="00125100">
              <w:rPr>
                <w:sz w:val="22"/>
                <w:szCs w:val="22"/>
              </w:rPr>
              <w:lastRenderedPageBreak/>
              <w:t>By going to more calls that require PPN submissions and dealing with casefiles</w:t>
            </w:r>
            <w:r w:rsidR="00E27870" w:rsidRPr="00125100">
              <w:rPr>
                <w:sz w:val="22"/>
                <w:szCs w:val="22"/>
              </w:rPr>
              <w:t xml:space="preserve"> which </w:t>
            </w:r>
            <w:r w:rsidR="00E27870" w:rsidRPr="00125100">
              <w:rPr>
                <w:sz w:val="22"/>
                <w:szCs w:val="22"/>
              </w:rPr>
              <w:lastRenderedPageBreak/>
              <w:t>requires a lot of navigation on Niche.</w:t>
            </w:r>
            <w:r w:rsidRPr="00125100">
              <w:rPr>
                <w:sz w:val="22"/>
                <w:szCs w:val="22"/>
              </w:rPr>
              <w:t xml:space="preserve"> </w:t>
            </w:r>
          </w:p>
          <w:p w14:paraId="416D19DD" w14:textId="77777777" w:rsidR="00C26446" w:rsidRPr="00125100" w:rsidRDefault="00C26446" w:rsidP="00E6298B">
            <w:pPr>
              <w:ind w:right="107"/>
              <w:jc w:val="both"/>
              <w:rPr>
                <w:sz w:val="22"/>
                <w:szCs w:val="22"/>
              </w:rPr>
            </w:pPr>
          </w:p>
          <w:p w14:paraId="022C407D" w14:textId="2763F9A6" w:rsidR="00575A8F" w:rsidRPr="00125100" w:rsidRDefault="007C4874" w:rsidP="00E6298B">
            <w:pPr>
              <w:ind w:right="107"/>
              <w:jc w:val="both"/>
              <w:rPr>
                <w:sz w:val="22"/>
                <w:szCs w:val="22"/>
              </w:rPr>
            </w:pPr>
            <w:r w:rsidRPr="00125100">
              <w:rPr>
                <w:sz w:val="22"/>
                <w:szCs w:val="22"/>
              </w:rPr>
              <w:t>I can also use the Niche Practice area and use the scenarios provided by my tutors in the PDU to practice my skills and becoming more familiar with Niche.</w:t>
            </w:r>
          </w:p>
        </w:tc>
        <w:tc>
          <w:tcPr>
            <w:tcW w:w="2364" w:type="dxa"/>
            <w:shd w:val="clear" w:color="auto" w:fill="auto"/>
          </w:tcPr>
          <w:p w14:paraId="63657E0B" w14:textId="118614D8" w:rsidR="00575A8F" w:rsidRPr="00125100" w:rsidRDefault="007C4874" w:rsidP="00E6298B">
            <w:pPr>
              <w:ind w:right="107"/>
              <w:jc w:val="both"/>
              <w:rPr>
                <w:sz w:val="22"/>
                <w:szCs w:val="22"/>
              </w:rPr>
            </w:pPr>
            <w:r w:rsidRPr="00125100">
              <w:rPr>
                <w:sz w:val="22"/>
                <w:szCs w:val="22"/>
              </w:rPr>
              <w:lastRenderedPageBreak/>
              <w:t>My peers by asking for support or help if needed.</w:t>
            </w:r>
          </w:p>
          <w:p w14:paraId="5FDA68FA" w14:textId="77777777" w:rsidR="00C26446" w:rsidRPr="00125100" w:rsidRDefault="00C26446" w:rsidP="00E6298B">
            <w:pPr>
              <w:ind w:right="107"/>
              <w:jc w:val="both"/>
              <w:rPr>
                <w:sz w:val="22"/>
                <w:szCs w:val="22"/>
              </w:rPr>
            </w:pPr>
          </w:p>
          <w:p w14:paraId="76B2A824" w14:textId="2E7A027C" w:rsidR="007C4874" w:rsidRPr="00125100" w:rsidRDefault="007C4874" w:rsidP="00E6298B">
            <w:pPr>
              <w:ind w:right="107"/>
              <w:jc w:val="both"/>
              <w:rPr>
                <w:sz w:val="22"/>
                <w:szCs w:val="22"/>
              </w:rPr>
            </w:pPr>
            <w:r w:rsidRPr="00125100">
              <w:rPr>
                <w:sz w:val="22"/>
                <w:szCs w:val="22"/>
              </w:rPr>
              <w:lastRenderedPageBreak/>
              <w:t>My PDU tutors who can provide me with advice and constructive feedback to take on board</w:t>
            </w:r>
            <w:r w:rsidR="00C26446" w:rsidRPr="00125100">
              <w:rPr>
                <w:sz w:val="22"/>
                <w:szCs w:val="22"/>
              </w:rPr>
              <w:t xml:space="preserve"> </w:t>
            </w:r>
            <w:r w:rsidR="00E27870" w:rsidRPr="00125100">
              <w:rPr>
                <w:sz w:val="22"/>
                <w:szCs w:val="22"/>
              </w:rPr>
              <w:t>to</w:t>
            </w:r>
            <w:r w:rsidR="00C26446" w:rsidRPr="00125100">
              <w:rPr>
                <w:sz w:val="22"/>
                <w:szCs w:val="22"/>
              </w:rPr>
              <w:t xml:space="preserve"> navigate the system.  </w:t>
            </w:r>
          </w:p>
        </w:tc>
        <w:tc>
          <w:tcPr>
            <w:tcW w:w="2426" w:type="dxa"/>
            <w:shd w:val="clear" w:color="auto" w:fill="auto"/>
          </w:tcPr>
          <w:p w14:paraId="185B2EE5" w14:textId="74C025D3" w:rsidR="28A9B94D" w:rsidRPr="00125100" w:rsidRDefault="007C4874" w:rsidP="28A9B94D">
            <w:pPr>
              <w:jc w:val="both"/>
              <w:rPr>
                <w:sz w:val="22"/>
                <w:szCs w:val="22"/>
              </w:rPr>
            </w:pPr>
            <w:r w:rsidRPr="00125100">
              <w:rPr>
                <w:sz w:val="22"/>
                <w:szCs w:val="22"/>
              </w:rPr>
              <w:lastRenderedPageBreak/>
              <w:t xml:space="preserve">I hope to develop my skills within 12 weeks.  Although, this will continue to develop </w:t>
            </w:r>
            <w:r w:rsidRPr="00125100">
              <w:rPr>
                <w:sz w:val="22"/>
                <w:szCs w:val="22"/>
              </w:rPr>
              <w:lastRenderedPageBreak/>
              <w:t>throughout my probationary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459699B6" w14:textId="130F9CC5" w:rsidR="00B0318F"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6F39FD8" w14:textId="77777777" w:rsidR="008B155C" w:rsidRDefault="008B155C" w:rsidP="00013B87">
      <w:pPr>
        <w:overflowPunct/>
        <w:autoSpaceDE/>
        <w:autoSpaceDN/>
        <w:adjustRightInd/>
        <w:spacing w:after="160" w:line="259" w:lineRule="auto"/>
        <w:textAlignment w:val="auto"/>
        <w:rPr>
          <w:sz w:val="24"/>
          <w:szCs w:val="24"/>
        </w:rPr>
      </w:pPr>
    </w:p>
    <w:p w14:paraId="3718092A" w14:textId="1406DF55" w:rsidR="00B0318F" w:rsidRPr="008B155C" w:rsidRDefault="00B0318F" w:rsidP="00013B87">
      <w:pPr>
        <w:overflowPunct/>
        <w:autoSpaceDE/>
        <w:autoSpaceDN/>
        <w:adjustRightInd/>
        <w:spacing w:after="160" w:line="259" w:lineRule="auto"/>
        <w:textAlignment w:val="auto"/>
        <w:rPr>
          <w:rFonts w:eastAsia="Calibri"/>
          <w:color w:val="0563C1"/>
          <w:sz w:val="22"/>
          <w:szCs w:val="22"/>
          <w:lang w:eastAsia="en-US"/>
        </w:rPr>
      </w:pPr>
      <w:r w:rsidRPr="008B155C">
        <w:rPr>
          <w:rFonts w:eastAsia="Calibri"/>
          <w:color w:val="auto"/>
          <w:sz w:val="22"/>
          <w:szCs w:val="22"/>
          <w:lang w:eastAsia="en-US"/>
        </w:rPr>
        <w:t xml:space="preserve">Andersen.J &amp; Gustafsberg, H. (2016). </w:t>
      </w:r>
      <w:r w:rsidRPr="008B155C">
        <w:rPr>
          <w:rFonts w:eastAsia="Calibri"/>
          <w:i/>
          <w:iCs/>
          <w:color w:val="auto"/>
          <w:sz w:val="22"/>
          <w:szCs w:val="22"/>
          <w:lang w:eastAsia="en-US"/>
        </w:rPr>
        <w:t>A training method to improve police use of force decision making: a randomized controlled trial</w:t>
      </w:r>
      <w:r w:rsidRPr="0022276A">
        <w:rPr>
          <w:rFonts w:eastAsia="Calibri"/>
          <w:i/>
          <w:iCs/>
          <w:color w:val="auto"/>
          <w:sz w:val="22"/>
          <w:szCs w:val="22"/>
          <w:lang w:eastAsia="en-US"/>
        </w:rPr>
        <w:t>.</w:t>
      </w:r>
      <w:r w:rsidRPr="0022276A">
        <w:rPr>
          <w:rFonts w:eastAsia="Calibri"/>
          <w:color w:val="auto"/>
          <w:sz w:val="22"/>
          <w:szCs w:val="22"/>
          <w:lang w:eastAsia="en-US"/>
        </w:rPr>
        <w:t xml:space="preserve">  </w:t>
      </w:r>
      <w:r w:rsidR="0022276A" w:rsidRPr="0022276A">
        <w:rPr>
          <w:rFonts w:eastAsia="Calibri"/>
          <w:color w:val="auto"/>
          <w:sz w:val="22"/>
          <w:szCs w:val="22"/>
          <w:lang w:eastAsia="en-US"/>
        </w:rPr>
        <w:t xml:space="preserve">Available: </w:t>
      </w:r>
      <w:hyperlink r:id="rId20" w:history="1">
        <w:r w:rsidR="0022276A" w:rsidRPr="0022276A">
          <w:rPr>
            <w:i/>
            <w:iCs/>
            <w:color w:val="006ACC"/>
            <w:sz w:val="21"/>
            <w:szCs w:val="21"/>
            <w:u w:val="single"/>
          </w:rPr>
          <w:t>https://doi.org/10.1177/2158244016638708</w:t>
        </w:r>
      </w:hyperlink>
      <w:r w:rsidR="0022276A">
        <w:t xml:space="preserve"> </w:t>
      </w:r>
      <w:r w:rsidRPr="008B155C">
        <w:rPr>
          <w:rFonts w:eastAsia="Calibri"/>
          <w:color w:val="auto"/>
          <w:sz w:val="22"/>
          <w:szCs w:val="22"/>
          <w:lang w:eastAsia="en-US"/>
        </w:rPr>
        <w:t>SAGE open, 6(2), pp.1-13</w:t>
      </w:r>
      <w:r w:rsidRPr="008B155C">
        <w:rPr>
          <w:rFonts w:eastAsia="Calibri"/>
          <w:color w:val="0563C1"/>
          <w:sz w:val="22"/>
          <w:szCs w:val="22"/>
          <w:lang w:eastAsia="en-US"/>
        </w:rPr>
        <w:t>.</w:t>
      </w:r>
      <w:r w:rsidR="0022276A">
        <w:rPr>
          <w:rFonts w:eastAsia="Calibri"/>
          <w:color w:val="0563C1"/>
          <w:sz w:val="22"/>
          <w:szCs w:val="22"/>
          <w:lang w:eastAsia="en-US"/>
        </w:rPr>
        <w:t xml:space="preserve">  </w:t>
      </w:r>
      <w:r w:rsidR="0022276A" w:rsidRPr="0022276A">
        <w:rPr>
          <w:rFonts w:eastAsia="Calibri"/>
          <w:color w:val="auto"/>
          <w:sz w:val="22"/>
          <w:szCs w:val="22"/>
          <w:lang w:eastAsia="en-US"/>
        </w:rPr>
        <w:t>Published: 7</w:t>
      </w:r>
      <w:r w:rsidR="0022276A" w:rsidRPr="0022276A">
        <w:rPr>
          <w:rFonts w:eastAsia="Calibri"/>
          <w:color w:val="auto"/>
          <w:sz w:val="22"/>
          <w:szCs w:val="22"/>
          <w:vertAlign w:val="superscript"/>
          <w:lang w:eastAsia="en-US"/>
        </w:rPr>
        <w:t>th</w:t>
      </w:r>
      <w:r w:rsidR="0022276A" w:rsidRPr="0022276A">
        <w:rPr>
          <w:rFonts w:eastAsia="Calibri"/>
          <w:color w:val="auto"/>
          <w:sz w:val="22"/>
          <w:szCs w:val="22"/>
          <w:lang w:eastAsia="en-US"/>
        </w:rPr>
        <w:t xml:space="preserve"> April 2016. (Accessed 9</w:t>
      </w:r>
      <w:r w:rsidR="0022276A" w:rsidRPr="0022276A">
        <w:rPr>
          <w:rFonts w:eastAsia="Calibri"/>
          <w:color w:val="auto"/>
          <w:sz w:val="22"/>
          <w:szCs w:val="22"/>
          <w:vertAlign w:val="superscript"/>
          <w:lang w:eastAsia="en-US"/>
        </w:rPr>
        <w:t>th</w:t>
      </w:r>
      <w:r w:rsidR="0022276A" w:rsidRPr="0022276A">
        <w:rPr>
          <w:rFonts w:eastAsia="Calibri"/>
          <w:color w:val="auto"/>
          <w:sz w:val="22"/>
          <w:szCs w:val="22"/>
          <w:lang w:eastAsia="en-US"/>
        </w:rPr>
        <w:t xml:space="preserve"> March 2021).</w:t>
      </w:r>
    </w:p>
    <w:p w14:paraId="3024623B"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Association of Chief Police Officers, (2011) </w:t>
      </w:r>
      <w:r w:rsidRPr="008B155C">
        <w:rPr>
          <w:rFonts w:eastAsia="Calibri"/>
          <w:i/>
          <w:iCs/>
          <w:color w:val="auto"/>
          <w:sz w:val="22"/>
          <w:szCs w:val="22"/>
          <w:lang w:eastAsia="en-US"/>
        </w:rPr>
        <w:t>The National Decision Model</w:t>
      </w:r>
      <w:r w:rsidRPr="008B155C">
        <w:rPr>
          <w:rFonts w:eastAsia="Calibri"/>
          <w:color w:val="auto"/>
          <w:sz w:val="22"/>
          <w:szCs w:val="22"/>
          <w:lang w:eastAsia="en-US"/>
        </w:rPr>
        <w:t xml:space="preserve">.  Available at: </w:t>
      </w:r>
      <w:hyperlink r:id="rId21" w:history="1">
        <w:r w:rsidRPr="008B155C">
          <w:rPr>
            <w:rFonts w:eastAsia="Calibri"/>
            <w:i/>
            <w:iCs/>
            <w:color w:val="0563C1"/>
            <w:sz w:val="22"/>
            <w:szCs w:val="22"/>
            <w:u w:val="single"/>
            <w:lang w:eastAsia="en-US"/>
          </w:rPr>
          <w:t>https://www.whatdotheyknow.com/request/120825/response/309956/attach/3/National%20Decision%20Making%20Model.pdf?cookie_passthrough=1</w:t>
        </w:r>
      </w:hyperlink>
      <w:r w:rsidRPr="008B155C">
        <w:rPr>
          <w:rFonts w:eastAsia="Calibri"/>
          <w:color w:val="auto"/>
          <w:sz w:val="22"/>
          <w:szCs w:val="22"/>
          <w:lang w:eastAsia="en-US"/>
        </w:rPr>
        <w:t xml:space="preserve"> Published: July 2011.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7ED94054" w14:textId="651B798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Bloomsbury Business Library (2005) - </w:t>
      </w:r>
      <w:r w:rsidRPr="008B155C">
        <w:rPr>
          <w:rFonts w:eastAsia="Calibri"/>
          <w:i/>
          <w:iCs/>
          <w:color w:val="auto"/>
          <w:sz w:val="22"/>
          <w:szCs w:val="22"/>
          <w:lang w:eastAsia="en-US"/>
        </w:rPr>
        <w:t xml:space="preserve">Balance Your Life &amp; Work – how to get the best of your job and have a life. </w:t>
      </w:r>
      <w:r w:rsidRPr="008B155C">
        <w:rPr>
          <w:rFonts w:eastAsia="Calibri"/>
          <w:color w:val="auto"/>
          <w:sz w:val="22"/>
          <w:szCs w:val="22"/>
          <w:lang w:eastAsia="en-US"/>
        </w:rPr>
        <w:t>Available at</w:t>
      </w:r>
      <w:r w:rsidRPr="008B155C">
        <w:rPr>
          <w:rFonts w:eastAsia="Calibri"/>
          <w:i/>
          <w:iCs/>
          <w:color w:val="auto"/>
          <w:sz w:val="22"/>
          <w:szCs w:val="22"/>
          <w:lang w:eastAsia="en-US"/>
        </w:rPr>
        <w:t xml:space="preserve">: </w:t>
      </w:r>
      <w:hyperlink r:id="rId22" w:anchor="jid=394V&amp;db=bth" w:history="1">
        <w:r w:rsidRPr="008B155C">
          <w:rPr>
            <w:rFonts w:eastAsia="Calibri"/>
            <w:i/>
            <w:iCs/>
            <w:color w:val="0563C1"/>
            <w:sz w:val="22"/>
            <w:szCs w:val="22"/>
            <w:u w:val="single"/>
            <w:lang w:eastAsia="en-US"/>
          </w:rPr>
          <w:t>https://web-a-ebscohost-com.ezproxy.uwtsd.ac.uk/ehost/command/detail?vid=0&amp;sid=66f3a841-e8ef-4116-86f6-fb934d1280d4%40sessionmgr4006&amp;bdata=JnNpdGU9ZWhvc3QtbGl2ZQ%3d%3d#jid=394V&amp;db=bth</w:t>
        </w:r>
      </w:hyperlink>
      <w:r w:rsidRPr="008B155C">
        <w:rPr>
          <w:rFonts w:eastAsia="Calibri"/>
          <w:color w:val="auto"/>
          <w:sz w:val="22"/>
          <w:szCs w:val="22"/>
          <w:lang w:eastAsia="en-US"/>
        </w:rPr>
        <w:t xml:space="preserve"> Published location: London.  Publisher: A&amp;C Black Publishers LTD.  Published: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January 2005. Chapter 7: surviving stress. Page 1-11.  Publisher URL:</w:t>
      </w:r>
      <w:r w:rsidRPr="008B155C">
        <w:rPr>
          <w:rFonts w:eastAsia="Calibri"/>
          <w:i/>
          <w:iCs/>
          <w:color w:val="auto"/>
          <w:sz w:val="22"/>
          <w:szCs w:val="22"/>
          <w:lang w:eastAsia="en-US"/>
        </w:rPr>
        <w:t xml:space="preserve"> </w:t>
      </w:r>
      <w:hyperlink r:id="rId23" w:history="1">
        <w:r w:rsidRPr="008B155C">
          <w:rPr>
            <w:rFonts w:eastAsia="Calibri"/>
            <w:i/>
            <w:iCs/>
            <w:color w:val="0563C1"/>
            <w:sz w:val="22"/>
            <w:szCs w:val="22"/>
            <w:u w:val="single"/>
            <w:lang w:eastAsia="en-US"/>
          </w:rPr>
          <w:t>http://www.bloomsbury.com/</w:t>
        </w:r>
      </w:hyperlink>
      <w:r w:rsidRPr="008B155C">
        <w:rPr>
          <w:rFonts w:eastAsia="Calibri"/>
          <w:color w:val="auto"/>
          <w:sz w:val="22"/>
          <w:szCs w:val="22"/>
          <w:lang w:eastAsia="en-US"/>
        </w:rPr>
        <w:t xml:space="preserve"> (Accessed at: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January 2021).</w:t>
      </w:r>
    </w:p>
    <w:p w14:paraId="6F85E0FB" w14:textId="7D244CDE"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Bloomsbury Business Library (2005)</w:t>
      </w:r>
      <w:r w:rsidRPr="008B155C">
        <w:rPr>
          <w:rFonts w:eastAsia="Calibri"/>
          <w:i/>
          <w:iCs/>
          <w:color w:val="auto"/>
          <w:sz w:val="22"/>
          <w:szCs w:val="22"/>
          <w:lang w:eastAsia="en-US"/>
        </w:rPr>
        <w:t xml:space="preserve"> - Balance Your Life &amp; Work -how to get the best of your job and have a life.</w:t>
      </w:r>
      <w:r w:rsidRPr="008B155C">
        <w:rPr>
          <w:rFonts w:eastAsia="Calibri"/>
          <w:color w:val="auto"/>
          <w:sz w:val="22"/>
          <w:szCs w:val="22"/>
          <w:lang w:eastAsia="en-US"/>
        </w:rPr>
        <w:t xml:space="preserve"> </w:t>
      </w:r>
      <w:bookmarkStart w:id="4" w:name="_Hlk66012931"/>
      <w:r w:rsidRPr="008B155C">
        <w:rPr>
          <w:rFonts w:eastAsia="Calibri"/>
          <w:color w:val="auto"/>
          <w:sz w:val="22"/>
          <w:szCs w:val="22"/>
          <w:lang w:eastAsia="en-US"/>
        </w:rPr>
        <w:t>Available at</w:t>
      </w:r>
      <w:r w:rsidRPr="008B155C">
        <w:rPr>
          <w:rFonts w:eastAsia="Calibri"/>
          <w:i/>
          <w:iCs/>
          <w:color w:val="auto"/>
          <w:sz w:val="22"/>
          <w:szCs w:val="22"/>
          <w:lang w:eastAsia="en-US"/>
        </w:rPr>
        <w:t xml:space="preserve">: </w:t>
      </w:r>
      <w:hyperlink r:id="rId24" w:anchor="jid=394V&amp;db=bth" w:history="1">
        <w:r w:rsidRPr="008B155C">
          <w:rPr>
            <w:rFonts w:eastAsia="Calibri"/>
            <w:i/>
            <w:iCs/>
            <w:color w:val="0563C1"/>
            <w:sz w:val="22"/>
            <w:szCs w:val="22"/>
            <w:u w:val="single"/>
            <w:lang w:eastAsia="en-US"/>
          </w:rPr>
          <w:t>https://web-a-ebscohost-com.ezproxy.uwtsd.ac.uk/ehost/command/detail?vid=0&amp;sid=66f3a841-e8ef-4116-86f6-fb934d1280d4%40sessionmgr4006&amp;bdata=JnNpdGU9ZWhvc3QtbGl2ZQ%3d%3d#jid=394V&amp;db=bth</w:t>
        </w:r>
      </w:hyperlink>
      <w:r w:rsidRPr="008B155C">
        <w:rPr>
          <w:rFonts w:eastAsia="Calibri"/>
          <w:color w:val="auto"/>
          <w:sz w:val="22"/>
          <w:szCs w:val="22"/>
          <w:lang w:eastAsia="en-US"/>
        </w:rPr>
        <w:t xml:space="preserve"> Published location: London.  Publisher: A&amp;C Black Publishers LTD.  Published: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January 2005. Chapter 7: surviving stress.  Page74-85.  Publisher URL: </w:t>
      </w:r>
      <w:hyperlink r:id="rId25" w:history="1">
        <w:r w:rsidRPr="008B155C">
          <w:rPr>
            <w:rFonts w:eastAsia="Calibri"/>
            <w:i/>
            <w:iCs/>
            <w:color w:val="0563C1"/>
            <w:sz w:val="22"/>
            <w:szCs w:val="22"/>
            <w:u w:val="single"/>
            <w:lang w:eastAsia="en-US"/>
          </w:rPr>
          <w:t>http://www.bloomsbury.com/</w:t>
        </w:r>
      </w:hyperlink>
      <w:r w:rsidRPr="008B155C">
        <w:rPr>
          <w:rFonts w:eastAsia="Calibri"/>
          <w:color w:val="auto"/>
          <w:sz w:val="22"/>
          <w:szCs w:val="22"/>
          <w:lang w:eastAsia="en-US"/>
        </w:rPr>
        <w:t xml:space="preserve"> (Accessed at: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January 2021).</w:t>
      </w:r>
    </w:p>
    <w:bookmarkEnd w:id="4"/>
    <w:p w14:paraId="0466A671" w14:textId="4463150B" w:rsidR="00B0318F"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Bryant, R. et al (2019). </w:t>
      </w:r>
      <w:r w:rsidRPr="008B155C">
        <w:rPr>
          <w:rFonts w:eastAsia="Calibri"/>
          <w:i/>
          <w:iCs/>
          <w:color w:val="auto"/>
          <w:sz w:val="22"/>
          <w:szCs w:val="22"/>
          <w:lang w:eastAsia="en-US"/>
        </w:rPr>
        <w:t>Blackstone’s handbook of policing 2020</w:t>
      </w:r>
      <w:r w:rsidRPr="008B155C">
        <w:rPr>
          <w:rFonts w:eastAsia="Calibri"/>
          <w:color w:val="auto"/>
          <w:sz w:val="22"/>
          <w:szCs w:val="22"/>
          <w:lang w:eastAsia="en-US"/>
        </w:rPr>
        <w:t>. Publisher: Oxford University Press. Published location: Oxford. Published: 14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edition 2019. Page 307-308.</w:t>
      </w:r>
    </w:p>
    <w:p w14:paraId="282B1B5E" w14:textId="29631AB1" w:rsidR="00D2573B" w:rsidRPr="008B155C" w:rsidRDefault="00D2573B" w:rsidP="0012033E">
      <w:pPr>
        <w:overflowPunct/>
        <w:autoSpaceDE/>
        <w:autoSpaceDN/>
        <w:adjustRightInd/>
        <w:spacing w:after="160" w:line="259" w:lineRule="auto"/>
        <w:textAlignment w:val="auto"/>
        <w:rPr>
          <w:rFonts w:eastAsia="Calibri"/>
          <w:color w:val="auto"/>
          <w:sz w:val="22"/>
          <w:szCs w:val="22"/>
          <w:lang w:eastAsia="en-US"/>
        </w:rPr>
      </w:pPr>
      <w:r w:rsidRPr="00D2573B">
        <w:rPr>
          <w:rFonts w:eastAsia="Calibri"/>
          <w:color w:val="auto"/>
          <w:sz w:val="22"/>
          <w:szCs w:val="22"/>
          <w:lang w:eastAsia="en-US"/>
        </w:rPr>
        <w:t xml:space="preserve">Burton, M, Evans, R, Sanders, A (2006) </w:t>
      </w:r>
      <w:r w:rsidRPr="00C75C51">
        <w:rPr>
          <w:rFonts w:eastAsia="Calibri"/>
          <w:i/>
          <w:iCs/>
          <w:color w:val="auto"/>
          <w:sz w:val="22"/>
          <w:szCs w:val="22"/>
          <w:lang w:eastAsia="en-US"/>
        </w:rPr>
        <w:t xml:space="preserve">Are special measures for vulnerable and intimidated complainants working? Evidence from the Criminal Justice Agencies.  </w:t>
      </w:r>
      <w:r>
        <w:rPr>
          <w:rFonts w:eastAsia="Calibri"/>
          <w:color w:val="auto"/>
          <w:sz w:val="22"/>
          <w:szCs w:val="22"/>
          <w:lang w:eastAsia="en-US"/>
        </w:rPr>
        <w:t>Available:</w:t>
      </w:r>
      <w:r w:rsidRPr="00D2573B">
        <w:t xml:space="preserve"> </w:t>
      </w:r>
      <w:hyperlink r:id="rId26" w:history="1">
        <w:r w:rsidRPr="00C75C51">
          <w:rPr>
            <w:rStyle w:val="Hyperlink"/>
            <w:rFonts w:eastAsia="Calibri"/>
            <w:i/>
            <w:iCs/>
            <w:sz w:val="22"/>
            <w:szCs w:val="22"/>
            <w:lang w:eastAsia="en-US"/>
          </w:rPr>
          <w:t>https://journals-sagepub-com.ezproxy.uwtsd.ac.uk/doi/full/10.1177/1748895819840396</w:t>
        </w:r>
      </w:hyperlink>
      <w:r w:rsidRPr="00C75C51">
        <w:rPr>
          <w:rFonts w:eastAsia="Calibri"/>
          <w:i/>
          <w:iCs/>
          <w:color w:val="auto"/>
          <w:sz w:val="22"/>
          <w:szCs w:val="22"/>
          <w:lang w:eastAsia="en-US"/>
        </w:rPr>
        <w:t xml:space="preserve"> </w:t>
      </w:r>
      <w:r>
        <w:rPr>
          <w:rFonts w:eastAsia="Calibri"/>
          <w:color w:val="auto"/>
          <w:sz w:val="22"/>
          <w:szCs w:val="22"/>
          <w:lang w:eastAsia="en-US"/>
        </w:rPr>
        <w:t xml:space="preserve">Publisher </w:t>
      </w:r>
      <w:r w:rsidRPr="00D2573B">
        <w:rPr>
          <w:rFonts w:eastAsia="Calibri"/>
          <w:color w:val="auto"/>
          <w:sz w:val="22"/>
          <w:szCs w:val="22"/>
          <w:lang w:eastAsia="en-US"/>
        </w:rPr>
        <w:t>London: Home Office.</w:t>
      </w:r>
      <w:r>
        <w:rPr>
          <w:rFonts w:eastAsia="Calibri"/>
          <w:color w:val="auto"/>
          <w:sz w:val="22"/>
          <w:szCs w:val="22"/>
          <w:lang w:eastAsia="en-US"/>
        </w:rPr>
        <w:t xml:space="preserve"> Published: January 2006</w:t>
      </w:r>
      <w:r w:rsidR="00C75C51">
        <w:rPr>
          <w:rFonts w:eastAsia="Calibri"/>
          <w:color w:val="auto"/>
          <w:sz w:val="22"/>
          <w:szCs w:val="22"/>
          <w:lang w:eastAsia="en-US"/>
        </w:rPr>
        <w:t>. (Accessed 9</w:t>
      </w:r>
      <w:r w:rsidR="00C75C51" w:rsidRPr="00C75C51">
        <w:rPr>
          <w:rFonts w:eastAsia="Calibri"/>
          <w:color w:val="auto"/>
          <w:sz w:val="22"/>
          <w:szCs w:val="22"/>
          <w:vertAlign w:val="superscript"/>
          <w:lang w:eastAsia="en-US"/>
        </w:rPr>
        <w:t>th</w:t>
      </w:r>
      <w:r w:rsidR="00C75C51">
        <w:rPr>
          <w:rFonts w:eastAsia="Calibri"/>
          <w:color w:val="auto"/>
          <w:sz w:val="22"/>
          <w:szCs w:val="22"/>
          <w:lang w:eastAsia="en-US"/>
        </w:rPr>
        <w:t xml:space="preserve"> March 2021).</w:t>
      </w:r>
    </w:p>
    <w:p w14:paraId="710BF8EA" w14:textId="646B84C5" w:rsidR="00B0318F" w:rsidRPr="0022276A" w:rsidRDefault="00B0318F" w:rsidP="00013B87">
      <w:pPr>
        <w:overflowPunct/>
        <w:autoSpaceDE/>
        <w:autoSpaceDN/>
        <w:adjustRightInd/>
        <w:spacing w:after="160" w:line="259" w:lineRule="auto"/>
        <w:textAlignment w:val="auto"/>
        <w:rPr>
          <w:rFonts w:eastAsia="Calibri"/>
          <w:color w:val="0563C1"/>
          <w:sz w:val="22"/>
          <w:szCs w:val="22"/>
          <w:lang w:eastAsia="en-US"/>
        </w:rPr>
      </w:pPr>
      <w:r w:rsidRPr="008B155C">
        <w:rPr>
          <w:rFonts w:eastAsia="Calibri"/>
          <w:color w:val="auto"/>
          <w:sz w:val="22"/>
          <w:szCs w:val="22"/>
          <w:lang w:eastAsia="en-US"/>
        </w:rPr>
        <w:t>C M Steele et al (1985</w:t>
      </w:r>
      <w:r w:rsidRPr="008B155C">
        <w:rPr>
          <w:rFonts w:eastAsia="Calibri"/>
          <w:i/>
          <w:iCs/>
          <w:color w:val="auto"/>
          <w:sz w:val="22"/>
          <w:szCs w:val="22"/>
          <w:lang w:eastAsia="en-US"/>
        </w:rPr>
        <w:t>)</w:t>
      </w:r>
      <w:r w:rsidRPr="008B155C">
        <w:rPr>
          <w:rFonts w:eastAsia="Calibri"/>
          <w:i/>
          <w:iCs/>
          <w:color w:val="0563C1"/>
          <w:sz w:val="22"/>
          <w:szCs w:val="22"/>
          <w:lang w:eastAsia="en-US"/>
        </w:rPr>
        <w:t>.</w:t>
      </w:r>
      <w:r w:rsidRPr="008B155C">
        <w:rPr>
          <w:rFonts w:eastAsia="Calibri"/>
          <w:i/>
          <w:iCs/>
          <w:color w:val="auto"/>
          <w:sz w:val="22"/>
          <w:szCs w:val="22"/>
          <w:lang w:eastAsia="en-US"/>
        </w:rPr>
        <w:t xml:space="preserve"> Alcohol and social behaviour I: The psychology of drunken excess</w:t>
      </w:r>
      <w:r w:rsidR="0022276A">
        <w:rPr>
          <w:rFonts w:eastAsia="Calibri"/>
          <w:color w:val="auto"/>
          <w:sz w:val="22"/>
          <w:szCs w:val="22"/>
          <w:lang w:eastAsia="en-US"/>
        </w:rPr>
        <w:t xml:space="preserve">. Available: </w:t>
      </w:r>
      <w:hyperlink r:id="rId27" w:history="1">
        <w:r w:rsidR="0022276A" w:rsidRPr="0022276A">
          <w:rPr>
            <w:rStyle w:val="Hyperlink"/>
            <w:rFonts w:eastAsia="Calibri"/>
            <w:i/>
            <w:iCs/>
            <w:sz w:val="22"/>
            <w:szCs w:val="22"/>
            <w:lang w:eastAsia="en-US"/>
          </w:rPr>
          <w:t>http://dx.doi.org.ezproxy.uwtsd.ac.uk/10.1037/0022-3514.48.1.18</w:t>
        </w:r>
      </w:hyperlink>
      <w:r w:rsidR="0022276A" w:rsidRPr="0022276A">
        <w:rPr>
          <w:rFonts w:eastAsia="Calibri"/>
          <w:i/>
          <w:iCs/>
          <w:color w:val="auto"/>
          <w:sz w:val="22"/>
          <w:szCs w:val="22"/>
          <w:lang w:eastAsia="en-US"/>
        </w:rPr>
        <w:t xml:space="preserve"> </w:t>
      </w:r>
      <w:r w:rsidR="0022276A" w:rsidRPr="0022276A">
        <w:rPr>
          <w:rFonts w:eastAsia="Calibri"/>
          <w:color w:val="auto"/>
          <w:sz w:val="22"/>
          <w:szCs w:val="22"/>
          <w:lang w:eastAsia="en-US"/>
        </w:rPr>
        <w:t>Published:</w:t>
      </w:r>
      <w:r w:rsidR="0022276A">
        <w:rPr>
          <w:rFonts w:eastAsia="Calibri"/>
          <w:color w:val="auto"/>
          <w:sz w:val="22"/>
          <w:szCs w:val="22"/>
          <w:lang w:eastAsia="en-US"/>
        </w:rPr>
        <w:t xml:space="preserve"> 9</w:t>
      </w:r>
      <w:r w:rsidR="0022276A" w:rsidRPr="0022276A">
        <w:rPr>
          <w:rFonts w:eastAsia="Calibri"/>
          <w:color w:val="auto"/>
          <w:sz w:val="22"/>
          <w:szCs w:val="22"/>
          <w:vertAlign w:val="superscript"/>
          <w:lang w:eastAsia="en-US"/>
        </w:rPr>
        <w:t>th</w:t>
      </w:r>
      <w:r w:rsidR="0022276A">
        <w:rPr>
          <w:rFonts w:eastAsia="Calibri"/>
          <w:color w:val="auto"/>
          <w:sz w:val="22"/>
          <w:szCs w:val="22"/>
          <w:lang w:eastAsia="en-US"/>
        </w:rPr>
        <w:t xml:space="preserve"> January 1984 (Accessed 9</w:t>
      </w:r>
      <w:r w:rsidR="0022276A" w:rsidRPr="0022276A">
        <w:rPr>
          <w:rFonts w:eastAsia="Calibri"/>
          <w:color w:val="auto"/>
          <w:sz w:val="22"/>
          <w:szCs w:val="22"/>
          <w:vertAlign w:val="superscript"/>
          <w:lang w:eastAsia="en-US"/>
        </w:rPr>
        <w:t>th</w:t>
      </w:r>
      <w:r w:rsidR="0022276A">
        <w:rPr>
          <w:rFonts w:eastAsia="Calibri"/>
          <w:color w:val="auto"/>
          <w:sz w:val="22"/>
          <w:szCs w:val="22"/>
          <w:lang w:eastAsia="en-US"/>
        </w:rPr>
        <w:t xml:space="preserve"> March 2021). </w:t>
      </w:r>
    </w:p>
    <w:p w14:paraId="73592E3A"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Casciani, D. (2002) </w:t>
      </w:r>
      <w:r w:rsidRPr="008B155C">
        <w:rPr>
          <w:rFonts w:eastAsia="Calibri"/>
          <w:i/>
          <w:iCs/>
          <w:color w:val="auto"/>
          <w:sz w:val="22"/>
          <w:szCs w:val="22"/>
          <w:lang w:eastAsia="en-US"/>
        </w:rPr>
        <w:t>Troubled history of stop and search.</w:t>
      </w:r>
      <w:r w:rsidRPr="008B155C">
        <w:rPr>
          <w:rFonts w:eastAsia="Calibri"/>
          <w:color w:val="auto"/>
          <w:sz w:val="22"/>
          <w:szCs w:val="22"/>
          <w:lang w:eastAsia="en-US"/>
        </w:rPr>
        <w:t xml:space="preserve">  Available: </w:t>
      </w:r>
      <w:hyperlink r:id="rId28" w:history="1">
        <w:r w:rsidRPr="008B155C">
          <w:rPr>
            <w:rFonts w:eastAsia="Calibri"/>
            <w:i/>
            <w:iCs/>
            <w:color w:val="0563C1"/>
            <w:sz w:val="22"/>
            <w:szCs w:val="22"/>
            <w:u w:val="single"/>
            <w:lang w:eastAsia="en-US"/>
          </w:rPr>
          <w:t>http://news.bbc.co.uk/1/hi/uk/2246331.stm</w:t>
        </w:r>
      </w:hyperlink>
      <w:r w:rsidRPr="008B155C">
        <w:rPr>
          <w:rFonts w:eastAsia="Calibri"/>
          <w:color w:val="auto"/>
          <w:sz w:val="22"/>
          <w:szCs w:val="22"/>
          <w:lang w:eastAsia="en-US"/>
        </w:rPr>
        <w:t xml:space="preserve"> (Accessed 1st March 2021).</w:t>
      </w:r>
    </w:p>
    <w:p w14:paraId="3F4F65C6"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Central Police Training and Development Authority (2004) </w:t>
      </w:r>
      <w:r w:rsidRPr="008B155C">
        <w:rPr>
          <w:rFonts w:eastAsia="Calibri"/>
          <w:i/>
          <w:iCs/>
          <w:color w:val="auto"/>
          <w:sz w:val="22"/>
          <w:szCs w:val="22"/>
          <w:lang w:eastAsia="en-US"/>
        </w:rPr>
        <w:t>Conflict Management Model.</w:t>
      </w:r>
      <w:r w:rsidRPr="008B155C">
        <w:rPr>
          <w:rFonts w:eastAsia="Calibri"/>
          <w:color w:val="auto"/>
          <w:sz w:val="22"/>
          <w:szCs w:val="22"/>
          <w:lang w:eastAsia="en-US"/>
        </w:rPr>
        <w:t xml:space="preserve"> Available at: </w:t>
      </w:r>
      <w:hyperlink r:id="rId29" w:history="1">
        <w:r w:rsidRPr="008B155C">
          <w:rPr>
            <w:rStyle w:val="Hyperlink"/>
            <w:rFonts w:eastAsia="Calibri"/>
            <w:i/>
            <w:iCs/>
            <w:sz w:val="22"/>
            <w:szCs w:val="22"/>
            <w:lang w:eastAsia="en-US"/>
          </w:rPr>
          <w:t>https://www.whatdotheyknow.com/request/360444/response/894960/attach/9/Conflict%20Management.pdf?cookie_passthrough=1</w:t>
        </w:r>
      </w:hyperlink>
      <w:r w:rsidRPr="008B155C">
        <w:rPr>
          <w:rFonts w:eastAsia="Calibri"/>
          <w:color w:val="auto"/>
          <w:sz w:val="22"/>
          <w:szCs w:val="22"/>
          <w:lang w:eastAsia="en-US"/>
        </w:rPr>
        <w:t xml:space="preserve">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64003CC3"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College of Policing (2013) </w:t>
      </w:r>
      <w:r w:rsidRPr="008B155C">
        <w:rPr>
          <w:rFonts w:eastAsia="Calibri"/>
          <w:i/>
          <w:iCs/>
          <w:color w:val="auto"/>
          <w:sz w:val="22"/>
          <w:szCs w:val="22"/>
          <w:lang w:eastAsia="en-US"/>
        </w:rPr>
        <w:t>Detention and Custody: Response, arrest and detention.</w:t>
      </w:r>
      <w:r w:rsidRPr="008B155C">
        <w:rPr>
          <w:rFonts w:eastAsia="Calibri"/>
          <w:color w:val="auto"/>
          <w:sz w:val="22"/>
          <w:szCs w:val="22"/>
          <w:lang w:eastAsia="en-US"/>
        </w:rPr>
        <w:t xml:space="preserve"> Available at: </w:t>
      </w:r>
      <w:hyperlink r:id="rId30" w:history="1">
        <w:r w:rsidRPr="008B155C">
          <w:rPr>
            <w:rStyle w:val="Hyperlink"/>
            <w:rFonts w:eastAsia="Calibri"/>
            <w:i/>
            <w:iCs/>
            <w:sz w:val="22"/>
            <w:szCs w:val="22"/>
            <w:lang w:eastAsia="en-US"/>
          </w:rPr>
          <w:t>https://www.app.college.police.uk/app-content/detention-and-custody-2/response-arrest-and-detention/?highlight=s117%20of%20pace?s=s117+of+pace</w:t>
        </w:r>
      </w:hyperlink>
      <w:r w:rsidRPr="008B155C">
        <w:rPr>
          <w:rFonts w:eastAsia="Calibri"/>
          <w:color w:val="auto"/>
          <w:sz w:val="22"/>
          <w:szCs w:val="22"/>
          <w:lang w:eastAsia="en-US"/>
        </w:rPr>
        <w:t xml:space="preserve"> Published: 23</w:t>
      </w:r>
      <w:r w:rsidRPr="008B155C">
        <w:rPr>
          <w:rFonts w:eastAsia="Calibri"/>
          <w:color w:val="auto"/>
          <w:sz w:val="22"/>
          <w:szCs w:val="22"/>
          <w:vertAlign w:val="superscript"/>
          <w:lang w:eastAsia="en-US"/>
        </w:rPr>
        <w:t>rd</w:t>
      </w:r>
      <w:r w:rsidRPr="008B155C">
        <w:rPr>
          <w:rFonts w:eastAsia="Calibri"/>
          <w:color w:val="auto"/>
          <w:sz w:val="22"/>
          <w:szCs w:val="22"/>
          <w:lang w:eastAsia="en-US"/>
        </w:rPr>
        <w:t xml:space="preserve"> October 2013. Last modified: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July 2020.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7827EAE4"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lastRenderedPageBreak/>
        <w:t xml:space="preserve">College of Policing (2013) </w:t>
      </w:r>
      <w:r w:rsidRPr="008B155C">
        <w:rPr>
          <w:rFonts w:eastAsia="Calibri"/>
          <w:i/>
          <w:iCs/>
          <w:color w:val="auto"/>
          <w:sz w:val="22"/>
          <w:szCs w:val="22"/>
          <w:lang w:eastAsia="en-US"/>
        </w:rPr>
        <w:t>National Decision Model.</w:t>
      </w:r>
      <w:r w:rsidRPr="008B155C">
        <w:rPr>
          <w:rFonts w:eastAsia="Calibri"/>
          <w:color w:val="auto"/>
          <w:sz w:val="22"/>
          <w:szCs w:val="22"/>
          <w:lang w:eastAsia="en-US"/>
        </w:rPr>
        <w:t xml:space="preserve">  Available at: </w:t>
      </w:r>
      <w:hyperlink r:id="rId31" w:history="1">
        <w:r w:rsidRPr="008B155C">
          <w:rPr>
            <w:rFonts w:eastAsia="Calibri"/>
            <w:i/>
            <w:iCs/>
            <w:color w:val="0563C1"/>
            <w:sz w:val="22"/>
            <w:szCs w:val="22"/>
            <w:u w:val="single"/>
            <w:lang w:eastAsia="en-US"/>
          </w:rPr>
          <w:t>https://www.app.college.police.uk/app-content/national-decision-model/the-national-decision-model/?highlight=conflict%20management?s=conflict+management</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23</w:t>
      </w:r>
      <w:r w:rsidRPr="008B155C">
        <w:rPr>
          <w:rFonts w:eastAsia="Calibri"/>
          <w:color w:val="auto"/>
          <w:sz w:val="22"/>
          <w:szCs w:val="22"/>
          <w:vertAlign w:val="superscript"/>
          <w:lang w:eastAsia="en-US"/>
        </w:rPr>
        <w:t>rd</w:t>
      </w:r>
      <w:r w:rsidRPr="008B155C">
        <w:rPr>
          <w:rFonts w:eastAsia="Calibri"/>
          <w:color w:val="auto"/>
          <w:sz w:val="22"/>
          <w:szCs w:val="22"/>
          <w:lang w:eastAsia="en-US"/>
        </w:rPr>
        <w:t xml:space="preserve"> October 2013. (Accessed 8</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2E6B15CE"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College of Policing (2013).</w:t>
      </w:r>
      <w:r w:rsidRPr="00F7607C">
        <w:rPr>
          <w:rFonts w:eastAsia="Calibri"/>
          <w:i/>
          <w:iCs/>
          <w:color w:val="auto"/>
          <w:sz w:val="22"/>
          <w:szCs w:val="22"/>
          <w:lang w:eastAsia="en-US"/>
        </w:rPr>
        <w:t xml:space="preserve"> Investigation</w:t>
      </w:r>
      <w:r w:rsidRPr="008B155C">
        <w:rPr>
          <w:rFonts w:eastAsia="Calibri"/>
          <w:color w:val="auto"/>
          <w:sz w:val="22"/>
          <w:szCs w:val="22"/>
          <w:lang w:eastAsia="en-US"/>
        </w:rPr>
        <w:t xml:space="preserve">.  Available: </w:t>
      </w:r>
      <w:hyperlink r:id="rId32" w:history="1">
        <w:r w:rsidRPr="00F7607C">
          <w:rPr>
            <w:rFonts w:eastAsia="Calibri"/>
            <w:i/>
            <w:iCs/>
            <w:color w:val="0563C1"/>
            <w:sz w:val="22"/>
            <w:szCs w:val="22"/>
            <w:u w:val="single"/>
            <w:lang w:eastAsia="en-US"/>
          </w:rPr>
          <w:t>https://www.app.college.police.uk/app-content/investigations/introduction/</w:t>
        </w:r>
      </w:hyperlink>
      <w:r w:rsidRPr="008B155C">
        <w:rPr>
          <w:rFonts w:eastAsia="Calibri"/>
          <w:color w:val="auto"/>
          <w:sz w:val="22"/>
          <w:szCs w:val="22"/>
          <w:lang w:eastAsia="en-US"/>
        </w:rPr>
        <w:t xml:space="preserve"> Published: 23</w:t>
      </w:r>
      <w:r w:rsidRPr="008B155C">
        <w:rPr>
          <w:rFonts w:eastAsia="Calibri"/>
          <w:color w:val="auto"/>
          <w:sz w:val="22"/>
          <w:szCs w:val="22"/>
          <w:vertAlign w:val="superscript"/>
          <w:lang w:eastAsia="en-US"/>
        </w:rPr>
        <w:t>rd</w:t>
      </w:r>
      <w:r w:rsidRPr="008B155C">
        <w:rPr>
          <w:rFonts w:eastAsia="Calibri"/>
          <w:color w:val="auto"/>
          <w:sz w:val="22"/>
          <w:szCs w:val="22"/>
          <w:lang w:eastAsia="en-US"/>
        </w:rPr>
        <w:t xml:space="preserve"> October 2013. (Accessed 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5D3045BE"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College of Policing (2015) </w:t>
      </w:r>
      <w:r w:rsidRPr="008B155C">
        <w:rPr>
          <w:rFonts w:eastAsia="Calibri"/>
          <w:i/>
          <w:iCs/>
          <w:color w:val="auto"/>
          <w:sz w:val="22"/>
          <w:szCs w:val="22"/>
          <w:lang w:eastAsia="en-US"/>
        </w:rPr>
        <w:t>Major Investigation and public protection:</w:t>
      </w:r>
      <w:r w:rsidRPr="008B155C">
        <w:rPr>
          <w:rFonts w:eastAsia="Calibri"/>
          <w:color w:val="auto"/>
          <w:sz w:val="22"/>
          <w:szCs w:val="22"/>
          <w:lang w:eastAsia="en-US"/>
        </w:rPr>
        <w:t xml:space="preserve"> </w:t>
      </w:r>
      <w:r w:rsidRPr="008B155C">
        <w:rPr>
          <w:rFonts w:eastAsia="Calibri"/>
          <w:i/>
          <w:iCs/>
          <w:color w:val="auto"/>
          <w:sz w:val="22"/>
          <w:szCs w:val="22"/>
          <w:lang w:eastAsia="en-US"/>
        </w:rPr>
        <w:t xml:space="preserve">Using domestic violence protection notices and domestic violence protection orders to make victims safer </w:t>
      </w:r>
      <w:r w:rsidRPr="008B155C">
        <w:rPr>
          <w:rFonts w:eastAsia="Calibri"/>
          <w:color w:val="auto"/>
          <w:sz w:val="22"/>
          <w:szCs w:val="22"/>
          <w:lang w:eastAsia="en-US"/>
        </w:rPr>
        <w:t xml:space="preserve">Available at: </w:t>
      </w:r>
      <w:hyperlink r:id="rId33" w:history="1">
        <w:r w:rsidRPr="00F7607C">
          <w:rPr>
            <w:rStyle w:val="Hyperlink"/>
            <w:rFonts w:eastAsia="Calibri"/>
            <w:i/>
            <w:iCs/>
            <w:sz w:val="22"/>
            <w:szCs w:val="22"/>
            <w:lang w:eastAsia="en-US"/>
          </w:rPr>
          <w:t>https://www.app.college.police.uk/app-content/major-investigation-and-public-protection/domestic-abuse/arrest-and-other-positive-approaches/domestic-violence-protection-notices-and-domestic-violence-protection-orders/</w:t>
        </w:r>
      </w:hyperlink>
      <w:r w:rsidRPr="008B155C">
        <w:rPr>
          <w:rFonts w:eastAsia="Calibri"/>
          <w:color w:val="auto"/>
          <w:sz w:val="22"/>
          <w:szCs w:val="22"/>
          <w:lang w:eastAsia="en-US"/>
        </w:rPr>
        <w:t xml:space="preserve"> Published: 16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2015. (Accessed 20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1FF075EC"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College of Policing (2015) </w:t>
      </w:r>
      <w:r w:rsidRPr="008B155C">
        <w:rPr>
          <w:rFonts w:eastAsia="Calibri"/>
          <w:i/>
          <w:iCs/>
          <w:color w:val="auto"/>
          <w:sz w:val="22"/>
          <w:szCs w:val="22"/>
          <w:lang w:eastAsia="en-US"/>
        </w:rPr>
        <w:t>Major investigation and public protection: Victim safety and support.  Available</w:t>
      </w:r>
      <w:r w:rsidRPr="008B155C">
        <w:rPr>
          <w:rFonts w:eastAsia="Calibri"/>
          <w:color w:val="auto"/>
          <w:sz w:val="22"/>
          <w:szCs w:val="22"/>
          <w:lang w:eastAsia="en-US"/>
        </w:rPr>
        <w:t xml:space="preserve"> at: </w:t>
      </w:r>
      <w:hyperlink r:id="rId34" w:anchor="safety-planning" w:history="1">
        <w:r w:rsidRPr="008B155C">
          <w:rPr>
            <w:rStyle w:val="Hyperlink"/>
            <w:rFonts w:eastAsia="Calibri"/>
            <w:i/>
            <w:iCs/>
            <w:sz w:val="22"/>
            <w:szCs w:val="22"/>
            <w:lang w:eastAsia="en-US"/>
          </w:rPr>
          <w:t>https://www.app.college.police.uk/app-content/major-investigation-and-public-protection/domestic-abuse/victim-safety-and-support/#safety-planning</w:t>
        </w:r>
      </w:hyperlink>
      <w:r w:rsidRPr="008B155C">
        <w:rPr>
          <w:rFonts w:eastAsia="Calibri"/>
          <w:color w:val="auto"/>
          <w:sz w:val="22"/>
          <w:szCs w:val="22"/>
          <w:lang w:eastAsia="en-US"/>
        </w:rPr>
        <w:t xml:space="preserve"> Published: 16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2015.  (Accessed 20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66E8A7CA"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College of Policing (2016) </w:t>
      </w:r>
      <w:r w:rsidRPr="008B155C">
        <w:rPr>
          <w:rFonts w:eastAsia="Calibri"/>
          <w:i/>
          <w:iCs/>
          <w:color w:val="auto"/>
          <w:sz w:val="22"/>
          <w:szCs w:val="22"/>
          <w:lang w:eastAsia="en-US"/>
        </w:rPr>
        <w:t>Stop and search: Legal basis. Available:</w:t>
      </w:r>
      <w:r w:rsidRPr="008B155C">
        <w:rPr>
          <w:rFonts w:eastAsia="Calibri"/>
          <w:color w:val="auto"/>
          <w:sz w:val="22"/>
          <w:szCs w:val="22"/>
          <w:lang w:eastAsia="en-US"/>
        </w:rPr>
        <w:t xml:space="preserve"> </w:t>
      </w:r>
      <w:hyperlink r:id="rId35" w:history="1">
        <w:r w:rsidRPr="008B155C">
          <w:rPr>
            <w:rFonts w:eastAsia="Calibri"/>
            <w:i/>
            <w:iCs/>
            <w:color w:val="0563C1"/>
            <w:sz w:val="22"/>
            <w:szCs w:val="22"/>
            <w:u w:val="single"/>
            <w:lang w:eastAsia="en-US"/>
          </w:rPr>
          <w:t>https://www.app.college.police.uk/app-content/stop-and-search/legal/legal-basis/</w:t>
        </w:r>
      </w:hyperlink>
      <w:r w:rsidRPr="008B155C">
        <w:rPr>
          <w:rFonts w:eastAsia="Calibri"/>
          <w:color w:val="auto"/>
          <w:sz w:val="22"/>
          <w:szCs w:val="22"/>
          <w:lang w:eastAsia="en-US"/>
        </w:rPr>
        <w:t xml:space="preserve"> (Accessed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March 2021).</w:t>
      </w:r>
    </w:p>
    <w:p w14:paraId="0679CE0C" w14:textId="77777777" w:rsidR="00B0318F" w:rsidRPr="008B155C" w:rsidRDefault="00B0318F" w:rsidP="00013B87">
      <w:pPr>
        <w:overflowPunct/>
        <w:autoSpaceDE/>
        <w:autoSpaceDN/>
        <w:adjustRightInd/>
        <w:spacing w:after="160" w:line="259" w:lineRule="auto"/>
        <w:textAlignment w:val="auto"/>
        <w:rPr>
          <w:rFonts w:eastAsia="Calibri"/>
          <w:color w:val="0563C1"/>
          <w:sz w:val="22"/>
          <w:szCs w:val="22"/>
          <w:u w:val="single"/>
          <w:lang w:eastAsia="en-US"/>
        </w:rPr>
      </w:pPr>
      <w:r w:rsidRPr="008B155C">
        <w:rPr>
          <w:rFonts w:eastAsia="Calibri"/>
          <w:color w:val="auto"/>
          <w:sz w:val="22"/>
          <w:szCs w:val="22"/>
          <w:lang w:eastAsia="en-US"/>
        </w:rPr>
        <w:t>College of Policing, (2019),</w:t>
      </w:r>
      <w:r w:rsidRPr="008B155C">
        <w:rPr>
          <w:rFonts w:eastAsia="Calibri"/>
          <w:color w:val="0563C1"/>
          <w:sz w:val="22"/>
          <w:szCs w:val="22"/>
          <w:lang w:eastAsia="en-US"/>
        </w:rPr>
        <w:t xml:space="preserve"> </w:t>
      </w:r>
      <w:r w:rsidRPr="008B155C">
        <w:rPr>
          <w:rFonts w:eastAsia="Calibri"/>
          <w:i/>
          <w:iCs/>
          <w:color w:val="auto"/>
          <w:sz w:val="22"/>
          <w:szCs w:val="22"/>
          <w:lang w:eastAsia="en-US"/>
        </w:rPr>
        <w:t>Conflict management using de-escalation, communication and negotiation Consultation</w:t>
      </w:r>
      <w:r w:rsidRPr="008B155C">
        <w:rPr>
          <w:rFonts w:eastAsia="Calibri"/>
          <w:i/>
          <w:iCs/>
          <w:color w:val="0563C1"/>
          <w:sz w:val="22"/>
          <w:szCs w:val="22"/>
          <w:lang w:eastAsia="en-US"/>
        </w:rPr>
        <w:t>.</w:t>
      </w:r>
      <w:r w:rsidRPr="008B155C">
        <w:rPr>
          <w:rFonts w:eastAsia="Calibri"/>
          <w:i/>
          <w:iCs/>
          <w:color w:val="0563C1"/>
          <w:sz w:val="22"/>
          <w:szCs w:val="22"/>
          <w:u w:val="single"/>
          <w:lang w:eastAsia="en-US"/>
        </w:rPr>
        <w:t xml:space="preserve"> Available at: </w:t>
      </w:r>
      <w:hyperlink r:id="rId36" w:anchor="search=Conflict%20management%20using%20de%2Descalation%2C%20communication%20and%20negotiation%20Consultation%20" w:history="1">
        <w:r w:rsidRPr="008B155C">
          <w:rPr>
            <w:rFonts w:eastAsia="Calibri"/>
            <w:i/>
            <w:iCs/>
            <w:color w:val="0563C1"/>
            <w:sz w:val="22"/>
            <w:szCs w:val="22"/>
            <w:u w:val="single"/>
            <w:lang w:eastAsia="en-US"/>
          </w:rPr>
          <w:t>https://www.college.police.uk/What-we-do/Standards/Guidelines/Documents/Conflict_management_consultation260219.pdf#search=Conflict%20management%20using%20de%2Descalation%2C%20communication%20and%20negotiation%20Consultation%20</w:t>
        </w:r>
      </w:hyperlink>
      <w:r w:rsidRPr="008B155C">
        <w:rPr>
          <w:rFonts w:eastAsia="Calibri"/>
          <w:i/>
          <w:iCs/>
          <w:color w:val="0563C1"/>
          <w:sz w:val="22"/>
          <w:szCs w:val="22"/>
          <w:u w:val="single"/>
          <w:lang w:eastAsia="en-US"/>
        </w:rPr>
        <w:t xml:space="preserve"> </w:t>
      </w:r>
      <w:r w:rsidRPr="008B155C">
        <w:rPr>
          <w:rFonts w:eastAsia="Calibri"/>
          <w:color w:val="0563C1"/>
          <w:sz w:val="22"/>
          <w:szCs w:val="22"/>
          <w:u w:val="single"/>
          <w:lang w:eastAsia="en-US"/>
        </w:rPr>
        <w:t>(Accessed 15</w:t>
      </w:r>
      <w:r w:rsidRPr="008B155C">
        <w:rPr>
          <w:rFonts w:eastAsia="Calibri"/>
          <w:color w:val="0563C1"/>
          <w:sz w:val="22"/>
          <w:szCs w:val="22"/>
          <w:u w:val="single"/>
          <w:vertAlign w:val="superscript"/>
          <w:lang w:eastAsia="en-US"/>
        </w:rPr>
        <w:t>th</w:t>
      </w:r>
      <w:r w:rsidRPr="008B155C">
        <w:rPr>
          <w:rFonts w:eastAsia="Calibri"/>
          <w:color w:val="0563C1"/>
          <w:sz w:val="22"/>
          <w:szCs w:val="22"/>
          <w:u w:val="single"/>
          <w:lang w:eastAsia="en-US"/>
        </w:rPr>
        <w:t xml:space="preserve"> February).</w:t>
      </w:r>
    </w:p>
    <w:p w14:paraId="09E257C9" w14:textId="46E47D94" w:rsidR="00B0318F" w:rsidRPr="008B155C" w:rsidRDefault="00B0318F" w:rsidP="00013B87">
      <w:pPr>
        <w:overflowPunct/>
        <w:autoSpaceDE/>
        <w:autoSpaceDN/>
        <w:adjustRightInd/>
        <w:spacing w:after="160" w:line="259" w:lineRule="auto"/>
        <w:textAlignment w:val="auto"/>
        <w:rPr>
          <w:rFonts w:eastAsia="Calibri"/>
          <w:color w:val="0563C1"/>
          <w:sz w:val="22"/>
          <w:szCs w:val="22"/>
          <w:u w:val="single"/>
          <w:lang w:eastAsia="en-US"/>
        </w:rPr>
      </w:pPr>
      <w:r w:rsidRPr="008B155C">
        <w:rPr>
          <w:rFonts w:eastAsia="Calibri"/>
          <w:color w:val="auto"/>
          <w:sz w:val="22"/>
          <w:szCs w:val="22"/>
          <w:lang w:eastAsia="en-US"/>
        </w:rPr>
        <w:t xml:space="preserve">Crown Prosecuting Service, (2019) </w:t>
      </w:r>
      <w:r w:rsidRPr="008B155C">
        <w:rPr>
          <w:rFonts w:eastAsia="Calibri"/>
          <w:i/>
          <w:iCs/>
          <w:color w:val="auto"/>
          <w:sz w:val="22"/>
          <w:szCs w:val="22"/>
          <w:lang w:eastAsia="en-US"/>
        </w:rPr>
        <w:t>Self-defence and the Prevention of Crime.</w:t>
      </w:r>
      <w:r w:rsidRPr="008B155C">
        <w:rPr>
          <w:rFonts w:eastAsia="Calibri"/>
          <w:color w:val="auto"/>
          <w:sz w:val="22"/>
          <w:szCs w:val="22"/>
          <w:lang w:eastAsia="en-US"/>
        </w:rPr>
        <w:t xml:space="preserve">  Available at: </w:t>
      </w:r>
      <w:hyperlink r:id="rId37" w:history="1">
        <w:r w:rsidRPr="008B155C">
          <w:rPr>
            <w:rFonts w:eastAsia="Calibri"/>
            <w:i/>
            <w:iCs/>
            <w:color w:val="0563C1"/>
            <w:sz w:val="22"/>
            <w:szCs w:val="22"/>
            <w:u w:val="single"/>
            <w:lang w:eastAsia="en-US"/>
          </w:rPr>
          <w:t>https://www.cps.gov.uk/legal-guidance/self-defence-and-prevention-crime</w:t>
        </w:r>
      </w:hyperlink>
      <w:r w:rsidRPr="008B155C">
        <w:rPr>
          <w:rFonts w:eastAsia="Calibri"/>
          <w:color w:val="auto"/>
          <w:sz w:val="22"/>
          <w:szCs w:val="22"/>
          <w:lang w:eastAsia="en-US"/>
        </w:rPr>
        <w:t xml:space="preserve"> Published: 30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2019.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w:t>
      </w:r>
    </w:p>
    <w:p w14:paraId="4B4E810D"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Crown Prosecuting Service (2018) </w:t>
      </w:r>
      <w:r w:rsidRPr="008B155C">
        <w:rPr>
          <w:rFonts w:eastAsia="Calibri"/>
          <w:i/>
          <w:iCs/>
          <w:color w:val="auto"/>
          <w:sz w:val="22"/>
          <w:szCs w:val="22"/>
          <w:lang w:eastAsia="en-US"/>
        </w:rPr>
        <w:t>Disclose – Guidelines on Communications Evidence.</w:t>
      </w:r>
      <w:r w:rsidRPr="008B155C">
        <w:rPr>
          <w:rFonts w:eastAsia="Calibri"/>
          <w:color w:val="auto"/>
          <w:sz w:val="22"/>
          <w:szCs w:val="22"/>
          <w:lang w:eastAsia="en-US"/>
        </w:rPr>
        <w:t xml:space="preserve">  Available: </w:t>
      </w:r>
      <w:hyperlink r:id="rId38" w:history="1">
        <w:r w:rsidRPr="008B155C">
          <w:rPr>
            <w:rFonts w:eastAsia="Calibri"/>
            <w:i/>
            <w:iCs/>
            <w:color w:val="0563C1"/>
            <w:sz w:val="22"/>
            <w:szCs w:val="22"/>
            <w:u w:val="single"/>
            <w:lang w:eastAsia="en-US"/>
          </w:rPr>
          <w:t>https://www.cps.gov.uk/legal-guidance/disclosure-guidelines-communications-evidence</w:t>
        </w:r>
      </w:hyperlink>
      <w:r w:rsidRPr="008B155C">
        <w:rPr>
          <w:rFonts w:eastAsia="Calibri"/>
          <w:color w:val="auto"/>
          <w:sz w:val="22"/>
          <w:szCs w:val="22"/>
          <w:lang w:eastAsia="en-US"/>
        </w:rPr>
        <w:t xml:space="preserve"> Published: 26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January 2018.   (Accessed 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1DB9B10F" w14:textId="77777777" w:rsidR="00B0318F" w:rsidRPr="008B155C" w:rsidRDefault="00B0318F" w:rsidP="00B0318F">
      <w:pPr>
        <w:overflowPunct/>
        <w:autoSpaceDE/>
        <w:autoSpaceDN/>
        <w:adjustRightInd/>
        <w:spacing w:after="160" w:line="259" w:lineRule="auto"/>
        <w:textAlignment w:val="auto"/>
        <w:rPr>
          <w:rFonts w:eastAsia="Calibri"/>
          <w:i/>
          <w:iCs/>
          <w:color w:val="auto"/>
          <w:sz w:val="22"/>
          <w:szCs w:val="22"/>
          <w:lang w:eastAsia="en-US"/>
        </w:rPr>
      </w:pPr>
      <w:r w:rsidRPr="008B155C">
        <w:rPr>
          <w:rFonts w:eastAsia="Calibri"/>
          <w:color w:val="auto"/>
          <w:sz w:val="22"/>
          <w:szCs w:val="22"/>
          <w:lang w:eastAsia="en-US"/>
        </w:rPr>
        <w:t xml:space="preserve">Crown Prosecuting Service (2018) </w:t>
      </w:r>
      <w:r w:rsidRPr="008B155C">
        <w:rPr>
          <w:rFonts w:eastAsia="Calibri"/>
          <w:i/>
          <w:iCs/>
          <w:color w:val="auto"/>
          <w:sz w:val="22"/>
          <w:szCs w:val="22"/>
          <w:lang w:eastAsia="en-US"/>
        </w:rPr>
        <w:t>Disclosure - A guide to "reasonable lines of enquiry" and communications evidence.</w:t>
      </w:r>
      <w:r w:rsidRPr="008B155C">
        <w:rPr>
          <w:rFonts w:eastAsia="Calibri"/>
          <w:color w:val="auto"/>
          <w:sz w:val="22"/>
          <w:szCs w:val="22"/>
          <w:lang w:eastAsia="en-US"/>
        </w:rPr>
        <w:t xml:space="preserve">  Available: </w:t>
      </w:r>
      <w:hyperlink r:id="rId39" w:history="1">
        <w:r w:rsidRPr="008B155C">
          <w:rPr>
            <w:rFonts w:eastAsia="Calibri"/>
            <w:i/>
            <w:iCs/>
            <w:color w:val="0563C1"/>
            <w:sz w:val="22"/>
            <w:szCs w:val="22"/>
            <w:u w:val="single"/>
            <w:lang w:eastAsia="en-US"/>
          </w:rPr>
          <w:t>https://www.cps.gov.uk/legal-guidance/disclosure-guide-reasonable-lines-enquiry-and-communications-evidence</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24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July 2018.  (Accessed 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r w:rsidRPr="008B155C">
        <w:rPr>
          <w:rFonts w:eastAsia="Calibri"/>
          <w:i/>
          <w:iCs/>
          <w:color w:val="auto"/>
          <w:sz w:val="22"/>
          <w:szCs w:val="22"/>
          <w:lang w:eastAsia="en-US"/>
        </w:rPr>
        <w:t xml:space="preserve">   </w:t>
      </w:r>
    </w:p>
    <w:p w14:paraId="77CA3E0C"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Crown Prosecution Service (2018) </w:t>
      </w:r>
      <w:r w:rsidRPr="008B155C">
        <w:rPr>
          <w:rFonts w:eastAsia="Calibri"/>
          <w:i/>
          <w:iCs/>
          <w:color w:val="auto"/>
          <w:sz w:val="22"/>
          <w:szCs w:val="22"/>
          <w:lang w:eastAsia="en-US"/>
        </w:rPr>
        <w:t xml:space="preserve">The Code for Crown Prosecutors: Victims of Crime (The Code of Practice) - CPS Legal Guidance. </w:t>
      </w:r>
      <w:r w:rsidRPr="008B155C">
        <w:rPr>
          <w:rFonts w:eastAsia="Calibri"/>
          <w:color w:val="auto"/>
          <w:sz w:val="22"/>
          <w:szCs w:val="22"/>
          <w:lang w:eastAsia="en-US"/>
        </w:rPr>
        <w:t xml:space="preserve">Available at: </w:t>
      </w:r>
      <w:hyperlink r:id="rId40" w:history="1">
        <w:r w:rsidRPr="008B155C">
          <w:rPr>
            <w:rStyle w:val="Hyperlink"/>
            <w:rFonts w:eastAsia="Calibri"/>
            <w:i/>
            <w:iCs/>
            <w:sz w:val="22"/>
            <w:szCs w:val="22"/>
            <w:lang w:eastAsia="en-US"/>
          </w:rPr>
          <w:t>https://www.cps.gov.uk/legal-guidance/victims-crime-code-practice-cps-legal-guidance</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26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October 2018.  (Accessed 20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24BB5C01"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Crown Prosecution Service (2019) </w:t>
      </w:r>
      <w:r w:rsidRPr="008B155C">
        <w:rPr>
          <w:rFonts w:eastAsia="Calibri"/>
          <w:i/>
          <w:iCs/>
          <w:color w:val="auto"/>
          <w:sz w:val="22"/>
          <w:szCs w:val="22"/>
          <w:lang w:eastAsia="en-US"/>
        </w:rPr>
        <w:t xml:space="preserve">Self-defence and the Prevention of Crime. </w:t>
      </w:r>
      <w:r w:rsidRPr="008B155C">
        <w:rPr>
          <w:rFonts w:eastAsia="Calibri"/>
          <w:color w:val="auto"/>
          <w:sz w:val="22"/>
          <w:szCs w:val="22"/>
          <w:lang w:eastAsia="en-US"/>
        </w:rPr>
        <w:t xml:space="preserve">Available at: </w:t>
      </w:r>
      <w:hyperlink r:id="rId41" w:history="1">
        <w:r w:rsidRPr="008B155C">
          <w:rPr>
            <w:rStyle w:val="Hyperlink"/>
            <w:rFonts w:eastAsia="Calibri"/>
            <w:i/>
            <w:iCs/>
            <w:sz w:val="22"/>
            <w:szCs w:val="22"/>
            <w:lang w:eastAsia="en-US"/>
          </w:rPr>
          <w:t>https://www.cps.gov.uk/legal-guidance/self-defence-and-prevention-crime</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Updated: 30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2019.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42C55FC4"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Crown Prosecution Service (2020) </w:t>
      </w:r>
      <w:r w:rsidRPr="008B155C">
        <w:rPr>
          <w:rFonts w:eastAsia="Calibri"/>
          <w:i/>
          <w:iCs/>
          <w:color w:val="auto"/>
          <w:sz w:val="22"/>
          <w:szCs w:val="22"/>
          <w:lang w:eastAsia="en-US"/>
        </w:rPr>
        <w:t>Offences against the Person, incorporating the Charging Standard.</w:t>
      </w:r>
      <w:r w:rsidRPr="008B155C">
        <w:rPr>
          <w:rFonts w:eastAsia="Calibri"/>
          <w:color w:val="auto"/>
          <w:sz w:val="22"/>
          <w:szCs w:val="22"/>
          <w:lang w:eastAsia="en-US"/>
        </w:rPr>
        <w:t xml:space="preserve"> Available at:  </w:t>
      </w:r>
      <w:hyperlink r:id="rId42" w:history="1">
        <w:r w:rsidRPr="008B155C">
          <w:rPr>
            <w:rStyle w:val="Hyperlink"/>
            <w:rFonts w:eastAsia="Calibri"/>
            <w:i/>
            <w:iCs/>
            <w:sz w:val="22"/>
            <w:szCs w:val="22"/>
            <w:lang w:eastAsia="en-US"/>
          </w:rPr>
          <w:t>https://www.cps.gov.uk/legal-guidance/offences-against-person-incorporating-charging-standard</w:t>
        </w:r>
      </w:hyperlink>
      <w:r w:rsidRPr="008B155C">
        <w:rPr>
          <w:rFonts w:eastAsia="Calibri"/>
          <w:color w:val="auto"/>
          <w:sz w:val="22"/>
          <w:szCs w:val="22"/>
          <w:lang w:eastAsia="en-US"/>
        </w:rPr>
        <w:t xml:space="preserve"> Updated: 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January 2020.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28F7AE08"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Crown Prosecution Service (2020) </w:t>
      </w:r>
      <w:r w:rsidRPr="008B155C">
        <w:rPr>
          <w:rFonts w:eastAsia="Calibri"/>
          <w:i/>
          <w:iCs/>
          <w:color w:val="auto"/>
          <w:sz w:val="22"/>
          <w:szCs w:val="22"/>
          <w:lang w:eastAsia="en-US"/>
        </w:rPr>
        <w:t>Special Measures.</w:t>
      </w:r>
      <w:r w:rsidRPr="008B155C">
        <w:rPr>
          <w:rFonts w:eastAsia="Calibri"/>
          <w:color w:val="auto"/>
          <w:sz w:val="22"/>
          <w:szCs w:val="22"/>
          <w:lang w:eastAsia="en-US"/>
        </w:rPr>
        <w:t xml:space="preserve">  Available at: </w:t>
      </w:r>
      <w:hyperlink r:id="rId43" w:history="1">
        <w:r w:rsidRPr="008B155C">
          <w:rPr>
            <w:rStyle w:val="Hyperlink"/>
            <w:rFonts w:eastAsia="Calibri"/>
            <w:i/>
            <w:iCs/>
            <w:sz w:val="22"/>
            <w:szCs w:val="22"/>
            <w:lang w:eastAsia="en-US"/>
          </w:rPr>
          <w:t>https://www.cps.gov.uk/legal-guidance/special-measures</w:t>
        </w:r>
      </w:hyperlink>
      <w:r w:rsidRPr="008B155C">
        <w:rPr>
          <w:rFonts w:eastAsia="Calibri"/>
          <w:color w:val="auto"/>
          <w:sz w:val="22"/>
          <w:szCs w:val="22"/>
          <w:lang w:eastAsia="en-US"/>
        </w:rPr>
        <w:t xml:space="preserve"> Updated: 19</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2020.  (Accessed 20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40DC3BDA"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lastRenderedPageBreak/>
        <w:t xml:space="preserve">David Isaacs, (2017) </w:t>
      </w:r>
      <w:r w:rsidRPr="008B155C">
        <w:rPr>
          <w:rFonts w:eastAsia="Calibri"/>
          <w:i/>
          <w:iCs/>
          <w:color w:val="auto"/>
          <w:sz w:val="22"/>
          <w:szCs w:val="22"/>
          <w:lang w:eastAsia="en-US"/>
        </w:rPr>
        <w:t>Military metaphors, Journal of Paediatrics and Child Health,</w:t>
      </w:r>
      <w:r w:rsidRPr="008B155C">
        <w:rPr>
          <w:rFonts w:eastAsia="Calibri"/>
          <w:color w:val="auto"/>
          <w:sz w:val="22"/>
          <w:szCs w:val="22"/>
          <w:lang w:eastAsia="en-US"/>
        </w:rPr>
        <w:t xml:space="preserve"> 10.1111/jpc.1441</w:t>
      </w:r>
      <w:r w:rsidRPr="008F3EE3">
        <w:rPr>
          <w:rFonts w:eastAsia="Calibri"/>
          <w:color w:val="auto"/>
          <w:sz w:val="22"/>
          <w:szCs w:val="22"/>
          <w:lang w:eastAsia="en-US"/>
        </w:rPr>
        <w:t>1, 55, 7, (</w:t>
      </w:r>
      <w:r w:rsidRPr="008B155C">
        <w:rPr>
          <w:rFonts w:eastAsia="Calibri"/>
          <w:color w:val="auto"/>
          <w:sz w:val="22"/>
          <w:szCs w:val="22"/>
          <w:lang w:eastAsia="en-US"/>
        </w:rPr>
        <w:t xml:space="preserve">735-736). Available: </w:t>
      </w:r>
      <w:hyperlink r:id="rId44" w:history="1">
        <w:r w:rsidRPr="008B155C">
          <w:rPr>
            <w:rStyle w:val="Hyperlink"/>
            <w:rFonts w:eastAsia="Calibri"/>
            <w:i/>
            <w:iCs/>
            <w:sz w:val="22"/>
            <w:szCs w:val="22"/>
            <w:lang w:eastAsia="en-US"/>
          </w:rPr>
          <w:t>Wiley Online Library</w:t>
        </w:r>
      </w:hyperlink>
      <w:r w:rsidRPr="008B155C">
        <w:rPr>
          <w:rFonts w:eastAsia="Calibri"/>
          <w:color w:val="auto"/>
          <w:sz w:val="22"/>
          <w:szCs w:val="22"/>
          <w:lang w:eastAsia="en-US"/>
        </w:rPr>
        <w:t xml:space="preserve"> Published: 27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December 2017. (Accessed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5BF0F6F5"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Dewe, Phillip J, O’Driscoll, Michael P and Cooper, Cary L</w:t>
      </w:r>
      <w:r w:rsidRPr="008B155C">
        <w:rPr>
          <w:rFonts w:eastAsia="Calibri"/>
          <w:i/>
          <w:iCs/>
          <w:color w:val="auto"/>
          <w:sz w:val="22"/>
          <w:szCs w:val="22"/>
          <w:lang w:eastAsia="en-US"/>
        </w:rPr>
        <w:t xml:space="preserve">. </w:t>
      </w:r>
      <w:r w:rsidRPr="008B155C">
        <w:rPr>
          <w:rFonts w:eastAsia="Calibri"/>
          <w:color w:val="auto"/>
          <w:sz w:val="22"/>
          <w:szCs w:val="22"/>
          <w:lang w:eastAsia="en-US"/>
        </w:rPr>
        <w:t>(2010)</w:t>
      </w:r>
      <w:r w:rsidRPr="008B155C">
        <w:rPr>
          <w:rFonts w:eastAsia="Calibri"/>
          <w:i/>
          <w:iCs/>
          <w:color w:val="auto"/>
          <w:sz w:val="22"/>
          <w:szCs w:val="22"/>
          <w:lang w:eastAsia="en-US"/>
        </w:rPr>
        <w:t xml:space="preserve"> Coping with work stress: a review and critique</w:t>
      </w:r>
      <w:r w:rsidRPr="008B155C">
        <w:rPr>
          <w:rFonts w:eastAsia="Calibri"/>
          <w:color w:val="auto"/>
          <w:sz w:val="22"/>
          <w:szCs w:val="22"/>
          <w:lang w:eastAsia="en-US"/>
        </w:rPr>
        <w:t xml:space="preserve">.  Available at: </w:t>
      </w:r>
      <w:hyperlink r:id="rId45" w:history="1">
        <w:r w:rsidRPr="008B155C">
          <w:rPr>
            <w:rFonts w:eastAsia="Calibri"/>
            <w:i/>
            <w:iCs/>
            <w:color w:val="0563C1"/>
            <w:sz w:val="22"/>
            <w:szCs w:val="22"/>
            <w:u w:val="single"/>
            <w:lang w:eastAsia="en-US"/>
          </w:rPr>
          <w:t>https://www.google.co.uk/books/edition/Coping_with_Work_Stress/Jkjt8Y1pxEoC?hl=en&amp;gbpv=1&amp;dq=Coping+with+work+stress:+a+review+and+critique+%E2%80%93+Dewe,+Phillip+J,+O%E2%80%99Driscoll&amp;printsec=frontcover</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Publisher: Wiley-Blackwell.  Published location: Oxford.  Publication date: 26.10.2010. (Accessed at: 12</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January 2021).</w:t>
      </w:r>
    </w:p>
    <w:p w14:paraId="43FDC6E4" w14:textId="4F934044" w:rsidR="00A8138A" w:rsidRPr="00A8138A"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Duggan, M, et al (2020)</w:t>
      </w:r>
      <w:r w:rsidRPr="008B155C">
        <w:rPr>
          <w:rFonts w:eastAsia="Calibri"/>
          <w:i/>
          <w:iCs/>
          <w:color w:val="auto"/>
          <w:sz w:val="22"/>
          <w:szCs w:val="22"/>
          <w:lang w:eastAsia="en-US"/>
        </w:rPr>
        <w:t xml:space="preserve"> Routledge Frontiers of Criminal Justice: Emotional Labour in Criminal Justice and Criminology.  Gendering Emotional Labour: Independent Domestic Violence Advisors, </w:t>
      </w:r>
      <w:r w:rsidRPr="008B155C">
        <w:rPr>
          <w:rFonts w:eastAsia="Calibri"/>
          <w:color w:val="auto"/>
          <w:sz w:val="22"/>
          <w:szCs w:val="22"/>
          <w:lang w:eastAsia="en-US"/>
        </w:rPr>
        <w:t xml:space="preserve">pp.139-149 </w:t>
      </w:r>
      <w:r w:rsidR="0011460F">
        <w:rPr>
          <w:rFonts w:eastAsia="Calibri"/>
          <w:color w:val="auto"/>
          <w:sz w:val="22"/>
          <w:szCs w:val="22"/>
          <w:lang w:eastAsia="en-US"/>
        </w:rPr>
        <w:t>Available:</w:t>
      </w:r>
      <w:r w:rsidR="0011460F" w:rsidRPr="0011460F">
        <w:t xml:space="preserve"> </w:t>
      </w:r>
      <w:hyperlink r:id="rId46" w:history="1">
        <w:r w:rsidR="0011460F" w:rsidRPr="00B14242">
          <w:rPr>
            <w:rStyle w:val="Hyperlink"/>
            <w:rFonts w:eastAsia="Calibri"/>
            <w:sz w:val="22"/>
            <w:szCs w:val="22"/>
            <w:lang w:eastAsia="en-US"/>
          </w:rPr>
          <w:t>https://kar.kent.ac.uk/83834/</w:t>
        </w:r>
      </w:hyperlink>
      <w:r w:rsidR="0011460F">
        <w:rPr>
          <w:rFonts w:eastAsia="Calibri"/>
          <w:color w:val="auto"/>
          <w:sz w:val="22"/>
          <w:szCs w:val="22"/>
          <w:lang w:eastAsia="en-US"/>
        </w:rPr>
        <w:t xml:space="preserve">  </w:t>
      </w:r>
      <w:r w:rsidRPr="008B155C">
        <w:rPr>
          <w:rFonts w:eastAsia="Calibri"/>
          <w:color w:val="auto"/>
          <w:sz w:val="22"/>
          <w:szCs w:val="22"/>
          <w:lang w:eastAsia="en-US"/>
        </w:rPr>
        <w:t>Publisher: Routledge, London.  Published: 22</w:t>
      </w:r>
      <w:r w:rsidRPr="008B155C">
        <w:rPr>
          <w:rFonts w:eastAsia="Calibri"/>
          <w:color w:val="auto"/>
          <w:sz w:val="22"/>
          <w:szCs w:val="22"/>
          <w:vertAlign w:val="superscript"/>
          <w:lang w:eastAsia="en-US"/>
        </w:rPr>
        <w:t>nd</w:t>
      </w:r>
      <w:r w:rsidRPr="008B155C">
        <w:rPr>
          <w:rFonts w:eastAsia="Calibri"/>
          <w:color w:val="auto"/>
          <w:sz w:val="22"/>
          <w:szCs w:val="22"/>
          <w:lang w:eastAsia="en-US"/>
        </w:rPr>
        <w:t xml:space="preserve"> July 2020</w:t>
      </w:r>
      <w:r w:rsidR="0011460F">
        <w:rPr>
          <w:rFonts w:eastAsia="Calibri"/>
          <w:color w:val="auto"/>
          <w:sz w:val="22"/>
          <w:szCs w:val="22"/>
          <w:lang w:eastAsia="en-US"/>
        </w:rPr>
        <w:t xml:space="preserve"> (Accessed 9</w:t>
      </w:r>
      <w:r w:rsidR="0011460F" w:rsidRPr="0011460F">
        <w:rPr>
          <w:rFonts w:eastAsia="Calibri"/>
          <w:color w:val="auto"/>
          <w:sz w:val="22"/>
          <w:szCs w:val="22"/>
          <w:vertAlign w:val="superscript"/>
          <w:lang w:eastAsia="en-US"/>
        </w:rPr>
        <w:t>th</w:t>
      </w:r>
      <w:r w:rsidR="0011460F">
        <w:rPr>
          <w:rFonts w:eastAsia="Calibri"/>
          <w:color w:val="auto"/>
          <w:sz w:val="22"/>
          <w:szCs w:val="22"/>
          <w:lang w:eastAsia="en-US"/>
        </w:rPr>
        <w:t xml:space="preserve"> March 2021).</w:t>
      </w:r>
    </w:p>
    <w:p w14:paraId="769FEEAC"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English, M. (2010) </w:t>
      </w:r>
      <w:r w:rsidRPr="008B155C">
        <w:rPr>
          <w:rFonts w:eastAsia="Calibri"/>
          <w:i/>
          <w:iCs/>
          <w:color w:val="auto"/>
          <w:sz w:val="22"/>
          <w:szCs w:val="22"/>
          <w:lang w:eastAsia="en-US"/>
        </w:rPr>
        <w:t>Breach of the peace – Student lesson note – Dealing with a Breach of Peace.</w:t>
      </w:r>
      <w:r w:rsidRPr="008B155C">
        <w:rPr>
          <w:rFonts w:eastAsia="Calibri"/>
          <w:color w:val="auto"/>
          <w:sz w:val="22"/>
          <w:szCs w:val="22"/>
          <w:lang w:eastAsia="en-US"/>
        </w:rPr>
        <w:t xml:space="preserve">  Available at: </w:t>
      </w:r>
      <w:hyperlink r:id="rId47" w:history="1">
        <w:r w:rsidRPr="008B155C">
          <w:rPr>
            <w:rStyle w:val="Hyperlink"/>
            <w:rFonts w:eastAsia="Calibri"/>
            <w:i/>
            <w:iCs/>
            <w:sz w:val="22"/>
            <w:szCs w:val="22"/>
            <w:lang w:eastAsia="en-US"/>
          </w:rPr>
          <w:t>https://www.met.police.uk/plc/lesson_notes/037.pdf</w:t>
        </w:r>
      </w:hyperlink>
      <w:r w:rsidRPr="008B155C">
        <w:rPr>
          <w:rFonts w:eastAsia="Calibri"/>
          <w:color w:val="auto"/>
          <w:sz w:val="22"/>
          <w:szCs w:val="22"/>
          <w:lang w:eastAsia="en-US"/>
        </w:rPr>
        <w:t xml:space="preserve"> Published: 18</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August 2010.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70943FAE" w14:textId="77777777" w:rsidR="00B0318F" w:rsidRPr="008B155C" w:rsidRDefault="00B0318F" w:rsidP="00013B87">
      <w:pPr>
        <w:overflowPunct/>
        <w:autoSpaceDE/>
        <w:autoSpaceDN/>
        <w:adjustRightInd/>
        <w:spacing w:after="160" w:line="259" w:lineRule="auto"/>
        <w:textAlignment w:val="auto"/>
        <w:rPr>
          <w:rFonts w:eastAsia="Calibri"/>
          <w:color w:val="0563C1"/>
          <w:sz w:val="22"/>
          <w:szCs w:val="22"/>
          <w:u w:val="single"/>
          <w:lang w:eastAsia="en-US"/>
        </w:rPr>
      </w:pPr>
      <w:r w:rsidRPr="008B155C">
        <w:rPr>
          <w:rFonts w:eastAsia="Calibri"/>
          <w:color w:val="auto"/>
          <w:sz w:val="22"/>
          <w:szCs w:val="22"/>
          <w:lang w:eastAsia="en-US"/>
        </w:rPr>
        <w:t>Equality and Human rights commission (2018</w:t>
      </w:r>
      <w:r w:rsidRPr="00240643">
        <w:rPr>
          <w:rFonts w:eastAsia="Calibri"/>
          <w:color w:val="auto"/>
          <w:sz w:val="22"/>
          <w:szCs w:val="22"/>
          <w:lang w:eastAsia="en-US"/>
        </w:rPr>
        <w:t xml:space="preserve">).  </w:t>
      </w:r>
      <w:r w:rsidRPr="00240643">
        <w:rPr>
          <w:rFonts w:eastAsia="Calibri"/>
          <w:i/>
          <w:iCs/>
          <w:color w:val="auto"/>
          <w:sz w:val="22"/>
          <w:szCs w:val="22"/>
          <w:lang w:eastAsia="en-US"/>
        </w:rPr>
        <w:t>The Human Rights Act.</w:t>
      </w:r>
      <w:r w:rsidRPr="00240643">
        <w:rPr>
          <w:rFonts w:eastAsia="Calibri"/>
          <w:color w:val="auto"/>
          <w:sz w:val="22"/>
          <w:szCs w:val="22"/>
          <w:lang w:eastAsia="en-US"/>
        </w:rPr>
        <w:t xml:space="preserve">  Available </w:t>
      </w:r>
      <w:r w:rsidRPr="008B155C">
        <w:rPr>
          <w:rFonts w:eastAsia="Calibri"/>
          <w:color w:val="auto"/>
          <w:sz w:val="22"/>
          <w:szCs w:val="22"/>
          <w:lang w:eastAsia="en-US"/>
        </w:rPr>
        <w:t xml:space="preserve">at: </w:t>
      </w:r>
      <w:hyperlink r:id="rId48" w:history="1">
        <w:r w:rsidRPr="008B155C">
          <w:rPr>
            <w:rFonts w:eastAsia="Calibri"/>
            <w:i/>
            <w:iCs/>
            <w:color w:val="0563C1"/>
            <w:sz w:val="22"/>
            <w:szCs w:val="22"/>
            <w:u w:val="single"/>
            <w:lang w:eastAsia="en-US"/>
          </w:rPr>
          <w:t>https://www.equalityhumanrights.com/en/human-rights/human-rights-act</w:t>
        </w:r>
      </w:hyperlink>
      <w:r w:rsidRPr="008B155C">
        <w:rPr>
          <w:rFonts w:eastAsia="Calibri"/>
          <w:color w:val="0563C1"/>
          <w:sz w:val="22"/>
          <w:szCs w:val="22"/>
          <w:u w:val="single"/>
          <w:lang w:eastAsia="en-US"/>
        </w:rPr>
        <w:t xml:space="preserve"> </w:t>
      </w:r>
      <w:r w:rsidRPr="008B155C">
        <w:rPr>
          <w:rFonts w:eastAsia="Calibri"/>
          <w:color w:val="auto"/>
          <w:sz w:val="22"/>
          <w:szCs w:val="22"/>
          <w:lang w:eastAsia="en-US"/>
        </w:rPr>
        <w:t>(Accessed 8th February).</w:t>
      </w:r>
    </w:p>
    <w:p w14:paraId="025BF884"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Farmer, C. (2019) </w:t>
      </w:r>
      <w:r w:rsidRPr="008B155C">
        <w:rPr>
          <w:rFonts w:eastAsia="Calibri"/>
          <w:i/>
          <w:iCs/>
          <w:color w:val="auto"/>
          <w:sz w:val="22"/>
          <w:szCs w:val="22"/>
          <w:lang w:eastAsia="en-US"/>
        </w:rPr>
        <w:t xml:space="preserve">What is the betari box? </w:t>
      </w:r>
      <w:r w:rsidRPr="008B155C">
        <w:rPr>
          <w:rFonts w:eastAsia="Calibri"/>
          <w:color w:val="auto"/>
          <w:sz w:val="22"/>
          <w:szCs w:val="22"/>
          <w:lang w:eastAsia="en-US"/>
        </w:rPr>
        <w:t>Available at</w:t>
      </w:r>
      <w:r w:rsidRPr="008B155C">
        <w:rPr>
          <w:rFonts w:eastAsia="Calibri"/>
          <w:i/>
          <w:iCs/>
          <w:color w:val="auto"/>
          <w:sz w:val="22"/>
          <w:szCs w:val="22"/>
          <w:lang w:eastAsia="en-US"/>
        </w:rPr>
        <w:t xml:space="preserve">: </w:t>
      </w:r>
      <w:hyperlink r:id="rId49" w:history="1">
        <w:r w:rsidRPr="008B155C">
          <w:rPr>
            <w:rFonts w:eastAsia="Calibri"/>
            <w:i/>
            <w:iCs/>
            <w:color w:val="0563C1"/>
            <w:sz w:val="22"/>
            <w:szCs w:val="22"/>
            <w:u w:val="single"/>
            <w:lang w:eastAsia="en-US"/>
          </w:rPr>
          <w:t>https://corporatecoachgroup.com/blog/what-is-the-betari-box</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29</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October 2019.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w:t>
      </w:r>
    </w:p>
    <w:p w14:paraId="1D598EA3"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Foley, Logan. (2021). </w:t>
      </w:r>
      <w:r w:rsidRPr="008B155C">
        <w:rPr>
          <w:rFonts w:eastAsia="Calibri"/>
          <w:i/>
          <w:iCs/>
          <w:color w:val="auto"/>
          <w:sz w:val="22"/>
          <w:szCs w:val="22"/>
          <w:lang w:eastAsia="en-US"/>
        </w:rPr>
        <w:t>Sleep Foundation: The best exercises for sleep.</w:t>
      </w:r>
      <w:r w:rsidRPr="008B155C">
        <w:rPr>
          <w:rFonts w:eastAsia="Calibri"/>
          <w:color w:val="auto"/>
          <w:sz w:val="22"/>
          <w:szCs w:val="22"/>
          <w:lang w:eastAsia="en-US"/>
        </w:rPr>
        <w:t xml:space="preserve"> Available at: </w:t>
      </w:r>
      <w:hyperlink r:id="rId50" w:history="1">
        <w:r w:rsidRPr="008B155C">
          <w:rPr>
            <w:rFonts w:eastAsia="Calibri"/>
            <w:i/>
            <w:iCs/>
            <w:color w:val="0563C1"/>
            <w:sz w:val="22"/>
            <w:szCs w:val="22"/>
            <w:u w:val="single"/>
            <w:lang w:eastAsia="en-US"/>
          </w:rPr>
          <w:t>https://www.sleepfoundation.org/physical-activity/best-exercises-sleep</w:t>
        </w:r>
      </w:hyperlink>
      <w:r w:rsidRPr="008B155C">
        <w:rPr>
          <w:rFonts w:eastAsia="Calibri"/>
          <w:color w:val="auto"/>
          <w:sz w:val="22"/>
          <w:szCs w:val="22"/>
          <w:lang w:eastAsia="en-US"/>
        </w:rPr>
        <w:t xml:space="preserve"> Published: 22</w:t>
      </w:r>
      <w:r w:rsidRPr="008B155C">
        <w:rPr>
          <w:rFonts w:eastAsia="Calibri"/>
          <w:color w:val="auto"/>
          <w:sz w:val="22"/>
          <w:szCs w:val="22"/>
          <w:vertAlign w:val="superscript"/>
          <w:lang w:eastAsia="en-US"/>
        </w:rPr>
        <w:t>nd</w:t>
      </w:r>
      <w:r w:rsidRPr="008B155C">
        <w:rPr>
          <w:rFonts w:eastAsia="Calibri"/>
          <w:color w:val="auto"/>
          <w:sz w:val="22"/>
          <w:szCs w:val="22"/>
          <w:lang w:eastAsia="en-US"/>
        </w:rPr>
        <w:t xml:space="preserve"> January 2021 (accessed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0FC1BCEA" w14:textId="1B5BE0AE" w:rsidR="00B0318F"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Grace, S. (2013) The Howard Journal of Criminal Justice, Volume 53, issue 1, pages 69-82 - </w:t>
      </w:r>
      <w:r w:rsidRPr="008B155C">
        <w:rPr>
          <w:rFonts w:eastAsia="Calibri"/>
          <w:i/>
          <w:iCs/>
          <w:color w:val="auto"/>
          <w:sz w:val="22"/>
          <w:szCs w:val="22"/>
          <w:lang w:eastAsia="en-US"/>
        </w:rPr>
        <w:t xml:space="preserve">Swift, simple, effective justice? Identifying the aims of penalty notices for disorder and whether these have </w:t>
      </w:r>
      <w:r w:rsidRPr="008B155C">
        <w:rPr>
          <w:rFonts w:eastAsia="Calibri"/>
          <w:color w:val="auto"/>
          <w:sz w:val="22"/>
          <w:szCs w:val="22"/>
          <w:lang w:eastAsia="en-US"/>
        </w:rPr>
        <w:t xml:space="preserve">been realised in practice. Available: </w:t>
      </w:r>
      <w:hyperlink r:id="rId51" w:history="1">
        <w:r w:rsidRPr="008B155C">
          <w:rPr>
            <w:rFonts w:eastAsia="Calibri"/>
            <w:i/>
            <w:iCs/>
            <w:color w:val="0563C1"/>
            <w:sz w:val="22"/>
            <w:szCs w:val="22"/>
            <w:u w:val="single"/>
            <w:lang w:eastAsia="en-US"/>
          </w:rPr>
          <w:t>https://doi-org.ezproxy.uwtsd.ac.uk/10.1111/hojo.12034</w:t>
        </w:r>
      </w:hyperlink>
      <w:r w:rsidRPr="008B155C">
        <w:rPr>
          <w:rFonts w:eastAsia="Calibri"/>
          <w:color w:val="auto"/>
          <w:sz w:val="22"/>
          <w:szCs w:val="22"/>
          <w:lang w:eastAsia="en-US"/>
        </w:rPr>
        <w:t xml:space="preserve">  Published 10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2013. (Accessed 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2EC73AC5" w14:textId="776F1E67" w:rsidR="00604116" w:rsidRDefault="00604116" w:rsidP="00B0318F">
      <w:pPr>
        <w:overflowPunct/>
        <w:autoSpaceDE/>
        <w:autoSpaceDN/>
        <w:adjustRightInd/>
        <w:spacing w:after="160" w:line="259" w:lineRule="auto"/>
        <w:textAlignment w:val="auto"/>
        <w:rPr>
          <w:rFonts w:eastAsia="Calibri"/>
          <w:color w:val="auto"/>
          <w:sz w:val="22"/>
          <w:szCs w:val="22"/>
          <w:lang w:eastAsia="en-US"/>
        </w:rPr>
      </w:pPr>
      <w:r>
        <w:rPr>
          <w:rFonts w:eastAsia="Calibri"/>
          <w:color w:val="auto"/>
          <w:sz w:val="22"/>
          <w:szCs w:val="22"/>
          <w:lang w:eastAsia="en-US"/>
        </w:rPr>
        <w:t xml:space="preserve">Gillespie, T. (2020) </w:t>
      </w:r>
      <w:r w:rsidRPr="00604116">
        <w:rPr>
          <w:rFonts w:eastAsia="Calibri"/>
          <w:i/>
          <w:iCs/>
          <w:color w:val="auto"/>
          <w:sz w:val="22"/>
          <w:szCs w:val="22"/>
          <w:lang w:eastAsia="en-US"/>
        </w:rPr>
        <w:t>Sky News: COVID-19: More than 42,000 fines issued by police for breaching coronavirus laws.</w:t>
      </w:r>
      <w:r>
        <w:rPr>
          <w:rFonts w:eastAsia="Calibri"/>
          <w:color w:val="auto"/>
          <w:sz w:val="22"/>
          <w:szCs w:val="22"/>
          <w:lang w:eastAsia="en-US"/>
        </w:rPr>
        <w:t xml:space="preserve"> Available: </w:t>
      </w:r>
      <w:hyperlink r:id="rId52" w:history="1">
        <w:r w:rsidRPr="00604116">
          <w:rPr>
            <w:rStyle w:val="Hyperlink"/>
            <w:rFonts w:eastAsia="Calibri"/>
            <w:i/>
            <w:iCs/>
            <w:sz w:val="22"/>
            <w:szCs w:val="22"/>
            <w:lang w:eastAsia="en-US"/>
          </w:rPr>
          <w:t>https://news.sky.com/story/covid-19-more-than-42-000-fines-issued-by-police-for-breaching-coronavirus-laws-12201728#</w:t>
        </w:r>
      </w:hyperlink>
      <w:r>
        <w:rPr>
          <w:rFonts w:eastAsia="Calibri"/>
          <w:color w:val="auto"/>
          <w:sz w:val="22"/>
          <w:szCs w:val="22"/>
          <w:lang w:eastAsia="en-US"/>
        </w:rPr>
        <w:t xml:space="preserve"> Published: 28</w:t>
      </w:r>
      <w:r w:rsidRPr="00604116">
        <w:rPr>
          <w:rFonts w:eastAsia="Calibri"/>
          <w:color w:val="auto"/>
          <w:sz w:val="22"/>
          <w:szCs w:val="22"/>
          <w:vertAlign w:val="superscript"/>
          <w:lang w:eastAsia="en-US"/>
        </w:rPr>
        <w:t>th</w:t>
      </w:r>
      <w:r>
        <w:rPr>
          <w:rFonts w:eastAsia="Calibri"/>
          <w:color w:val="auto"/>
          <w:sz w:val="22"/>
          <w:szCs w:val="22"/>
          <w:lang w:eastAsia="en-US"/>
        </w:rPr>
        <w:t xml:space="preserve"> January 2021 (Accessed 9</w:t>
      </w:r>
      <w:r w:rsidRPr="00604116">
        <w:rPr>
          <w:rFonts w:eastAsia="Calibri"/>
          <w:color w:val="auto"/>
          <w:sz w:val="22"/>
          <w:szCs w:val="22"/>
          <w:vertAlign w:val="superscript"/>
          <w:lang w:eastAsia="en-US"/>
        </w:rPr>
        <w:t>th</w:t>
      </w:r>
      <w:r>
        <w:rPr>
          <w:rFonts w:eastAsia="Calibri"/>
          <w:color w:val="auto"/>
          <w:sz w:val="22"/>
          <w:szCs w:val="22"/>
          <w:lang w:eastAsia="en-US"/>
        </w:rPr>
        <w:t xml:space="preserve"> March 2021).</w:t>
      </w:r>
    </w:p>
    <w:p w14:paraId="7CEE5F95" w14:textId="1AAA797A" w:rsidR="00FF5B35" w:rsidRPr="008B155C" w:rsidRDefault="00FF5B35" w:rsidP="00B0318F">
      <w:pPr>
        <w:overflowPunct/>
        <w:autoSpaceDE/>
        <w:autoSpaceDN/>
        <w:adjustRightInd/>
        <w:spacing w:after="160" w:line="259" w:lineRule="auto"/>
        <w:textAlignment w:val="auto"/>
        <w:rPr>
          <w:rFonts w:eastAsia="Calibri"/>
          <w:color w:val="auto"/>
          <w:sz w:val="22"/>
          <w:szCs w:val="22"/>
          <w:lang w:eastAsia="en-US"/>
        </w:rPr>
      </w:pPr>
      <w:r w:rsidRPr="00FF5B35">
        <w:rPr>
          <w:rFonts w:eastAsia="Calibri"/>
          <w:color w:val="auto"/>
          <w:sz w:val="22"/>
          <w:szCs w:val="22"/>
          <w:lang w:eastAsia="en-US"/>
        </w:rPr>
        <w:t xml:space="preserve">Hamlyn, B, Phelps, A, Turtle, J, et al. (2004) </w:t>
      </w:r>
      <w:r w:rsidRPr="00FF5B35">
        <w:rPr>
          <w:rFonts w:eastAsia="Calibri"/>
          <w:i/>
          <w:iCs/>
          <w:color w:val="auto"/>
          <w:sz w:val="22"/>
          <w:szCs w:val="22"/>
          <w:lang w:eastAsia="en-US"/>
        </w:rPr>
        <w:t>Are special measures working? Evidence from surveys of vulnerable and intimated complainants.</w:t>
      </w:r>
      <w:r w:rsidRPr="00FF5B35">
        <w:rPr>
          <w:rFonts w:eastAsia="Calibri"/>
          <w:color w:val="auto"/>
          <w:sz w:val="22"/>
          <w:szCs w:val="22"/>
          <w:lang w:eastAsia="en-US"/>
        </w:rPr>
        <w:t xml:space="preserve"> Study 283.</w:t>
      </w:r>
      <w:r>
        <w:rPr>
          <w:rFonts w:eastAsia="Calibri"/>
          <w:color w:val="auto"/>
          <w:sz w:val="22"/>
          <w:szCs w:val="22"/>
          <w:lang w:eastAsia="en-US"/>
        </w:rPr>
        <w:t xml:space="preserve">  Available: </w:t>
      </w:r>
      <w:hyperlink r:id="rId53" w:history="1">
        <w:r w:rsidRPr="00C75C51">
          <w:rPr>
            <w:rStyle w:val="Hyperlink"/>
            <w:rFonts w:eastAsia="Calibri"/>
            <w:i/>
            <w:iCs/>
            <w:sz w:val="22"/>
            <w:szCs w:val="22"/>
            <w:lang w:eastAsia="en-US"/>
          </w:rPr>
          <w:t>https://www.researchgate.net/publication/237784770_Are_special_measures_working_Evidence_from_surveys_of_vulnerable_and_intimidated_witnesses</w:t>
        </w:r>
      </w:hyperlink>
      <w:r>
        <w:rPr>
          <w:rFonts w:eastAsia="Calibri"/>
          <w:color w:val="auto"/>
          <w:sz w:val="22"/>
          <w:szCs w:val="22"/>
          <w:lang w:eastAsia="en-US"/>
        </w:rPr>
        <w:t xml:space="preserve"> </w:t>
      </w:r>
      <w:r w:rsidR="00C01111">
        <w:rPr>
          <w:rFonts w:eastAsia="Calibri"/>
          <w:color w:val="auto"/>
          <w:sz w:val="22"/>
          <w:szCs w:val="22"/>
          <w:lang w:eastAsia="en-US"/>
        </w:rPr>
        <w:t>Publish</w:t>
      </w:r>
      <w:r w:rsidR="00C75C51">
        <w:rPr>
          <w:rFonts w:eastAsia="Calibri"/>
          <w:color w:val="auto"/>
          <w:sz w:val="22"/>
          <w:szCs w:val="22"/>
          <w:lang w:eastAsia="en-US"/>
        </w:rPr>
        <w:t>er</w:t>
      </w:r>
      <w:r w:rsidR="00C01111">
        <w:rPr>
          <w:rFonts w:eastAsia="Calibri"/>
          <w:color w:val="auto"/>
          <w:sz w:val="22"/>
          <w:szCs w:val="22"/>
          <w:lang w:eastAsia="en-US"/>
        </w:rPr>
        <w:t xml:space="preserve">: </w:t>
      </w:r>
      <w:r w:rsidRPr="00FF5B35">
        <w:rPr>
          <w:rFonts w:eastAsia="Calibri"/>
          <w:color w:val="auto"/>
          <w:sz w:val="22"/>
          <w:szCs w:val="22"/>
          <w:lang w:eastAsia="en-US"/>
        </w:rPr>
        <w:t xml:space="preserve"> London: Home Office Research, Development and Statistics Directorate.</w:t>
      </w:r>
      <w:r w:rsidR="00C01111">
        <w:rPr>
          <w:rFonts w:eastAsia="Calibri"/>
          <w:color w:val="auto"/>
          <w:sz w:val="22"/>
          <w:szCs w:val="22"/>
          <w:lang w:eastAsia="en-US"/>
        </w:rPr>
        <w:t xml:space="preserve">  Published: June 2004. (Accessed 9</w:t>
      </w:r>
      <w:r w:rsidR="00C01111" w:rsidRPr="00C01111">
        <w:rPr>
          <w:rFonts w:eastAsia="Calibri"/>
          <w:color w:val="auto"/>
          <w:sz w:val="22"/>
          <w:szCs w:val="22"/>
          <w:vertAlign w:val="superscript"/>
          <w:lang w:eastAsia="en-US"/>
        </w:rPr>
        <w:t>th</w:t>
      </w:r>
      <w:r w:rsidR="00C01111">
        <w:rPr>
          <w:rFonts w:eastAsia="Calibri"/>
          <w:color w:val="auto"/>
          <w:sz w:val="22"/>
          <w:szCs w:val="22"/>
          <w:lang w:eastAsia="en-US"/>
        </w:rPr>
        <w:t xml:space="preserve"> March 2021). </w:t>
      </w:r>
    </w:p>
    <w:p w14:paraId="1679223F"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Hardy, R. (2018) </w:t>
      </w:r>
      <w:r w:rsidRPr="008B155C">
        <w:rPr>
          <w:rFonts w:eastAsia="Calibri"/>
          <w:i/>
          <w:iCs/>
          <w:color w:val="auto"/>
          <w:sz w:val="22"/>
          <w:szCs w:val="22"/>
          <w:lang w:eastAsia="en-US"/>
        </w:rPr>
        <w:t>Domestic Violence protection notices and orders: what social workers need to know.</w:t>
      </w:r>
      <w:r w:rsidRPr="008B155C">
        <w:rPr>
          <w:rFonts w:eastAsia="Calibri"/>
          <w:color w:val="auto"/>
          <w:sz w:val="22"/>
          <w:szCs w:val="22"/>
          <w:lang w:eastAsia="en-US"/>
        </w:rPr>
        <w:t xml:space="preserve">  Available at: </w:t>
      </w:r>
      <w:hyperlink r:id="rId54" w:history="1">
        <w:r w:rsidRPr="008B155C">
          <w:rPr>
            <w:rStyle w:val="Hyperlink"/>
            <w:rFonts w:eastAsia="Calibri"/>
            <w:i/>
            <w:iCs/>
            <w:sz w:val="22"/>
            <w:szCs w:val="22"/>
            <w:lang w:eastAsia="en-US"/>
          </w:rPr>
          <w:t>https://www.communitycare.co.uk/2018/11/15/domestic-violence-protection-notices-orders-social-workers-need-know/</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November 2018.  (Accessed 20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40237812" w14:textId="2634C9FE" w:rsidR="00B0318F" w:rsidRPr="008B155C" w:rsidRDefault="00B0318F" w:rsidP="005B1544">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Hone, L. (2016). </w:t>
      </w:r>
      <w:r w:rsidRPr="008B155C">
        <w:rPr>
          <w:rFonts w:eastAsia="Calibri"/>
          <w:i/>
          <w:iCs/>
          <w:color w:val="auto"/>
          <w:sz w:val="22"/>
          <w:szCs w:val="22"/>
          <w:lang w:eastAsia="en-US"/>
        </w:rPr>
        <w:t>What Abi Taught Us. A Mother's Struggle to Come to Terms with Her Daughter's Death.</w:t>
      </w:r>
      <w:r w:rsidRPr="008B155C">
        <w:rPr>
          <w:rFonts w:eastAsia="Calibri"/>
          <w:color w:val="auto"/>
          <w:sz w:val="22"/>
          <w:szCs w:val="22"/>
          <w:lang w:eastAsia="en-US"/>
        </w:rPr>
        <w:t xml:space="preserve"> Publisher: Sydney: Allen &amp; Unwin Published: </w:t>
      </w:r>
      <w:r w:rsidR="00240643">
        <w:rPr>
          <w:rFonts w:eastAsia="Calibri"/>
          <w:color w:val="auto"/>
          <w:sz w:val="22"/>
          <w:szCs w:val="22"/>
          <w:lang w:eastAsia="en-US"/>
        </w:rPr>
        <w:t>25</w:t>
      </w:r>
      <w:r w:rsidR="00240643" w:rsidRPr="00240643">
        <w:rPr>
          <w:rFonts w:eastAsia="Calibri"/>
          <w:color w:val="auto"/>
          <w:sz w:val="22"/>
          <w:szCs w:val="22"/>
          <w:vertAlign w:val="superscript"/>
          <w:lang w:eastAsia="en-US"/>
        </w:rPr>
        <w:t>th</w:t>
      </w:r>
      <w:r w:rsidR="00240643">
        <w:rPr>
          <w:rFonts w:eastAsia="Calibri"/>
          <w:color w:val="auto"/>
          <w:sz w:val="22"/>
          <w:szCs w:val="22"/>
          <w:lang w:eastAsia="en-US"/>
        </w:rPr>
        <w:t xml:space="preserve"> May </w:t>
      </w:r>
      <w:r w:rsidRPr="008B155C">
        <w:rPr>
          <w:rFonts w:eastAsia="Calibri"/>
          <w:color w:val="auto"/>
          <w:sz w:val="22"/>
          <w:szCs w:val="22"/>
          <w:lang w:eastAsia="en-US"/>
        </w:rPr>
        <w:t>2016.</w:t>
      </w:r>
    </w:p>
    <w:p w14:paraId="2BC21252" w14:textId="79A44F0A"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Houdmont, J. &amp; Elliott-Davies, M. (2016). </w:t>
      </w:r>
      <w:r w:rsidRPr="00895ECD">
        <w:rPr>
          <w:rFonts w:eastAsia="Calibri"/>
          <w:i/>
          <w:iCs/>
          <w:color w:val="auto"/>
          <w:sz w:val="22"/>
          <w:szCs w:val="22"/>
          <w:lang w:eastAsia="en-US"/>
        </w:rPr>
        <w:t>Police Federation of England and Wales 2016 Officer Demand, Capacity, and Welfare Survey: Initial Report -Descriptive Results.</w:t>
      </w:r>
      <w:r w:rsidR="00895ECD">
        <w:rPr>
          <w:rFonts w:eastAsia="Calibri"/>
          <w:color w:val="auto"/>
          <w:sz w:val="22"/>
          <w:szCs w:val="22"/>
          <w:lang w:eastAsia="en-US"/>
        </w:rPr>
        <w:t xml:space="preserve">  Available:</w:t>
      </w:r>
      <w:r w:rsidR="00895ECD" w:rsidRPr="00895ECD">
        <w:t xml:space="preserve"> </w:t>
      </w:r>
      <w:hyperlink r:id="rId55" w:history="1">
        <w:r w:rsidR="00895ECD" w:rsidRPr="00895ECD">
          <w:rPr>
            <w:rStyle w:val="Hyperlink"/>
            <w:rFonts w:eastAsia="Calibri"/>
            <w:i/>
            <w:iCs/>
            <w:sz w:val="22"/>
            <w:szCs w:val="22"/>
            <w:lang w:eastAsia="en-US"/>
          </w:rPr>
          <w:t>https://www.polfed.org/media/13987/WelfaresurveyNORFOLK-30-01-17-v2.pdf</w:t>
        </w:r>
      </w:hyperlink>
      <w:r w:rsidR="00895ECD">
        <w:rPr>
          <w:rFonts w:eastAsia="Calibri"/>
          <w:color w:val="auto"/>
          <w:sz w:val="22"/>
          <w:szCs w:val="22"/>
          <w:lang w:eastAsia="en-US"/>
        </w:rPr>
        <w:t xml:space="preserve">  </w:t>
      </w:r>
      <w:r w:rsidR="00556B03">
        <w:rPr>
          <w:rFonts w:eastAsia="Calibri"/>
          <w:color w:val="auto"/>
          <w:sz w:val="22"/>
          <w:szCs w:val="22"/>
          <w:lang w:eastAsia="en-US"/>
        </w:rPr>
        <w:t xml:space="preserve">Published: 2016 </w:t>
      </w:r>
      <w:r w:rsidRPr="008B155C">
        <w:rPr>
          <w:rFonts w:eastAsia="Calibri"/>
          <w:color w:val="auto"/>
          <w:sz w:val="22"/>
          <w:szCs w:val="22"/>
          <w:lang w:eastAsia="en-US"/>
        </w:rPr>
        <w:t>(Accessed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w:t>
      </w:r>
    </w:p>
    <w:p w14:paraId="4F45AE14"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lastRenderedPageBreak/>
        <w:t xml:space="preserve">Humphreys, Martin S. (2013). </w:t>
      </w:r>
      <w:r w:rsidRPr="008B155C">
        <w:rPr>
          <w:rFonts w:eastAsia="Calibri"/>
          <w:i/>
          <w:iCs/>
          <w:color w:val="auto"/>
          <w:sz w:val="22"/>
          <w:szCs w:val="22"/>
          <w:lang w:eastAsia="en-US"/>
        </w:rPr>
        <w:t xml:space="preserve">Shoplifting. British Journal of Psychiatry, 202(2), 128–128. </w:t>
      </w:r>
      <w:hyperlink r:id="rId56" w:history="1">
        <w:r w:rsidRPr="008B155C">
          <w:rPr>
            <w:rFonts w:eastAsia="Calibri"/>
            <w:i/>
            <w:iCs/>
            <w:color w:val="0563C1"/>
            <w:sz w:val="22"/>
            <w:szCs w:val="22"/>
            <w:u w:val="single"/>
            <w:lang w:eastAsia="en-US"/>
          </w:rPr>
          <w:t>https://doi.org/10.1192/bjp.bp.111.100750</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(Accessed 8th February 2021).</w:t>
      </w:r>
    </w:p>
    <w:p w14:paraId="3F340A62" w14:textId="46353FF4" w:rsidR="00B0318F" w:rsidRPr="008B155C" w:rsidRDefault="00B0318F" w:rsidP="00013B87">
      <w:pPr>
        <w:overflowPunct/>
        <w:autoSpaceDE/>
        <w:autoSpaceDN/>
        <w:adjustRightInd/>
        <w:spacing w:after="160" w:line="259" w:lineRule="auto"/>
        <w:textAlignment w:val="auto"/>
        <w:rPr>
          <w:rFonts w:eastAsia="Calibri"/>
          <w:i/>
          <w:iCs/>
          <w:color w:val="auto"/>
          <w:sz w:val="22"/>
          <w:szCs w:val="22"/>
          <w:lang w:eastAsia="en-US"/>
        </w:rPr>
      </w:pPr>
      <w:r w:rsidRPr="008B155C">
        <w:rPr>
          <w:rFonts w:eastAsia="Calibri"/>
          <w:color w:val="auto"/>
          <w:sz w:val="22"/>
          <w:szCs w:val="22"/>
          <w:lang w:eastAsia="en-US"/>
        </w:rPr>
        <w:t xml:space="preserve">Janssens, K.M.E., van der Velden, P.G., Taris, R. et al. Resilience Among Police Officers: </w:t>
      </w:r>
      <w:r w:rsidRPr="008B155C">
        <w:rPr>
          <w:rFonts w:eastAsia="Calibri"/>
          <w:i/>
          <w:iCs/>
          <w:color w:val="auto"/>
          <w:sz w:val="22"/>
          <w:szCs w:val="22"/>
          <w:lang w:eastAsia="en-US"/>
        </w:rPr>
        <w:t>a Critical Systematic Review of Used Concepts, Measures, and Predictive Values of Resilience.</w:t>
      </w:r>
      <w:r w:rsidRPr="008B155C">
        <w:rPr>
          <w:rFonts w:eastAsia="Calibri"/>
          <w:color w:val="auto"/>
          <w:sz w:val="22"/>
          <w:szCs w:val="22"/>
          <w:lang w:eastAsia="en-US"/>
        </w:rPr>
        <w:t xml:space="preserve"> J Police Crim Psych (2018).</w:t>
      </w:r>
      <w:hyperlink r:id="rId57" w:history="1">
        <w:r w:rsidRPr="008B155C">
          <w:rPr>
            <w:rFonts w:eastAsia="Calibri"/>
            <w:i/>
            <w:iCs/>
            <w:color w:val="0563C1"/>
            <w:sz w:val="22"/>
            <w:szCs w:val="22"/>
            <w:u w:val="single"/>
            <w:lang w:eastAsia="en-US"/>
          </w:rPr>
          <w:t>https://link.springer.com/article/10.1007/s11896-018-9298-5</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November 2018.  Page 1-17.  (Accessed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4A7F38A1"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Jefferson, T. (2011) </w:t>
      </w:r>
      <w:r w:rsidRPr="008B155C">
        <w:rPr>
          <w:rFonts w:eastAsia="Calibri"/>
          <w:i/>
          <w:iCs/>
          <w:color w:val="auto"/>
          <w:sz w:val="22"/>
          <w:szCs w:val="22"/>
          <w:lang w:eastAsia="en-US"/>
        </w:rPr>
        <w:t>Policing the riots: from Bristol and Brixton to Tottenham, via Toxteth, Handsworth, etc.  Issue</w:t>
      </w:r>
      <w:r w:rsidRPr="008B155C">
        <w:rPr>
          <w:rFonts w:eastAsia="Calibri"/>
          <w:color w:val="auto"/>
          <w:sz w:val="22"/>
          <w:szCs w:val="22"/>
          <w:lang w:eastAsia="en-US"/>
        </w:rPr>
        <w:t xml:space="preserve">: cjm 87: The August 2011 Riots.  Available: </w:t>
      </w:r>
      <w:hyperlink r:id="rId58" w:history="1">
        <w:r w:rsidRPr="008B155C">
          <w:rPr>
            <w:rFonts w:eastAsia="Calibri"/>
            <w:i/>
            <w:iCs/>
            <w:color w:val="0563C1"/>
            <w:sz w:val="22"/>
            <w:szCs w:val="22"/>
            <w:u w:val="single"/>
            <w:lang w:eastAsia="en-US"/>
          </w:rPr>
          <w:t>https://www.crimeandjustice.org.uk/publications/cjm/article/policing-riots-bristol-and-brixton-tottenham-toxteth-handsworth-etc</w:t>
        </w:r>
      </w:hyperlink>
      <w:r w:rsidRPr="008B155C">
        <w:rPr>
          <w:rFonts w:eastAsia="Calibri"/>
          <w:color w:val="auto"/>
          <w:sz w:val="22"/>
          <w:szCs w:val="22"/>
          <w:lang w:eastAsia="en-US"/>
        </w:rPr>
        <w:t xml:space="preserve"> (Accessed 1st March 2021).</w:t>
      </w:r>
    </w:p>
    <w:p w14:paraId="2577E25B"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162092">
        <w:rPr>
          <w:rFonts w:eastAsia="Calibri"/>
          <w:color w:val="auto"/>
          <w:sz w:val="22"/>
          <w:szCs w:val="22"/>
          <w:lang w:eastAsia="en-US"/>
        </w:rPr>
        <w:t xml:space="preserve">Kabat-Zinn, J. (2013). </w:t>
      </w:r>
      <w:r w:rsidRPr="00162092">
        <w:rPr>
          <w:rFonts w:eastAsia="Calibri"/>
          <w:i/>
          <w:iCs/>
          <w:color w:val="auto"/>
          <w:sz w:val="22"/>
          <w:szCs w:val="22"/>
          <w:lang w:eastAsia="en-US"/>
        </w:rPr>
        <w:t>Full catastrophe living: Using the wisdom of your body and mind to face stress, pain, and illness</w:t>
      </w:r>
      <w:r w:rsidRPr="00162092">
        <w:rPr>
          <w:rFonts w:eastAsia="Calibri"/>
          <w:color w:val="auto"/>
          <w:sz w:val="22"/>
          <w:szCs w:val="22"/>
          <w:lang w:eastAsia="en-US"/>
        </w:rPr>
        <w:t>. Publisher: Bantam Books.  Published location: New York, Delta, 2013.</w:t>
      </w:r>
    </w:p>
    <w:p w14:paraId="03338080" w14:textId="77777777" w:rsidR="00B0318F" w:rsidRPr="008B155C" w:rsidRDefault="00B0318F" w:rsidP="00013B87">
      <w:pPr>
        <w:overflowPunct/>
        <w:autoSpaceDE/>
        <w:autoSpaceDN/>
        <w:adjustRightInd/>
        <w:spacing w:after="160" w:line="259" w:lineRule="auto"/>
        <w:textAlignment w:val="auto"/>
        <w:rPr>
          <w:rFonts w:eastAsia="Calibri"/>
          <w:color w:val="0563C1"/>
          <w:sz w:val="22"/>
          <w:szCs w:val="22"/>
          <w:u w:val="single"/>
          <w:lang w:eastAsia="en-US"/>
        </w:rPr>
      </w:pPr>
      <w:r w:rsidRPr="008B155C">
        <w:rPr>
          <w:rFonts w:eastAsia="Calibri"/>
          <w:color w:val="auto"/>
          <w:sz w:val="22"/>
          <w:szCs w:val="22"/>
          <w:lang w:eastAsia="en-US"/>
        </w:rPr>
        <w:t xml:space="preserve">Kandell, E. (2016) </w:t>
      </w:r>
      <w:r w:rsidRPr="008B155C">
        <w:rPr>
          <w:rFonts w:eastAsia="Calibri"/>
          <w:i/>
          <w:iCs/>
          <w:color w:val="auto"/>
          <w:sz w:val="22"/>
          <w:szCs w:val="22"/>
          <w:lang w:eastAsia="en-US"/>
        </w:rPr>
        <w:t>The Importance of Nonverbal Communication</w:t>
      </w:r>
      <w:r w:rsidRPr="008B155C">
        <w:rPr>
          <w:rFonts w:eastAsia="Calibri"/>
          <w:i/>
          <w:iCs/>
          <w:color w:val="auto"/>
          <w:sz w:val="22"/>
          <w:szCs w:val="22"/>
          <w:u w:val="single"/>
          <w:lang w:eastAsia="en-US"/>
        </w:rPr>
        <w:t xml:space="preserve"> </w:t>
      </w:r>
      <w:r w:rsidRPr="008B155C">
        <w:rPr>
          <w:rFonts w:eastAsia="Calibri"/>
          <w:color w:val="auto"/>
          <w:sz w:val="22"/>
          <w:szCs w:val="22"/>
          <w:lang w:eastAsia="en-US"/>
        </w:rPr>
        <w:t xml:space="preserve">Available at: </w:t>
      </w:r>
      <w:hyperlink r:id="rId59" w:history="1">
        <w:r w:rsidRPr="008B155C">
          <w:rPr>
            <w:rFonts w:eastAsia="Calibri"/>
            <w:i/>
            <w:iCs/>
            <w:color w:val="0563C1"/>
            <w:sz w:val="22"/>
            <w:szCs w:val="22"/>
            <w:u w:val="single"/>
            <w:lang w:eastAsia="en-US"/>
          </w:rPr>
          <w:t>https://www.alternativeresolutions.net/2016/10/31/the-importance-of-nonverbal-communication/</w:t>
        </w:r>
      </w:hyperlink>
      <w:r w:rsidRPr="008B155C">
        <w:rPr>
          <w:rFonts w:eastAsia="Calibri"/>
          <w:i/>
          <w:iCs/>
          <w:color w:val="0563C1"/>
          <w:sz w:val="22"/>
          <w:szCs w:val="22"/>
          <w:u w:val="single"/>
          <w:lang w:eastAsia="en-US"/>
        </w:rPr>
        <w:t xml:space="preserve"> </w:t>
      </w:r>
      <w:r w:rsidRPr="008B155C">
        <w:rPr>
          <w:rFonts w:eastAsia="Calibri"/>
          <w:color w:val="auto"/>
          <w:sz w:val="22"/>
          <w:szCs w:val="22"/>
          <w:lang w:eastAsia="en-US"/>
        </w:rPr>
        <w:t>Published: 31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October 2016.</w:t>
      </w:r>
      <w:r w:rsidRPr="008B155C">
        <w:rPr>
          <w:rFonts w:eastAsia="Calibri"/>
          <w:color w:val="auto"/>
          <w:sz w:val="22"/>
          <w:szCs w:val="22"/>
          <w:u w:val="single"/>
          <w:lang w:eastAsia="en-US"/>
        </w:rPr>
        <w:t xml:space="preserve"> </w:t>
      </w:r>
      <w:r w:rsidRPr="008B155C">
        <w:rPr>
          <w:rFonts w:eastAsia="Calibri"/>
          <w:color w:val="auto"/>
          <w:sz w:val="22"/>
          <w:szCs w:val="22"/>
          <w:lang w:eastAsia="en-US"/>
        </w:rPr>
        <w:t>(Accessed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69D54DE5" w14:textId="425E0880"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Law, J. (2018) (Ed</w:t>
      </w:r>
      <w:r w:rsidRPr="008B155C">
        <w:rPr>
          <w:rFonts w:eastAsia="Calibri"/>
          <w:i/>
          <w:iCs/>
          <w:color w:val="auto"/>
          <w:sz w:val="22"/>
          <w:szCs w:val="22"/>
          <w:lang w:eastAsia="en-US"/>
        </w:rPr>
        <w:t xml:space="preserve">.), A Dictionary of Law: Oxford University Press – Shoplifting. </w:t>
      </w:r>
      <w:r w:rsidRPr="008B155C">
        <w:rPr>
          <w:rFonts w:eastAsia="Calibri"/>
          <w:color w:val="auto"/>
          <w:sz w:val="22"/>
          <w:szCs w:val="22"/>
          <w:lang w:eastAsia="en-US"/>
        </w:rPr>
        <w:t xml:space="preserve">Available: </w:t>
      </w:r>
      <w:hyperlink r:id="rId60" w:history="1">
        <w:r w:rsidRPr="008B155C">
          <w:rPr>
            <w:rFonts w:eastAsia="Calibri"/>
            <w:i/>
            <w:iCs/>
            <w:color w:val="0563C1"/>
            <w:sz w:val="22"/>
            <w:szCs w:val="22"/>
            <w:u w:val="single"/>
            <w:lang w:eastAsia="en-US"/>
          </w:rPr>
          <w:t>https://www-oxfordreference-com.ezproxy.uwtsd.ac.uk/view/10.1093/acref/9780198802525.001.0001/acref-9780198802525-e-3641</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(Accessed 28th February 2021).</w:t>
      </w:r>
    </w:p>
    <w:p w14:paraId="371A2828"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Legislation (1967) </w:t>
      </w:r>
      <w:r w:rsidRPr="008B155C">
        <w:rPr>
          <w:rFonts w:eastAsia="Calibri"/>
          <w:i/>
          <w:iCs/>
          <w:color w:val="auto"/>
          <w:sz w:val="22"/>
          <w:szCs w:val="22"/>
          <w:lang w:eastAsia="en-US"/>
        </w:rPr>
        <w:t xml:space="preserve">Criminal Law Act 1967 </w:t>
      </w:r>
      <w:r w:rsidRPr="008B155C">
        <w:rPr>
          <w:rFonts w:eastAsia="Calibri"/>
          <w:color w:val="auto"/>
          <w:sz w:val="22"/>
          <w:szCs w:val="22"/>
          <w:lang w:eastAsia="en-US"/>
        </w:rPr>
        <w:t xml:space="preserve">Available at: </w:t>
      </w:r>
      <w:hyperlink r:id="rId61" w:history="1">
        <w:r w:rsidRPr="008B155C">
          <w:rPr>
            <w:rFonts w:eastAsia="Calibri"/>
            <w:i/>
            <w:iCs/>
            <w:color w:val="0563C1"/>
            <w:sz w:val="22"/>
            <w:szCs w:val="22"/>
            <w:u w:val="single"/>
            <w:lang w:eastAsia="en-US"/>
          </w:rPr>
          <w:t>https://www.legislation.gov.uk/ukpga/1967/58/section/3</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(Accessed 15th February 2021).</w:t>
      </w:r>
    </w:p>
    <w:p w14:paraId="01834879"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Legislation (2017). </w:t>
      </w:r>
      <w:r w:rsidRPr="008B155C">
        <w:rPr>
          <w:rFonts w:eastAsia="Calibri"/>
          <w:i/>
          <w:iCs/>
          <w:color w:val="auto"/>
          <w:sz w:val="22"/>
          <w:szCs w:val="22"/>
          <w:lang w:eastAsia="en-US"/>
        </w:rPr>
        <w:t xml:space="preserve">Police and Criminal Evidence Act 1984 – UK Public General Act, 1984.60, Part XI, Section 117. </w:t>
      </w:r>
      <w:r w:rsidRPr="008B155C">
        <w:rPr>
          <w:rFonts w:eastAsia="Calibri"/>
          <w:color w:val="auto"/>
          <w:sz w:val="22"/>
          <w:szCs w:val="22"/>
          <w:lang w:eastAsia="en-US"/>
        </w:rPr>
        <w:t xml:space="preserve"> Available at: </w:t>
      </w:r>
      <w:hyperlink r:id="rId62" w:history="1">
        <w:r w:rsidRPr="008B155C">
          <w:rPr>
            <w:rStyle w:val="Hyperlink"/>
            <w:rFonts w:eastAsia="Calibri"/>
            <w:i/>
            <w:iCs/>
            <w:sz w:val="22"/>
            <w:szCs w:val="22"/>
            <w:lang w:eastAsia="en-US"/>
          </w:rPr>
          <w:t>https://www.legislation.gov.uk/ukpga/1984/60/section/117</w:t>
        </w:r>
      </w:hyperlink>
      <w:r w:rsidRPr="008B155C">
        <w:rPr>
          <w:rFonts w:eastAsia="Calibri"/>
          <w:color w:val="auto"/>
          <w:sz w:val="22"/>
          <w:szCs w:val="22"/>
          <w:lang w:eastAsia="en-US"/>
        </w:rPr>
        <w:t xml:space="preserve"> (Accessed 17th February 2021).</w:t>
      </w:r>
    </w:p>
    <w:p w14:paraId="247FF771" w14:textId="199595D9" w:rsidR="00B0318F"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Legislation, (2020) </w:t>
      </w:r>
      <w:r w:rsidRPr="008B155C">
        <w:rPr>
          <w:rFonts w:eastAsia="Calibri"/>
          <w:i/>
          <w:iCs/>
          <w:color w:val="auto"/>
          <w:sz w:val="22"/>
          <w:szCs w:val="22"/>
          <w:lang w:eastAsia="en-US"/>
        </w:rPr>
        <w:t>Coronavirus: The Health Protection (Coronavirus Restrictions) (No. 3) (Wales) Regulations 2020 – Part 5, regulation 27 – Power of entry.</w:t>
      </w:r>
      <w:r w:rsidRPr="008B155C">
        <w:rPr>
          <w:rFonts w:eastAsia="Calibri"/>
          <w:color w:val="auto"/>
          <w:sz w:val="22"/>
          <w:szCs w:val="22"/>
          <w:lang w:eastAsia="en-US"/>
        </w:rPr>
        <w:t xml:space="preserve"> Available at: </w:t>
      </w:r>
      <w:hyperlink r:id="rId63" w:history="1">
        <w:r w:rsidRPr="008B155C">
          <w:rPr>
            <w:rFonts w:eastAsia="Calibri"/>
            <w:i/>
            <w:iCs/>
            <w:color w:val="0563C1"/>
            <w:sz w:val="22"/>
            <w:szCs w:val="22"/>
            <w:u w:val="single"/>
            <w:lang w:eastAsia="en-US"/>
          </w:rPr>
          <w:t>https://www.legislation.gov.uk/wsi/2020/1149/regulation/27</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Published: 23</w:t>
      </w:r>
      <w:r w:rsidRPr="008B155C">
        <w:rPr>
          <w:rFonts w:eastAsia="Calibri"/>
          <w:color w:val="auto"/>
          <w:sz w:val="22"/>
          <w:szCs w:val="22"/>
          <w:vertAlign w:val="superscript"/>
          <w:lang w:eastAsia="en-US"/>
        </w:rPr>
        <w:t>rd</w:t>
      </w:r>
      <w:r w:rsidRPr="008B155C">
        <w:rPr>
          <w:rFonts w:eastAsia="Calibri"/>
          <w:color w:val="auto"/>
          <w:sz w:val="22"/>
          <w:szCs w:val="22"/>
          <w:lang w:eastAsia="en-US"/>
        </w:rPr>
        <w:t xml:space="preserve"> October 2020.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1AA25DBB" w14:textId="642A4AED" w:rsidR="00A8138A" w:rsidRPr="008B155C" w:rsidRDefault="00A8138A" w:rsidP="00013B87">
      <w:pPr>
        <w:overflowPunct/>
        <w:autoSpaceDE/>
        <w:autoSpaceDN/>
        <w:adjustRightInd/>
        <w:spacing w:after="160" w:line="259" w:lineRule="auto"/>
        <w:textAlignment w:val="auto"/>
        <w:rPr>
          <w:rFonts w:eastAsia="Calibri"/>
          <w:color w:val="auto"/>
          <w:sz w:val="22"/>
          <w:szCs w:val="22"/>
          <w:lang w:eastAsia="en-US"/>
        </w:rPr>
      </w:pPr>
      <w:r>
        <w:rPr>
          <w:rFonts w:eastAsia="Calibri"/>
          <w:color w:val="auto"/>
          <w:sz w:val="22"/>
          <w:szCs w:val="22"/>
          <w:lang w:eastAsia="en-US"/>
        </w:rPr>
        <w:t xml:space="preserve">Lesley, E. (2020) </w:t>
      </w:r>
      <w:r w:rsidRPr="00A8138A">
        <w:rPr>
          <w:rFonts w:eastAsia="Calibri"/>
          <w:i/>
          <w:iCs/>
          <w:color w:val="auto"/>
          <w:sz w:val="22"/>
          <w:szCs w:val="22"/>
          <w:lang w:eastAsia="en-US"/>
        </w:rPr>
        <w:t>Journal of Public Economics volume 189: Sheltering in place and domestic violence: Evidence from calls for service during COVID-19.</w:t>
      </w:r>
      <w:r>
        <w:rPr>
          <w:rFonts w:eastAsia="Calibri"/>
          <w:color w:val="auto"/>
          <w:sz w:val="22"/>
          <w:szCs w:val="22"/>
          <w:lang w:eastAsia="en-US"/>
        </w:rPr>
        <w:t xml:space="preserve">  Available: </w:t>
      </w:r>
      <w:hyperlink r:id="rId64" w:history="1">
        <w:r w:rsidRPr="00A8138A">
          <w:rPr>
            <w:rStyle w:val="Hyperlink"/>
            <w:rFonts w:eastAsia="Calibri"/>
            <w:i/>
            <w:iCs/>
            <w:sz w:val="22"/>
            <w:szCs w:val="22"/>
            <w:lang w:eastAsia="en-US"/>
          </w:rPr>
          <w:t>https://doi.org/10.1016/j.jpubeco.2020.104241</w:t>
        </w:r>
      </w:hyperlink>
      <w:r>
        <w:rPr>
          <w:rFonts w:eastAsia="Calibri"/>
          <w:color w:val="auto"/>
          <w:sz w:val="22"/>
          <w:szCs w:val="22"/>
          <w:lang w:eastAsia="en-US"/>
        </w:rPr>
        <w:t xml:space="preserve"> Published: September 2020.  </w:t>
      </w:r>
    </w:p>
    <w:p w14:paraId="5C446758"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Maddox, D. (2018) </w:t>
      </w:r>
      <w:r w:rsidRPr="008B155C">
        <w:rPr>
          <w:rFonts w:eastAsia="Calibri"/>
          <w:i/>
          <w:iCs/>
          <w:color w:val="auto"/>
          <w:sz w:val="22"/>
          <w:szCs w:val="22"/>
          <w:lang w:eastAsia="en-US"/>
        </w:rPr>
        <w:t>Addiction ‘fuelling shoplifting plaque’</w:t>
      </w:r>
      <w:r w:rsidRPr="008B155C">
        <w:rPr>
          <w:rFonts w:eastAsia="Calibri"/>
          <w:color w:val="auto"/>
          <w:sz w:val="22"/>
          <w:szCs w:val="22"/>
          <w:lang w:eastAsia="en-US"/>
        </w:rPr>
        <w:t xml:space="preserve"> Available: </w:t>
      </w:r>
      <w:hyperlink r:id="rId65" w:history="1">
        <w:r w:rsidRPr="008B155C">
          <w:rPr>
            <w:rFonts w:eastAsia="Calibri"/>
            <w:i/>
            <w:iCs/>
            <w:color w:val="0563C1"/>
            <w:sz w:val="22"/>
            <w:szCs w:val="22"/>
            <w:u w:val="single"/>
            <w:lang w:eastAsia="en-US"/>
          </w:rPr>
          <w:t>https://www.express.co.uk/news/uk/970023/shoplifters-with-drug-addiction-two-year-jail-sentences</w:t>
        </w:r>
      </w:hyperlink>
      <w:r w:rsidRPr="008B155C">
        <w:rPr>
          <w:rFonts w:eastAsia="Calibri"/>
          <w:color w:val="auto"/>
          <w:sz w:val="22"/>
          <w:szCs w:val="22"/>
          <w:lang w:eastAsia="en-US"/>
        </w:rPr>
        <w:t xml:space="preserve"> Published: 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June 2018 (Accessed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March 2021).</w:t>
      </w:r>
    </w:p>
    <w:p w14:paraId="473D7046"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Madell, R. (2020</w:t>
      </w:r>
      <w:r w:rsidRPr="008B155C">
        <w:rPr>
          <w:rFonts w:eastAsia="Calibri"/>
          <w:i/>
          <w:iCs/>
          <w:color w:val="auto"/>
          <w:sz w:val="22"/>
          <w:szCs w:val="22"/>
          <w:lang w:eastAsia="en-US"/>
        </w:rPr>
        <w:t>) Exercise as Stress Relief.</w:t>
      </w:r>
      <w:r w:rsidRPr="008B155C">
        <w:rPr>
          <w:rFonts w:eastAsia="Calibri"/>
          <w:color w:val="auto"/>
          <w:sz w:val="22"/>
          <w:szCs w:val="22"/>
          <w:lang w:eastAsia="en-US"/>
        </w:rPr>
        <w:t xml:space="preserve">  Available</w:t>
      </w:r>
      <w:r w:rsidRPr="008B155C">
        <w:rPr>
          <w:rFonts w:eastAsia="Calibri"/>
          <w:i/>
          <w:iCs/>
          <w:color w:val="auto"/>
          <w:sz w:val="22"/>
          <w:szCs w:val="22"/>
          <w:lang w:eastAsia="en-US"/>
        </w:rPr>
        <w:t xml:space="preserve">: </w:t>
      </w:r>
      <w:hyperlink r:id="rId66" w:history="1">
        <w:r w:rsidRPr="008B155C">
          <w:rPr>
            <w:rStyle w:val="Hyperlink"/>
            <w:rFonts w:eastAsia="Calibri"/>
            <w:i/>
            <w:iCs/>
            <w:sz w:val="22"/>
            <w:szCs w:val="22"/>
            <w:lang w:eastAsia="en-US"/>
          </w:rPr>
          <w:t>www.healthlline.com</w:t>
        </w:r>
      </w:hyperlink>
      <w:r w:rsidRPr="008B155C">
        <w:rPr>
          <w:rFonts w:eastAsia="Calibri"/>
          <w:color w:val="auto"/>
          <w:sz w:val="22"/>
          <w:szCs w:val="22"/>
          <w:lang w:eastAsia="en-US"/>
        </w:rPr>
        <w:t xml:space="preserve"> Published: 26</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2020 (Accessed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1B0912BC" w14:textId="17974CD1"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Mindtools (1996-2020), </w:t>
      </w:r>
      <w:r w:rsidRPr="008B155C">
        <w:rPr>
          <w:rFonts w:eastAsia="Calibri"/>
          <w:i/>
          <w:iCs/>
          <w:color w:val="auto"/>
          <w:sz w:val="22"/>
          <w:szCs w:val="22"/>
          <w:lang w:eastAsia="en-US"/>
        </w:rPr>
        <w:t>The Betari Box Linking Attitude and Behaviour.</w:t>
      </w:r>
      <w:r w:rsidRPr="008B155C">
        <w:rPr>
          <w:rFonts w:eastAsia="Calibri"/>
          <w:color w:val="auto"/>
          <w:sz w:val="22"/>
          <w:szCs w:val="22"/>
          <w:lang w:eastAsia="en-US"/>
        </w:rPr>
        <w:t xml:space="preserve"> Available at: </w:t>
      </w:r>
      <w:hyperlink r:id="rId67" w:history="1">
        <w:r w:rsidRPr="008B155C">
          <w:rPr>
            <w:rFonts w:eastAsia="Calibri"/>
            <w:i/>
            <w:iCs/>
            <w:color w:val="0563C1"/>
            <w:sz w:val="22"/>
            <w:szCs w:val="22"/>
            <w:u w:val="single"/>
            <w:lang w:eastAsia="en-US"/>
          </w:rPr>
          <w:t>https://www.mindtools.com/pages/article/newCS_82.htm</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Accessed 8th February</w:t>
      </w:r>
      <w:r w:rsidR="00D438F7">
        <w:rPr>
          <w:rFonts w:eastAsia="Calibri"/>
          <w:color w:val="auto"/>
          <w:sz w:val="22"/>
          <w:szCs w:val="22"/>
          <w:lang w:eastAsia="en-US"/>
        </w:rPr>
        <w:t xml:space="preserve"> 2021</w:t>
      </w:r>
      <w:r w:rsidRPr="008B155C">
        <w:rPr>
          <w:rFonts w:eastAsia="Calibri"/>
          <w:color w:val="auto"/>
          <w:sz w:val="22"/>
          <w:szCs w:val="22"/>
          <w:lang w:eastAsia="en-US"/>
        </w:rPr>
        <w:t>).</w:t>
      </w:r>
    </w:p>
    <w:p w14:paraId="46207FF4"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Ministry of Justice (2005) </w:t>
      </w:r>
      <w:r w:rsidRPr="008B155C">
        <w:rPr>
          <w:rFonts w:eastAsia="Calibri"/>
          <w:i/>
          <w:iCs/>
          <w:color w:val="auto"/>
          <w:sz w:val="22"/>
          <w:szCs w:val="22"/>
          <w:lang w:eastAsia="en-US"/>
        </w:rPr>
        <w:t xml:space="preserve">The code of practice for victims of crime and supporting public information materials.  </w:t>
      </w:r>
      <w:r w:rsidRPr="008B155C">
        <w:rPr>
          <w:rFonts w:eastAsia="Calibri"/>
          <w:color w:val="auto"/>
          <w:sz w:val="22"/>
          <w:szCs w:val="22"/>
          <w:lang w:eastAsia="en-US"/>
        </w:rPr>
        <w:t xml:space="preserve">Available at: </w:t>
      </w:r>
      <w:hyperlink r:id="rId68" w:history="1">
        <w:r w:rsidRPr="008B155C">
          <w:rPr>
            <w:rStyle w:val="Hyperlink"/>
            <w:rFonts w:eastAsia="Calibri"/>
            <w:i/>
            <w:iCs/>
            <w:sz w:val="22"/>
            <w:szCs w:val="22"/>
            <w:lang w:eastAsia="en-US"/>
          </w:rPr>
          <w:t>https://www.gov.uk/government/publications/the-code-of-practice-for-victims-of-crime</w:t>
        </w:r>
      </w:hyperlink>
      <w:r w:rsidRPr="008B155C">
        <w:rPr>
          <w:rFonts w:eastAsia="Calibri"/>
          <w:color w:val="auto"/>
          <w:sz w:val="22"/>
          <w:szCs w:val="22"/>
          <w:lang w:eastAsia="en-US"/>
        </w:rPr>
        <w:t xml:space="preserve"> Published: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October 2005.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67D97C52"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Ministry of Justice (2013) </w:t>
      </w:r>
      <w:r w:rsidRPr="008B155C">
        <w:rPr>
          <w:rFonts w:eastAsia="Calibri"/>
          <w:i/>
          <w:iCs/>
          <w:color w:val="auto"/>
          <w:sz w:val="22"/>
          <w:szCs w:val="22"/>
          <w:lang w:eastAsia="en-US"/>
        </w:rPr>
        <w:t>Guidance: Victim Personal Statement.</w:t>
      </w:r>
      <w:r w:rsidRPr="008B155C">
        <w:rPr>
          <w:rFonts w:eastAsia="Calibri"/>
          <w:color w:val="auto"/>
          <w:sz w:val="22"/>
          <w:szCs w:val="22"/>
          <w:lang w:eastAsia="en-US"/>
        </w:rPr>
        <w:t xml:space="preserve">  Available at: </w:t>
      </w:r>
      <w:hyperlink r:id="rId69" w:history="1">
        <w:r w:rsidRPr="008B155C">
          <w:rPr>
            <w:rStyle w:val="Hyperlink"/>
            <w:rFonts w:eastAsia="Calibri"/>
            <w:i/>
            <w:iCs/>
            <w:sz w:val="22"/>
            <w:szCs w:val="22"/>
            <w:lang w:eastAsia="en-US"/>
          </w:rPr>
          <w:t>https://www.gov.uk/government/publications/victim-personal-statement</w:t>
        </w:r>
      </w:hyperlink>
      <w:r w:rsidRPr="008B155C">
        <w:rPr>
          <w:rFonts w:eastAsia="Calibri"/>
          <w:color w:val="auto"/>
          <w:sz w:val="22"/>
          <w:szCs w:val="22"/>
          <w:lang w:eastAsia="en-US"/>
        </w:rPr>
        <w:t xml:space="preserve"> Published: 11</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November 2013.  Last updated: 13</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2018.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1D8336F9"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lastRenderedPageBreak/>
        <w:t xml:space="preserve">Ministry of Justice (2014) Penalty Notices for Disorder.  Available: </w:t>
      </w:r>
      <w:hyperlink r:id="rId70" w:history="1">
        <w:r w:rsidRPr="008B155C">
          <w:rPr>
            <w:rFonts w:eastAsia="Calibri"/>
            <w:color w:val="0563C1"/>
            <w:sz w:val="22"/>
            <w:szCs w:val="22"/>
            <w:u w:val="single"/>
            <w:lang w:eastAsia="en-US"/>
          </w:rPr>
          <w:t>https://assets.publishing.service.gov.uk/government/uploads/system/uploads/attachment_data/file/403812/penalty-notice-disorder-police-guidance.pdf</w:t>
        </w:r>
      </w:hyperlink>
      <w:r w:rsidRPr="008B155C">
        <w:rPr>
          <w:rFonts w:eastAsia="Calibri"/>
          <w:color w:val="auto"/>
          <w:sz w:val="22"/>
          <w:szCs w:val="22"/>
          <w:lang w:eastAsia="en-US"/>
        </w:rPr>
        <w:t xml:space="preserve"> Published:  24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June 2014. (Accessed 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4DE0B87C"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Ministry of Justice (2020) </w:t>
      </w:r>
      <w:r w:rsidRPr="008B155C">
        <w:rPr>
          <w:rFonts w:eastAsia="Calibri"/>
          <w:i/>
          <w:iCs/>
          <w:color w:val="auto"/>
          <w:sz w:val="22"/>
          <w:szCs w:val="22"/>
          <w:lang w:eastAsia="en-US"/>
        </w:rPr>
        <w:t>Code of Practice for Victims of Crime in England and Wales.</w:t>
      </w:r>
      <w:r w:rsidRPr="008B155C">
        <w:rPr>
          <w:rFonts w:eastAsia="Calibri"/>
          <w:color w:val="auto"/>
          <w:sz w:val="22"/>
          <w:szCs w:val="22"/>
          <w:lang w:eastAsia="en-US"/>
        </w:rPr>
        <w:t xml:space="preserve"> Available at: </w:t>
      </w:r>
      <w:hyperlink r:id="rId71" w:history="1">
        <w:r w:rsidRPr="008B155C">
          <w:rPr>
            <w:rStyle w:val="Hyperlink"/>
            <w:rFonts w:eastAsia="Calibri"/>
            <w:i/>
            <w:iCs/>
            <w:sz w:val="22"/>
            <w:szCs w:val="22"/>
            <w:lang w:eastAsia="en-US"/>
          </w:rPr>
          <w:t>https://assets.publishing.service.gov.uk/government/uploads/system/uploads/attachment_data/file/936239/victims-code-2020.pdf</w:t>
        </w:r>
      </w:hyperlink>
      <w:r w:rsidRPr="008B155C">
        <w:rPr>
          <w:rFonts w:eastAsia="Calibri"/>
          <w:color w:val="auto"/>
          <w:sz w:val="22"/>
          <w:szCs w:val="22"/>
          <w:lang w:eastAsia="en-US"/>
        </w:rPr>
        <w:t xml:space="preserve"> Published: November 2020.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77DCA59D"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NHS Foundation Trust (2003) </w:t>
      </w:r>
      <w:r w:rsidRPr="008B155C">
        <w:rPr>
          <w:rFonts w:eastAsia="Calibri"/>
          <w:i/>
          <w:iCs/>
          <w:color w:val="auto"/>
          <w:sz w:val="22"/>
          <w:szCs w:val="22"/>
          <w:lang w:eastAsia="en-US"/>
        </w:rPr>
        <w:t>After care of those who have been exposed to PAVA (Captor) spray or post deployment of ‘taser’</w:t>
      </w:r>
      <w:r w:rsidRPr="008B155C">
        <w:rPr>
          <w:rFonts w:eastAsia="Calibri"/>
          <w:color w:val="auto"/>
          <w:sz w:val="22"/>
          <w:szCs w:val="22"/>
          <w:lang w:eastAsia="en-US"/>
        </w:rPr>
        <w:t xml:space="preserve"> device. Available at: </w:t>
      </w:r>
      <w:hyperlink r:id="rId72" w:history="1">
        <w:r w:rsidRPr="008B155C">
          <w:rPr>
            <w:rStyle w:val="Hyperlink"/>
            <w:rFonts w:eastAsia="Calibri"/>
            <w:i/>
            <w:iCs/>
            <w:sz w:val="22"/>
            <w:szCs w:val="22"/>
            <w:lang w:eastAsia="en-US"/>
          </w:rPr>
          <w:t>https://www.cwp.nhs.uk/media/1366/cp39-after-care-of-those-who-have-been-exposed-to-pava-captor-spray-or-taser-device-issue-3.pdf</w:t>
        </w:r>
      </w:hyperlink>
      <w:r w:rsidRPr="008B155C">
        <w:rPr>
          <w:rFonts w:eastAsia="Calibri"/>
          <w:color w:val="auto"/>
          <w:sz w:val="22"/>
          <w:szCs w:val="22"/>
          <w:lang w:eastAsia="en-US"/>
        </w:rPr>
        <w:t xml:space="preserve">  Published: April 2003.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66CA6A4C" w14:textId="6F1DD666" w:rsidR="00B0318F" w:rsidRPr="008B155C" w:rsidRDefault="00B0318F" w:rsidP="00013B87">
      <w:pPr>
        <w:overflowPunct/>
        <w:autoSpaceDE/>
        <w:autoSpaceDN/>
        <w:adjustRightInd/>
        <w:spacing w:after="160" w:line="259" w:lineRule="auto"/>
        <w:textAlignment w:val="auto"/>
        <w:rPr>
          <w:rFonts w:eastAsia="Calibri"/>
          <w:color w:val="0563C1"/>
          <w:sz w:val="22"/>
          <w:szCs w:val="22"/>
          <w:u w:val="single"/>
          <w:lang w:eastAsia="en-US"/>
        </w:rPr>
      </w:pPr>
      <w:r w:rsidRPr="008B155C">
        <w:rPr>
          <w:rFonts w:eastAsia="Calibri"/>
          <w:color w:val="auto"/>
          <w:sz w:val="22"/>
          <w:szCs w:val="22"/>
          <w:lang w:eastAsia="en-US"/>
        </w:rPr>
        <w:t>NPCC College of Policing (2020</w:t>
      </w:r>
      <w:r w:rsidRPr="008B155C">
        <w:rPr>
          <w:rFonts w:eastAsia="Calibri"/>
          <w:i/>
          <w:iCs/>
          <w:color w:val="auto"/>
          <w:sz w:val="22"/>
          <w:szCs w:val="22"/>
          <w:lang w:eastAsia="en-US"/>
        </w:rPr>
        <w:t>).  Engage, Explain, Encourage, Enforce – applying the four ‘E’s.</w:t>
      </w:r>
      <w:r w:rsidRPr="008B155C">
        <w:rPr>
          <w:rFonts w:eastAsia="Calibri"/>
          <w:color w:val="auto"/>
          <w:sz w:val="22"/>
          <w:szCs w:val="22"/>
          <w:u w:val="single"/>
          <w:lang w:eastAsia="en-US"/>
        </w:rPr>
        <w:t xml:space="preserve"> </w:t>
      </w:r>
      <w:r w:rsidRPr="008B155C">
        <w:rPr>
          <w:rFonts w:eastAsia="Calibri"/>
          <w:color w:val="auto"/>
          <w:sz w:val="22"/>
          <w:szCs w:val="22"/>
          <w:lang w:eastAsia="en-US"/>
        </w:rPr>
        <w:t xml:space="preserve"> Available at</w:t>
      </w:r>
      <w:r w:rsidRPr="008B155C">
        <w:rPr>
          <w:rFonts w:eastAsia="Calibri"/>
          <w:i/>
          <w:iCs/>
          <w:color w:val="auto"/>
          <w:sz w:val="22"/>
          <w:szCs w:val="22"/>
          <w:lang w:eastAsia="en-US"/>
        </w:rPr>
        <w:t xml:space="preserve">: </w:t>
      </w:r>
      <w:hyperlink r:id="rId73" w:history="1">
        <w:r w:rsidRPr="008B155C">
          <w:rPr>
            <w:rFonts w:eastAsia="Calibri"/>
            <w:i/>
            <w:iCs/>
            <w:color w:val="0563C1"/>
            <w:sz w:val="22"/>
            <w:szCs w:val="22"/>
            <w:u w:val="single"/>
            <w:lang w:eastAsia="en-US"/>
          </w:rPr>
          <w:t>https://www.college.police.uk/What-we-do/COVID-19/Documents/Engage-Explain-Encourage-Enforce-guidance-Wales.pdf</w:t>
        </w:r>
      </w:hyperlink>
      <w:r w:rsidRPr="008B155C">
        <w:rPr>
          <w:rFonts w:eastAsia="Calibri"/>
          <w:color w:val="0563C1"/>
          <w:sz w:val="22"/>
          <w:szCs w:val="22"/>
          <w:u w:val="single"/>
          <w:lang w:eastAsia="en-US"/>
        </w:rPr>
        <w:t xml:space="preserve"> </w:t>
      </w:r>
      <w:r w:rsidRPr="008B155C">
        <w:rPr>
          <w:rFonts w:eastAsia="Calibri"/>
          <w:color w:val="auto"/>
          <w:sz w:val="22"/>
          <w:szCs w:val="22"/>
          <w:lang w:eastAsia="en-US"/>
        </w:rPr>
        <w:t>Published 2</w:t>
      </w:r>
      <w:r w:rsidRPr="008B155C">
        <w:rPr>
          <w:rFonts w:eastAsia="Calibri"/>
          <w:color w:val="auto"/>
          <w:sz w:val="22"/>
          <w:szCs w:val="22"/>
          <w:vertAlign w:val="superscript"/>
          <w:lang w:eastAsia="en-US"/>
        </w:rPr>
        <w:t>nd</w:t>
      </w:r>
      <w:r w:rsidRPr="008B155C">
        <w:rPr>
          <w:rFonts w:eastAsia="Calibri"/>
          <w:color w:val="auto"/>
          <w:sz w:val="22"/>
          <w:szCs w:val="22"/>
          <w:lang w:eastAsia="en-US"/>
        </w:rPr>
        <w:t xml:space="preserve"> June 2020.  (Accessed 8</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w:t>
      </w:r>
      <w:r w:rsidR="00D438F7">
        <w:rPr>
          <w:rFonts w:eastAsia="Calibri"/>
          <w:color w:val="auto"/>
          <w:sz w:val="22"/>
          <w:szCs w:val="22"/>
          <w:lang w:eastAsia="en-US"/>
        </w:rPr>
        <w:t xml:space="preserve"> 2021</w:t>
      </w:r>
      <w:r w:rsidRPr="008B155C">
        <w:rPr>
          <w:rFonts w:eastAsia="Calibri"/>
          <w:color w:val="auto"/>
          <w:sz w:val="22"/>
          <w:szCs w:val="22"/>
          <w:lang w:eastAsia="en-US"/>
        </w:rPr>
        <w:t>).</w:t>
      </w:r>
    </w:p>
    <w:p w14:paraId="7E5CE5F5" w14:textId="42DEB259" w:rsidR="00B0318F" w:rsidRPr="008B155C" w:rsidRDefault="00B0318F" w:rsidP="005B1544">
      <w:pPr>
        <w:overflowPunct/>
        <w:autoSpaceDE/>
        <w:autoSpaceDN/>
        <w:adjustRightInd/>
        <w:spacing w:after="160" w:line="259" w:lineRule="auto"/>
        <w:textAlignment w:val="auto"/>
        <w:rPr>
          <w:color w:val="333333"/>
          <w:sz w:val="22"/>
          <w:szCs w:val="22"/>
          <w:shd w:val="clear" w:color="auto" w:fill="FCFCFC"/>
        </w:rPr>
      </w:pPr>
      <w:r w:rsidRPr="008B155C">
        <w:rPr>
          <w:color w:val="333333"/>
          <w:sz w:val="22"/>
          <w:szCs w:val="22"/>
          <w:shd w:val="clear" w:color="auto" w:fill="FCFCFC"/>
        </w:rPr>
        <w:t xml:space="preserve">O’Brien, K.L., Cohen, L., Pooley, J.A. </w:t>
      </w:r>
      <w:r w:rsidRPr="008B155C">
        <w:rPr>
          <w:i/>
          <w:iCs/>
          <w:color w:val="333333"/>
          <w:sz w:val="22"/>
          <w:szCs w:val="22"/>
        </w:rPr>
        <w:t>et al.</w:t>
      </w:r>
      <w:r w:rsidRPr="008B155C">
        <w:rPr>
          <w:color w:val="333333"/>
          <w:sz w:val="22"/>
          <w:szCs w:val="22"/>
          <w:shd w:val="clear" w:color="auto" w:fill="FCFCFC"/>
        </w:rPr>
        <w:t xml:space="preserve"> </w:t>
      </w:r>
      <w:r w:rsidRPr="008B155C">
        <w:rPr>
          <w:i/>
          <w:iCs/>
          <w:color w:val="333333"/>
          <w:sz w:val="22"/>
          <w:szCs w:val="22"/>
          <w:shd w:val="clear" w:color="auto" w:fill="FCFCFC"/>
        </w:rPr>
        <w:t>Lifting the Domestic Violence Cloak of Silence: Resilient Australian Women’s Reflected Memories of their Childhood Experiences of Witnessing Domestic Violence.</w:t>
      </w:r>
      <w:r w:rsidRPr="008B155C">
        <w:rPr>
          <w:color w:val="333333"/>
          <w:sz w:val="22"/>
          <w:szCs w:val="22"/>
          <w:shd w:val="clear" w:color="auto" w:fill="FCFCFC"/>
        </w:rPr>
        <w:t xml:space="preserve"> </w:t>
      </w:r>
      <w:r w:rsidRPr="008B155C">
        <w:rPr>
          <w:i/>
          <w:iCs/>
          <w:color w:val="333333"/>
          <w:sz w:val="22"/>
          <w:szCs w:val="22"/>
        </w:rPr>
        <w:t>J Fam Viol</w:t>
      </w:r>
      <w:r w:rsidRPr="008B155C">
        <w:rPr>
          <w:color w:val="333333"/>
          <w:sz w:val="22"/>
          <w:szCs w:val="22"/>
          <w:shd w:val="clear" w:color="auto" w:fill="FCFCFC"/>
        </w:rPr>
        <w:t xml:space="preserve"> </w:t>
      </w:r>
      <w:r w:rsidRPr="008B155C">
        <w:rPr>
          <w:b/>
          <w:bCs/>
          <w:color w:val="333333"/>
          <w:sz w:val="22"/>
          <w:szCs w:val="22"/>
        </w:rPr>
        <w:t xml:space="preserve">28, </w:t>
      </w:r>
      <w:r w:rsidRPr="008B155C">
        <w:rPr>
          <w:color w:val="333333"/>
          <w:sz w:val="22"/>
          <w:szCs w:val="22"/>
          <w:shd w:val="clear" w:color="auto" w:fill="FCFCFC"/>
        </w:rPr>
        <w:t xml:space="preserve">95–108 (2013). Available:  </w:t>
      </w:r>
      <w:hyperlink r:id="rId74" w:history="1">
        <w:r w:rsidRPr="008B155C">
          <w:rPr>
            <w:rStyle w:val="Hyperlink"/>
            <w:i/>
            <w:iCs/>
            <w:sz w:val="22"/>
            <w:szCs w:val="22"/>
            <w:shd w:val="clear" w:color="auto" w:fill="FCFCFC"/>
          </w:rPr>
          <w:t>https://doi-org.ezproxy.uwtsd.ac.uk/10.1007/s10896-012-9484-7</w:t>
        </w:r>
      </w:hyperlink>
      <w:r w:rsidRPr="008B155C">
        <w:rPr>
          <w:color w:val="333333"/>
          <w:sz w:val="22"/>
          <w:szCs w:val="22"/>
          <w:shd w:val="clear" w:color="auto" w:fill="FCFCFC"/>
        </w:rPr>
        <w:t xml:space="preserve">  Published: 2</w:t>
      </w:r>
      <w:r w:rsidRPr="008B155C">
        <w:rPr>
          <w:color w:val="333333"/>
          <w:sz w:val="22"/>
          <w:szCs w:val="22"/>
          <w:shd w:val="clear" w:color="auto" w:fill="FCFCFC"/>
          <w:vertAlign w:val="superscript"/>
        </w:rPr>
        <w:t>nd</w:t>
      </w:r>
      <w:r w:rsidRPr="008B155C">
        <w:rPr>
          <w:color w:val="333333"/>
          <w:sz w:val="22"/>
          <w:szCs w:val="22"/>
          <w:shd w:val="clear" w:color="auto" w:fill="FCFCFC"/>
        </w:rPr>
        <w:t xml:space="preserve"> November 2012.</w:t>
      </w:r>
      <w:r w:rsidR="00D438F7">
        <w:rPr>
          <w:color w:val="333333"/>
          <w:sz w:val="22"/>
          <w:szCs w:val="22"/>
          <w:shd w:val="clear" w:color="auto" w:fill="FCFCFC"/>
        </w:rPr>
        <w:t xml:space="preserve"> (Accessed 9</w:t>
      </w:r>
      <w:r w:rsidR="00D438F7" w:rsidRPr="00D438F7">
        <w:rPr>
          <w:color w:val="333333"/>
          <w:sz w:val="22"/>
          <w:szCs w:val="22"/>
          <w:shd w:val="clear" w:color="auto" w:fill="FCFCFC"/>
          <w:vertAlign w:val="superscript"/>
        </w:rPr>
        <w:t>th</w:t>
      </w:r>
      <w:r w:rsidR="00D438F7">
        <w:rPr>
          <w:color w:val="333333"/>
          <w:sz w:val="22"/>
          <w:szCs w:val="22"/>
          <w:shd w:val="clear" w:color="auto" w:fill="FCFCFC"/>
        </w:rPr>
        <w:t xml:space="preserve"> March 2021).</w:t>
      </w:r>
    </w:p>
    <w:p w14:paraId="4CEEEDFA" w14:textId="77777777" w:rsidR="00B0318F" w:rsidRPr="008B155C" w:rsidRDefault="00B0318F" w:rsidP="00013B87">
      <w:pPr>
        <w:overflowPunct/>
        <w:autoSpaceDE/>
        <w:autoSpaceDN/>
        <w:adjustRightInd/>
        <w:spacing w:after="160" w:line="259" w:lineRule="auto"/>
        <w:textAlignment w:val="auto"/>
        <w:rPr>
          <w:rFonts w:eastAsia="Calibri"/>
          <w:i/>
          <w:iCs/>
          <w:color w:val="auto"/>
          <w:sz w:val="22"/>
          <w:szCs w:val="22"/>
          <w:lang w:eastAsia="en-US"/>
        </w:rPr>
      </w:pPr>
      <w:r w:rsidRPr="008B155C">
        <w:rPr>
          <w:rFonts w:eastAsia="Calibri"/>
          <w:color w:val="auto"/>
          <w:sz w:val="22"/>
          <w:szCs w:val="22"/>
          <w:lang w:eastAsia="en-US"/>
        </w:rPr>
        <w:t xml:space="preserve">Obodovskiy, K. (2019) </w:t>
      </w:r>
      <w:r w:rsidRPr="008B155C">
        <w:rPr>
          <w:rFonts w:eastAsia="Calibri"/>
          <w:i/>
          <w:iCs/>
          <w:color w:val="auto"/>
          <w:sz w:val="22"/>
          <w:szCs w:val="22"/>
          <w:lang w:eastAsia="en-US"/>
        </w:rPr>
        <w:t>7 Strategies for police officers to build resilience [blog].</w:t>
      </w:r>
      <w:r w:rsidRPr="008B155C">
        <w:rPr>
          <w:rFonts w:eastAsia="Calibri"/>
          <w:color w:val="auto"/>
          <w:sz w:val="22"/>
          <w:szCs w:val="22"/>
          <w:lang w:eastAsia="en-US"/>
        </w:rPr>
        <w:t xml:space="preserve">  18</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2019.  Available at: </w:t>
      </w:r>
      <w:hyperlink r:id="rId75" w:history="1">
        <w:r w:rsidRPr="008B155C">
          <w:rPr>
            <w:rFonts w:eastAsia="Calibri"/>
            <w:i/>
            <w:iCs/>
            <w:color w:val="0563C1"/>
            <w:sz w:val="22"/>
            <w:szCs w:val="22"/>
            <w:u w:val="single"/>
            <w:lang w:eastAsia="en-US"/>
          </w:rPr>
          <w:t>https://intime.com/blog/health-wellness/police-officers-build-resilience/</w:t>
        </w:r>
      </w:hyperlink>
      <w:r w:rsidRPr="008B155C">
        <w:rPr>
          <w:rFonts w:eastAsia="Calibri"/>
          <w:i/>
          <w:iCs/>
          <w:color w:val="auto"/>
          <w:sz w:val="22"/>
          <w:szCs w:val="22"/>
          <w:lang w:eastAsia="en-US"/>
        </w:rPr>
        <w:t xml:space="preserve"> (assessed 7</w:t>
      </w:r>
      <w:r w:rsidRPr="008B155C">
        <w:rPr>
          <w:rFonts w:eastAsia="Calibri"/>
          <w:i/>
          <w:iCs/>
          <w:color w:val="auto"/>
          <w:sz w:val="22"/>
          <w:szCs w:val="22"/>
          <w:vertAlign w:val="superscript"/>
          <w:lang w:eastAsia="en-US"/>
        </w:rPr>
        <w:t>th</w:t>
      </w:r>
      <w:r w:rsidRPr="008B155C">
        <w:rPr>
          <w:rFonts w:eastAsia="Calibri"/>
          <w:i/>
          <w:iCs/>
          <w:color w:val="auto"/>
          <w:sz w:val="22"/>
          <w:szCs w:val="22"/>
          <w:lang w:eastAsia="en-US"/>
        </w:rPr>
        <w:t xml:space="preserve"> February 2021).</w:t>
      </w:r>
    </w:p>
    <w:p w14:paraId="052C60F9" w14:textId="4EC36950"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162092">
        <w:rPr>
          <w:rFonts w:eastAsia="Calibri"/>
          <w:color w:val="auto"/>
          <w:sz w:val="22"/>
          <w:szCs w:val="22"/>
          <w:lang w:eastAsia="en-US"/>
        </w:rPr>
        <w:t xml:space="preserve">Office for Criminal Justice Reform (2011) </w:t>
      </w:r>
      <w:r w:rsidRPr="00162092">
        <w:rPr>
          <w:rFonts w:eastAsia="Calibri"/>
          <w:i/>
          <w:iCs/>
          <w:color w:val="auto"/>
          <w:sz w:val="22"/>
          <w:szCs w:val="22"/>
          <w:lang w:eastAsia="en-US"/>
        </w:rPr>
        <w:t>Initial Findings from a Review of the Use of Out</w:t>
      </w:r>
      <w:r w:rsidRPr="00162092">
        <w:rPr>
          <w:rFonts w:ascii="Cambria Math" w:eastAsia="Calibri" w:hAnsi="Cambria Math" w:cs="Cambria Math"/>
          <w:i/>
          <w:iCs/>
          <w:color w:val="auto"/>
          <w:sz w:val="22"/>
          <w:szCs w:val="22"/>
          <w:lang w:eastAsia="en-US"/>
        </w:rPr>
        <w:t>‐</w:t>
      </w:r>
      <w:r w:rsidRPr="00162092">
        <w:rPr>
          <w:rFonts w:eastAsia="Calibri"/>
          <w:i/>
          <w:iCs/>
          <w:color w:val="auto"/>
          <w:sz w:val="22"/>
          <w:szCs w:val="22"/>
          <w:lang w:eastAsia="en-US"/>
        </w:rPr>
        <w:t>of</w:t>
      </w:r>
      <w:r w:rsidRPr="00162092">
        <w:rPr>
          <w:rFonts w:ascii="Cambria Math" w:eastAsia="Calibri" w:hAnsi="Cambria Math" w:cs="Cambria Math"/>
          <w:i/>
          <w:iCs/>
          <w:color w:val="auto"/>
          <w:sz w:val="22"/>
          <w:szCs w:val="22"/>
          <w:lang w:eastAsia="en-US"/>
        </w:rPr>
        <w:t>‐</w:t>
      </w:r>
      <w:r w:rsidRPr="00162092">
        <w:rPr>
          <w:rFonts w:eastAsia="Calibri"/>
          <w:i/>
          <w:iCs/>
          <w:color w:val="auto"/>
          <w:sz w:val="22"/>
          <w:szCs w:val="22"/>
          <w:lang w:eastAsia="en-US"/>
        </w:rPr>
        <w:t>Court Disposals.</w:t>
      </w:r>
      <w:r w:rsidRPr="00162092">
        <w:rPr>
          <w:rFonts w:eastAsia="Calibri"/>
          <w:color w:val="auto"/>
          <w:sz w:val="22"/>
          <w:szCs w:val="22"/>
          <w:lang w:eastAsia="en-US"/>
        </w:rPr>
        <w:t xml:space="preserve">  </w:t>
      </w:r>
      <w:r w:rsidR="00162092">
        <w:rPr>
          <w:rFonts w:eastAsia="Calibri"/>
          <w:color w:val="auto"/>
          <w:sz w:val="22"/>
          <w:szCs w:val="22"/>
          <w:lang w:eastAsia="en-US"/>
        </w:rPr>
        <w:t>Available:</w:t>
      </w:r>
      <w:r w:rsidR="00162092" w:rsidRPr="00162092">
        <w:t xml:space="preserve"> </w:t>
      </w:r>
      <w:hyperlink r:id="rId76" w:history="1">
        <w:r w:rsidR="00162092" w:rsidRPr="00162092">
          <w:rPr>
            <w:rStyle w:val="Hyperlink"/>
            <w:rFonts w:eastAsia="Calibri"/>
            <w:i/>
            <w:iCs/>
            <w:sz w:val="22"/>
            <w:szCs w:val="22"/>
            <w:lang w:eastAsia="en-US"/>
          </w:rPr>
          <w:t>https://assets.publishing.service.gov.uk/government/uploads/system/uploads/attachment_data/file/217353/out-of-court-disposals-june2011.pdf</w:t>
        </w:r>
      </w:hyperlink>
      <w:r w:rsidR="00162092">
        <w:rPr>
          <w:rFonts w:eastAsia="Calibri"/>
          <w:color w:val="auto"/>
          <w:sz w:val="22"/>
          <w:szCs w:val="22"/>
          <w:lang w:eastAsia="en-US"/>
        </w:rPr>
        <w:t xml:space="preserve">  </w:t>
      </w:r>
      <w:r w:rsidRPr="00162092">
        <w:rPr>
          <w:rFonts w:eastAsia="Calibri"/>
          <w:color w:val="auto"/>
          <w:sz w:val="22"/>
          <w:szCs w:val="22"/>
          <w:lang w:eastAsia="en-US"/>
        </w:rPr>
        <w:t xml:space="preserve">Publisher:  London: Ministry of Justice. Published </w:t>
      </w:r>
      <w:r w:rsidR="00162092">
        <w:rPr>
          <w:rFonts w:eastAsia="Calibri"/>
          <w:color w:val="auto"/>
          <w:sz w:val="22"/>
          <w:szCs w:val="22"/>
          <w:lang w:eastAsia="en-US"/>
        </w:rPr>
        <w:t>February 2010</w:t>
      </w:r>
      <w:r w:rsidRPr="00162092">
        <w:rPr>
          <w:rFonts w:eastAsia="Calibri"/>
          <w:color w:val="auto"/>
          <w:sz w:val="22"/>
          <w:szCs w:val="22"/>
          <w:lang w:eastAsia="en-US"/>
        </w:rPr>
        <w:t>. (Accessed 4</w:t>
      </w:r>
      <w:r w:rsidRPr="00162092">
        <w:rPr>
          <w:rFonts w:eastAsia="Calibri"/>
          <w:color w:val="auto"/>
          <w:sz w:val="22"/>
          <w:szCs w:val="22"/>
          <w:vertAlign w:val="superscript"/>
          <w:lang w:eastAsia="en-US"/>
        </w:rPr>
        <w:t>th</w:t>
      </w:r>
      <w:r w:rsidRPr="00162092">
        <w:rPr>
          <w:rFonts w:eastAsia="Calibri"/>
          <w:color w:val="auto"/>
          <w:sz w:val="22"/>
          <w:szCs w:val="22"/>
          <w:lang w:eastAsia="en-US"/>
        </w:rPr>
        <w:t xml:space="preserve"> March 2021).</w:t>
      </w:r>
    </w:p>
    <w:p w14:paraId="1290D912"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Office of Police and Crime Commissioner – Gwent – New Community Remedy Rolls Out.  Available: </w:t>
      </w:r>
      <w:hyperlink r:id="rId77" w:history="1">
        <w:r w:rsidRPr="008B155C">
          <w:rPr>
            <w:rFonts w:eastAsia="Calibri"/>
            <w:color w:val="0563C1"/>
            <w:sz w:val="22"/>
            <w:szCs w:val="22"/>
            <w:u w:val="single"/>
            <w:lang w:eastAsia="en-US"/>
          </w:rPr>
          <w:t>https://gwent.pcc.police.uk/en/news-room/new-community-remedy-rolls-out/</w:t>
        </w:r>
      </w:hyperlink>
      <w:r w:rsidRPr="008B155C">
        <w:rPr>
          <w:rFonts w:eastAsia="Calibri"/>
          <w:color w:val="auto"/>
          <w:sz w:val="22"/>
          <w:szCs w:val="22"/>
          <w:lang w:eastAsia="en-US"/>
        </w:rPr>
        <w:t xml:space="preserve"> (Accessed 4</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March 2021).</w:t>
      </w:r>
    </w:p>
    <w:p w14:paraId="59E44C3F"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Psychology today (2021) </w:t>
      </w:r>
      <w:r w:rsidRPr="008B155C">
        <w:rPr>
          <w:rFonts w:eastAsia="Calibri"/>
          <w:i/>
          <w:iCs/>
          <w:color w:val="auto"/>
          <w:sz w:val="22"/>
          <w:szCs w:val="22"/>
          <w:lang w:eastAsia="en-US"/>
        </w:rPr>
        <w:t xml:space="preserve">Resilience. </w:t>
      </w:r>
      <w:r w:rsidRPr="008B155C">
        <w:rPr>
          <w:rFonts w:eastAsia="Calibri"/>
          <w:color w:val="auto"/>
          <w:sz w:val="22"/>
          <w:szCs w:val="22"/>
          <w:lang w:eastAsia="en-US"/>
        </w:rPr>
        <w:t xml:space="preserve">Available at: </w:t>
      </w:r>
      <w:hyperlink r:id="rId78" w:history="1">
        <w:r w:rsidRPr="008B155C">
          <w:rPr>
            <w:rFonts w:eastAsia="Calibri"/>
            <w:i/>
            <w:iCs/>
            <w:color w:val="0563C1"/>
            <w:sz w:val="22"/>
            <w:szCs w:val="22"/>
            <w:u w:val="single"/>
            <w:lang w:eastAsia="en-US"/>
          </w:rPr>
          <w:t>https://www.psychologytoday.com/us/basics/resilience</w:t>
        </w:r>
      </w:hyperlink>
      <w:r w:rsidRPr="008B155C">
        <w:rPr>
          <w:rFonts w:eastAsia="Calibri"/>
          <w:i/>
          <w:iCs/>
          <w:color w:val="auto"/>
          <w:sz w:val="22"/>
          <w:szCs w:val="22"/>
          <w:lang w:eastAsia="en-US"/>
        </w:rPr>
        <w:t>.  (</w:t>
      </w:r>
      <w:r w:rsidRPr="008B155C">
        <w:rPr>
          <w:rFonts w:eastAsia="Calibri"/>
          <w:color w:val="auto"/>
          <w:sz w:val="22"/>
          <w:szCs w:val="22"/>
          <w:lang w:eastAsia="en-US"/>
        </w:rPr>
        <w:t>Accessed at: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264DFC62"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Regina v Howell (1981) </w:t>
      </w:r>
      <w:r w:rsidRPr="008B155C">
        <w:rPr>
          <w:rFonts w:eastAsia="Calibri"/>
          <w:i/>
          <w:iCs/>
          <w:color w:val="auto"/>
          <w:sz w:val="22"/>
          <w:szCs w:val="22"/>
          <w:lang w:eastAsia="en-US"/>
        </w:rPr>
        <w:t>Court of Appeal.</w:t>
      </w:r>
      <w:r w:rsidRPr="008B155C">
        <w:rPr>
          <w:rFonts w:eastAsia="Calibri"/>
          <w:color w:val="auto"/>
          <w:sz w:val="22"/>
          <w:szCs w:val="22"/>
          <w:lang w:eastAsia="en-US"/>
        </w:rPr>
        <w:t xml:space="preserve"> Available at: </w:t>
      </w:r>
      <w:hyperlink r:id="rId79" w:history="1">
        <w:r w:rsidRPr="008B155C">
          <w:rPr>
            <w:rStyle w:val="Hyperlink"/>
            <w:rFonts w:eastAsia="Calibri"/>
            <w:i/>
            <w:iCs/>
            <w:sz w:val="22"/>
            <w:szCs w:val="22"/>
            <w:lang w:eastAsia="en-US"/>
          </w:rPr>
          <w:t>http://www.hrcr.org/safrica/arrested_rights/Regina_Howell.htm</w:t>
        </w:r>
      </w:hyperlink>
      <w:r w:rsidRPr="008B155C">
        <w:rPr>
          <w:rFonts w:eastAsia="Calibri"/>
          <w:color w:val="auto"/>
          <w:sz w:val="22"/>
          <w:szCs w:val="22"/>
          <w:lang w:eastAsia="en-US"/>
        </w:rPr>
        <w:t xml:space="preserve"> Published: 13</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April 2981.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18D7F9DF" w14:textId="167363B2"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Rowland, M. (2020).  </w:t>
      </w:r>
      <w:r w:rsidRPr="008B155C">
        <w:rPr>
          <w:rFonts w:eastAsia="Calibri"/>
          <w:i/>
          <w:iCs/>
          <w:color w:val="auto"/>
          <w:sz w:val="22"/>
          <w:szCs w:val="22"/>
          <w:lang w:eastAsia="en-US"/>
        </w:rPr>
        <w:t>Lessons</w:t>
      </w:r>
      <w:r w:rsidR="00F000F6">
        <w:rPr>
          <w:rFonts w:eastAsia="Calibri"/>
          <w:i/>
          <w:iCs/>
          <w:color w:val="auto"/>
          <w:sz w:val="22"/>
          <w:szCs w:val="22"/>
          <w:lang w:eastAsia="en-US"/>
        </w:rPr>
        <w:t xml:space="preserve"> o</w:t>
      </w:r>
      <w:r w:rsidRPr="008B155C">
        <w:rPr>
          <w:rFonts w:eastAsia="Calibri"/>
          <w:i/>
          <w:iCs/>
          <w:color w:val="auto"/>
          <w:sz w:val="22"/>
          <w:szCs w:val="22"/>
          <w:lang w:eastAsia="en-US"/>
        </w:rPr>
        <w:t xml:space="preserve">n </w:t>
      </w:r>
      <w:r w:rsidR="00F000F6">
        <w:rPr>
          <w:rFonts w:eastAsia="Calibri"/>
          <w:i/>
          <w:iCs/>
          <w:color w:val="auto"/>
          <w:sz w:val="22"/>
          <w:szCs w:val="22"/>
          <w:lang w:eastAsia="en-US"/>
        </w:rPr>
        <w:t>r</w:t>
      </w:r>
      <w:r w:rsidRPr="008B155C">
        <w:rPr>
          <w:rFonts w:eastAsia="Calibri"/>
          <w:i/>
          <w:iCs/>
          <w:color w:val="auto"/>
          <w:sz w:val="22"/>
          <w:szCs w:val="22"/>
          <w:lang w:eastAsia="en-US"/>
        </w:rPr>
        <w:t xml:space="preserve">esilience </w:t>
      </w:r>
      <w:r w:rsidR="00F000F6">
        <w:rPr>
          <w:rFonts w:eastAsia="Calibri"/>
          <w:i/>
          <w:iCs/>
          <w:color w:val="auto"/>
          <w:sz w:val="22"/>
          <w:szCs w:val="22"/>
          <w:lang w:eastAsia="en-US"/>
        </w:rPr>
        <w:t>f</w:t>
      </w:r>
      <w:r w:rsidRPr="008B155C">
        <w:rPr>
          <w:rFonts w:eastAsia="Calibri"/>
          <w:i/>
          <w:iCs/>
          <w:color w:val="auto"/>
          <w:sz w:val="22"/>
          <w:szCs w:val="22"/>
          <w:lang w:eastAsia="en-US"/>
        </w:rPr>
        <w:t xml:space="preserve">rom </w:t>
      </w:r>
      <w:r w:rsidR="00F000F6">
        <w:rPr>
          <w:rFonts w:eastAsia="Calibri"/>
          <w:i/>
          <w:iCs/>
          <w:color w:val="auto"/>
          <w:sz w:val="22"/>
          <w:szCs w:val="22"/>
          <w:lang w:eastAsia="en-US"/>
        </w:rPr>
        <w:t>a f</w:t>
      </w:r>
      <w:r w:rsidRPr="008B155C">
        <w:rPr>
          <w:rFonts w:eastAsia="Calibri"/>
          <w:i/>
          <w:iCs/>
          <w:color w:val="auto"/>
          <w:sz w:val="22"/>
          <w:szCs w:val="22"/>
          <w:lang w:eastAsia="en-US"/>
        </w:rPr>
        <w:t xml:space="preserve">ormer Senior Police Officer [blog].  </w:t>
      </w:r>
      <w:r w:rsidRPr="008B155C">
        <w:rPr>
          <w:rFonts w:eastAsia="Calibri"/>
          <w:color w:val="auto"/>
          <w:sz w:val="22"/>
          <w:szCs w:val="22"/>
          <w:lang w:eastAsia="en-US"/>
        </w:rPr>
        <w:t xml:space="preserve">Thursday 06 February 2020.  Available at: </w:t>
      </w:r>
      <w:hyperlink r:id="rId80" w:history="1">
        <w:r w:rsidRPr="008B155C">
          <w:rPr>
            <w:rFonts w:eastAsia="Calibri"/>
            <w:i/>
            <w:iCs/>
            <w:color w:val="0563C1"/>
            <w:sz w:val="22"/>
            <w:szCs w:val="22"/>
            <w:u w:val="single"/>
            <w:lang w:eastAsia="en-US"/>
          </w:rPr>
          <w:t>https://www.managers.org.uk/knowledge-and-insights/blog/lessons-on-resilience-from-a-former-senior-police-officer/</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(assessed at: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30999151"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Stripe, N. (2020) Office of national statistics:  Domestic abuse during the coronavirus (COVID-19) pandemic, England and Wales: November 2020 Available at: </w:t>
      </w:r>
      <w:hyperlink r:id="rId81" w:history="1">
        <w:r w:rsidRPr="00D438F7">
          <w:rPr>
            <w:rStyle w:val="Hyperlink"/>
            <w:rFonts w:eastAsia="Calibri"/>
            <w:i/>
            <w:iCs/>
            <w:sz w:val="22"/>
            <w:szCs w:val="22"/>
            <w:lang w:eastAsia="en-US"/>
          </w:rPr>
          <w:t>https://www.ons.gov.uk/peoplepopulationandcommunity/crimeandjustice/articles/domesticabuseduringthecoronaviruscovid19pandemicenglandandwales/november2020</w:t>
        </w:r>
      </w:hyperlink>
      <w:r w:rsidRPr="008B155C">
        <w:rPr>
          <w:rFonts w:eastAsia="Calibri"/>
          <w:color w:val="auto"/>
          <w:sz w:val="22"/>
          <w:szCs w:val="22"/>
          <w:lang w:eastAsia="en-US"/>
        </w:rPr>
        <w:t xml:space="preserve"> Published: 25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November 2020.  (Accessed 20</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0E6897D6"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Syed v Director of Public Prosecutions [2010] EWHC 81 (Admin) Available at: </w:t>
      </w:r>
      <w:hyperlink r:id="rId82" w:history="1">
        <w:r w:rsidRPr="008B155C">
          <w:rPr>
            <w:rStyle w:val="Hyperlink"/>
            <w:rFonts w:eastAsia="Calibri"/>
            <w:i/>
            <w:iCs/>
            <w:sz w:val="22"/>
            <w:szCs w:val="22"/>
            <w:lang w:eastAsia="en-US"/>
          </w:rPr>
          <w:t>http://www.bailii.org/ew/cases/EWHC/Admin/2010/81.html</w:t>
        </w:r>
      </w:hyperlink>
      <w:r w:rsidRPr="008B155C">
        <w:rPr>
          <w:rFonts w:eastAsia="Calibri"/>
          <w:color w:val="auto"/>
          <w:sz w:val="22"/>
          <w:szCs w:val="22"/>
          <w:lang w:eastAsia="en-US"/>
        </w:rPr>
        <w:t xml:space="preserve"> Published:13 January 2010.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5D95A430" w14:textId="30E7E63B"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lastRenderedPageBreak/>
        <w:t xml:space="preserve">Todd, C. (2018). </w:t>
      </w:r>
      <w:r w:rsidRPr="008B155C">
        <w:rPr>
          <w:rFonts w:eastAsia="Calibri"/>
          <w:i/>
          <w:iCs/>
          <w:color w:val="auto"/>
          <w:sz w:val="22"/>
          <w:szCs w:val="22"/>
          <w:lang w:eastAsia="en-US"/>
        </w:rPr>
        <w:t xml:space="preserve">Why police departments need to recruit for resiliency. </w:t>
      </w:r>
      <w:r w:rsidRPr="008B155C">
        <w:rPr>
          <w:rFonts w:eastAsia="Calibri"/>
          <w:color w:val="auto"/>
          <w:sz w:val="22"/>
          <w:szCs w:val="22"/>
          <w:lang w:eastAsia="en-US"/>
        </w:rPr>
        <w:t xml:space="preserve">Available at: </w:t>
      </w:r>
      <w:hyperlink r:id="rId83" w:history="1">
        <w:r w:rsidRPr="008B155C">
          <w:rPr>
            <w:rFonts w:eastAsia="Calibri"/>
            <w:i/>
            <w:iCs/>
            <w:color w:val="0563C1"/>
            <w:sz w:val="22"/>
            <w:szCs w:val="22"/>
            <w:u w:val="single"/>
            <w:lang w:eastAsia="en-US"/>
          </w:rPr>
          <w:t>https://www.police1.com/evergreen/articles/why-police-departments-need-to-recruit-for-resiliency-dGr0NxNryIEFtQ7V/</w:t>
        </w:r>
      </w:hyperlink>
      <w:r w:rsidRPr="008B155C">
        <w:rPr>
          <w:rFonts w:eastAsia="Calibri"/>
          <w:color w:val="auto"/>
          <w:sz w:val="22"/>
          <w:szCs w:val="22"/>
          <w:lang w:eastAsia="en-US"/>
        </w:rPr>
        <w:t xml:space="preserve"> Published: 8</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2018.  Publisher URL: </w:t>
      </w:r>
      <w:hyperlink r:id="rId84" w:history="1">
        <w:r w:rsidRPr="008B155C">
          <w:rPr>
            <w:rFonts w:eastAsia="Calibri"/>
            <w:i/>
            <w:iCs/>
            <w:color w:val="0563C1"/>
            <w:sz w:val="22"/>
            <w:szCs w:val="22"/>
            <w:u w:val="single"/>
            <w:lang w:eastAsia="en-US"/>
          </w:rPr>
          <w:t>https://www.police1.com</w:t>
        </w:r>
      </w:hyperlink>
      <w:r w:rsidRPr="008B155C">
        <w:rPr>
          <w:rFonts w:eastAsia="Calibri"/>
          <w:color w:val="auto"/>
          <w:sz w:val="22"/>
          <w:szCs w:val="22"/>
          <w:lang w:eastAsia="en-US"/>
        </w:rPr>
        <w:t xml:space="preserve"> </w:t>
      </w:r>
      <w:r w:rsidR="00F000F6">
        <w:rPr>
          <w:rFonts w:eastAsia="Calibri"/>
          <w:color w:val="auto"/>
          <w:sz w:val="22"/>
          <w:szCs w:val="22"/>
          <w:lang w:eastAsia="en-US"/>
        </w:rPr>
        <w:t>(Accessed 10</w:t>
      </w:r>
      <w:r w:rsidR="00F000F6" w:rsidRPr="00F000F6">
        <w:rPr>
          <w:rFonts w:eastAsia="Calibri"/>
          <w:color w:val="auto"/>
          <w:sz w:val="22"/>
          <w:szCs w:val="22"/>
          <w:vertAlign w:val="superscript"/>
          <w:lang w:eastAsia="en-US"/>
        </w:rPr>
        <w:t>th</w:t>
      </w:r>
      <w:r w:rsidR="00F000F6">
        <w:rPr>
          <w:rFonts w:eastAsia="Calibri"/>
          <w:color w:val="auto"/>
          <w:sz w:val="22"/>
          <w:szCs w:val="22"/>
          <w:lang w:eastAsia="en-US"/>
        </w:rPr>
        <w:t xml:space="preserve"> March 2021).</w:t>
      </w:r>
    </w:p>
    <w:p w14:paraId="50C8AF29" w14:textId="77777777" w:rsidR="00B0318F" w:rsidRPr="008B155C" w:rsidRDefault="00B0318F" w:rsidP="00B0318F">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UK Constable’ Blog (2012). </w:t>
      </w:r>
      <w:r w:rsidRPr="008B155C">
        <w:rPr>
          <w:rFonts w:eastAsia="Calibri"/>
          <w:i/>
          <w:iCs/>
          <w:color w:val="auto"/>
          <w:sz w:val="22"/>
          <w:szCs w:val="22"/>
          <w:lang w:eastAsia="en-US"/>
        </w:rPr>
        <w:t>Stop &amp; Search – GOWISELY</w:t>
      </w:r>
      <w:r w:rsidRPr="008B155C">
        <w:rPr>
          <w:rFonts w:eastAsia="Calibri"/>
          <w:color w:val="auto"/>
          <w:sz w:val="22"/>
          <w:szCs w:val="22"/>
          <w:lang w:eastAsia="en-US"/>
        </w:rPr>
        <w:t xml:space="preserve">. Available: </w:t>
      </w:r>
      <w:hyperlink r:id="rId85" w:history="1">
        <w:r w:rsidRPr="008B155C">
          <w:rPr>
            <w:rFonts w:eastAsia="Calibri"/>
            <w:i/>
            <w:iCs/>
            <w:color w:val="0563C1"/>
            <w:sz w:val="22"/>
            <w:szCs w:val="22"/>
            <w:u w:val="single"/>
            <w:lang w:eastAsia="en-US"/>
          </w:rPr>
          <w:t>https://ukconstable.wordpress.com/2012/12/15/stop-search-gowisely/</w:t>
        </w:r>
      </w:hyperlink>
      <w:r w:rsidRPr="008B155C">
        <w:rPr>
          <w:rFonts w:eastAsia="Calibri"/>
          <w:color w:val="auto"/>
          <w:sz w:val="22"/>
          <w:szCs w:val="22"/>
          <w:lang w:eastAsia="en-US"/>
        </w:rPr>
        <w:t xml:space="preserve"> Published: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December 2012. (Accessed 1</w:t>
      </w:r>
      <w:r w:rsidRPr="008B155C">
        <w:rPr>
          <w:rFonts w:eastAsia="Calibri"/>
          <w:color w:val="auto"/>
          <w:sz w:val="22"/>
          <w:szCs w:val="22"/>
          <w:vertAlign w:val="superscript"/>
          <w:lang w:eastAsia="en-US"/>
        </w:rPr>
        <w:t>st</w:t>
      </w:r>
      <w:r w:rsidRPr="008B155C">
        <w:rPr>
          <w:rFonts w:eastAsia="Calibri"/>
          <w:color w:val="auto"/>
          <w:sz w:val="22"/>
          <w:szCs w:val="22"/>
          <w:lang w:eastAsia="en-US"/>
        </w:rPr>
        <w:t xml:space="preserve"> March 2021).</w:t>
      </w:r>
    </w:p>
    <w:p w14:paraId="3DF49D0C"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Umbrella Cymru (2021). </w:t>
      </w:r>
      <w:r w:rsidRPr="008B155C">
        <w:rPr>
          <w:rFonts w:eastAsia="Calibri"/>
          <w:i/>
          <w:iCs/>
          <w:color w:val="auto"/>
          <w:sz w:val="22"/>
          <w:szCs w:val="22"/>
          <w:lang w:eastAsia="en-US"/>
        </w:rPr>
        <w:t>Connect Gwent.</w:t>
      </w:r>
      <w:r w:rsidRPr="008B155C">
        <w:rPr>
          <w:rFonts w:eastAsia="Calibri"/>
          <w:color w:val="auto"/>
          <w:sz w:val="22"/>
          <w:szCs w:val="22"/>
          <w:lang w:eastAsia="en-US"/>
        </w:rPr>
        <w:t xml:space="preserve">  Available at:</w:t>
      </w:r>
      <w:r w:rsidRPr="008B155C">
        <w:rPr>
          <w:rFonts w:eastAsia="Calibri"/>
          <w:i/>
          <w:iCs/>
          <w:color w:val="auto"/>
          <w:sz w:val="22"/>
          <w:szCs w:val="22"/>
          <w:lang w:eastAsia="en-US"/>
        </w:rPr>
        <w:t xml:space="preserve"> </w:t>
      </w:r>
      <w:hyperlink r:id="rId86" w:history="1">
        <w:r w:rsidRPr="008B155C">
          <w:rPr>
            <w:rStyle w:val="Hyperlink"/>
            <w:rFonts w:eastAsia="Calibri"/>
            <w:i/>
            <w:iCs/>
            <w:sz w:val="22"/>
            <w:szCs w:val="22"/>
            <w:lang w:eastAsia="en-US"/>
          </w:rPr>
          <w:t>https://www.umbrellacymru.co.uk/connect-gwent/</w:t>
        </w:r>
      </w:hyperlink>
      <w:r w:rsidRPr="008B155C">
        <w:rPr>
          <w:rFonts w:eastAsia="Calibri"/>
          <w:color w:val="auto"/>
          <w:sz w:val="22"/>
          <w:szCs w:val="22"/>
          <w:lang w:eastAsia="en-US"/>
        </w:rPr>
        <w:t xml:space="preserve"> (Accessed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  </w:t>
      </w:r>
    </w:p>
    <w:p w14:paraId="6C39B770"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Victim Support (2006), </w:t>
      </w:r>
      <w:r w:rsidRPr="008B155C">
        <w:rPr>
          <w:rFonts w:eastAsia="Calibri"/>
          <w:i/>
          <w:iCs/>
          <w:color w:val="auto"/>
          <w:sz w:val="22"/>
          <w:szCs w:val="22"/>
          <w:lang w:eastAsia="en-US"/>
        </w:rPr>
        <w:t>Victims’ code.</w:t>
      </w:r>
      <w:r w:rsidRPr="008B155C">
        <w:rPr>
          <w:rFonts w:eastAsia="Calibri"/>
          <w:color w:val="auto"/>
          <w:sz w:val="22"/>
          <w:szCs w:val="22"/>
          <w:lang w:eastAsia="en-US"/>
        </w:rPr>
        <w:t xml:space="preserve">  Available at: </w:t>
      </w:r>
      <w:hyperlink r:id="rId87" w:history="1">
        <w:r w:rsidRPr="008B155C">
          <w:rPr>
            <w:rStyle w:val="Hyperlink"/>
            <w:rFonts w:eastAsia="Calibri"/>
            <w:i/>
            <w:iCs/>
            <w:sz w:val="22"/>
            <w:szCs w:val="22"/>
            <w:lang w:eastAsia="en-US"/>
          </w:rPr>
          <w:t>https://www.victimsupport.org.uk/help-and-support/your-rights/victims-code</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(Accessed 15th February 2021).</w:t>
      </w:r>
    </w:p>
    <w:p w14:paraId="7D3F3AF8"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Victim support. </w:t>
      </w:r>
      <w:r w:rsidRPr="00F7607C">
        <w:rPr>
          <w:rFonts w:eastAsia="Calibri"/>
          <w:i/>
          <w:iCs/>
          <w:color w:val="auto"/>
          <w:sz w:val="22"/>
          <w:szCs w:val="22"/>
          <w:lang w:eastAsia="en-US"/>
        </w:rPr>
        <w:t>Victim’s code</w:t>
      </w:r>
      <w:r w:rsidRPr="008B155C">
        <w:rPr>
          <w:rFonts w:eastAsia="Calibri"/>
          <w:color w:val="auto"/>
          <w:sz w:val="22"/>
          <w:szCs w:val="22"/>
          <w:lang w:eastAsia="en-US"/>
        </w:rPr>
        <w:t xml:space="preserve">. Available at: </w:t>
      </w:r>
      <w:hyperlink r:id="rId88" w:history="1">
        <w:r w:rsidRPr="00F7607C">
          <w:rPr>
            <w:rStyle w:val="Hyperlink"/>
            <w:rFonts w:eastAsia="Calibri"/>
            <w:i/>
            <w:iCs/>
            <w:sz w:val="22"/>
            <w:szCs w:val="22"/>
            <w:lang w:eastAsia="en-US"/>
          </w:rPr>
          <w:t>https://www.victimsupport.org.uk/help-and-support/your-rights/victims-code</w:t>
        </w:r>
      </w:hyperlink>
      <w:r w:rsidRPr="008B155C">
        <w:rPr>
          <w:rFonts w:eastAsia="Calibri"/>
          <w:color w:val="auto"/>
          <w:sz w:val="22"/>
          <w:szCs w:val="22"/>
          <w:lang w:eastAsia="en-US"/>
        </w:rPr>
        <w:t xml:space="preserve"> (Accessed 17th February 2021).</w:t>
      </w:r>
    </w:p>
    <w:p w14:paraId="7DC642E3"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Ward, S. (2020</w:t>
      </w:r>
      <w:r w:rsidRPr="008B155C">
        <w:rPr>
          <w:rFonts w:eastAsia="Calibri"/>
          <w:i/>
          <w:iCs/>
          <w:color w:val="auto"/>
          <w:sz w:val="22"/>
          <w:szCs w:val="22"/>
          <w:lang w:eastAsia="en-US"/>
        </w:rPr>
        <w:t xml:space="preserve">) Small business – What is work-life balance? Definition and examples of work-life balance. </w:t>
      </w:r>
      <w:r w:rsidRPr="008B155C">
        <w:rPr>
          <w:rFonts w:eastAsia="Calibri"/>
          <w:color w:val="auto"/>
          <w:sz w:val="22"/>
          <w:szCs w:val="22"/>
          <w:lang w:eastAsia="en-US"/>
        </w:rPr>
        <w:t xml:space="preserve">Available at: </w:t>
      </w:r>
      <w:hyperlink r:id="rId89" w:history="1">
        <w:r w:rsidRPr="00F7607C">
          <w:rPr>
            <w:rFonts w:eastAsia="Calibri"/>
            <w:i/>
            <w:iCs/>
            <w:color w:val="0563C1"/>
            <w:sz w:val="22"/>
            <w:szCs w:val="22"/>
            <w:u w:val="single"/>
            <w:lang w:eastAsia="en-US"/>
          </w:rPr>
          <w:t>https://www.thebalancesmb.com/work-life-balance-2948691</w:t>
        </w:r>
      </w:hyperlink>
      <w:r w:rsidRPr="008B155C">
        <w:rPr>
          <w:rFonts w:eastAsia="Calibri"/>
          <w:color w:val="auto"/>
          <w:sz w:val="22"/>
          <w:szCs w:val="22"/>
          <w:lang w:eastAsia="en-US"/>
        </w:rPr>
        <w:t xml:space="preserve"> Published: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September 2020 (accessed 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3A00F5FA" w14:textId="77777777"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Williamson, A., &amp; Newell, R. (2018) </w:t>
      </w:r>
      <w:r w:rsidRPr="008B155C">
        <w:rPr>
          <w:rFonts w:eastAsia="Calibri"/>
          <w:i/>
          <w:iCs/>
          <w:color w:val="auto"/>
          <w:sz w:val="22"/>
          <w:szCs w:val="22"/>
          <w:lang w:eastAsia="en-US"/>
        </w:rPr>
        <w:t xml:space="preserve">Breaking Mad: The Insider's Guide to Conquering Anxiety.  </w:t>
      </w:r>
      <w:r w:rsidRPr="008B155C">
        <w:rPr>
          <w:rFonts w:eastAsia="Calibri"/>
          <w:color w:val="auto"/>
          <w:sz w:val="22"/>
          <w:szCs w:val="22"/>
          <w:lang w:eastAsia="en-US"/>
        </w:rPr>
        <w:t>Available at</w:t>
      </w:r>
      <w:r w:rsidRPr="008B155C">
        <w:rPr>
          <w:rFonts w:eastAsia="Calibri"/>
          <w:i/>
          <w:iCs/>
          <w:color w:val="auto"/>
          <w:sz w:val="22"/>
          <w:szCs w:val="22"/>
          <w:lang w:eastAsia="en-US"/>
        </w:rPr>
        <w:t>:</w:t>
      </w:r>
      <w:r w:rsidRPr="008B155C">
        <w:rPr>
          <w:rFonts w:eastAsia="Calibri"/>
          <w:color w:val="auto"/>
          <w:sz w:val="22"/>
          <w:szCs w:val="22"/>
          <w:lang w:eastAsia="en-US"/>
        </w:rPr>
        <w:t xml:space="preserve"> </w:t>
      </w:r>
      <w:hyperlink r:id="rId90" w:history="1">
        <w:r w:rsidRPr="00F7607C">
          <w:rPr>
            <w:rFonts w:eastAsia="Calibri"/>
            <w:i/>
            <w:iCs/>
            <w:color w:val="0563C1"/>
            <w:sz w:val="22"/>
            <w:szCs w:val="22"/>
            <w:u w:val="single"/>
            <w:lang w:eastAsia="en-US"/>
          </w:rPr>
          <w:t>https://r1.vlereader.com/Reader?ean=9781472937698</w:t>
        </w:r>
      </w:hyperlink>
      <w:r w:rsidRPr="00F7607C">
        <w:rPr>
          <w:rFonts w:eastAsia="Calibri"/>
          <w:i/>
          <w:iCs/>
          <w:color w:val="auto"/>
          <w:sz w:val="22"/>
          <w:szCs w:val="22"/>
          <w:lang w:eastAsia="en-US"/>
        </w:rPr>
        <w:t xml:space="preserve"> </w:t>
      </w:r>
      <w:r w:rsidRPr="008B155C">
        <w:rPr>
          <w:rFonts w:eastAsia="Calibri"/>
          <w:color w:val="auto"/>
          <w:sz w:val="22"/>
          <w:szCs w:val="22"/>
          <w:lang w:eastAsia="en-US"/>
        </w:rPr>
        <w:t>Publisher: London: Green Tree.  Published: 23.02.2018. Publisher location: London. Page 9-209.  DOI: 978472937711 (Accessed 15</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January 2021).  </w:t>
      </w:r>
    </w:p>
    <w:p w14:paraId="51E946DE" w14:textId="77777777" w:rsidR="00B0318F" w:rsidRPr="008B155C" w:rsidRDefault="00B0318F" w:rsidP="0012033E">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Women’s aid (2020) </w:t>
      </w:r>
      <w:r w:rsidRPr="008B155C">
        <w:rPr>
          <w:rFonts w:eastAsia="Calibri"/>
          <w:i/>
          <w:iCs/>
          <w:color w:val="auto"/>
          <w:sz w:val="22"/>
          <w:szCs w:val="22"/>
          <w:lang w:eastAsia="en-US"/>
        </w:rPr>
        <w:t>Operation Encompass.</w:t>
      </w:r>
      <w:r w:rsidRPr="008B155C">
        <w:rPr>
          <w:rFonts w:eastAsia="Calibri"/>
          <w:color w:val="auto"/>
          <w:sz w:val="22"/>
          <w:szCs w:val="22"/>
          <w:lang w:eastAsia="en-US"/>
        </w:rPr>
        <w:t xml:space="preserve"> Available at: </w:t>
      </w:r>
      <w:hyperlink r:id="rId91" w:history="1">
        <w:r w:rsidRPr="008B155C">
          <w:rPr>
            <w:rStyle w:val="Hyperlink"/>
            <w:rFonts w:eastAsia="Calibri"/>
            <w:i/>
            <w:iCs/>
            <w:sz w:val="22"/>
            <w:szCs w:val="22"/>
            <w:lang w:eastAsia="en-US"/>
          </w:rPr>
          <w:t>https://www.womensaid.org.uk/what-we-do/operation-encompass/</w:t>
        </w:r>
      </w:hyperlink>
      <w:r w:rsidRPr="008B155C">
        <w:rPr>
          <w:rFonts w:eastAsia="Calibri"/>
          <w:i/>
          <w:iCs/>
          <w:color w:val="auto"/>
          <w:sz w:val="22"/>
          <w:szCs w:val="22"/>
          <w:lang w:eastAsia="en-US"/>
        </w:rPr>
        <w:t xml:space="preserve"> </w:t>
      </w:r>
      <w:r w:rsidRPr="008B155C">
        <w:rPr>
          <w:rFonts w:eastAsia="Calibri"/>
          <w:color w:val="auto"/>
          <w:sz w:val="22"/>
          <w:szCs w:val="22"/>
          <w:lang w:eastAsia="en-US"/>
        </w:rPr>
        <w:t>(Accessed 17</w:t>
      </w:r>
      <w:r w:rsidRPr="008B155C">
        <w:rPr>
          <w:rFonts w:eastAsia="Calibri"/>
          <w:color w:val="auto"/>
          <w:sz w:val="22"/>
          <w:szCs w:val="22"/>
          <w:vertAlign w:val="superscript"/>
          <w:lang w:eastAsia="en-US"/>
        </w:rPr>
        <w:t>th</w:t>
      </w:r>
      <w:r w:rsidRPr="008B155C">
        <w:rPr>
          <w:rFonts w:eastAsia="Calibri"/>
          <w:color w:val="auto"/>
          <w:sz w:val="22"/>
          <w:szCs w:val="22"/>
          <w:lang w:eastAsia="en-US"/>
        </w:rPr>
        <w:t xml:space="preserve"> February 2021).</w:t>
      </w:r>
    </w:p>
    <w:p w14:paraId="7D50A4B0" w14:textId="261D62D6" w:rsidR="00B0318F" w:rsidRPr="008B155C" w:rsidRDefault="00B0318F" w:rsidP="00013B87">
      <w:pPr>
        <w:overflowPunct/>
        <w:autoSpaceDE/>
        <w:autoSpaceDN/>
        <w:adjustRightInd/>
        <w:spacing w:after="160" w:line="259" w:lineRule="auto"/>
        <w:textAlignment w:val="auto"/>
        <w:rPr>
          <w:rFonts w:eastAsia="Calibri"/>
          <w:color w:val="auto"/>
          <w:sz w:val="22"/>
          <w:szCs w:val="22"/>
          <w:lang w:eastAsia="en-US"/>
        </w:rPr>
      </w:pPr>
      <w:r w:rsidRPr="008B155C">
        <w:rPr>
          <w:rFonts w:eastAsia="Calibri"/>
          <w:color w:val="auto"/>
          <w:sz w:val="22"/>
          <w:szCs w:val="22"/>
          <w:lang w:eastAsia="en-US"/>
        </w:rPr>
        <w:t xml:space="preserve">Zeidner, M. &amp; Saklofske, D. (1996) </w:t>
      </w:r>
      <w:r w:rsidRPr="008B155C">
        <w:rPr>
          <w:rFonts w:eastAsia="Calibri"/>
          <w:i/>
          <w:iCs/>
          <w:color w:val="auto"/>
          <w:sz w:val="22"/>
          <w:szCs w:val="22"/>
          <w:lang w:eastAsia="en-US"/>
        </w:rPr>
        <w:t xml:space="preserve">Handbook of coping: Theory, research, applications: Adaptive and maladaptive coping. </w:t>
      </w:r>
      <w:r w:rsidRPr="008B155C">
        <w:rPr>
          <w:rFonts w:eastAsia="Calibri"/>
          <w:color w:val="auto"/>
          <w:sz w:val="22"/>
          <w:szCs w:val="22"/>
          <w:lang w:eastAsia="en-US"/>
        </w:rPr>
        <w:t xml:space="preserve">Available at: </w:t>
      </w:r>
      <w:hyperlink r:id="rId92" w:anchor="v=onepage&amp;q&amp;f=false" w:history="1">
        <w:r w:rsidRPr="00F7607C">
          <w:rPr>
            <w:rFonts w:eastAsia="Calibri"/>
            <w:i/>
            <w:iCs/>
            <w:color w:val="0563C1"/>
            <w:sz w:val="22"/>
            <w:szCs w:val="22"/>
            <w:u w:val="single"/>
            <w:lang w:eastAsia="en-US"/>
          </w:rPr>
          <w:t>https://books.google.co.uk/books?hl=en&amp;lr=&amp;id=IZWHsi0DwZIC&amp;oi=fnd&amp;pg=PA3&amp;dq=Adaptive+and+maladaptive+coping.++In+M.Zeidner+%26+N.+S.+Endler+(eds),+Handbook+of+coping:+Theory,+research,+applications.&amp;ots=ZN3UiJa33o&amp;sig=K4F_7X- bq9q4jZ8zNlvsSDnYu1M#v=onepage&amp;q&amp;f=false</w:t>
        </w:r>
      </w:hyperlink>
      <w:r w:rsidRPr="008B155C">
        <w:rPr>
          <w:rFonts w:eastAsia="Calibri"/>
          <w:color w:val="auto"/>
          <w:sz w:val="22"/>
          <w:szCs w:val="22"/>
          <w:lang w:eastAsia="en-US"/>
        </w:rPr>
        <w:t xml:space="preserve">  Published location: New York.  Publisher: John Wiley &amp; Sons LTD, Pages.31-505 (Accessed January 11</w:t>
      </w:r>
      <w:r w:rsidRPr="008B155C">
        <w:rPr>
          <w:rFonts w:eastAsia="Calibri"/>
          <w:color w:val="auto"/>
          <w:sz w:val="22"/>
          <w:szCs w:val="22"/>
          <w:vertAlign w:val="superscript"/>
          <w:lang w:eastAsia="en-US"/>
        </w:rPr>
        <w:t>th</w:t>
      </w:r>
      <w:r w:rsidR="00D438F7" w:rsidRPr="008B155C">
        <w:rPr>
          <w:rFonts w:eastAsia="Calibri"/>
          <w:color w:val="auto"/>
          <w:sz w:val="22"/>
          <w:szCs w:val="22"/>
          <w:lang w:eastAsia="en-US"/>
        </w:rPr>
        <w:t>, 2021</w:t>
      </w:r>
      <w:r w:rsidRPr="008B155C">
        <w:rPr>
          <w:rFonts w:eastAsia="Calibri"/>
          <w:color w:val="auto"/>
          <w:sz w:val="22"/>
          <w:szCs w:val="22"/>
          <w:lang w:eastAsia="en-US"/>
        </w:rPr>
        <w:t>).</w:t>
      </w:r>
    </w:p>
    <w:p w14:paraId="250CF227" w14:textId="532B6E40"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7371C53E" w:rsidR="28A9B94D" w:rsidRDefault="00013B87">
      <w:r>
        <w:rPr>
          <w:rFonts w:eastAsia="Arial"/>
          <w:b/>
          <w:bCs/>
          <w:noProof/>
          <w:sz w:val="24"/>
          <w:szCs w:val="24"/>
        </w:rPr>
        <mc:AlternateContent>
          <mc:Choice Requires="wpi">
            <w:drawing>
              <wp:anchor distT="0" distB="0" distL="114300" distR="114300" simplePos="0" relativeHeight="251659264" behindDoc="0" locked="0" layoutInCell="1" allowOverlap="1" wp14:anchorId="6EA8BF40" wp14:editId="47AA916D">
                <wp:simplePos x="0" y="0"/>
                <wp:positionH relativeFrom="column">
                  <wp:posOffset>594400</wp:posOffset>
                </wp:positionH>
                <wp:positionV relativeFrom="paragraph">
                  <wp:posOffset>-87905</wp:posOffset>
                </wp:positionV>
                <wp:extent cx="1690200" cy="402120"/>
                <wp:effectExtent l="38100" t="38100" r="43815" b="55245"/>
                <wp:wrapNone/>
                <wp:docPr id="5" name="Ink 5"/>
                <wp:cNvGraphicFramePr/>
                <a:graphic xmlns:a="http://schemas.openxmlformats.org/drawingml/2006/main">
                  <a:graphicData uri="http://schemas.microsoft.com/office/word/2010/wordprocessingInk">
                    <w14:contentPart bwMode="auto" r:id="rId93">
                      <w14:nvContentPartPr>
                        <w14:cNvContentPartPr/>
                      </w14:nvContentPartPr>
                      <w14:xfrm>
                        <a:off x="0" y="0"/>
                        <a:ext cx="1690200" cy="402120"/>
                      </w14:xfrm>
                    </w14:contentPart>
                  </a:graphicData>
                </a:graphic>
              </wp:anchor>
            </w:drawing>
          </mc:Choice>
          <mc:Fallback>
            <w:pict>
              <v:shapetype w14:anchorId="4224D16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6.1pt;margin-top:-7.6pt;width:134.55pt;height:33.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">
                <v:imagedata r:id="rId94" o:title=""/>
              </v:shape>
            </w:pict>
          </mc:Fallback>
        </mc:AlternateContent>
      </w:r>
      <w:r w:rsidR="28A9B94D"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804135A" w:rsidR="28A9B94D" w:rsidRDefault="28A9B94D" w:rsidP="28A9B94D">
      <w:pPr>
        <w:jc w:val="both"/>
      </w:pPr>
      <w:r w:rsidRPr="28A9B94D">
        <w:rPr>
          <w:rFonts w:eastAsia="Arial"/>
          <w:sz w:val="24"/>
          <w:szCs w:val="24"/>
        </w:rPr>
        <w:t xml:space="preserve">Date: </w:t>
      </w:r>
      <w:r w:rsidR="00D438F7">
        <w:rPr>
          <w:rFonts w:eastAsia="Arial"/>
          <w:sz w:val="24"/>
          <w:szCs w:val="24"/>
        </w:rPr>
        <w:t>09</w:t>
      </w:r>
      <w:r w:rsidR="00621A4B">
        <w:rPr>
          <w:rFonts w:eastAsia="Arial"/>
          <w:sz w:val="24"/>
          <w:szCs w:val="24"/>
        </w:rPr>
        <w:t>.03.2021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657832" w:rsidRDefault="00657832">
      <w:r>
        <w:separator/>
      </w:r>
    </w:p>
  </w:endnote>
  <w:endnote w:type="continuationSeparator" w:id="0">
    <w:p w14:paraId="1B867723" w14:textId="77777777" w:rsidR="00657832" w:rsidRDefault="00657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657832" w:rsidRDefault="006578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24F4BBDD" w:rsidR="00657832" w:rsidRDefault="0065783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57832" w:rsidRPr="00BB5EAA" w:rsidRDefault="0065783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657832" w:rsidRDefault="00657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657832" w:rsidRDefault="00657832">
      <w:r>
        <w:separator/>
      </w:r>
    </w:p>
  </w:footnote>
  <w:footnote w:type="continuationSeparator" w:id="0">
    <w:p w14:paraId="09396778" w14:textId="77777777" w:rsidR="00657832" w:rsidRDefault="006578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657832" w:rsidRDefault="006578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657832" w:rsidRDefault="006578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657832" w:rsidRDefault="006578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682"/>
    <w:rsid w:val="00013B87"/>
    <w:rsid w:val="00020EEC"/>
    <w:rsid w:val="00025650"/>
    <w:rsid w:val="00027B1F"/>
    <w:rsid w:val="0003088B"/>
    <w:rsid w:val="000325D9"/>
    <w:rsid w:val="00035809"/>
    <w:rsid w:val="000372B2"/>
    <w:rsid w:val="0004079F"/>
    <w:rsid w:val="00045B87"/>
    <w:rsid w:val="00045C07"/>
    <w:rsid w:val="00054483"/>
    <w:rsid w:val="00055D43"/>
    <w:rsid w:val="00056FAC"/>
    <w:rsid w:val="00057751"/>
    <w:rsid w:val="00057F85"/>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60F"/>
    <w:rsid w:val="00114F52"/>
    <w:rsid w:val="0012033E"/>
    <w:rsid w:val="00125100"/>
    <w:rsid w:val="001347F8"/>
    <w:rsid w:val="00137BB5"/>
    <w:rsid w:val="00137E05"/>
    <w:rsid w:val="001447F6"/>
    <w:rsid w:val="00147DE3"/>
    <w:rsid w:val="00150794"/>
    <w:rsid w:val="001608C4"/>
    <w:rsid w:val="00162092"/>
    <w:rsid w:val="00171418"/>
    <w:rsid w:val="0018679F"/>
    <w:rsid w:val="001961CF"/>
    <w:rsid w:val="001A4299"/>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276A"/>
    <w:rsid w:val="002246A0"/>
    <w:rsid w:val="00224AF9"/>
    <w:rsid w:val="00230439"/>
    <w:rsid w:val="002333C2"/>
    <w:rsid w:val="00235176"/>
    <w:rsid w:val="00236061"/>
    <w:rsid w:val="00240643"/>
    <w:rsid w:val="0024100E"/>
    <w:rsid w:val="00241C1B"/>
    <w:rsid w:val="0024288B"/>
    <w:rsid w:val="0025394E"/>
    <w:rsid w:val="002548AC"/>
    <w:rsid w:val="00255D8E"/>
    <w:rsid w:val="002657E9"/>
    <w:rsid w:val="0026665E"/>
    <w:rsid w:val="00270EEB"/>
    <w:rsid w:val="0027147E"/>
    <w:rsid w:val="002761F4"/>
    <w:rsid w:val="002775E1"/>
    <w:rsid w:val="00277844"/>
    <w:rsid w:val="00277979"/>
    <w:rsid w:val="002808EB"/>
    <w:rsid w:val="00290E9A"/>
    <w:rsid w:val="00291ADD"/>
    <w:rsid w:val="00294868"/>
    <w:rsid w:val="00295CA1"/>
    <w:rsid w:val="002A291A"/>
    <w:rsid w:val="002A5604"/>
    <w:rsid w:val="002B1701"/>
    <w:rsid w:val="002B23C3"/>
    <w:rsid w:val="002B443A"/>
    <w:rsid w:val="002B5B35"/>
    <w:rsid w:val="002C256A"/>
    <w:rsid w:val="002C496D"/>
    <w:rsid w:val="002D05EB"/>
    <w:rsid w:val="002D2F29"/>
    <w:rsid w:val="002D3A28"/>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205F"/>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208F"/>
    <w:rsid w:val="003F1A37"/>
    <w:rsid w:val="004046F0"/>
    <w:rsid w:val="0040668F"/>
    <w:rsid w:val="0040712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12D1"/>
    <w:rsid w:val="004A2A49"/>
    <w:rsid w:val="004B336A"/>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4F7D49"/>
    <w:rsid w:val="00500748"/>
    <w:rsid w:val="005011D6"/>
    <w:rsid w:val="0050167A"/>
    <w:rsid w:val="005042F1"/>
    <w:rsid w:val="00504B92"/>
    <w:rsid w:val="00513C7D"/>
    <w:rsid w:val="00521123"/>
    <w:rsid w:val="00521221"/>
    <w:rsid w:val="0052653C"/>
    <w:rsid w:val="00533D83"/>
    <w:rsid w:val="00536FA9"/>
    <w:rsid w:val="005414F4"/>
    <w:rsid w:val="00546187"/>
    <w:rsid w:val="005463F1"/>
    <w:rsid w:val="00556B03"/>
    <w:rsid w:val="00557D77"/>
    <w:rsid w:val="00562EAA"/>
    <w:rsid w:val="00563B58"/>
    <w:rsid w:val="005640C4"/>
    <w:rsid w:val="0056684C"/>
    <w:rsid w:val="00574A0C"/>
    <w:rsid w:val="00575A8F"/>
    <w:rsid w:val="00576E4C"/>
    <w:rsid w:val="0057780F"/>
    <w:rsid w:val="00581E0A"/>
    <w:rsid w:val="00586D89"/>
    <w:rsid w:val="00587351"/>
    <w:rsid w:val="005916B8"/>
    <w:rsid w:val="005A1B4C"/>
    <w:rsid w:val="005A545C"/>
    <w:rsid w:val="005B1544"/>
    <w:rsid w:val="005B4B6C"/>
    <w:rsid w:val="005C1567"/>
    <w:rsid w:val="005C6CE5"/>
    <w:rsid w:val="005C6E3A"/>
    <w:rsid w:val="005D3F07"/>
    <w:rsid w:val="005D6686"/>
    <w:rsid w:val="005E13EA"/>
    <w:rsid w:val="00604116"/>
    <w:rsid w:val="00606E27"/>
    <w:rsid w:val="006108C9"/>
    <w:rsid w:val="00616D7F"/>
    <w:rsid w:val="0062158D"/>
    <w:rsid w:val="00621A4B"/>
    <w:rsid w:val="00630F39"/>
    <w:rsid w:val="006326D1"/>
    <w:rsid w:val="00632E0A"/>
    <w:rsid w:val="00633165"/>
    <w:rsid w:val="0064176F"/>
    <w:rsid w:val="006447DE"/>
    <w:rsid w:val="00645AD9"/>
    <w:rsid w:val="0065276E"/>
    <w:rsid w:val="00654329"/>
    <w:rsid w:val="00654CEC"/>
    <w:rsid w:val="00655507"/>
    <w:rsid w:val="00657832"/>
    <w:rsid w:val="00661B1A"/>
    <w:rsid w:val="006712A7"/>
    <w:rsid w:val="00674FC2"/>
    <w:rsid w:val="00677E42"/>
    <w:rsid w:val="00682334"/>
    <w:rsid w:val="00684B16"/>
    <w:rsid w:val="006936EB"/>
    <w:rsid w:val="00696F65"/>
    <w:rsid w:val="006A059B"/>
    <w:rsid w:val="006A5BB0"/>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3AB6"/>
    <w:rsid w:val="00734809"/>
    <w:rsid w:val="00734E90"/>
    <w:rsid w:val="007406E1"/>
    <w:rsid w:val="00743E40"/>
    <w:rsid w:val="00745FDB"/>
    <w:rsid w:val="00751263"/>
    <w:rsid w:val="007549D9"/>
    <w:rsid w:val="0075704F"/>
    <w:rsid w:val="007578FF"/>
    <w:rsid w:val="00763B2D"/>
    <w:rsid w:val="007654D9"/>
    <w:rsid w:val="00772924"/>
    <w:rsid w:val="00772C15"/>
    <w:rsid w:val="00776EC3"/>
    <w:rsid w:val="007770F8"/>
    <w:rsid w:val="007872F2"/>
    <w:rsid w:val="007908E0"/>
    <w:rsid w:val="00792181"/>
    <w:rsid w:val="00793EB3"/>
    <w:rsid w:val="00794205"/>
    <w:rsid w:val="007A1F6A"/>
    <w:rsid w:val="007B0DE3"/>
    <w:rsid w:val="007B491F"/>
    <w:rsid w:val="007B7191"/>
    <w:rsid w:val="007C1634"/>
    <w:rsid w:val="007C1D94"/>
    <w:rsid w:val="007C2879"/>
    <w:rsid w:val="007C4874"/>
    <w:rsid w:val="007C6A87"/>
    <w:rsid w:val="007C705D"/>
    <w:rsid w:val="007D0A07"/>
    <w:rsid w:val="007D133D"/>
    <w:rsid w:val="007D3EB4"/>
    <w:rsid w:val="007D3F16"/>
    <w:rsid w:val="007F371B"/>
    <w:rsid w:val="007F3F7E"/>
    <w:rsid w:val="007F5497"/>
    <w:rsid w:val="008008AD"/>
    <w:rsid w:val="0080326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FDA"/>
    <w:rsid w:val="00861038"/>
    <w:rsid w:val="00864BA8"/>
    <w:rsid w:val="00866B50"/>
    <w:rsid w:val="008708F1"/>
    <w:rsid w:val="00880539"/>
    <w:rsid w:val="008826FF"/>
    <w:rsid w:val="008859E8"/>
    <w:rsid w:val="0088737B"/>
    <w:rsid w:val="00892716"/>
    <w:rsid w:val="00893067"/>
    <w:rsid w:val="008933DE"/>
    <w:rsid w:val="00894132"/>
    <w:rsid w:val="00895ECD"/>
    <w:rsid w:val="00895FCE"/>
    <w:rsid w:val="00897F3E"/>
    <w:rsid w:val="008A21B4"/>
    <w:rsid w:val="008A4576"/>
    <w:rsid w:val="008B07DE"/>
    <w:rsid w:val="008B155C"/>
    <w:rsid w:val="008B28E7"/>
    <w:rsid w:val="008C14C7"/>
    <w:rsid w:val="008C2FFB"/>
    <w:rsid w:val="008C373E"/>
    <w:rsid w:val="008C6EEA"/>
    <w:rsid w:val="008D5813"/>
    <w:rsid w:val="008D634E"/>
    <w:rsid w:val="008D778A"/>
    <w:rsid w:val="008F22BD"/>
    <w:rsid w:val="008F3EE3"/>
    <w:rsid w:val="009079BD"/>
    <w:rsid w:val="00910B43"/>
    <w:rsid w:val="00912BD9"/>
    <w:rsid w:val="00920E5B"/>
    <w:rsid w:val="00923B2B"/>
    <w:rsid w:val="00926436"/>
    <w:rsid w:val="0093018C"/>
    <w:rsid w:val="00932AFF"/>
    <w:rsid w:val="009544C0"/>
    <w:rsid w:val="00954FA4"/>
    <w:rsid w:val="00956AE9"/>
    <w:rsid w:val="0096123B"/>
    <w:rsid w:val="00964CC6"/>
    <w:rsid w:val="00991FDA"/>
    <w:rsid w:val="009927A1"/>
    <w:rsid w:val="009A5F3B"/>
    <w:rsid w:val="009B0B61"/>
    <w:rsid w:val="009B1173"/>
    <w:rsid w:val="009B28C0"/>
    <w:rsid w:val="009B7136"/>
    <w:rsid w:val="009B7806"/>
    <w:rsid w:val="009C3AC2"/>
    <w:rsid w:val="009D25B4"/>
    <w:rsid w:val="009D4365"/>
    <w:rsid w:val="009D4E3B"/>
    <w:rsid w:val="009D720D"/>
    <w:rsid w:val="009D7BC9"/>
    <w:rsid w:val="009E1982"/>
    <w:rsid w:val="009E4D2C"/>
    <w:rsid w:val="009F0978"/>
    <w:rsid w:val="009F3AEC"/>
    <w:rsid w:val="00A00081"/>
    <w:rsid w:val="00A03A1A"/>
    <w:rsid w:val="00A10D56"/>
    <w:rsid w:val="00A1178A"/>
    <w:rsid w:val="00A11EB7"/>
    <w:rsid w:val="00A12AAE"/>
    <w:rsid w:val="00A15BF1"/>
    <w:rsid w:val="00A16DD1"/>
    <w:rsid w:val="00A22441"/>
    <w:rsid w:val="00A23F3B"/>
    <w:rsid w:val="00A24406"/>
    <w:rsid w:val="00A2572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138A"/>
    <w:rsid w:val="00A85039"/>
    <w:rsid w:val="00A867D1"/>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E72A6"/>
    <w:rsid w:val="00AF5609"/>
    <w:rsid w:val="00AF5D6A"/>
    <w:rsid w:val="00AF61C2"/>
    <w:rsid w:val="00AF6CC6"/>
    <w:rsid w:val="00B0296A"/>
    <w:rsid w:val="00B03185"/>
    <w:rsid w:val="00B0318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BE3"/>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111"/>
    <w:rsid w:val="00C01D14"/>
    <w:rsid w:val="00C025B4"/>
    <w:rsid w:val="00C161FD"/>
    <w:rsid w:val="00C23F17"/>
    <w:rsid w:val="00C26446"/>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5C51"/>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0300"/>
    <w:rsid w:val="00CF3DB3"/>
    <w:rsid w:val="00D052BC"/>
    <w:rsid w:val="00D07026"/>
    <w:rsid w:val="00D114D0"/>
    <w:rsid w:val="00D11888"/>
    <w:rsid w:val="00D22C8F"/>
    <w:rsid w:val="00D2573B"/>
    <w:rsid w:val="00D33491"/>
    <w:rsid w:val="00D41A93"/>
    <w:rsid w:val="00D438F7"/>
    <w:rsid w:val="00D44F8E"/>
    <w:rsid w:val="00D607EF"/>
    <w:rsid w:val="00D60F88"/>
    <w:rsid w:val="00D625E7"/>
    <w:rsid w:val="00D646BD"/>
    <w:rsid w:val="00D6784F"/>
    <w:rsid w:val="00D7018A"/>
    <w:rsid w:val="00D71201"/>
    <w:rsid w:val="00D720C7"/>
    <w:rsid w:val="00D876E6"/>
    <w:rsid w:val="00DA1025"/>
    <w:rsid w:val="00DA22EC"/>
    <w:rsid w:val="00DA5860"/>
    <w:rsid w:val="00DB2767"/>
    <w:rsid w:val="00DB6A79"/>
    <w:rsid w:val="00DC4729"/>
    <w:rsid w:val="00DC72D9"/>
    <w:rsid w:val="00E10FF6"/>
    <w:rsid w:val="00E15463"/>
    <w:rsid w:val="00E17160"/>
    <w:rsid w:val="00E27870"/>
    <w:rsid w:val="00E35BEC"/>
    <w:rsid w:val="00E50821"/>
    <w:rsid w:val="00E51F91"/>
    <w:rsid w:val="00E6298B"/>
    <w:rsid w:val="00E7086E"/>
    <w:rsid w:val="00E7374A"/>
    <w:rsid w:val="00E73C41"/>
    <w:rsid w:val="00E7598F"/>
    <w:rsid w:val="00E76F60"/>
    <w:rsid w:val="00E83D90"/>
    <w:rsid w:val="00E83F28"/>
    <w:rsid w:val="00E83F91"/>
    <w:rsid w:val="00E85E58"/>
    <w:rsid w:val="00E9107A"/>
    <w:rsid w:val="00E91B80"/>
    <w:rsid w:val="00E91F62"/>
    <w:rsid w:val="00E929FD"/>
    <w:rsid w:val="00E93240"/>
    <w:rsid w:val="00E9479B"/>
    <w:rsid w:val="00EA10DA"/>
    <w:rsid w:val="00EA4D48"/>
    <w:rsid w:val="00EB2173"/>
    <w:rsid w:val="00EB5F0B"/>
    <w:rsid w:val="00EB62E6"/>
    <w:rsid w:val="00ED1B30"/>
    <w:rsid w:val="00ED250E"/>
    <w:rsid w:val="00ED6516"/>
    <w:rsid w:val="00EE1AC1"/>
    <w:rsid w:val="00EE39D6"/>
    <w:rsid w:val="00EE52AD"/>
    <w:rsid w:val="00F000F6"/>
    <w:rsid w:val="00F01F92"/>
    <w:rsid w:val="00F02818"/>
    <w:rsid w:val="00F10A08"/>
    <w:rsid w:val="00F22AC5"/>
    <w:rsid w:val="00F254D1"/>
    <w:rsid w:val="00F30B5E"/>
    <w:rsid w:val="00F32B82"/>
    <w:rsid w:val="00F4043E"/>
    <w:rsid w:val="00F41BBC"/>
    <w:rsid w:val="00F43B9D"/>
    <w:rsid w:val="00F444F0"/>
    <w:rsid w:val="00F50847"/>
    <w:rsid w:val="00F53F27"/>
    <w:rsid w:val="00F546D1"/>
    <w:rsid w:val="00F66272"/>
    <w:rsid w:val="00F709C0"/>
    <w:rsid w:val="00F7607C"/>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B35"/>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18F"/>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2033E"/>
    <w:rPr>
      <w:color w:val="605E5C"/>
      <w:shd w:val="clear" w:color="auto" w:fill="E1DFDD"/>
    </w:rPr>
  </w:style>
  <w:style w:type="character" w:styleId="FollowedHyperlink">
    <w:name w:val="FollowedHyperlink"/>
    <w:basedOn w:val="DefaultParagraphFont"/>
    <w:uiPriority w:val="99"/>
    <w:semiHidden/>
    <w:unhideWhenUsed/>
    <w:rsid w:val="00D438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126782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ezproxy.uwtsd.ac.uk/doi/full/10.1177/1748895819840396" TargetMode="External"/><Relationship Id="rId21" Type="http://schemas.openxmlformats.org/officeDocument/2006/relationships/hyperlink" Target="https://www.whatdotheyknow.com/request/120825/response/309956/attach/3/National%20Decision%20Making%20Model.pdf?cookie_passthrough=1" TargetMode="External"/><Relationship Id="rId42" Type="http://schemas.openxmlformats.org/officeDocument/2006/relationships/hyperlink" Target="https://www.cps.gov.uk/legal-guidance/offences-against-person-incorporating-charging-standard" TargetMode="External"/><Relationship Id="rId47" Type="http://schemas.openxmlformats.org/officeDocument/2006/relationships/hyperlink" Target="https://www.met.police.uk/plc/lesson_notes/037.pdf" TargetMode="External"/><Relationship Id="rId63" Type="http://schemas.openxmlformats.org/officeDocument/2006/relationships/hyperlink" Target="https://www.legislation.gov.uk/wsi/2020/1149/regulation/27" TargetMode="External"/><Relationship Id="rId68" Type="http://schemas.openxmlformats.org/officeDocument/2006/relationships/hyperlink" Target="https://www.gov.uk/government/publications/the-code-of-practice-for-victims-of-crime" TargetMode="External"/><Relationship Id="rId84" Type="http://schemas.openxmlformats.org/officeDocument/2006/relationships/hyperlink" Target="https://www.police1.com" TargetMode="External"/><Relationship Id="rId89" Type="http://schemas.openxmlformats.org/officeDocument/2006/relationships/hyperlink" Target="https://www.thebalancesmb.com/work-life-balance-2948691"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app.college.police.uk/app-content/investigations/introduction/" TargetMode="External"/><Relationship Id="rId37" Type="http://schemas.openxmlformats.org/officeDocument/2006/relationships/hyperlink" Target="https://www.cps.gov.uk/legal-guidance/self-defence-and-prevention-crime" TargetMode="External"/><Relationship Id="rId53" Type="http://schemas.openxmlformats.org/officeDocument/2006/relationships/hyperlink" Target="https://www.researchgate.net/publication/237784770_Are_special_measures_working_Evidence_from_surveys_of_vulnerable_and_intimidated_witnesses" TargetMode="External"/><Relationship Id="rId58" Type="http://schemas.openxmlformats.org/officeDocument/2006/relationships/hyperlink" Target="https://www.crimeandjustice.org.uk/publications/cjm/article/policing-riots-bristol-and-brixton-tottenham-toxteth-handsworth-etc" TargetMode="External"/><Relationship Id="rId74" Type="http://schemas.openxmlformats.org/officeDocument/2006/relationships/hyperlink" Target="https://doi-org.ezproxy.uwtsd.ac.uk/10.1007/s10896-012-9484-7" TargetMode="External"/><Relationship Id="rId79" Type="http://schemas.openxmlformats.org/officeDocument/2006/relationships/hyperlink" Target="http://www.hrcr.org/safrica/arrested_rights/Regina_Howell.htm" TargetMode="External"/><Relationship Id="rId5" Type="http://schemas.openxmlformats.org/officeDocument/2006/relationships/numbering" Target="numbering.xml"/><Relationship Id="rId90" Type="http://schemas.openxmlformats.org/officeDocument/2006/relationships/hyperlink" Target="https://r1.vlereader.com/Reader?ean=9781472937698" TargetMode="External"/><Relationship Id="rId95" Type="http://schemas.openxmlformats.org/officeDocument/2006/relationships/fontTable" Target="fontTable.xml"/><Relationship Id="rId22" Type="http://schemas.openxmlformats.org/officeDocument/2006/relationships/hyperlink" Target="https://web-a-ebscohost-com.ezproxy.uwtsd.ac.uk/ehost/command/detail?vid=0&amp;sid=66f3a841-e8ef-4116-86f6-fb934d1280d4%40sessionmgr4006&amp;bdata=JnNpdGU9ZWhvc3QtbGl2ZQ%3d%3d" TargetMode="External"/><Relationship Id="rId27" Type="http://schemas.openxmlformats.org/officeDocument/2006/relationships/hyperlink" Target="http://dx.doi.org.ezproxy.uwtsd.ac.uk/10.1037/0022-3514.48.1.18" TargetMode="External"/><Relationship Id="rId43" Type="http://schemas.openxmlformats.org/officeDocument/2006/relationships/hyperlink" Target="https://www.cps.gov.uk/legal-guidance/special-measures" TargetMode="External"/><Relationship Id="rId48" Type="http://schemas.openxmlformats.org/officeDocument/2006/relationships/hyperlink" Target="https://www.equalityhumanrights.com/en/human-rights/human-rights-act" TargetMode="External"/><Relationship Id="rId64" Type="http://schemas.openxmlformats.org/officeDocument/2006/relationships/hyperlink" Target="https://doi.org/10.1016/j.jpubeco.2020.104241" TargetMode="External"/><Relationship Id="rId69" Type="http://schemas.openxmlformats.org/officeDocument/2006/relationships/hyperlink" Target="https://www.gov.uk/government/publications/victim-personal-statement" TargetMode="External"/><Relationship Id="rId8" Type="http://schemas.openxmlformats.org/officeDocument/2006/relationships/webSettings" Target="webSettings.xml"/><Relationship Id="rId51" Type="http://schemas.openxmlformats.org/officeDocument/2006/relationships/hyperlink" Target="https://doi-org.ezproxy.uwtsd.ac.uk/10.1111/hojo.12034" TargetMode="External"/><Relationship Id="rId72" Type="http://schemas.openxmlformats.org/officeDocument/2006/relationships/hyperlink" Target="https://www.cwp.nhs.uk/media/1366/cp39-after-care-of-those-who-have-been-exposed-to-pava-captor-spray-or-taser-device-issue-3.pdf" TargetMode="External"/><Relationship Id="rId80" Type="http://schemas.openxmlformats.org/officeDocument/2006/relationships/hyperlink" Target="https://www.managers.org.uk/knowledge-and-insights/blog/lessons-on-resilience-from-a-former-senior-police-officer/" TargetMode="External"/><Relationship Id="rId85" Type="http://schemas.openxmlformats.org/officeDocument/2006/relationships/hyperlink" Target="https://ukconstable.wordpress.com/2012/12/15/stop-search-gowisely/" TargetMode="External"/><Relationship Id="rId93" Type="http://schemas.openxmlformats.org/officeDocument/2006/relationships/customXml" Target="ink/ink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bloomsbury.com/" TargetMode="External"/><Relationship Id="rId33"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38" Type="http://schemas.openxmlformats.org/officeDocument/2006/relationships/hyperlink" Target="https://www.cps.gov.uk/legal-guidance/disclosure-guidelines-communications-evidence" TargetMode="External"/><Relationship Id="rId46" Type="http://schemas.openxmlformats.org/officeDocument/2006/relationships/hyperlink" Target="https://kar.kent.ac.uk/83834/" TargetMode="External"/><Relationship Id="rId59" Type="http://schemas.openxmlformats.org/officeDocument/2006/relationships/hyperlink" Target="https://www.alternativeresolutions.net/2016/10/31/the-importance-of-nonverbal-communication/" TargetMode="External"/><Relationship Id="rId67" Type="http://schemas.openxmlformats.org/officeDocument/2006/relationships/hyperlink" Target="https://www.mindtools.com/pages/article/newCS_82.htm" TargetMode="External"/><Relationship Id="rId20" Type="http://schemas.openxmlformats.org/officeDocument/2006/relationships/hyperlink" Target="https://doi.org/10.1177%2F2158244016638708" TargetMode="External"/><Relationship Id="rId41" Type="http://schemas.openxmlformats.org/officeDocument/2006/relationships/hyperlink" Target="https://www.cps.gov.uk/legal-guidance/self-defence-and-prevention-crime" TargetMode="External"/><Relationship Id="rId54" Type="http://schemas.openxmlformats.org/officeDocument/2006/relationships/hyperlink" Target="https://www.communitycare.co.uk/2018/11/15/domestic-violence-protection-notices-orders-social-workers-need-know/" TargetMode="External"/><Relationship Id="rId62" Type="http://schemas.openxmlformats.org/officeDocument/2006/relationships/hyperlink" Target="https://www.legislation.gov.uk/ukpga/1984/60/section/117" TargetMode="External"/><Relationship Id="rId70" Type="http://schemas.openxmlformats.org/officeDocument/2006/relationships/hyperlink" Target="https://assets.publishing.service.gov.uk/government/uploads/system/uploads/attachment_data/file/403812/penalty-notice-disorder-police-guidance.pdf" TargetMode="External"/><Relationship Id="rId75" Type="http://schemas.openxmlformats.org/officeDocument/2006/relationships/hyperlink" Target="https://intime.com/blog/health-wellness/police-officers-build-resilience/" TargetMode="External"/><Relationship Id="rId83" Type="http://schemas.openxmlformats.org/officeDocument/2006/relationships/hyperlink" Target="https://www.police1.com/evergreen/articles/why-police-departments-need-to-recruit-for-resiliency-dGr0NxNryIEFtQ7V/" TargetMode="External"/><Relationship Id="rId88" Type="http://schemas.openxmlformats.org/officeDocument/2006/relationships/hyperlink" Target="https://www.victimsupport.org.uk/help-and-support/your-rights/victims-code" TargetMode="External"/><Relationship Id="rId91" Type="http://schemas.openxmlformats.org/officeDocument/2006/relationships/hyperlink" Target="https://www.womensaid.org.uk/what-we-do/operation-encompass/"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www.bloomsbury.com/" TargetMode="External"/><Relationship Id="rId28" Type="http://schemas.openxmlformats.org/officeDocument/2006/relationships/hyperlink" Target="http://news.bbc.co.uk/1/hi/uk/2246331.stm" TargetMode="External"/><Relationship Id="rId36" Type="http://schemas.openxmlformats.org/officeDocument/2006/relationships/hyperlink" Target="https://www.college.police.uk/What-we-do/Standards/Guidelines/Documents/Conflict_management_consultation260219.pdf" TargetMode="External"/><Relationship Id="rId49" Type="http://schemas.openxmlformats.org/officeDocument/2006/relationships/hyperlink" Target="https://corporatecoachgroup.com/blog/what-is-the-betari-box" TargetMode="External"/><Relationship Id="rId57" Type="http://schemas.openxmlformats.org/officeDocument/2006/relationships/hyperlink" Target="https://link.springer.com/article/10.1007/s11896-018-9298-5" TargetMode="External"/><Relationship Id="rId10" Type="http://schemas.openxmlformats.org/officeDocument/2006/relationships/endnotes" Target="endnotes.xml"/><Relationship Id="rId31" Type="http://schemas.openxmlformats.org/officeDocument/2006/relationships/hyperlink" Target="https://www.app.college.police.uk/app-content/national-decision-model/the-national-decision-model/?highlight=conflict%20management?s=conflict+management" TargetMode="External"/><Relationship Id="rId44" Type="http://schemas.openxmlformats.org/officeDocument/2006/relationships/hyperlink" Target="https://onlinelibrary-wiley-com.ezproxy.uwtsd.ac.uk/doi/10.1111/jpc.14411" TargetMode="External"/><Relationship Id="rId52" Type="http://schemas.openxmlformats.org/officeDocument/2006/relationships/hyperlink" Target="https://news.sky.com/story/covid-19-more-than-42-000-fines-issued-by-police-for-breaching-coronavirus-laws-12201728" TargetMode="External"/><Relationship Id="rId60" Type="http://schemas.openxmlformats.org/officeDocument/2006/relationships/hyperlink" Target="https://www-oxfordreference-com.ezproxy.uwtsd.ac.uk/view/10.1093/acref/9780198802525.001.0001/acref-9780198802525-e-3641" TargetMode="External"/><Relationship Id="rId65" Type="http://schemas.openxmlformats.org/officeDocument/2006/relationships/hyperlink" Target="https://www.express.co.uk/news/uk/970023/shoplifters-with-drug-addiction-two-year-jail-sentences" TargetMode="External"/><Relationship Id="rId73" Type="http://schemas.openxmlformats.org/officeDocument/2006/relationships/hyperlink" Target="https://www.college.police.uk/What-we-do/COVID-19/Documents/Engage-Explain-Encourage-Enforce-guidance-Wales.pdf" TargetMode="External"/><Relationship Id="rId78" Type="http://schemas.openxmlformats.org/officeDocument/2006/relationships/hyperlink" Target="https://www.psychologytoday.com/us/basics/resilience" TargetMode="External"/><Relationship Id="rId81" Type="http://schemas.openxmlformats.org/officeDocument/2006/relationships/hyperlink" Target="https://www.ons.gov.uk/peoplepopulationandcommunity/crimeandjustice/articles/domesticabuseduringthecoronaviruscovid19pandemicenglandandwales/november2020" TargetMode="External"/><Relationship Id="rId86" Type="http://schemas.openxmlformats.org/officeDocument/2006/relationships/hyperlink" Target="https://www.umbrellacymru.co.uk/connect-gwent/" TargetMode="External"/><Relationship Id="rId94"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ps.gov.uk/legal-guidance/disclosure-guide-reasonable-lines-enquiry-and-communications-evidence" TargetMode="External"/><Relationship Id="rId34" Type="http://schemas.openxmlformats.org/officeDocument/2006/relationships/hyperlink" Target="https://www.app.college.police.uk/app-content/major-investigation-and-public-protection/domestic-abuse/victim-safety-and-support/" TargetMode="External"/><Relationship Id="rId50" Type="http://schemas.openxmlformats.org/officeDocument/2006/relationships/hyperlink" Target="https://www.sleepfoundation.org/physical-activity/best-exercises-sleep" TargetMode="External"/><Relationship Id="rId55" Type="http://schemas.openxmlformats.org/officeDocument/2006/relationships/hyperlink" Target="https://www.polfed.org/media/13987/WelfaresurveyNORFOLK-30-01-17-v2.pdf" TargetMode="External"/><Relationship Id="rId76" Type="http://schemas.openxmlformats.org/officeDocument/2006/relationships/hyperlink" Target="https://assets.publishing.service.gov.uk/government/uploads/system/uploads/attachment_data/file/217353/out-of-court-disposals-june2011.pdf" TargetMode="External"/><Relationship Id="rId7" Type="http://schemas.openxmlformats.org/officeDocument/2006/relationships/settings" Target="settings.xml"/><Relationship Id="rId71" Type="http://schemas.openxmlformats.org/officeDocument/2006/relationships/hyperlink" Target="https://assets.publishing.service.gov.uk/government/uploads/system/uploads/attachment_data/file/936239/victims-code-2020.pdf" TargetMode="External"/><Relationship Id="rId92" Type="http://schemas.openxmlformats.org/officeDocument/2006/relationships/hyperlink" Target="https://books.google.co.uk/books?hl=en&amp;lr=&amp;id=IZWHsi0DwZIC&amp;oi=fnd&amp;pg=PA3&amp;dq=Adaptive+and+maladaptive+coping.++In+M.Zeidner+%26+N.+S.+Endler+(eds),+Handbook+of+coping:+Theory,+research,+applications.&amp;ots=ZN3UiJa33o&amp;sig=K4F_7X-%20bq9q4jZ8zNlvsSDnYu1M" TargetMode="External"/><Relationship Id="rId2" Type="http://schemas.openxmlformats.org/officeDocument/2006/relationships/customXml" Target="../customXml/item2.xml"/><Relationship Id="rId29" Type="http://schemas.openxmlformats.org/officeDocument/2006/relationships/hyperlink" Target="https://www.whatdotheyknow.com/request/360444/response/894960/attach/9/Conflict%20Management.pdf?cookie_passthrough=1" TargetMode="External"/><Relationship Id="rId24" Type="http://schemas.openxmlformats.org/officeDocument/2006/relationships/hyperlink" Target="https://web-a-ebscohost-com.ezproxy.uwtsd.ac.uk/ehost/command/detail?vid=0&amp;sid=66f3a841-e8ef-4116-86f6-fb934d1280d4%40sessionmgr4006&amp;bdata=JnNpdGU9ZWhvc3QtbGl2ZQ%3d%3d" TargetMode="External"/><Relationship Id="rId40" Type="http://schemas.openxmlformats.org/officeDocument/2006/relationships/hyperlink" Target="https://www.cps.gov.uk/legal-guidance/victims-crime-code-practice-cps-legal-guidance" TargetMode="External"/><Relationship Id="rId45" Type="http://schemas.openxmlformats.org/officeDocument/2006/relationships/hyperlink" Target="https://www.google.co.uk/books/edition/Coping_with_Work_Stress/Jkjt8Y1pxEoC?hl=en&amp;gbpv=1&amp;dq=Coping+with+work+stress:+a+review+and+critique+%E2%80%93+Dewe,+Phillip+J,+O%E2%80%99Driscoll&amp;printsec=frontcover" TargetMode="External"/><Relationship Id="rId66" Type="http://schemas.openxmlformats.org/officeDocument/2006/relationships/hyperlink" Target="http://www.healthlline.com" TargetMode="External"/><Relationship Id="rId87" Type="http://schemas.openxmlformats.org/officeDocument/2006/relationships/hyperlink" Target="https://www.victimsupport.org.uk/help-and-support/your-rights/victims-code" TargetMode="External"/><Relationship Id="rId61" Type="http://schemas.openxmlformats.org/officeDocument/2006/relationships/hyperlink" Target="https://www.legislation.gov.uk/ukpga/1967/58/section/3" TargetMode="External"/><Relationship Id="rId82" Type="http://schemas.openxmlformats.org/officeDocument/2006/relationships/hyperlink" Target="http://www.bailii.org/ew/cases/EWHC/Admin/2010/81.html"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app.college.police.uk/app-content/detention-and-custody-2/response-arrest-and-detention/?highlight=s117%20of%20pace?s=s117+of+pace" TargetMode="External"/><Relationship Id="rId35" Type="http://schemas.openxmlformats.org/officeDocument/2006/relationships/hyperlink" Target="https://www.app.college.police.uk/app-content/stop-and-search/legal/legal-basis/" TargetMode="External"/><Relationship Id="rId56" Type="http://schemas.openxmlformats.org/officeDocument/2006/relationships/hyperlink" Target="https://doi.org/10.1192/bjp.bp.111.100750" TargetMode="External"/><Relationship Id="rId77" Type="http://schemas.openxmlformats.org/officeDocument/2006/relationships/hyperlink" Target="https://gwent.pcc.police.uk/en/news-room/new-community-remedy-rolls-ou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15T13:23:59.193"/>
    </inkml:context>
    <inkml:brush xml:id="br0">
      <inkml:brushProperty name="width" value="0.05" units="cm"/>
      <inkml:brushProperty name="height" value="0.05" units="cm"/>
      <inkml:brushProperty name="ignorePressure" value="1"/>
    </inkml:brush>
  </inkml:definitions>
  <inkml:trace contextRef="#ctx0" brushRef="#br0">0 336,'0'0,"0"0,0 0,21 12,-5-6,-1 1,2-2,-1 0,0-2,1 1,0-2,0 0,0-1,19-1,-15-2,0 0,0 0,-1-2,1-1,-1-1,0 0,20-10,-32 12,-1 0,1-1,-1 0,0 0,0 0,-1-1,0 0,7-9,-11 13,0 0,0 0,-1 0,1-1,-1 1,0 0,0-1,0 1,0-1,0 0,0 1,0-1,-1 0,0 1,1-1,-1 0,0 1,0-1,-1 0,1 0,0 1,-1-1,0 0,1 1,-1-1,0 1,-1-1,1 1,-3-5,2 5,1 1,-1-1,0 0,0 1,0 0,0-1,0 1,-1 0,1 0,0 0,0 0,-1 0,1 1,-1-1,1 1,-1 0,1-1,0 1,-1 0,1 0,-1 1,-2 0,-7 1,-1 0,1 1,-12 5,18-6,-28 9,-63 32,86-37,0 1,0 0,0 0,1 1,0 1,0-1,1 2,-15 18,22-25,1-1,-1 1,1 0,-1 0,1-1,0 1,0 0,1 0,-1 0,0 1,1-1,0 0,0 0,0 0,0 0,0 0,1 0,-1 0,1 0,0 0,0 0,0 0,0 0,1 0,-1 0,1-1,-1 1,1-1,0 1,0-1,4 4,4 4,1-1,-1-1,1 0,1 0,23 11,-12-8,1-1,0-1,30 8,-44-15,0 0,0 0,0-1,0 0,0-1,0 0,1 0,-1-1,0-1,0 1,10-5,-6-2,-22 5,-27 3,-8 5,-83 20,108-19,-1-1,2 2,-1 1,1 0,0 1,0 1,-15 12,27-18,0 0,1 0,-1 1,1 0,0 0,0 0,1 0,-1 1,1-1,0 1,0 0,1 0,0 0,0 0,1 0,-1 1,0 9,2-8,0 1,1-1,0 0,0 0,1 0,0-1,0 1,1 0,0-1,0 1,1-1,0 0,8 11,-2-5,1 0,1 0,0-1,0 0,1-1,1-1,0 0,0-1,1 0,22 9,-23-12,-1-2,1 1,0-2,-1 0,2 0,-1-1,0-1,0 0,1-1,-1-1,0 0,27-7,-15 1,-1-2,0-1,-1-1,0-2,-1 0,0-1,-1-1,-1-1,0-1,-1-1,28-33,-29 29,-1-1,-2 0,0-1,-1-1,-2-1,0 0,-2 0,-1-1,-1-1,9-47,-17 68,3-30,-4 35,1 0,-1-1,-1 1,1 0,0-1,-1 1,1 0,-1 0,1-1,-1 1,0 0,-2-3,3 5,0 0,0-1,0 1,0 0,0 0,-1 0,1 0,0-1,0 1,0 0,0 0,0 0,0 0,-1 0,1 0,0-1,0 1,0 0,0 0,-1 0,1 0,0 0,0 0,0 0,-1 0,1 0,0 0,0 0,0 0,-1 0,1 0,0 0,0 0,0 0,-1 0,1 0,0 0,0 0,0 0,0 1,-1-1,1 0,0 0,0 0,0 0,0 0,0 0,-1 1,1-1,0 0,0 0,0 0,0 0,0 1,-6 12,5-10,-6 19,1 1,1 0,1 1,1-1,0 45,3-48,2-1,0 1,1-1,1 1,0-1,2 0,11 27,-15-41,1 0,0 0,0 0,0 0,0-1,1 1,-1-1,1 0,0 0,7 4,-9-6,1 0,0-1,0 0,0 1,0-1,0 0,0 0,0-1,0 1,1-1,-1 0,0 1,0-1,0-1,1 1,-1 0,0-1,0 0,5-1,5-3,-1 0,0-1,0-1,-1 0,0 0,0-1,-1 0,14-14,-4 1,-1-1,30-43,-34 41,-1 0,-1-1,-1 0,-2-1,13-43,-19 56,-1-1,-1 1,0-1,0 1,-2-1,0 0,0 1,-1-1,-1 1,0-1,-1 1,-1 0,-7-20,1 16,10 16,-1 1,1-1,-1 0,1 1,-1-1,1 1,-1-1,0 1,1-1,-1 1,0-1,1 1,-1-1,0 1,1 0,-1 0,0-1,0 1,0 0,1 0,-3 0,2 2,0 0,0 1,0-1,0 1,0-1,0 1,0 0,1-1,0 1,-1 0,1 3,0-3,-1 20,0 1,2-1,0 1,2-1,1 1,12 42,0-19,1-1,30 57,-40-89,1 1,0-1,1 0,1-1,14 16,-20-26,-1 1,0-1,1-1,-1 1,1 0,0-1,0 0,0 0,0 0,1 0,-1-1,0 1,1-1,-1 0,1-1,-1 1,1-1,-1 0,1 0,-1 0,1 0,-1-1,9-2,-2-1,0-1,0 0,-1-1,1 0,-1 0,-1-1,1-1,-1 0,-1 0,1 0,-1-1,-1-1,10-14,-2 1,-1-1,-2 0,0-1,14-47,-17 38,6-44,-11 51,-4 27,0 0,0 0,0 0,0 0,0-1,0 1,0 0,0 0,0 0,0 0,0 0,0-1,0 1,0 0,0 0,0 0,0 0,0 0,1-1,-1 1,0 0,0 0,0 0,0 0,0 0,0 0,0 0,0-1,1 1,-1 0,0 0,0 0,0 0,0 0,0 0,0 0,1 0,-1 0,0 0,0 0,0 0,0 0,0 0,1 0,-1 0,0 0,0 0,0 0,0 0,0 0,1 0,-1 0,0 0,0 0,0 0,0 0,0 1,1-1,8 11,9 22,-17-32,41 89,31 58,-57-121,0 0,2-2,24 29,-37-49,-1 0,1 0,1 0,-1-1,1 0,0 0,0 0,0-1,0 0,8 3,-10-5,0 0,0 0,0 0,1-1,-1 0,0 1,0-2,0 1,1 0,-1-1,0 0,0 0,0 0,0 0,0-1,0 0,-1 0,5-2,5-5,-1 0,-1-1,1 0,-2-1,1 0,-2 0,1-1,-2 0,1-1,10-23,-4 3,-1-1,-2 0,11-46,-16 54,-1-1,-1-1,-2 1,0-47,-1 100,8 91,-5-87,1 0,1-1,2 1,0-1,3-1,25 48,-31-66,1-1,0 1,0-1,1 0,1-1,-1 0,2 0,16 11,-17-14,0-1,0 0,0 0,0-1,0 0,1-1,-1 0,1 0,0-1,0-1,19 0,-2-3,0-1,-1-1,1-1,29-11,102-47,-69 26,-75 32,10-3,-1 0,38-8,-53 15,1 1,-1 0,0 1,0-1,0 2,1-1,-1 1,0 0,0 1,0 0,14 6,-14-5,79 35,1-5,109 28,-168-55,0 0,1-2,0-2,0 0,0-2,-1-1,1-2,0 0,0-2,-1-2,33-11,-32 6,-1-2,0-1,-1-1,-1-1,-1-2,0-1,-1 0,-1-2,-2-1,39-50,-24 23,-3-2,-2-1,-3-1,39-102,-60 138,-1 0,-1 0,0-1,-2 0,0 0,2-35,-6 52,0 1,0 0,0 0,0 0,0-1,0 1,0 0,0 0,0 0,-1 0,1-1,0 1,-1 0,1 0,-1 0,0 0,1 0,-1 0,0 0,1 0,-1 0,0 0,0 1,0-1,0 0,0 0,0 1,0-1,-1 0,-1 1,0-1,0 1,0 1,0-1,1 0,-1 1,0-1,0 1,1 0,-1 0,0 0,-4 3,-23 12,0 2,-48 39,69-51,-253 199,-259 186,415-321,-3-4,-3-5,-132 51,181-89,0-2,-1-4,-93 14,105-24,-1-3,0-3,1-1,-96-15,68 0,1-5,1-2,0-5,3-2,-116-63,77 26,4-4,-175-145,265 198,-14-10,2-1,1-1,2-2,-29-38,57 69,0-1,1 0,-1 0,0 0,1 0,-1 1,1-1,-1 0,1 0,-1 0,1 0,0 0,-1 0,1 0,0-1,0 1,0 0,0 0,0 0,0 0,0 0,0 0,1-2,0 2,0 0,0 0,1 1,-1-1,1 0,-1 0,0 1,1-1,-1 1,1-1,-1 1,1-1,0 1,-1 0,1 0,2 0,106-3,-75 4,1534 61,-1275-34,-26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E3B07E-DF8B-4D80-990A-DC3C6FC4D56B}">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31</Pages>
  <Words>13296</Words>
  <Characters>85010</Characters>
  <Application>Microsoft Office Word</Application>
  <DocSecurity>0</DocSecurity>
  <Lines>708</Lines>
  <Paragraphs>196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Tucker, Emma-Louise</cp:lastModifiedBy>
  <cp:revision>5</cp:revision>
  <cp:lastPrinted>2019-08-13T11:47:00Z</cp:lastPrinted>
  <dcterms:created xsi:type="dcterms:W3CDTF">2021-03-10T09:34:00Z</dcterms:created>
  <dcterms:modified xsi:type="dcterms:W3CDTF">2021-03-10T09:53:00Z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