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325B6" w14:textId="117E5970" w:rsidR="00646406" w:rsidRPr="00F4799C" w:rsidRDefault="00C57D61" w:rsidP="00646406">
      <w:pPr>
        <w:jc w:val="center"/>
        <w:rPr>
          <w:rFonts w:asciiTheme="minorBidi" w:hAnsiTheme="minorBidi"/>
        </w:rPr>
      </w:pPr>
      <w:r w:rsidRPr="00F4799C">
        <w:rPr>
          <w:rFonts w:asciiTheme="minorBidi" w:hAnsiTheme="minorBidi"/>
          <w:noProof/>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rsidRPr="00F4799C">
        <w:rPr>
          <w:rFonts w:asciiTheme="minorBidi" w:hAnsiTheme="minorBidi"/>
        </w:rPr>
        <w:fldChar w:fldCharType="begin"/>
      </w:r>
      <w:r w:rsidRPr="00F4799C">
        <w:rPr>
          <w:rFonts w:asciiTheme="minorBidi" w:hAnsiTheme="minorBidi"/>
        </w:rPr>
        <w:instrText xml:space="preserve"> INCLUDEPICTURE "C:\\Users\\AzZedin01\\Library\\Group Containers\\UBF8T346G9.ms\\WebArchiveCopyPasteTempFiles\\com.microsoft.Word\\8P2xdp3q1g646AAAAAElFTkSuQmCC" \* MERGEFORMAT </w:instrText>
      </w:r>
      <w:r w:rsidR="00646406" w:rsidRPr="00F4799C">
        <w:rPr>
          <w:rFonts w:asciiTheme="minorBidi" w:hAnsiTheme="minorBidi"/>
        </w:rPr>
        <w:fldChar w:fldCharType="separate"/>
      </w:r>
      <w:r w:rsidR="00646406" w:rsidRPr="00F4799C">
        <w:rPr>
          <w:rFonts w:asciiTheme="minorBidi" w:hAnsiTheme="minorBidi"/>
        </w:rPr>
        <w:fldChar w:fldCharType="end"/>
      </w:r>
    </w:p>
    <w:p w14:paraId="6D0C4720" w14:textId="77777777" w:rsidR="00646406" w:rsidRPr="00F4799C" w:rsidRDefault="00646406" w:rsidP="00646406">
      <w:pPr>
        <w:jc w:val="center"/>
        <w:rPr>
          <w:rFonts w:asciiTheme="minorBidi" w:hAnsiTheme="minorBidi"/>
        </w:rPr>
      </w:pPr>
    </w:p>
    <w:p w14:paraId="384AD48D" w14:textId="77777777" w:rsidR="00646406" w:rsidRPr="00F4799C" w:rsidRDefault="00646406" w:rsidP="00646406">
      <w:pPr>
        <w:jc w:val="center"/>
        <w:rPr>
          <w:rFonts w:asciiTheme="minorBidi" w:hAnsiTheme="minorBidi"/>
        </w:rPr>
      </w:pPr>
    </w:p>
    <w:p w14:paraId="1C4A58E1" w14:textId="77777777" w:rsidR="00646406" w:rsidRPr="00F4799C" w:rsidRDefault="00646406" w:rsidP="00646406">
      <w:pPr>
        <w:jc w:val="center"/>
        <w:rPr>
          <w:rFonts w:asciiTheme="minorBidi" w:hAnsiTheme="minorBidi"/>
        </w:rPr>
      </w:pPr>
    </w:p>
    <w:p w14:paraId="21811744" w14:textId="77777777" w:rsidR="00646406" w:rsidRPr="00F4799C" w:rsidRDefault="00646406" w:rsidP="00646406">
      <w:pPr>
        <w:jc w:val="center"/>
        <w:rPr>
          <w:rFonts w:asciiTheme="minorBidi" w:hAnsiTheme="minorBidi"/>
        </w:rPr>
      </w:pPr>
    </w:p>
    <w:p w14:paraId="1EC34BAD" w14:textId="77777777" w:rsidR="00646406" w:rsidRPr="00F4799C" w:rsidRDefault="00646406" w:rsidP="00646406">
      <w:pPr>
        <w:jc w:val="center"/>
        <w:rPr>
          <w:rFonts w:asciiTheme="minorBidi" w:hAnsiTheme="minorBidi"/>
        </w:rPr>
      </w:pPr>
    </w:p>
    <w:p w14:paraId="020B9CFF" w14:textId="43A247CC" w:rsidR="00646406" w:rsidRPr="00F4799C" w:rsidRDefault="00646406" w:rsidP="00646406">
      <w:pPr>
        <w:jc w:val="center"/>
        <w:rPr>
          <w:rFonts w:asciiTheme="minorBidi" w:hAnsiTheme="minorBidi"/>
          <w:b/>
          <w:bCs/>
          <w:sz w:val="28"/>
          <w:szCs w:val="28"/>
        </w:rPr>
      </w:pPr>
      <w:r w:rsidRPr="00F4799C">
        <w:rPr>
          <w:rFonts w:asciiTheme="minorBidi" w:hAnsiTheme="minorBidi"/>
          <w:b/>
          <w:bCs/>
          <w:sz w:val="28"/>
          <w:szCs w:val="28"/>
        </w:rPr>
        <w:t>Student Name:</w:t>
      </w:r>
      <w:r w:rsidR="006E6E0D">
        <w:rPr>
          <w:rFonts w:asciiTheme="minorBidi" w:hAnsiTheme="minorBidi"/>
          <w:b/>
          <w:bCs/>
          <w:sz w:val="28"/>
          <w:szCs w:val="28"/>
        </w:rPr>
        <w:t xml:space="preserve"> Nikki Lotiwan </w:t>
      </w:r>
    </w:p>
    <w:p w14:paraId="2AAC98E7" w14:textId="77777777" w:rsidR="00646406" w:rsidRPr="00F4799C" w:rsidRDefault="00646406" w:rsidP="00646406">
      <w:pPr>
        <w:jc w:val="center"/>
        <w:rPr>
          <w:rFonts w:asciiTheme="minorBidi" w:hAnsiTheme="minorBidi"/>
          <w:b/>
          <w:bCs/>
          <w:sz w:val="28"/>
          <w:szCs w:val="28"/>
        </w:rPr>
      </w:pPr>
    </w:p>
    <w:p w14:paraId="586C6996" w14:textId="6C4F0922" w:rsidR="00646406" w:rsidRPr="00F4799C" w:rsidRDefault="00646406" w:rsidP="00646406">
      <w:pPr>
        <w:jc w:val="center"/>
        <w:rPr>
          <w:rFonts w:asciiTheme="minorBidi" w:hAnsiTheme="minorBidi"/>
          <w:b/>
          <w:bCs/>
          <w:sz w:val="28"/>
          <w:szCs w:val="28"/>
        </w:rPr>
      </w:pPr>
      <w:r w:rsidRPr="00F4799C">
        <w:rPr>
          <w:rFonts w:asciiTheme="minorBidi" w:hAnsiTheme="minorBidi"/>
          <w:b/>
          <w:bCs/>
          <w:sz w:val="28"/>
          <w:szCs w:val="28"/>
        </w:rPr>
        <w:t>Student ID:</w:t>
      </w:r>
      <w:r w:rsidR="006E6E0D">
        <w:rPr>
          <w:rFonts w:asciiTheme="minorBidi" w:hAnsiTheme="minorBidi"/>
          <w:b/>
          <w:bCs/>
          <w:sz w:val="28"/>
          <w:szCs w:val="28"/>
        </w:rPr>
        <w:t xml:space="preserve"> 2518745</w:t>
      </w:r>
    </w:p>
    <w:p w14:paraId="63080C9E" w14:textId="77777777" w:rsidR="00646406" w:rsidRPr="00F4799C" w:rsidRDefault="00646406" w:rsidP="00646406">
      <w:pPr>
        <w:jc w:val="center"/>
        <w:rPr>
          <w:rFonts w:asciiTheme="minorBidi" w:hAnsiTheme="minorBidi"/>
          <w:sz w:val="28"/>
          <w:szCs w:val="28"/>
        </w:rPr>
      </w:pPr>
    </w:p>
    <w:p w14:paraId="3D7751B6" w14:textId="77777777" w:rsidR="00646406" w:rsidRPr="00F4799C" w:rsidRDefault="00646406" w:rsidP="00646406">
      <w:pPr>
        <w:jc w:val="center"/>
        <w:rPr>
          <w:rFonts w:asciiTheme="minorBidi" w:hAnsiTheme="minorBidi"/>
          <w:sz w:val="28"/>
          <w:szCs w:val="28"/>
        </w:rPr>
      </w:pPr>
    </w:p>
    <w:p w14:paraId="37F10C9F" w14:textId="2FF0D0FD" w:rsidR="00646406" w:rsidRPr="00F4799C" w:rsidRDefault="00646406" w:rsidP="00646406">
      <w:pPr>
        <w:jc w:val="center"/>
        <w:rPr>
          <w:rFonts w:asciiTheme="minorBidi" w:hAnsiTheme="minorBidi"/>
          <w:b/>
          <w:bCs/>
          <w:sz w:val="28"/>
          <w:szCs w:val="28"/>
        </w:rPr>
      </w:pPr>
      <w:r w:rsidRPr="00F4799C">
        <w:rPr>
          <w:rFonts w:asciiTheme="minorBidi" w:hAnsiTheme="minorBidi"/>
          <w:b/>
          <w:bCs/>
          <w:sz w:val="28"/>
          <w:szCs w:val="28"/>
        </w:rPr>
        <w:t>Module Name: Marketing Management</w:t>
      </w:r>
    </w:p>
    <w:p w14:paraId="1F614A44" w14:textId="77777777" w:rsidR="00646406" w:rsidRPr="00F4799C" w:rsidRDefault="00646406" w:rsidP="00646406">
      <w:pPr>
        <w:jc w:val="center"/>
        <w:rPr>
          <w:rFonts w:asciiTheme="minorBidi" w:hAnsiTheme="minorBidi"/>
          <w:b/>
          <w:bCs/>
          <w:sz w:val="28"/>
          <w:szCs w:val="28"/>
        </w:rPr>
      </w:pPr>
    </w:p>
    <w:p w14:paraId="0794A99E" w14:textId="33486F0B" w:rsidR="00646406" w:rsidRPr="00F4799C" w:rsidRDefault="00646406" w:rsidP="00646406">
      <w:pPr>
        <w:jc w:val="center"/>
        <w:rPr>
          <w:rFonts w:asciiTheme="minorBidi" w:hAnsiTheme="minorBidi"/>
          <w:b/>
          <w:bCs/>
          <w:sz w:val="28"/>
          <w:szCs w:val="28"/>
        </w:rPr>
      </w:pPr>
      <w:r w:rsidRPr="00F4799C">
        <w:rPr>
          <w:rFonts w:asciiTheme="minorBidi" w:hAnsiTheme="minorBidi"/>
          <w:b/>
          <w:bCs/>
          <w:sz w:val="28"/>
          <w:szCs w:val="28"/>
        </w:rPr>
        <w:t>Module Code: LCMB7024</w:t>
      </w:r>
    </w:p>
    <w:p w14:paraId="242318AB" w14:textId="77777777" w:rsidR="00646406" w:rsidRPr="00F4799C" w:rsidRDefault="00646406" w:rsidP="00646406">
      <w:pPr>
        <w:jc w:val="center"/>
        <w:rPr>
          <w:rFonts w:asciiTheme="minorBidi" w:hAnsiTheme="minorBidi"/>
          <w:b/>
          <w:bCs/>
          <w:sz w:val="28"/>
          <w:szCs w:val="28"/>
        </w:rPr>
      </w:pPr>
    </w:p>
    <w:p w14:paraId="5A962802" w14:textId="77777777" w:rsidR="00646406" w:rsidRPr="00F4799C" w:rsidRDefault="00646406" w:rsidP="00646406">
      <w:pPr>
        <w:jc w:val="center"/>
        <w:rPr>
          <w:rFonts w:asciiTheme="minorBidi" w:hAnsiTheme="minorBidi"/>
          <w:b/>
          <w:bCs/>
          <w:sz w:val="28"/>
          <w:szCs w:val="28"/>
        </w:rPr>
      </w:pPr>
    </w:p>
    <w:p w14:paraId="38F1A035" w14:textId="77777777" w:rsidR="00646406" w:rsidRPr="00F4799C" w:rsidRDefault="00646406" w:rsidP="00646406">
      <w:pPr>
        <w:jc w:val="center"/>
        <w:rPr>
          <w:rFonts w:asciiTheme="minorBidi" w:hAnsiTheme="minorBidi"/>
          <w:b/>
          <w:bCs/>
          <w:sz w:val="28"/>
          <w:szCs w:val="28"/>
        </w:rPr>
      </w:pPr>
    </w:p>
    <w:p w14:paraId="7E74A1F6" w14:textId="77777777" w:rsidR="00646406" w:rsidRPr="00F4799C" w:rsidRDefault="00646406" w:rsidP="00646406">
      <w:pPr>
        <w:jc w:val="center"/>
        <w:rPr>
          <w:rFonts w:asciiTheme="minorBidi" w:hAnsiTheme="minorBidi"/>
          <w:b/>
          <w:bCs/>
          <w:sz w:val="28"/>
          <w:szCs w:val="28"/>
        </w:rPr>
      </w:pPr>
    </w:p>
    <w:p w14:paraId="1C05EEAE" w14:textId="2C1C77D0" w:rsidR="00646406" w:rsidRPr="00F4799C" w:rsidRDefault="00646406" w:rsidP="00646406">
      <w:pPr>
        <w:jc w:val="center"/>
        <w:rPr>
          <w:rFonts w:asciiTheme="minorBidi" w:hAnsiTheme="minorBidi"/>
          <w:b/>
          <w:bCs/>
          <w:sz w:val="28"/>
          <w:szCs w:val="28"/>
        </w:rPr>
      </w:pPr>
      <w:r w:rsidRPr="00F4799C">
        <w:rPr>
          <w:rFonts w:asciiTheme="minorBidi" w:hAnsiTheme="minorBidi"/>
          <w:b/>
          <w:bCs/>
          <w:sz w:val="28"/>
          <w:szCs w:val="28"/>
        </w:rPr>
        <w:t>Lecturer’s Name:</w:t>
      </w:r>
      <w:r w:rsidR="00F7544D">
        <w:rPr>
          <w:rFonts w:asciiTheme="minorBidi" w:hAnsiTheme="minorBidi"/>
          <w:b/>
          <w:bCs/>
          <w:sz w:val="28"/>
          <w:szCs w:val="28"/>
        </w:rPr>
        <w:t xml:space="preserve"> Laila Maazuou</w:t>
      </w:r>
    </w:p>
    <w:p w14:paraId="2534BC8F" w14:textId="77777777" w:rsidR="00646406" w:rsidRPr="00F4799C" w:rsidRDefault="00646406" w:rsidP="00646406">
      <w:pPr>
        <w:jc w:val="center"/>
        <w:rPr>
          <w:rFonts w:asciiTheme="minorBidi" w:hAnsiTheme="minorBidi"/>
          <w:b/>
          <w:bCs/>
          <w:sz w:val="28"/>
          <w:szCs w:val="28"/>
        </w:rPr>
      </w:pPr>
    </w:p>
    <w:p w14:paraId="70E1BD2A" w14:textId="77777777" w:rsidR="00646406" w:rsidRPr="00F4799C" w:rsidRDefault="00646406" w:rsidP="00646406">
      <w:pPr>
        <w:jc w:val="center"/>
        <w:rPr>
          <w:rFonts w:asciiTheme="minorBidi" w:hAnsiTheme="minorBidi"/>
          <w:b/>
          <w:bCs/>
          <w:sz w:val="28"/>
          <w:szCs w:val="28"/>
        </w:rPr>
      </w:pPr>
    </w:p>
    <w:p w14:paraId="55B10977" w14:textId="77777777" w:rsidR="00646406" w:rsidRPr="00F4799C" w:rsidRDefault="00646406" w:rsidP="00646406">
      <w:pPr>
        <w:rPr>
          <w:rFonts w:asciiTheme="minorBidi" w:hAnsiTheme="minorBidi"/>
          <w:b/>
          <w:bCs/>
          <w:sz w:val="28"/>
          <w:szCs w:val="28"/>
        </w:rPr>
      </w:pPr>
    </w:p>
    <w:p w14:paraId="39FE983B" w14:textId="405F3708" w:rsidR="00646406" w:rsidRPr="00F4799C" w:rsidRDefault="00646406" w:rsidP="00646406">
      <w:pPr>
        <w:jc w:val="center"/>
        <w:rPr>
          <w:rFonts w:asciiTheme="minorBidi" w:hAnsiTheme="minorBidi"/>
          <w:b/>
          <w:bCs/>
          <w:sz w:val="28"/>
          <w:szCs w:val="28"/>
        </w:rPr>
      </w:pPr>
      <w:r w:rsidRPr="00F4799C">
        <w:rPr>
          <w:rFonts w:asciiTheme="minorBidi" w:hAnsiTheme="minorBidi"/>
          <w:b/>
          <w:bCs/>
          <w:sz w:val="28"/>
          <w:szCs w:val="28"/>
        </w:rPr>
        <w:t>Work Count:</w:t>
      </w:r>
      <w:r w:rsidR="00D9471E">
        <w:rPr>
          <w:rFonts w:asciiTheme="minorBidi" w:hAnsiTheme="minorBidi"/>
          <w:b/>
          <w:bCs/>
          <w:sz w:val="28"/>
          <w:szCs w:val="28"/>
        </w:rPr>
        <w:t xml:space="preserve"> 2512</w:t>
      </w:r>
    </w:p>
    <w:p w14:paraId="2CC2A054" w14:textId="77777777" w:rsidR="00646406" w:rsidRPr="00F4799C" w:rsidRDefault="00646406" w:rsidP="00646406">
      <w:pPr>
        <w:jc w:val="center"/>
        <w:rPr>
          <w:rFonts w:asciiTheme="minorBidi" w:hAnsiTheme="minorBidi"/>
          <w:b/>
          <w:bCs/>
          <w:sz w:val="28"/>
          <w:szCs w:val="28"/>
        </w:rPr>
      </w:pPr>
    </w:p>
    <w:p w14:paraId="6A8F56C7" w14:textId="77777777" w:rsidR="00646406" w:rsidRPr="00F4799C" w:rsidRDefault="00646406" w:rsidP="00646406">
      <w:pPr>
        <w:jc w:val="center"/>
        <w:rPr>
          <w:rFonts w:asciiTheme="minorBidi" w:hAnsiTheme="minorBidi"/>
          <w:b/>
          <w:bCs/>
          <w:sz w:val="28"/>
          <w:szCs w:val="28"/>
        </w:rPr>
      </w:pPr>
    </w:p>
    <w:p w14:paraId="74532E5F" w14:textId="77777777" w:rsidR="00646406" w:rsidRPr="00F4799C" w:rsidRDefault="00646406" w:rsidP="00646406">
      <w:pPr>
        <w:jc w:val="center"/>
        <w:rPr>
          <w:rFonts w:asciiTheme="minorBidi" w:hAnsiTheme="minorBidi"/>
          <w:b/>
          <w:bCs/>
          <w:sz w:val="28"/>
          <w:szCs w:val="28"/>
        </w:rPr>
      </w:pPr>
    </w:p>
    <w:p w14:paraId="102B9D5E" w14:textId="77777777" w:rsidR="00646406" w:rsidRPr="00F4799C" w:rsidRDefault="00646406" w:rsidP="00646406">
      <w:pPr>
        <w:jc w:val="center"/>
        <w:rPr>
          <w:rFonts w:asciiTheme="minorBidi" w:hAnsiTheme="minorBidi"/>
          <w:b/>
          <w:bCs/>
          <w:sz w:val="28"/>
          <w:szCs w:val="28"/>
        </w:rPr>
      </w:pPr>
    </w:p>
    <w:p w14:paraId="76B4AC18" w14:textId="77777777" w:rsidR="00646406" w:rsidRPr="00F4799C" w:rsidRDefault="00646406" w:rsidP="00646406">
      <w:pPr>
        <w:jc w:val="center"/>
        <w:rPr>
          <w:rFonts w:asciiTheme="minorBidi" w:hAnsiTheme="minorBidi"/>
          <w:b/>
          <w:bCs/>
          <w:sz w:val="28"/>
          <w:szCs w:val="28"/>
        </w:rPr>
      </w:pPr>
    </w:p>
    <w:p w14:paraId="3D7042D2" w14:textId="7440D83E" w:rsidR="00646406" w:rsidRPr="00F4799C" w:rsidRDefault="00646406" w:rsidP="00646406">
      <w:pPr>
        <w:jc w:val="center"/>
        <w:rPr>
          <w:rFonts w:asciiTheme="minorBidi" w:hAnsiTheme="minorBidi"/>
          <w:b/>
          <w:bCs/>
          <w:sz w:val="28"/>
          <w:szCs w:val="28"/>
        </w:rPr>
      </w:pPr>
      <w:r w:rsidRPr="00F4799C">
        <w:rPr>
          <w:rFonts w:asciiTheme="minorBidi" w:hAnsiTheme="minorBidi"/>
          <w:b/>
          <w:bCs/>
          <w:sz w:val="28"/>
          <w:szCs w:val="28"/>
        </w:rPr>
        <w:t>Term 1</w:t>
      </w:r>
    </w:p>
    <w:p w14:paraId="795BE6E7" w14:textId="16C05007" w:rsidR="00646406" w:rsidRPr="00F4799C" w:rsidRDefault="00646406">
      <w:pPr>
        <w:rPr>
          <w:rFonts w:asciiTheme="minorBidi" w:hAnsiTheme="minorBidi"/>
          <w:b/>
          <w:bCs/>
        </w:rPr>
      </w:pPr>
      <w:r w:rsidRPr="00F4799C">
        <w:rPr>
          <w:rFonts w:asciiTheme="minorBidi" w:hAnsiTheme="minorBidi"/>
          <w:b/>
          <w:bCs/>
        </w:rPr>
        <w:br w:type="page"/>
      </w:r>
    </w:p>
    <w:sdt>
      <w:sdtPr>
        <w:rPr>
          <w:rFonts w:asciiTheme="minorBidi" w:eastAsiaTheme="minorHAnsi" w:hAnsiTheme="minorBidi" w:cstheme="minorBidi"/>
          <w:b w:val="0"/>
          <w:bCs w:val="0"/>
          <w:color w:val="auto"/>
          <w:kern w:val="2"/>
          <w:sz w:val="24"/>
          <w:szCs w:val="24"/>
          <w:lang w:val="en-GB"/>
          <w14:ligatures w14:val="standardContextual"/>
        </w:rPr>
        <w:id w:val="-29875851"/>
        <w:docPartObj>
          <w:docPartGallery w:val="Table of Contents"/>
          <w:docPartUnique/>
        </w:docPartObj>
      </w:sdtPr>
      <w:sdtEndPr>
        <w:rPr>
          <w:noProof/>
        </w:rPr>
      </w:sdtEndPr>
      <w:sdtContent>
        <w:p w14:paraId="098D9430" w14:textId="59ED492B" w:rsidR="00325A3E" w:rsidRPr="00E21E02" w:rsidRDefault="00325A3E">
          <w:pPr>
            <w:pStyle w:val="TOCHeading"/>
            <w:rPr>
              <w:rFonts w:asciiTheme="minorBidi" w:hAnsiTheme="minorBidi" w:cstheme="minorBidi"/>
              <w:color w:val="auto"/>
              <w:sz w:val="24"/>
              <w:szCs w:val="24"/>
            </w:rPr>
          </w:pPr>
          <w:r w:rsidRPr="00E21E02">
            <w:rPr>
              <w:rFonts w:asciiTheme="minorBidi" w:hAnsiTheme="minorBidi" w:cstheme="minorBidi"/>
              <w:color w:val="auto"/>
              <w:sz w:val="24"/>
              <w:szCs w:val="24"/>
            </w:rPr>
            <w:t>Table of Contents</w:t>
          </w:r>
        </w:p>
        <w:p w14:paraId="76921365" w14:textId="371B7F7E" w:rsidR="00E21E02" w:rsidRDefault="00325A3E">
          <w:pPr>
            <w:pStyle w:val="TOC1"/>
            <w:tabs>
              <w:tab w:val="right" w:leader="dot" w:pos="9016"/>
            </w:tabs>
            <w:rPr>
              <w:rFonts w:eastAsiaTheme="minorEastAsia"/>
              <w:b w:val="0"/>
              <w:bCs w:val="0"/>
              <w:caps w:val="0"/>
              <w:noProof/>
              <w:sz w:val="24"/>
              <w:szCs w:val="24"/>
              <w:lang w:eastAsia="zh-CN"/>
            </w:rPr>
          </w:pPr>
          <w:r w:rsidRPr="00F4799C">
            <w:rPr>
              <w:rFonts w:asciiTheme="minorBidi" w:hAnsiTheme="minorBidi"/>
              <w:b w:val="0"/>
              <w:bCs w:val="0"/>
              <w:sz w:val="24"/>
              <w:szCs w:val="24"/>
            </w:rPr>
            <w:fldChar w:fldCharType="begin"/>
          </w:r>
          <w:r w:rsidRPr="00F4799C">
            <w:rPr>
              <w:rFonts w:asciiTheme="minorBidi" w:hAnsiTheme="minorBidi"/>
              <w:sz w:val="24"/>
              <w:szCs w:val="24"/>
            </w:rPr>
            <w:instrText xml:space="preserve"> TOC \o "1-3" \h \z \u </w:instrText>
          </w:r>
          <w:r w:rsidRPr="00F4799C">
            <w:rPr>
              <w:rFonts w:asciiTheme="minorBidi" w:hAnsiTheme="minorBidi"/>
              <w:b w:val="0"/>
              <w:bCs w:val="0"/>
              <w:sz w:val="24"/>
              <w:szCs w:val="24"/>
            </w:rPr>
            <w:fldChar w:fldCharType="separate"/>
          </w:r>
          <w:hyperlink w:anchor="_Toc222732273" w:history="1">
            <w:r w:rsidR="00E21E02" w:rsidRPr="006C19CB">
              <w:rPr>
                <w:rStyle w:val="Hyperlink"/>
                <w:rFonts w:asciiTheme="minorBidi" w:hAnsiTheme="minorBidi"/>
                <w:noProof/>
                <w:lang w:eastAsia="zh-CN"/>
              </w:rPr>
              <w:t>1. Introduction</w:t>
            </w:r>
            <w:r w:rsidR="00E21E02">
              <w:rPr>
                <w:noProof/>
                <w:webHidden/>
              </w:rPr>
              <w:tab/>
            </w:r>
            <w:r w:rsidR="00E21E02">
              <w:rPr>
                <w:noProof/>
                <w:webHidden/>
              </w:rPr>
              <w:fldChar w:fldCharType="begin"/>
            </w:r>
            <w:r w:rsidR="00E21E02">
              <w:rPr>
                <w:noProof/>
                <w:webHidden/>
              </w:rPr>
              <w:instrText xml:space="preserve"> PAGEREF _Toc222732273 \h </w:instrText>
            </w:r>
            <w:r w:rsidR="00E21E02">
              <w:rPr>
                <w:noProof/>
                <w:webHidden/>
              </w:rPr>
            </w:r>
            <w:r w:rsidR="00E21E02">
              <w:rPr>
                <w:noProof/>
                <w:webHidden/>
              </w:rPr>
              <w:fldChar w:fldCharType="separate"/>
            </w:r>
            <w:r w:rsidR="00E21E02">
              <w:rPr>
                <w:noProof/>
                <w:webHidden/>
              </w:rPr>
              <w:t>3</w:t>
            </w:r>
            <w:r w:rsidR="00E21E02">
              <w:rPr>
                <w:noProof/>
                <w:webHidden/>
              </w:rPr>
              <w:fldChar w:fldCharType="end"/>
            </w:r>
          </w:hyperlink>
        </w:p>
        <w:p w14:paraId="5CFEF909" w14:textId="6CBAF330" w:rsidR="00E21E02" w:rsidRDefault="00E21E02">
          <w:pPr>
            <w:pStyle w:val="TOC1"/>
            <w:tabs>
              <w:tab w:val="right" w:leader="dot" w:pos="9016"/>
            </w:tabs>
            <w:rPr>
              <w:rFonts w:eastAsiaTheme="minorEastAsia"/>
              <w:b w:val="0"/>
              <w:bCs w:val="0"/>
              <w:caps w:val="0"/>
              <w:noProof/>
              <w:sz w:val="24"/>
              <w:szCs w:val="24"/>
              <w:lang w:eastAsia="zh-CN"/>
            </w:rPr>
          </w:pPr>
          <w:hyperlink w:anchor="_Toc222732274" w:history="1">
            <w:r w:rsidRPr="006C19CB">
              <w:rPr>
                <w:rStyle w:val="Hyperlink"/>
                <w:rFonts w:asciiTheme="minorBidi" w:hAnsiTheme="minorBidi"/>
                <w:noProof/>
                <w:lang w:eastAsia="zh-CN"/>
              </w:rPr>
              <w:t xml:space="preserve">2. Task 1: Critical Analysis of the Macro Marketing Environment </w:t>
            </w:r>
            <w:r>
              <w:rPr>
                <w:noProof/>
                <w:webHidden/>
              </w:rPr>
              <w:tab/>
            </w:r>
            <w:r w:rsidR="00A74380">
              <w:rPr>
                <w:noProof/>
                <w:webHidden/>
              </w:rPr>
              <w:t>4</w:t>
            </w:r>
          </w:hyperlink>
        </w:p>
        <w:p w14:paraId="3CA4A51D" w14:textId="7564FD1F" w:rsidR="00E21E02" w:rsidRDefault="00E21E02">
          <w:pPr>
            <w:pStyle w:val="TOC2"/>
            <w:tabs>
              <w:tab w:val="right" w:leader="dot" w:pos="9016"/>
            </w:tabs>
            <w:rPr>
              <w:rFonts w:eastAsiaTheme="minorEastAsia"/>
              <w:smallCaps w:val="0"/>
              <w:noProof/>
              <w:sz w:val="24"/>
              <w:szCs w:val="24"/>
              <w:lang w:eastAsia="zh-CN"/>
            </w:rPr>
          </w:pPr>
          <w:hyperlink w:anchor="_Toc222732275" w:history="1">
            <w:r w:rsidRPr="006C19CB">
              <w:rPr>
                <w:rStyle w:val="Hyperlink"/>
                <w:rFonts w:asciiTheme="minorBidi" w:hAnsiTheme="minorBidi"/>
                <w:b/>
                <w:bCs/>
                <w:noProof/>
                <w:lang w:eastAsia="zh-CN"/>
              </w:rPr>
              <w:t>2.1 Macro Marketing Environment</w:t>
            </w:r>
            <w:r>
              <w:rPr>
                <w:noProof/>
                <w:webHidden/>
              </w:rPr>
              <w:tab/>
            </w:r>
            <w:r>
              <w:rPr>
                <w:noProof/>
                <w:webHidden/>
              </w:rPr>
              <w:fldChar w:fldCharType="begin"/>
            </w:r>
            <w:r>
              <w:rPr>
                <w:noProof/>
                <w:webHidden/>
              </w:rPr>
              <w:instrText xml:space="preserve"> PAGEREF _Toc222732275 \h </w:instrText>
            </w:r>
            <w:r>
              <w:rPr>
                <w:noProof/>
                <w:webHidden/>
              </w:rPr>
            </w:r>
            <w:r>
              <w:rPr>
                <w:noProof/>
                <w:webHidden/>
              </w:rPr>
              <w:fldChar w:fldCharType="separate"/>
            </w:r>
            <w:r>
              <w:rPr>
                <w:noProof/>
                <w:webHidden/>
              </w:rPr>
              <w:t>3</w:t>
            </w:r>
            <w:r>
              <w:rPr>
                <w:noProof/>
                <w:webHidden/>
              </w:rPr>
              <w:fldChar w:fldCharType="end"/>
            </w:r>
          </w:hyperlink>
        </w:p>
        <w:p w14:paraId="135F1105" w14:textId="0BF40A2C" w:rsidR="00E21E02" w:rsidRDefault="00E21E02">
          <w:pPr>
            <w:pStyle w:val="TOC2"/>
            <w:tabs>
              <w:tab w:val="right" w:leader="dot" w:pos="9016"/>
            </w:tabs>
            <w:rPr>
              <w:rFonts w:eastAsiaTheme="minorEastAsia"/>
              <w:smallCaps w:val="0"/>
              <w:noProof/>
              <w:sz w:val="24"/>
              <w:szCs w:val="24"/>
              <w:lang w:eastAsia="zh-CN"/>
            </w:rPr>
          </w:pPr>
          <w:hyperlink w:anchor="_Toc222732276" w:history="1">
            <w:r w:rsidRPr="006C19CB">
              <w:rPr>
                <w:rStyle w:val="Hyperlink"/>
                <w:rFonts w:asciiTheme="minorBidi" w:hAnsiTheme="minorBidi"/>
                <w:b/>
                <w:bCs/>
                <w:noProof/>
                <w:lang w:eastAsia="zh-CN"/>
              </w:rPr>
              <w:t>2.2 Analysis of Macro Factor 1</w:t>
            </w:r>
            <w:r>
              <w:rPr>
                <w:noProof/>
                <w:webHidden/>
              </w:rPr>
              <w:tab/>
            </w:r>
            <w:r>
              <w:rPr>
                <w:noProof/>
                <w:webHidden/>
              </w:rPr>
              <w:fldChar w:fldCharType="begin"/>
            </w:r>
            <w:r>
              <w:rPr>
                <w:noProof/>
                <w:webHidden/>
              </w:rPr>
              <w:instrText xml:space="preserve"> PAGEREF _Toc222732276 \h </w:instrText>
            </w:r>
            <w:r>
              <w:rPr>
                <w:noProof/>
                <w:webHidden/>
              </w:rPr>
            </w:r>
            <w:r>
              <w:rPr>
                <w:noProof/>
                <w:webHidden/>
              </w:rPr>
              <w:fldChar w:fldCharType="separate"/>
            </w:r>
            <w:r>
              <w:rPr>
                <w:noProof/>
                <w:webHidden/>
              </w:rPr>
              <w:t>3</w:t>
            </w:r>
            <w:r>
              <w:rPr>
                <w:noProof/>
                <w:webHidden/>
              </w:rPr>
              <w:fldChar w:fldCharType="end"/>
            </w:r>
          </w:hyperlink>
        </w:p>
        <w:p w14:paraId="411CAB3B" w14:textId="52FB7122" w:rsidR="00E21E02" w:rsidRDefault="00E21E02">
          <w:pPr>
            <w:pStyle w:val="TOC3"/>
            <w:tabs>
              <w:tab w:val="right" w:leader="dot" w:pos="9016"/>
            </w:tabs>
            <w:rPr>
              <w:rFonts w:eastAsiaTheme="minorEastAsia"/>
              <w:i w:val="0"/>
              <w:iCs w:val="0"/>
              <w:noProof/>
              <w:sz w:val="24"/>
              <w:szCs w:val="24"/>
              <w:lang w:eastAsia="zh-CN"/>
            </w:rPr>
          </w:pPr>
          <w:hyperlink w:anchor="_Toc222732277" w:history="1">
            <w:r w:rsidRPr="006C19CB">
              <w:rPr>
                <w:rStyle w:val="Hyperlink"/>
                <w:rFonts w:asciiTheme="minorBidi" w:hAnsiTheme="minorBidi"/>
                <w:b/>
                <w:bCs/>
                <w:noProof/>
                <w:lang w:eastAsia="zh-CN"/>
              </w:rPr>
              <w:t>2.2.1 Impact on the Pioneer Organisation</w:t>
            </w:r>
            <w:r>
              <w:rPr>
                <w:noProof/>
                <w:webHidden/>
              </w:rPr>
              <w:tab/>
            </w:r>
            <w:r>
              <w:rPr>
                <w:noProof/>
                <w:webHidden/>
              </w:rPr>
              <w:fldChar w:fldCharType="begin"/>
            </w:r>
            <w:r>
              <w:rPr>
                <w:noProof/>
                <w:webHidden/>
              </w:rPr>
              <w:instrText xml:space="preserve"> PAGEREF _Toc222732277 \h </w:instrText>
            </w:r>
            <w:r>
              <w:rPr>
                <w:noProof/>
                <w:webHidden/>
              </w:rPr>
            </w:r>
            <w:r>
              <w:rPr>
                <w:noProof/>
                <w:webHidden/>
              </w:rPr>
              <w:fldChar w:fldCharType="separate"/>
            </w:r>
            <w:r>
              <w:rPr>
                <w:noProof/>
                <w:webHidden/>
              </w:rPr>
              <w:t>3</w:t>
            </w:r>
            <w:r>
              <w:rPr>
                <w:noProof/>
                <w:webHidden/>
              </w:rPr>
              <w:fldChar w:fldCharType="end"/>
            </w:r>
          </w:hyperlink>
        </w:p>
        <w:p w14:paraId="03E1DC0A" w14:textId="33666C16" w:rsidR="00E21E02" w:rsidRDefault="00E21E02">
          <w:pPr>
            <w:pStyle w:val="TOC3"/>
            <w:tabs>
              <w:tab w:val="right" w:leader="dot" w:pos="9016"/>
            </w:tabs>
            <w:rPr>
              <w:rFonts w:eastAsiaTheme="minorEastAsia"/>
              <w:i w:val="0"/>
              <w:iCs w:val="0"/>
              <w:noProof/>
              <w:sz w:val="24"/>
              <w:szCs w:val="24"/>
              <w:lang w:eastAsia="zh-CN"/>
            </w:rPr>
          </w:pPr>
          <w:hyperlink w:anchor="_Toc222732278" w:history="1">
            <w:r w:rsidRPr="006C19CB">
              <w:rPr>
                <w:rStyle w:val="Hyperlink"/>
                <w:rFonts w:asciiTheme="minorBidi" w:hAnsiTheme="minorBidi"/>
                <w:b/>
                <w:bCs/>
                <w:noProof/>
                <w:lang w:eastAsia="zh-CN"/>
              </w:rPr>
              <w:t>2.2.2 Impact on the Follower Organisation</w:t>
            </w:r>
            <w:r>
              <w:rPr>
                <w:noProof/>
                <w:webHidden/>
              </w:rPr>
              <w:tab/>
            </w:r>
            <w:r>
              <w:rPr>
                <w:noProof/>
                <w:webHidden/>
              </w:rPr>
              <w:fldChar w:fldCharType="begin"/>
            </w:r>
            <w:r>
              <w:rPr>
                <w:noProof/>
                <w:webHidden/>
              </w:rPr>
              <w:instrText xml:space="preserve"> PAGEREF _Toc222732278 \h </w:instrText>
            </w:r>
            <w:r>
              <w:rPr>
                <w:noProof/>
                <w:webHidden/>
              </w:rPr>
            </w:r>
            <w:r>
              <w:rPr>
                <w:noProof/>
                <w:webHidden/>
              </w:rPr>
              <w:fldChar w:fldCharType="separate"/>
            </w:r>
            <w:r>
              <w:rPr>
                <w:noProof/>
                <w:webHidden/>
              </w:rPr>
              <w:t>3</w:t>
            </w:r>
            <w:r>
              <w:rPr>
                <w:noProof/>
                <w:webHidden/>
              </w:rPr>
              <w:fldChar w:fldCharType="end"/>
            </w:r>
          </w:hyperlink>
        </w:p>
        <w:p w14:paraId="0AC32ACD" w14:textId="60C3702A" w:rsidR="00E21E02" w:rsidRDefault="00E21E02">
          <w:pPr>
            <w:pStyle w:val="TOC2"/>
            <w:tabs>
              <w:tab w:val="right" w:leader="dot" w:pos="9016"/>
            </w:tabs>
            <w:rPr>
              <w:rFonts w:eastAsiaTheme="minorEastAsia"/>
              <w:smallCaps w:val="0"/>
              <w:noProof/>
              <w:sz w:val="24"/>
              <w:szCs w:val="24"/>
              <w:lang w:eastAsia="zh-CN"/>
            </w:rPr>
          </w:pPr>
          <w:hyperlink w:anchor="_Toc222732279" w:history="1">
            <w:r w:rsidRPr="006C19CB">
              <w:rPr>
                <w:rStyle w:val="Hyperlink"/>
                <w:rFonts w:asciiTheme="minorBidi" w:hAnsiTheme="minorBidi"/>
                <w:b/>
                <w:bCs/>
                <w:noProof/>
                <w:lang w:eastAsia="zh-CN"/>
              </w:rPr>
              <w:t>2.3 Analysis of Macro Factor 2</w:t>
            </w:r>
            <w:r>
              <w:rPr>
                <w:noProof/>
                <w:webHidden/>
              </w:rPr>
              <w:tab/>
            </w:r>
            <w:r>
              <w:rPr>
                <w:noProof/>
                <w:webHidden/>
              </w:rPr>
              <w:fldChar w:fldCharType="begin"/>
            </w:r>
            <w:r>
              <w:rPr>
                <w:noProof/>
                <w:webHidden/>
              </w:rPr>
              <w:instrText xml:space="preserve"> PAGEREF _Toc222732279 \h </w:instrText>
            </w:r>
            <w:r>
              <w:rPr>
                <w:noProof/>
                <w:webHidden/>
              </w:rPr>
            </w:r>
            <w:r>
              <w:rPr>
                <w:noProof/>
                <w:webHidden/>
              </w:rPr>
              <w:fldChar w:fldCharType="separate"/>
            </w:r>
            <w:r>
              <w:rPr>
                <w:noProof/>
                <w:webHidden/>
              </w:rPr>
              <w:t>4</w:t>
            </w:r>
            <w:r>
              <w:rPr>
                <w:noProof/>
                <w:webHidden/>
              </w:rPr>
              <w:fldChar w:fldCharType="end"/>
            </w:r>
          </w:hyperlink>
        </w:p>
        <w:p w14:paraId="7C4DB2AA" w14:textId="1DB6D9F6" w:rsidR="00E21E02" w:rsidRDefault="00E21E02">
          <w:pPr>
            <w:pStyle w:val="TOC3"/>
            <w:tabs>
              <w:tab w:val="right" w:leader="dot" w:pos="9016"/>
            </w:tabs>
            <w:rPr>
              <w:rFonts w:eastAsiaTheme="minorEastAsia"/>
              <w:i w:val="0"/>
              <w:iCs w:val="0"/>
              <w:noProof/>
              <w:sz w:val="24"/>
              <w:szCs w:val="24"/>
              <w:lang w:eastAsia="zh-CN"/>
            </w:rPr>
          </w:pPr>
          <w:hyperlink w:anchor="_Toc222732280" w:history="1">
            <w:r w:rsidRPr="006C19CB">
              <w:rPr>
                <w:rStyle w:val="Hyperlink"/>
                <w:rFonts w:asciiTheme="minorBidi" w:hAnsiTheme="minorBidi"/>
                <w:b/>
                <w:bCs/>
                <w:noProof/>
                <w:lang w:eastAsia="zh-CN"/>
              </w:rPr>
              <w:t>2.3.1 Impact on the Pioneer Organisation</w:t>
            </w:r>
            <w:r>
              <w:rPr>
                <w:noProof/>
                <w:webHidden/>
              </w:rPr>
              <w:tab/>
            </w:r>
            <w:r>
              <w:rPr>
                <w:noProof/>
                <w:webHidden/>
              </w:rPr>
              <w:fldChar w:fldCharType="begin"/>
            </w:r>
            <w:r>
              <w:rPr>
                <w:noProof/>
                <w:webHidden/>
              </w:rPr>
              <w:instrText xml:space="preserve"> PAGEREF _Toc222732280 \h </w:instrText>
            </w:r>
            <w:r>
              <w:rPr>
                <w:noProof/>
                <w:webHidden/>
              </w:rPr>
            </w:r>
            <w:r>
              <w:rPr>
                <w:noProof/>
                <w:webHidden/>
              </w:rPr>
              <w:fldChar w:fldCharType="separate"/>
            </w:r>
            <w:r>
              <w:rPr>
                <w:noProof/>
                <w:webHidden/>
              </w:rPr>
              <w:t>4</w:t>
            </w:r>
            <w:r>
              <w:rPr>
                <w:noProof/>
                <w:webHidden/>
              </w:rPr>
              <w:fldChar w:fldCharType="end"/>
            </w:r>
          </w:hyperlink>
        </w:p>
        <w:p w14:paraId="4BCC2CCD" w14:textId="129B9267" w:rsidR="00E21E02" w:rsidRDefault="00E21E02">
          <w:pPr>
            <w:pStyle w:val="TOC3"/>
            <w:tabs>
              <w:tab w:val="right" w:leader="dot" w:pos="9016"/>
            </w:tabs>
            <w:rPr>
              <w:rFonts w:eastAsiaTheme="minorEastAsia"/>
              <w:i w:val="0"/>
              <w:iCs w:val="0"/>
              <w:noProof/>
              <w:sz w:val="24"/>
              <w:szCs w:val="24"/>
              <w:lang w:eastAsia="zh-CN"/>
            </w:rPr>
          </w:pPr>
          <w:hyperlink w:anchor="_Toc222732281" w:history="1">
            <w:r w:rsidRPr="006C19CB">
              <w:rPr>
                <w:rStyle w:val="Hyperlink"/>
                <w:rFonts w:asciiTheme="minorBidi" w:hAnsiTheme="minorBidi"/>
                <w:b/>
                <w:bCs/>
                <w:noProof/>
                <w:lang w:eastAsia="zh-CN"/>
              </w:rPr>
              <w:t>2.3.2 Impact on the Follower Organisation</w:t>
            </w:r>
            <w:r>
              <w:rPr>
                <w:noProof/>
                <w:webHidden/>
              </w:rPr>
              <w:tab/>
            </w:r>
            <w:r>
              <w:rPr>
                <w:noProof/>
                <w:webHidden/>
              </w:rPr>
              <w:fldChar w:fldCharType="begin"/>
            </w:r>
            <w:r>
              <w:rPr>
                <w:noProof/>
                <w:webHidden/>
              </w:rPr>
              <w:instrText xml:space="preserve"> PAGEREF _Toc222732281 \h </w:instrText>
            </w:r>
            <w:r>
              <w:rPr>
                <w:noProof/>
                <w:webHidden/>
              </w:rPr>
            </w:r>
            <w:r>
              <w:rPr>
                <w:noProof/>
                <w:webHidden/>
              </w:rPr>
              <w:fldChar w:fldCharType="separate"/>
            </w:r>
            <w:r>
              <w:rPr>
                <w:noProof/>
                <w:webHidden/>
              </w:rPr>
              <w:t>4</w:t>
            </w:r>
            <w:r>
              <w:rPr>
                <w:noProof/>
                <w:webHidden/>
              </w:rPr>
              <w:fldChar w:fldCharType="end"/>
            </w:r>
          </w:hyperlink>
        </w:p>
        <w:p w14:paraId="72DF96DA" w14:textId="1FFD8F7E" w:rsidR="00E21E02" w:rsidRDefault="00E21E02">
          <w:pPr>
            <w:pStyle w:val="TOC1"/>
            <w:tabs>
              <w:tab w:val="right" w:leader="dot" w:pos="9016"/>
            </w:tabs>
            <w:rPr>
              <w:rFonts w:eastAsiaTheme="minorEastAsia"/>
              <w:b w:val="0"/>
              <w:bCs w:val="0"/>
              <w:caps w:val="0"/>
              <w:noProof/>
              <w:sz w:val="24"/>
              <w:szCs w:val="24"/>
              <w:lang w:eastAsia="zh-CN"/>
            </w:rPr>
          </w:pPr>
          <w:hyperlink w:anchor="_Toc222732282" w:history="1">
            <w:r w:rsidRPr="006C19CB">
              <w:rPr>
                <w:rStyle w:val="Hyperlink"/>
                <w:rFonts w:asciiTheme="minorBidi" w:hAnsiTheme="minorBidi"/>
                <w:noProof/>
                <w:lang w:eastAsia="zh-CN"/>
              </w:rPr>
              <w:t>3. Task 2: Strategic Responses of Pioneering and Follower Organisations</w:t>
            </w:r>
            <w:r>
              <w:rPr>
                <w:noProof/>
                <w:webHidden/>
              </w:rPr>
              <w:tab/>
            </w:r>
            <w:r>
              <w:rPr>
                <w:noProof/>
                <w:webHidden/>
              </w:rPr>
              <w:fldChar w:fldCharType="begin"/>
            </w:r>
            <w:r>
              <w:rPr>
                <w:noProof/>
                <w:webHidden/>
              </w:rPr>
              <w:instrText xml:space="preserve"> PAGEREF _Toc222732282 \h </w:instrText>
            </w:r>
            <w:r>
              <w:rPr>
                <w:noProof/>
                <w:webHidden/>
              </w:rPr>
            </w:r>
            <w:r>
              <w:rPr>
                <w:noProof/>
                <w:webHidden/>
              </w:rPr>
              <w:fldChar w:fldCharType="separate"/>
            </w:r>
            <w:r>
              <w:rPr>
                <w:noProof/>
                <w:webHidden/>
              </w:rPr>
              <w:t>4</w:t>
            </w:r>
            <w:r>
              <w:rPr>
                <w:noProof/>
                <w:webHidden/>
              </w:rPr>
              <w:fldChar w:fldCharType="end"/>
            </w:r>
          </w:hyperlink>
        </w:p>
        <w:p w14:paraId="06AB15FF" w14:textId="2D28690D" w:rsidR="00E21E02" w:rsidRDefault="00E21E02">
          <w:pPr>
            <w:pStyle w:val="TOC2"/>
            <w:tabs>
              <w:tab w:val="right" w:leader="dot" w:pos="9016"/>
            </w:tabs>
            <w:rPr>
              <w:rFonts w:eastAsiaTheme="minorEastAsia"/>
              <w:smallCaps w:val="0"/>
              <w:noProof/>
              <w:sz w:val="24"/>
              <w:szCs w:val="24"/>
              <w:lang w:eastAsia="zh-CN"/>
            </w:rPr>
          </w:pPr>
          <w:hyperlink w:anchor="_Toc222732283" w:history="1">
            <w:r w:rsidRPr="006C19CB">
              <w:rPr>
                <w:rStyle w:val="Hyperlink"/>
                <w:rFonts w:asciiTheme="minorBidi" w:hAnsiTheme="minorBidi"/>
                <w:b/>
                <w:bCs/>
                <w:noProof/>
                <w:lang w:eastAsia="zh-CN"/>
              </w:rPr>
              <w:t>3.1 Pioneering Organisation’s Strategic Responses</w:t>
            </w:r>
            <w:r>
              <w:rPr>
                <w:noProof/>
                <w:webHidden/>
              </w:rPr>
              <w:tab/>
            </w:r>
            <w:r>
              <w:rPr>
                <w:noProof/>
                <w:webHidden/>
              </w:rPr>
              <w:fldChar w:fldCharType="begin"/>
            </w:r>
            <w:r>
              <w:rPr>
                <w:noProof/>
                <w:webHidden/>
              </w:rPr>
              <w:instrText xml:space="preserve"> PAGEREF _Toc222732283 \h </w:instrText>
            </w:r>
            <w:r>
              <w:rPr>
                <w:noProof/>
                <w:webHidden/>
              </w:rPr>
            </w:r>
            <w:r>
              <w:rPr>
                <w:noProof/>
                <w:webHidden/>
              </w:rPr>
              <w:fldChar w:fldCharType="separate"/>
            </w:r>
            <w:r>
              <w:rPr>
                <w:noProof/>
                <w:webHidden/>
              </w:rPr>
              <w:t>4</w:t>
            </w:r>
            <w:r>
              <w:rPr>
                <w:noProof/>
                <w:webHidden/>
              </w:rPr>
              <w:fldChar w:fldCharType="end"/>
            </w:r>
          </w:hyperlink>
        </w:p>
        <w:p w14:paraId="6C778138" w14:textId="405DD1C4" w:rsidR="00E21E02" w:rsidRDefault="00E21E02">
          <w:pPr>
            <w:pStyle w:val="TOC2"/>
            <w:tabs>
              <w:tab w:val="right" w:leader="dot" w:pos="9016"/>
            </w:tabs>
            <w:rPr>
              <w:rFonts w:eastAsiaTheme="minorEastAsia"/>
              <w:smallCaps w:val="0"/>
              <w:noProof/>
              <w:sz w:val="24"/>
              <w:szCs w:val="24"/>
              <w:lang w:eastAsia="zh-CN"/>
            </w:rPr>
          </w:pPr>
          <w:hyperlink w:anchor="_Toc222732284" w:history="1">
            <w:r w:rsidRPr="006C19CB">
              <w:rPr>
                <w:rStyle w:val="Hyperlink"/>
                <w:rFonts w:asciiTheme="minorBidi" w:hAnsiTheme="minorBidi"/>
                <w:b/>
                <w:bCs/>
                <w:noProof/>
                <w:lang w:eastAsia="zh-CN"/>
              </w:rPr>
              <w:t>3.2 Follower Organisation’s Strategic Responses</w:t>
            </w:r>
            <w:r>
              <w:rPr>
                <w:noProof/>
                <w:webHidden/>
              </w:rPr>
              <w:tab/>
            </w:r>
            <w:r>
              <w:rPr>
                <w:noProof/>
                <w:webHidden/>
              </w:rPr>
              <w:fldChar w:fldCharType="begin"/>
            </w:r>
            <w:r>
              <w:rPr>
                <w:noProof/>
                <w:webHidden/>
              </w:rPr>
              <w:instrText xml:space="preserve"> PAGEREF _Toc222732284 \h </w:instrText>
            </w:r>
            <w:r>
              <w:rPr>
                <w:noProof/>
                <w:webHidden/>
              </w:rPr>
            </w:r>
            <w:r>
              <w:rPr>
                <w:noProof/>
                <w:webHidden/>
              </w:rPr>
              <w:fldChar w:fldCharType="separate"/>
            </w:r>
            <w:r>
              <w:rPr>
                <w:noProof/>
                <w:webHidden/>
              </w:rPr>
              <w:t>4</w:t>
            </w:r>
            <w:r>
              <w:rPr>
                <w:noProof/>
                <w:webHidden/>
              </w:rPr>
              <w:fldChar w:fldCharType="end"/>
            </w:r>
          </w:hyperlink>
        </w:p>
        <w:p w14:paraId="3FA53A47" w14:textId="5E89619C" w:rsidR="00E21E02" w:rsidRDefault="00E21E02">
          <w:pPr>
            <w:pStyle w:val="TOC1"/>
            <w:tabs>
              <w:tab w:val="right" w:leader="dot" w:pos="9016"/>
            </w:tabs>
            <w:rPr>
              <w:rFonts w:eastAsiaTheme="minorEastAsia"/>
              <w:b w:val="0"/>
              <w:bCs w:val="0"/>
              <w:caps w:val="0"/>
              <w:noProof/>
              <w:sz w:val="24"/>
              <w:szCs w:val="24"/>
              <w:lang w:eastAsia="zh-CN"/>
            </w:rPr>
          </w:pPr>
          <w:hyperlink w:anchor="_Toc222732285" w:history="1">
            <w:r w:rsidRPr="006C19CB">
              <w:rPr>
                <w:rStyle w:val="Hyperlink"/>
                <w:rFonts w:asciiTheme="minorBidi" w:hAnsiTheme="minorBidi"/>
                <w:noProof/>
                <w:lang w:eastAsia="zh-CN"/>
              </w:rPr>
              <w:t xml:space="preserve">4. Conclusion </w:t>
            </w:r>
            <w:r>
              <w:rPr>
                <w:noProof/>
                <w:webHidden/>
              </w:rPr>
              <w:tab/>
            </w:r>
            <w:r>
              <w:rPr>
                <w:noProof/>
                <w:webHidden/>
              </w:rPr>
              <w:fldChar w:fldCharType="begin"/>
            </w:r>
            <w:r>
              <w:rPr>
                <w:noProof/>
                <w:webHidden/>
              </w:rPr>
              <w:instrText xml:space="preserve"> PAGEREF _Toc222732285 \h </w:instrText>
            </w:r>
            <w:r>
              <w:rPr>
                <w:noProof/>
                <w:webHidden/>
              </w:rPr>
            </w:r>
            <w:r>
              <w:rPr>
                <w:noProof/>
                <w:webHidden/>
              </w:rPr>
              <w:fldChar w:fldCharType="separate"/>
            </w:r>
            <w:r>
              <w:rPr>
                <w:noProof/>
                <w:webHidden/>
              </w:rPr>
              <w:t>5</w:t>
            </w:r>
            <w:r>
              <w:rPr>
                <w:noProof/>
                <w:webHidden/>
              </w:rPr>
              <w:fldChar w:fldCharType="end"/>
            </w:r>
          </w:hyperlink>
        </w:p>
        <w:p w14:paraId="40B9963A" w14:textId="2BF7F634" w:rsidR="00E21E02" w:rsidRDefault="00E21E02">
          <w:pPr>
            <w:pStyle w:val="TOC1"/>
            <w:tabs>
              <w:tab w:val="right" w:leader="dot" w:pos="9016"/>
            </w:tabs>
            <w:rPr>
              <w:rFonts w:eastAsiaTheme="minorEastAsia"/>
              <w:b w:val="0"/>
              <w:bCs w:val="0"/>
              <w:caps w:val="0"/>
              <w:noProof/>
              <w:sz w:val="24"/>
              <w:szCs w:val="24"/>
              <w:lang w:eastAsia="zh-CN"/>
            </w:rPr>
          </w:pPr>
          <w:hyperlink w:anchor="_Toc222732286" w:history="1">
            <w:r w:rsidRPr="006C19CB">
              <w:rPr>
                <w:rStyle w:val="Hyperlink"/>
                <w:rFonts w:asciiTheme="minorBidi" w:hAnsiTheme="minorBidi"/>
                <w:noProof/>
                <w:lang w:eastAsia="zh-CN"/>
              </w:rPr>
              <w:t>5. References</w:t>
            </w:r>
            <w:r>
              <w:rPr>
                <w:noProof/>
                <w:webHidden/>
              </w:rPr>
              <w:tab/>
            </w:r>
            <w:r>
              <w:rPr>
                <w:noProof/>
                <w:webHidden/>
              </w:rPr>
              <w:fldChar w:fldCharType="begin"/>
            </w:r>
            <w:r>
              <w:rPr>
                <w:noProof/>
                <w:webHidden/>
              </w:rPr>
              <w:instrText xml:space="preserve"> PAGEREF _Toc222732286 \h </w:instrText>
            </w:r>
            <w:r>
              <w:rPr>
                <w:noProof/>
                <w:webHidden/>
              </w:rPr>
            </w:r>
            <w:r>
              <w:rPr>
                <w:noProof/>
                <w:webHidden/>
              </w:rPr>
              <w:fldChar w:fldCharType="separate"/>
            </w:r>
            <w:r>
              <w:rPr>
                <w:noProof/>
                <w:webHidden/>
              </w:rPr>
              <w:t>5</w:t>
            </w:r>
            <w:r>
              <w:rPr>
                <w:noProof/>
                <w:webHidden/>
              </w:rPr>
              <w:fldChar w:fldCharType="end"/>
            </w:r>
          </w:hyperlink>
        </w:p>
        <w:p w14:paraId="177A9E47" w14:textId="2AC50025" w:rsidR="00325A3E" w:rsidRPr="00F4799C" w:rsidRDefault="00325A3E">
          <w:pPr>
            <w:rPr>
              <w:rFonts w:asciiTheme="minorBidi" w:hAnsiTheme="minorBidi"/>
            </w:rPr>
          </w:pPr>
          <w:r w:rsidRPr="00F4799C">
            <w:rPr>
              <w:rFonts w:asciiTheme="minorBidi" w:hAnsiTheme="minorBidi"/>
              <w:b/>
              <w:bCs/>
              <w:noProof/>
            </w:rPr>
            <w:fldChar w:fldCharType="end"/>
          </w:r>
        </w:p>
      </w:sdtContent>
    </w:sdt>
    <w:p w14:paraId="2DCCDEE9" w14:textId="0AA2534E" w:rsidR="00CB01F0" w:rsidRPr="00F4799C" w:rsidRDefault="00CB01F0" w:rsidP="00DE5D5B">
      <w:pPr>
        <w:pStyle w:val="TOCHeading"/>
        <w:rPr>
          <w:rFonts w:asciiTheme="minorBidi" w:hAnsiTheme="minorBidi" w:cstheme="minorBidi"/>
          <w:sz w:val="24"/>
          <w:szCs w:val="24"/>
        </w:rPr>
      </w:pPr>
    </w:p>
    <w:p w14:paraId="2004AA6C" w14:textId="6CD95AB4" w:rsidR="00F4799C" w:rsidRPr="00F4799C" w:rsidRDefault="00CB01F0" w:rsidP="00F4799C">
      <w:pPr>
        <w:pStyle w:val="Heading1"/>
        <w:spacing w:line="360" w:lineRule="auto"/>
        <w:rPr>
          <w:rFonts w:asciiTheme="minorBidi" w:hAnsiTheme="minorBidi" w:cstheme="minorBidi"/>
          <w:b/>
          <w:bCs/>
          <w:color w:val="auto"/>
          <w:sz w:val="24"/>
          <w:szCs w:val="24"/>
          <w:lang w:eastAsia="zh-CN"/>
        </w:rPr>
      </w:pPr>
      <w:r w:rsidRPr="00F4799C">
        <w:rPr>
          <w:rFonts w:asciiTheme="minorBidi" w:hAnsiTheme="minorBidi" w:cstheme="minorBidi"/>
          <w:sz w:val="24"/>
          <w:szCs w:val="24"/>
          <w:highlight w:val="yellow"/>
        </w:rPr>
        <w:br w:type="page"/>
      </w:r>
      <w:bookmarkStart w:id="0" w:name="_Toc222732273"/>
      <w:r w:rsidR="00F4799C" w:rsidRPr="00F4799C">
        <w:rPr>
          <w:rFonts w:asciiTheme="minorBidi" w:hAnsiTheme="minorBidi" w:cstheme="minorBidi"/>
          <w:b/>
          <w:bCs/>
          <w:color w:val="auto"/>
          <w:sz w:val="24"/>
          <w:szCs w:val="24"/>
          <w:lang w:eastAsia="zh-CN"/>
        </w:rPr>
        <w:lastRenderedPageBreak/>
        <w:t xml:space="preserve">1. Introduction </w:t>
      </w:r>
      <w:bookmarkEnd w:id="0"/>
    </w:p>
    <w:p w14:paraId="038F4C28" w14:textId="2B19ACC1" w:rsidR="00F4799C" w:rsidRDefault="006E6E0D" w:rsidP="006E6E0D">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Strategic marketing management necessitates that organizations consistently evaluate and adapt to alternation in the external environment to maintain a competitive edge. In rapidly evolving sectors like the global automative industry, macro-environmental forces significantly influence organisational strategies, affecting both opportunities and threats (Kotler et al., 2020). This report provides a critical analysis of the macro marketing environment impacting Ford Motor Company (Ford) as an innovator and Toyota Motor Corporation</w:t>
      </w:r>
      <w:r w:rsidR="00D70F2F">
        <w:rPr>
          <w:rFonts w:asciiTheme="minorBidi" w:eastAsia="Times New Roman" w:hAnsiTheme="minorBidi"/>
          <w:kern w:val="0"/>
          <w:lang w:eastAsia="zh-CN"/>
          <w14:ligatures w14:val="none"/>
        </w:rPr>
        <w:t xml:space="preserve"> (Toyota) as a follower in the industry.</w:t>
      </w:r>
    </w:p>
    <w:p w14:paraId="4AEE28C1" w14:textId="74022540" w:rsidR="00D70F2F" w:rsidRDefault="00D70F2F" w:rsidP="006E6E0D">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Historically, Ford is acknowledg</w:t>
      </w:r>
      <w:r w:rsidR="008A6174">
        <w:rPr>
          <w:rFonts w:asciiTheme="minorBidi" w:eastAsia="Times New Roman" w:hAnsiTheme="minorBidi"/>
          <w:kern w:val="0"/>
          <w:lang w:eastAsia="zh-CN"/>
          <w14:ligatures w14:val="none"/>
        </w:rPr>
        <w:t>ed as a pioneer for its ground-breaking introduction of mass production techniques via assembly line manufacturing in the early 20</w:t>
      </w:r>
      <w:r w:rsidR="008A6174" w:rsidRPr="008A6174">
        <w:rPr>
          <w:rFonts w:asciiTheme="minorBidi" w:eastAsia="Times New Roman" w:hAnsiTheme="minorBidi"/>
          <w:kern w:val="0"/>
          <w:vertAlign w:val="superscript"/>
          <w:lang w:eastAsia="zh-CN"/>
          <w14:ligatures w14:val="none"/>
        </w:rPr>
        <w:t>th</w:t>
      </w:r>
      <w:r w:rsidR="008A6174">
        <w:rPr>
          <w:rFonts w:asciiTheme="minorBidi" w:eastAsia="Times New Roman" w:hAnsiTheme="minorBidi"/>
          <w:kern w:val="0"/>
          <w:lang w:eastAsia="zh-CN"/>
          <w14:ligatures w14:val="none"/>
        </w:rPr>
        <w:t xml:space="preserve"> century. This innovation revolutionized the automative sector by lowering costs and marking vehicles available to the general public (Womack et al., 2007). Conversely, Toyota is often seen as a follower organization that has enhanced and refined existing methodologies, particularly through the Toyota Production System (TPS), which focuses </w:t>
      </w:r>
      <w:r w:rsidR="001E2226">
        <w:rPr>
          <w:rFonts w:asciiTheme="minorBidi" w:eastAsia="Times New Roman" w:hAnsiTheme="minorBidi"/>
          <w:kern w:val="0"/>
          <w:lang w:eastAsia="zh-CN"/>
          <w14:ligatures w14:val="none"/>
        </w:rPr>
        <w:t>on efficiency, waste minimization, and ongoing improvement (Liker, 2004).</w:t>
      </w:r>
    </w:p>
    <w:p w14:paraId="5C79E61A" w14:textId="77777777" w:rsidR="00C2720A" w:rsidRDefault="001E2226" w:rsidP="006E6E0D">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The global automative sector is presently experiencing a significant transformation propelled by technological </w:t>
      </w:r>
      <w:r w:rsidR="00C2720A">
        <w:rPr>
          <w:rFonts w:asciiTheme="minorBidi" w:eastAsia="Times New Roman" w:hAnsiTheme="minorBidi"/>
          <w:kern w:val="0"/>
          <w:lang w:eastAsia="zh-CN"/>
          <w14:ligatures w14:val="none"/>
        </w:rPr>
        <w:t xml:space="preserve">innovations, concerns regarding environmental sustainability, and shifts in consumer preferences. The trends of electrification, digitalisation, and more stringent environmental regulations are altering competitive dynamics within the industry and compelling organisations to reassess their strategic positioning (Grant, 2022). </w:t>
      </w:r>
    </w:p>
    <w:p w14:paraId="2628EF6F" w14:textId="77777777" w:rsidR="00535415" w:rsidRDefault="00535415" w:rsidP="006E6E0D">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This report utilises the PESTLE framework to examine two critical macro-environmental elements: technological change and environmental sustainability. These elements are especially crucial as they are reshaping the future of mobility. Subsequently, the report assesses the strategic responses of Ford and Toyota through the lens of Porter’s Generic Strategies and Ansoff’s Growth Matrix. </w:t>
      </w:r>
    </w:p>
    <w:p w14:paraId="3A9419F3" w14:textId="77777777" w:rsidR="00535415" w:rsidRDefault="00535415" w:rsidP="006E6E0D">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lastRenderedPageBreak/>
        <w:t xml:space="preserve">The analysis posits that although innovators such as Ford may gain initial advantages from being leaders in innovation, follower companies like Toyota can attain long-term success by employing adaptive strategies and excelling in operations. </w:t>
      </w:r>
    </w:p>
    <w:p w14:paraId="5B04BF21" w14:textId="71356CC7" w:rsidR="001E2226" w:rsidRDefault="00535415" w:rsidP="006E6E0D">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In the end, the capacity to respond adeptly to macro-environmental shifts</w:t>
      </w:r>
      <w:r w:rsidR="001B766E">
        <w:rPr>
          <w:rFonts w:asciiTheme="minorBidi" w:eastAsia="Times New Roman" w:hAnsiTheme="minorBidi"/>
          <w:kern w:val="0"/>
          <w:lang w:eastAsia="zh-CN"/>
          <w14:ligatures w14:val="none"/>
        </w:rPr>
        <w:t xml:space="preserve"> holds greater significance than the original market standing. </w:t>
      </w:r>
      <w:r w:rsidR="00C2720A">
        <w:rPr>
          <w:rFonts w:asciiTheme="minorBidi" w:eastAsia="Times New Roman" w:hAnsiTheme="minorBidi"/>
          <w:kern w:val="0"/>
          <w:lang w:eastAsia="zh-CN"/>
          <w14:ligatures w14:val="none"/>
        </w:rPr>
        <w:t xml:space="preserve"> </w:t>
      </w:r>
    </w:p>
    <w:p w14:paraId="11D1667F" w14:textId="77777777" w:rsidR="001E2226" w:rsidRPr="006E6E0D" w:rsidRDefault="001E2226" w:rsidP="006E6E0D">
      <w:pPr>
        <w:spacing w:before="100" w:beforeAutospacing="1" w:after="100" w:afterAutospacing="1" w:line="360" w:lineRule="auto"/>
        <w:ind w:left="720"/>
        <w:rPr>
          <w:rFonts w:asciiTheme="minorBidi" w:eastAsia="Times New Roman" w:hAnsiTheme="minorBidi"/>
          <w:kern w:val="0"/>
          <w:lang w:eastAsia="zh-CN"/>
          <w14:ligatures w14:val="none"/>
        </w:rPr>
      </w:pPr>
    </w:p>
    <w:p w14:paraId="2B69489D" w14:textId="4A5079B4" w:rsidR="00F4799C" w:rsidRPr="00F4799C" w:rsidRDefault="00F4799C" w:rsidP="00F4799C">
      <w:pPr>
        <w:pStyle w:val="Heading1"/>
        <w:spacing w:line="360" w:lineRule="auto"/>
        <w:rPr>
          <w:rFonts w:asciiTheme="minorBidi" w:hAnsiTheme="minorBidi" w:cstheme="minorBidi"/>
          <w:b/>
          <w:bCs/>
          <w:color w:val="auto"/>
          <w:sz w:val="24"/>
          <w:szCs w:val="24"/>
          <w:lang w:eastAsia="zh-CN"/>
        </w:rPr>
      </w:pPr>
      <w:bookmarkStart w:id="1" w:name="_Toc222732274"/>
      <w:r w:rsidRPr="00F4799C">
        <w:rPr>
          <w:rFonts w:asciiTheme="minorBidi" w:hAnsiTheme="minorBidi" w:cstheme="minorBidi"/>
          <w:b/>
          <w:bCs/>
          <w:color w:val="auto"/>
          <w:sz w:val="24"/>
          <w:szCs w:val="24"/>
          <w:lang w:eastAsia="zh-CN"/>
        </w:rPr>
        <w:t>2. Task 1: Critical Analysis of the Macro Marketing Environment</w:t>
      </w:r>
      <w:bookmarkEnd w:id="1"/>
    </w:p>
    <w:p w14:paraId="01137DB7" w14:textId="77777777" w:rsidR="00F4799C" w:rsidRPr="00F4799C" w:rsidRDefault="00F4799C" w:rsidP="00F4799C">
      <w:pPr>
        <w:pStyle w:val="Heading2"/>
        <w:spacing w:line="360" w:lineRule="auto"/>
        <w:rPr>
          <w:rFonts w:asciiTheme="minorBidi" w:hAnsiTheme="minorBidi" w:cstheme="minorBidi"/>
          <w:b/>
          <w:bCs/>
          <w:color w:val="auto"/>
          <w:sz w:val="24"/>
          <w:szCs w:val="24"/>
          <w:lang w:eastAsia="zh-CN"/>
        </w:rPr>
      </w:pPr>
      <w:bookmarkStart w:id="2" w:name="_Toc222732275"/>
      <w:r w:rsidRPr="00F4799C">
        <w:rPr>
          <w:rFonts w:asciiTheme="minorBidi" w:hAnsiTheme="minorBidi" w:cstheme="minorBidi"/>
          <w:b/>
          <w:bCs/>
          <w:color w:val="auto"/>
          <w:sz w:val="24"/>
          <w:szCs w:val="24"/>
          <w:lang w:eastAsia="zh-CN"/>
        </w:rPr>
        <w:t>2.1 Macro Marketing Environment</w:t>
      </w:r>
      <w:bookmarkEnd w:id="2"/>
    </w:p>
    <w:p w14:paraId="03B3453B" w14:textId="28F65B8C" w:rsidR="00F4799C" w:rsidRDefault="006A7510" w:rsidP="006A7510">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The macro–Marketing Environment encompasses extensive external forces that affect organisational performance yet lie outside the realm of direct managerial influence. The PESTLE framework –comprising Political, Economic, Social, Technological, Legal, and Environmental elements----is frequently employed to systematically analyse these forces (Johnson et al., 2017).</w:t>
      </w:r>
    </w:p>
    <w:p w14:paraId="673EECF8" w14:textId="01670FD7" w:rsidR="006A7510" w:rsidRDefault="006A7510" w:rsidP="006A7510">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Nevertheless, it is crucial to critically acknowledge that PESTLE offers a static representation of the environment and may not adequately reflect the rapidity and intricacy of changes in sectors such as automative. Consequently, organisations must embrace a dynamic methodology for environmental scanning, persistently refining their strategies in response to changing conditions.</w:t>
      </w:r>
    </w:p>
    <w:p w14:paraId="23A658F2" w14:textId="694B48D9" w:rsidR="006A7510" w:rsidRDefault="006A7510" w:rsidP="006A7510">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Among the six PESTLE elements, technological and environmental forces hold particular significance in the automative sector. Technological advancements are disrupting conventional business models through innovations such as electric </w:t>
      </w:r>
      <w:r w:rsidR="00701C30">
        <w:rPr>
          <w:rFonts w:asciiTheme="minorBidi" w:eastAsia="Times New Roman" w:hAnsiTheme="minorBidi"/>
          <w:kern w:val="0"/>
          <w:lang w:eastAsia="zh-CN"/>
          <w14:ligatures w14:val="none"/>
        </w:rPr>
        <w:t>vehicles (EVs), autonomous driving, and enhanced digital connectivity. Concurrently, environmental issues like climate change and carbon emissions are prompting regulatory transformations and altering consumer preferences towards sustainable mobility options (IEA, 2023).</w:t>
      </w:r>
    </w:p>
    <w:p w14:paraId="31D303E3" w14:textId="41A4828E" w:rsidR="00701C30" w:rsidRDefault="00701C30" w:rsidP="006A7510">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lastRenderedPageBreak/>
        <w:t xml:space="preserve">These two elements are also deeply interconnected. For instance, environmental regulations are propelling technological advancements, especially in the realm of electric and hybrid vehicles. Thus, examining these factors in conjunction offers a more thorough comprehensive of the external environment. </w:t>
      </w:r>
    </w:p>
    <w:p w14:paraId="073A4176" w14:textId="77777777" w:rsidR="006A7510" w:rsidRPr="006A7510" w:rsidRDefault="006A7510" w:rsidP="006A7510">
      <w:pPr>
        <w:spacing w:before="100" w:beforeAutospacing="1" w:after="100" w:afterAutospacing="1" w:line="360" w:lineRule="auto"/>
        <w:ind w:left="720"/>
        <w:rPr>
          <w:rFonts w:asciiTheme="minorBidi" w:eastAsia="Times New Roman" w:hAnsiTheme="minorBidi"/>
          <w:kern w:val="0"/>
          <w:lang w:eastAsia="zh-CN"/>
          <w14:ligatures w14:val="none"/>
        </w:rPr>
      </w:pPr>
    </w:p>
    <w:p w14:paraId="0F739FCF" w14:textId="227AEA89" w:rsidR="00F4799C" w:rsidRDefault="00F4799C" w:rsidP="00F4799C">
      <w:pPr>
        <w:pStyle w:val="Heading2"/>
        <w:spacing w:line="360" w:lineRule="auto"/>
        <w:rPr>
          <w:rFonts w:asciiTheme="minorBidi" w:hAnsiTheme="minorBidi" w:cstheme="minorBidi"/>
          <w:b/>
          <w:bCs/>
          <w:color w:val="auto"/>
          <w:sz w:val="24"/>
          <w:szCs w:val="24"/>
          <w:lang w:eastAsia="zh-CN"/>
        </w:rPr>
      </w:pPr>
      <w:bookmarkStart w:id="3" w:name="_Toc222732276"/>
      <w:r w:rsidRPr="00F4799C">
        <w:rPr>
          <w:rFonts w:asciiTheme="minorBidi" w:hAnsiTheme="minorBidi" w:cstheme="minorBidi"/>
          <w:b/>
          <w:bCs/>
          <w:color w:val="auto"/>
          <w:sz w:val="24"/>
          <w:szCs w:val="24"/>
          <w:lang w:eastAsia="zh-CN"/>
        </w:rPr>
        <w:t>2.2</w:t>
      </w:r>
      <w:r w:rsidR="00EA6BE8">
        <w:rPr>
          <w:rFonts w:asciiTheme="minorBidi" w:hAnsiTheme="minorBidi" w:cstheme="minorBidi"/>
          <w:b/>
          <w:bCs/>
          <w:color w:val="auto"/>
          <w:sz w:val="24"/>
          <w:szCs w:val="24"/>
          <w:lang w:eastAsia="zh-CN"/>
        </w:rPr>
        <w:t xml:space="preserve"> </w:t>
      </w:r>
      <w:r w:rsidRPr="00F4799C">
        <w:rPr>
          <w:rFonts w:asciiTheme="minorBidi" w:hAnsiTheme="minorBidi" w:cstheme="minorBidi"/>
          <w:b/>
          <w:bCs/>
          <w:color w:val="auto"/>
          <w:sz w:val="24"/>
          <w:szCs w:val="24"/>
          <w:lang w:eastAsia="zh-CN"/>
        </w:rPr>
        <w:t>Macro Factor 1</w:t>
      </w:r>
      <w:bookmarkEnd w:id="3"/>
      <w:r w:rsidR="00EA6BE8">
        <w:rPr>
          <w:rFonts w:asciiTheme="minorBidi" w:hAnsiTheme="minorBidi" w:cstheme="minorBidi"/>
          <w:b/>
          <w:bCs/>
          <w:color w:val="auto"/>
          <w:sz w:val="24"/>
          <w:szCs w:val="24"/>
          <w:lang w:eastAsia="zh-CN"/>
        </w:rPr>
        <w:t>: Technological Environment</w:t>
      </w:r>
    </w:p>
    <w:p w14:paraId="4F6A4650" w14:textId="26288C3A" w:rsidR="00EA6BE8" w:rsidRPr="00EA6BE8" w:rsidRDefault="00EA6BE8" w:rsidP="00EA6BE8">
      <w:pPr>
        <w:pStyle w:val="ListParagraph"/>
        <w:rPr>
          <w:lang w:eastAsia="zh-CN"/>
        </w:rPr>
      </w:pPr>
      <w:r>
        <w:rPr>
          <w:lang w:eastAsia="zh-CN"/>
        </w:rPr>
        <w:t xml:space="preserve">Technological </w:t>
      </w:r>
      <w:r w:rsidR="00D343F1">
        <w:rPr>
          <w:lang w:eastAsia="zh-CN"/>
        </w:rPr>
        <w:t xml:space="preserve">progress is </w:t>
      </w:r>
      <w:r w:rsidR="00AD340D">
        <w:rPr>
          <w:lang w:eastAsia="zh-CN"/>
        </w:rPr>
        <w:t>fundamentally altering the automative sector, presenting both opportunities and challenges for companies. These advancements encompass the swift rise of electric vehicles (EVs), autonomous driving technologies, and improved digital connectivity, all of consumer expectations</w:t>
      </w:r>
      <w:r w:rsidR="00304253">
        <w:rPr>
          <w:lang w:eastAsia="zh-CN"/>
        </w:rPr>
        <w:t xml:space="preserve"> and competitive landscapes. Consequently, organizations must invest significantly in research and development while also navigating the risks linked to technological uncertainty and disruption. </w:t>
      </w:r>
    </w:p>
    <w:p w14:paraId="63BD161B" w14:textId="334595E4" w:rsidR="00F4799C" w:rsidRDefault="00F4799C" w:rsidP="002A411D">
      <w:pPr>
        <w:pStyle w:val="Heading3"/>
        <w:spacing w:line="360" w:lineRule="auto"/>
        <w:rPr>
          <w:rFonts w:asciiTheme="minorBidi" w:hAnsiTheme="minorBidi" w:cstheme="minorBidi"/>
          <w:b/>
          <w:bCs/>
          <w:color w:val="auto"/>
          <w:sz w:val="24"/>
          <w:szCs w:val="24"/>
          <w:lang w:eastAsia="zh-CN"/>
        </w:rPr>
      </w:pPr>
      <w:bookmarkStart w:id="4" w:name="_Toc222732277"/>
      <w:r w:rsidRPr="00F4799C">
        <w:rPr>
          <w:rFonts w:asciiTheme="minorBidi" w:hAnsiTheme="minorBidi" w:cstheme="minorBidi"/>
          <w:b/>
          <w:bCs/>
          <w:color w:val="auto"/>
          <w:sz w:val="24"/>
          <w:szCs w:val="24"/>
          <w:lang w:eastAsia="zh-CN"/>
        </w:rPr>
        <w:t xml:space="preserve">2.2.1 Impact on </w:t>
      </w:r>
      <w:r w:rsidR="002A411D">
        <w:rPr>
          <w:rFonts w:asciiTheme="minorBidi" w:hAnsiTheme="minorBidi" w:cstheme="minorBidi"/>
          <w:b/>
          <w:bCs/>
          <w:color w:val="auto"/>
          <w:sz w:val="24"/>
          <w:szCs w:val="24"/>
          <w:lang w:eastAsia="zh-CN"/>
        </w:rPr>
        <w:t>Ford</w:t>
      </w:r>
      <w:r w:rsidRPr="00F4799C">
        <w:rPr>
          <w:rFonts w:asciiTheme="minorBidi" w:hAnsiTheme="minorBidi" w:cstheme="minorBidi"/>
          <w:b/>
          <w:bCs/>
          <w:color w:val="auto"/>
          <w:sz w:val="24"/>
          <w:szCs w:val="24"/>
          <w:lang w:eastAsia="zh-CN"/>
        </w:rPr>
        <w:t xml:space="preserve"> </w:t>
      </w:r>
      <w:r w:rsidR="002A411D">
        <w:rPr>
          <w:rFonts w:asciiTheme="minorBidi" w:hAnsiTheme="minorBidi" w:cstheme="minorBidi"/>
          <w:b/>
          <w:bCs/>
          <w:color w:val="auto"/>
          <w:sz w:val="24"/>
          <w:szCs w:val="24"/>
          <w:lang w:eastAsia="zh-CN"/>
        </w:rPr>
        <w:t>(</w:t>
      </w:r>
      <w:r w:rsidRPr="00F4799C">
        <w:rPr>
          <w:rFonts w:asciiTheme="minorBidi" w:hAnsiTheme="minorBidi" w:cstheme="minorBidi"/>
          <w:b/>
          <w:bCs/>
          <w:color w:val="auto"/>
          <w:sz w:val="24"/>
          <w:szCs w:val="24"/>
          <w:lang w:eastAsia="zh-CN"/>
        </w:rPr>
        <w:t>Pioneer Organisation</w:t>
      </w:r>
      <w:bookmarkEnd w:id="4"/>
      <w:r w:rsidR="002A411D">
        <w:rPr>
          <w:rFonts w:asciiTheme="minorBidi" w:hAnsiTheme="minorBidi" w:cstheme="minorBidi"/>
          <w:b/>
          <w:bCs/>
          <w:color w:val="auto"/>
          <w:sz w:val="24"/>
          <w:szCs w:val="24"/>
          <w:lang w:eastAsia="zh-CN"/>
        </w:rPr>
        <w:t>)</w:t>
      </w:r>
    </w:p>
    <w:p w14:paraId="3F119E57" w14:textId="6330869C" w:rsidR="002A411D" w:rsidRDefault="002A411D" w:rsidP="002A411D">
      <w:pPr>
        <w:pStyle w:val="ListParagraph"/>
        <w:rPr>
          <w:lang w:eastAsia="zh-CN"/>
        </w:rPr>
      </w:pPr>
      <w:r>
        <w:rPr>
          <w:lang w:eastAsia="zh-CN"/>
        </w:rPr>
        <w:t xml:space="preserve">Ford’s historical role as a trailblazer has endowed it with substantial brand recognition and considerable manufacturing prowess. Nevertheless, technological disruptions have revealed shortcomings in its capacity to swiftly adapt to evolving market dynamics. </w:t>
      </w:r>
    </w:p>
    <w:p w14:paraId="061AB932" w14:textId="77777777" w:rsidR="002A411D" w:rsidRDefault="002A411D" w:rsidP="002A411D">
      <w:pPr>
        <w:pStyle w:val="ListParagraph"/>
        <w:rPr>
          <w:lang w:eastAsia="zh-CN"/>
        </w:rPr>
      </w:pPr>
    </w:p>
    <w:p w14:paraId="7EDE2166" w14:textId="1CDF2774" w:rsidR="002A411D" w:rsidRDefault="002A411D" w:rsidP="002A411D">
      <w:pPr>
        <w:pStyle w:val="ListParagraph"/>
        <w:rPr>
          <w:lang w:eastAsia="zh-CN"/>
        </w:rPr>
      </w:pPr>
      <w:r>
        <w:rPr>
          <w:lang w:eastAsia="zh-CN"/>
        </w:rPr>
        <w:t xml:space="preserve">A primary challenge confronting Ford is its delayed entry into the electric vehicle sector. While firms like Tesla have positioned themselves as frontrunners in EV innovation, Ford initially </w:t>
      </w:r>
      <w:r w:rsidR="003A463E">
        <w:rPr>
          <w:lang w:eastAsia="zh-CN"/>
        </w:rPr>
        <w:t xml:space="preserve">concentrated on enhancing internal combustion engine (ICE) vehicles. This focus resulted in a strategic delay, diminishing its competitiveness in the swiftly expanding EV market. </w:t>
      </w:r>
    </w:p>
    <w:p w14:paraId="729AC343" w14:textId="77777777" w:rsidR="003A463E" w:rsidRDefault="003A463E" w:rsidP="002A411D">
      <w:pPr>
        <w:pStyle w:val="ListParagraph"/>
        <w:rPr>
          <w:lang w:eastAsia="zh-CN"/>
        </w:rPr>
      </w:pPr>
    </w:p>
    <w:p w14:paraId="17D84A49" w14:textId="671D7378" w:rsidR="003A463E" w:rsidRDefault="003A463E" w:rsidP="002A411D">
      <w:pPr>
        <w:pStyle w:val="ListParagraph"/>
        <w:rPr>
          <w:lang w:eastAsia="zh-CN"/>
        </w:rPr>
      </w:pPr>
      <w:r>
        <w:rPr>
          <w:lang w:eastAsia="zh-CN"/>
        </w:rPr>
        <w:t xml:space="preserve">From a critical standpoint, this situation illustrates organizational inertia, wherein established companies find it challenging to move away from legacy systems and technologies (Grant, 2022). Ford’s significant investment in traditional manufacturing infrastructure has fostered path dependency, complicating its transition to new technologies. </w:t>
      </w:r>
    </w:p>
    <w:p w14:paraId="78B1FB72" w14:textId="77777777" w:rsidR="00337E3F" w:rsidRDefault="00337E3F" w:rsidP="002A411D">
      <w:pPr>
        <w:pStyle w:val="ListParagraph"/>
        <w:rPr>
          <w:lang w:eastAsia="zh-CN"/>
        </w:rPr>
      </w:pPr>
    </w:p>
    <w:p w14:paraId="57CABAC6" w14:textId="2D637BFE" w:rsidR="00337E3F" w:rsidRDefault="00CE0138" w:rsidP="002A411D">
      <w:pPr>
        <w:pStyle w:val="ListParagraph"/>
        <w:rPr>
          <w:lang w:eastAsia="zh-CN"/>
        </w:rPr>
      </w:pPr>
      <w:r>
        <w:rPr>
          <w:lang w:eastAsia="zh-CN"/>
        </w:rPr>
        <w:t xml:space="preserve">Nonetheless, technological advancements also offer considerable opportunities for Ford. The introduction of models such as the Mustang Mach-E and F-150 Lightning underscores its dedication to electrification.  These advancements allow </w:t>
      </w:r>
      <w:r w:rsidR="00881AE8">
        <w:rPr>
          <w:lang w:eastAsia="zh-CN"/>
        </w:rPr>
        <w:t>F</w:t>
      </w:r>
      <w:r>
        <w:rPr>
          <w:lang w:eastAsia="zh-CN"/>
        </w:rPr>
        <w:t>ord to red</w:t>
      </w:r>
      <w:r w:rsidR="00881AE8">
        <w:rPr>
          <w:lang w:eastAsia="zh-CN"/>
        </w:rPr>
        <w:t xml:space="preserve">efine itself as a contemporary, technology-oriented brand. </w:t>
      </w:r>
    </w:p>
    <w:p w14:paraId="64FA61EC" w14:textId="77777777" w:rsidR="00881AE8" w:rsidRDefault="00881AE8" w:rsidP="002A411D">
      <w:pPr>
        <w:pStyle w:val="ListParagraph"/>
        <w:rPr>
          <w:lang w:eastAsia="zh-CN"/>
        </w:rPr>
      </w:pPr>
    </w:p>
    <w:p w14:paraId="266B4CE9" w14:textId="41703D2C" w:rsidR="00881AE8" w:rsidRDefault="00881AE8" w:rsidP="002A411D">
      <w:pPr>
        <w:pStyle w:val="ListParagraph"/>
        <w:rPr>
          <w:lang w:eastAsia="zh-CN"/>
        </w:rPr>
      </w:pPr>
      <w:r>
        <w:rPr>
          <w:lang w:eastAsia="zh-CN"/>
        </w:rPr>
        <w:t xml:space="preserve">In spite of these advancements, Fordd contends with substantial research and development (R&amp;D) expenses and the uncertainties linked to emerging technologies. The threat of technological obsolescence remains pronounced, especially as new competitors persist in innovating at a rapid pace. </w:t>
      </w:r>
    </w:p>
    <w:p w14:paraId="14370D52" w14:textId="77777777" w:rsidR="00881AE8" w:rsidRDefault="00881AE8" w:rsidP="002A411D">
      <w:pPr>
        <w:pStyle w:val="ListParagraph"/>
        <w:rPr>
          <w:lang w:eastAsia="zh-CN"/>
        </w:rPr>
      </w:pPr>
    </w:p>
    <w:p w14:paraId="603A787C" w14:textId="77777777" w:rsidR="00881AE8" w:rsidRPr="002A411D" w:rsidRDefault="00881AE8" w:rsidP="002A411D">
      <w:pPr>
        <w:pStyle w:val="ListParagraph"/>
        <w:rPr>
          <w:lang w:eastAsia="zh-CN"/>
        </w:rPr>
      </w:pPr>
    </w:p>
    <w:p w14:paraId="6805FED8" w14:textId="60529270" w:rsidR="00F4799C" w:rsidRPr="00F4799C" w:rsidRDefault="00F4799C" w:rsidP="00F4799C">
      <w:pPr>
        <w:pStyle w:val="Heading3"/>
        <w:spacing w:line="360" w:lineRule="auto"/>
        <w:rPr>
          <w:rFonts w:asciiTheme="minorBidi" w:hAnsiTheme="minorBidi" w:cstheme="minorBidi"/>
          <w:b/>
          <w:bCs/>
          <w:color w:val="auto"/>
          <w:sz w:val="24"/>
          <w:szCs w:val="24"/>
          <w:lang w:eastAsia="zh-CN"/>
        </w:rPr>
      </w:pPr>
      <w:bookmarkStart w:id="5" w:name="_Toc222732278"/>
      <w:r w:rsidRPr="00F4799C">
        <w:rPr>
          <w:rFonts w:asciiTheme="minorBidi" w:hAnsiTheme="minorBidi" w:cstheme="minorBidi"/>
          <w:b/>
          <w:bCs/>
          <w:color w:val="auto"/>
          <w:sz w:val="24"/>
          <w:szCs w:val="24"/>
          <w:lang w:eastAsia="zh-CN"/>
        </w:rPr>
        <w:t xml:space="preserve">2.2.2 Impact on </w:t>
      </w:r>
      <w:r w:rsidR="00881AE8">
        <w:rPr>
          <w:rFonts w:asciiTheme="minorBidi" w:hAnsiTheme="minorBidi" w:cstheme="minorBidi"/>
          <w:b/>
          <w:bCs/>
          <w:color w:val="auto"/>
          <w:sz w:val="24"/>
          <w:szCs w:val="24"/>
          <w:lang w:eastAsia="zh-CN"/>
        </w:rPr>
        <w:t>Toyota (</w:t>
      </w:r>
      <w:r w:rsidRPr="00F4799C">
        <w:rPr>
          <w:rFonts w:asciiTheme="minorBidi" w:hAnsiTheme="minorBidi" w:cstheme="minorBidi"/>
          <w:b/>
          <w:bCs/>
          <w:color w:val="auto"/>
          <w:sz w:val="24"/>
          <w:szCs w:val="24"/>
          <w:lang w:eastAsia="zh-CN"/>
        </w:rPr>
        <w:t>Follower Organisation</w:t>
      </w:r>
      <w:bookmarkEnd w:id="5"/>
      <w:r w:rsidR="00881AE8">
        <w:rPr>
          <w:rFonts w:asciiTheme="minorBidi" w:hAnsiTheme="minorBidi" w:cstheme="minorBidi"/>
          <w:b/>
          <w:bCs/>
          <w:color w:val="auto"/>
          <w:sz w:val="24"/>
          <w:szCs w:val="24"/>
          <w:lang w:eastAsia="zh-CN"/>
        </w:rPr>
        <w:t>)</w:t>
      </w:r>
      <w:r w:rsidRPr="00F4799C">
        <w:rPr>
          <w:rFonts w:asciiTheme="minorBidi" w:hAnsiTheme="minorBidi" w:cstheme="minorBidi"/>
          <w:b/>
          <w:bCs/>
          <w:color w:val="auto"/>
          <w:sz w:val="24"/>
          <w:szCs w:val="24"/>
          <w:lang w:eastAsia="zh-CN"/>
        </w:rPr>
        <w:t xml:space="preserve"> </w:t>
      </w:r>
    </w:p>
    <w:p w14:paraId="0F2C1773" w14:textId="1B06AA48" w:rsidR="00F4799C" w:rsidRDefault="00392110" w:rsidP="005A28AE">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Toyota has embraced a more prudent and gradual strategy towards technological advancement, unlike Ford. As a follower organization, Toyota has focused on refining current technologies instead of pursuing radical innovations. This is illustrated by its sustained investment in hybrid vehicles, especially the Prius, which has enabled the company to develop robust capabilities in electrification while mitigating risk. This strategy underscores a commitment to efficiency, reliability, and ongoing enhancement, allowing Toyota to sustain consistent growth while steering clear of the unpredict abilities linked to disruptive technologies changes. </w:t>
      </w:r>
    </w:p>
    <w:p w14:paraId="3BED86F7" w14:textId="532E56C7" w:rsidR="005A28AE" w:rsidRDefault="005A28AE" w:rsidP="005A28AE">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Toyota’s initial investment in hybrid technology, especially with the Prius, established it as a frontrunner in the realm of environmentally friendly vehicles. This strategies choice enabled Toyota to develop expertise in electrification while mitigating the risks linked to fully electric vehicles. </w:t>
      </w:r>
    </w:p>
    <w:p w14:paraId="7E61675D" w14:textId="3556EBCF" w:rsidR="005A28AE" w:rsidRDefault="000B3C98" w:rsidP="005A28AE">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From a strategic viewpoint, Toyota’s methodology embodies the notion of dynamic capabilities, wherein firms adjust their resources and capabilities in response to evolving environments (Teece, 2018). By drawing lessons from the experiences of industry pioneers, Toyota diminishes uncertainty and enhances its decision-making processes. </w:t>
      </w:r>
    </w:p>
    <w:p w14:paraId="6C6F4F16" w14:textId="77777777" w:rsidR="000E7237" w:rsidRDefault="000B3C98" w:rsidP="000E7237">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Nonetheless, this cautious strategy is not without its drawbacks. Toyota has faced criticism for its gradual shift towards fully electric vehicles a delay that could jeopardize its competitive edge as both government and consumers increasingly prioritize zero-emission alternatives.</w:t>
      </w:r>
    </w:p>
    <w:p w14:paraId="5D128B9B" w14:textId="4C334F01" w:rsidR="000B3C98" w:rsidRDefault="000B3C98" w:rsidP="000E7237">
      <w:pPr>
        <w:spacing w:before="100" w:beforeAutospacing="1" w:after="100" w:afterAutospacing="1" w:line="360" w:lineRule="auto"/>
        <w:ind w:left="720"/>
        <w:rPr>
          <w:rFonts w:asciiTheme="minorBidi" w:eastAsia="Times New Roman" w:hAnsiTheme="minorBidi"/>
          <w:b/>
          <w:bCs/>
          <w:kern w:val="0"/>
          <w:lang w:eastAsia="zh-CN"/>
          <w14:ligatures w14:val="none"/>
        </w:rPr>
      </w:pPr>
      <w:r w:rsidRPr="000E7237">
        <w:rPr>
          <w:rFonts w:asciiTheme="minorBidi" w:eastAsia="Times New Roman" w:hAnsiTheme="minorBidi"/>
          <w:b/>
          <w:bCs/>
          <w:kern w:val="0"/>
          <w:lang w:eastAsia="zh-CN"/>
          <w14:ligatures w14:val="none"/>
        </w:rPr>
        <w:t xml:space="preserve"> </w:t>
      </w:r>
      <w:r w:rsidR="000E7237" w:rsidRPr="000E7237">
        <w:rPr>
          <w:rFonts w:asciiTheme="minorBidi" w:eastAsia="Times New Roman" w:hAnsiTheme="minorBidi"/>
          <w:b/>
          <w:bCs/>
          <w:kern w:val="0"/>
          <w:lang w:eastAsia="zh-CN"/>
          <w14:ligatures w14:val="none"/>
        </w:rPr>
        <w:t>Comparative Analysis</w:t>
      </w:r>
    </w:p>
    <w:p w14:paraId="02B76B96" w14:textId="1470FBB6" w:rsidR="000E7237" w:rsidRDefault="000E7237" w:rsidP="000E7237">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The juxtaposition of Ford and Toyota underscores a significant strategic trade-off between the pace of innovation and the management of risk. </w:t>
      </w:r>
    </w:p>
    <w:p w14:paraId="25DC1BC7" w14:textId="47582895" w:rsidR="000E7237" w:rsidRDefault="000E7237" w:rsidP="000E7237">
      <w:pPr>
        <w:pStyle w:val="ListParagraph"/>
        <w:numPr>
          <w:ilvl w:val="0"/>
          <w:numId w:val="46"/>
        </w:numPr>
        <w:spacing w:before="100" w:beforeAutospacing="1" w:after="100" w:afterAutospacing="1" w:line="360" w:lineRule="auto"/>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lastRenderedPageBreak/>
        <w:t>Ford’s trailblazing position subjects it to greater risks, yet it also presents the possibility of gaining a firs</w:t>
      </w:r>
      <w:r w:rsidR="00C9386C">
        <w:rPr>
          <w:rFonts w:asciiTheme="minorBidi" w:eastAsia="Times New Roman" w:hAnsiTheme="minorBidi"/>
          <w:kern w:val="0"/>
          <w:lang w:eastAsia="zh-CN"/>
          <w14:ligatures w14:val="none"/>
        </w:rPr>
        <w:t>t-mover advantage.</w:t>
      </w:r>
    </w:p>
    <w:p w14:paraId="20A9054E" w14:textId="50F7AB1F" w:rsidR="00C9386C" w:rsidRDefault="00C9386C" w:rsidP="000E7237">
      <w:pPr>
        <w:pStyle w:val="ListParagraph"/>
        <w:numPr>
          <w:ilvl w:val="0"/>
          <w:numId w:val="46"/>
        </w:numPr>
        <w:spacing w:before="100" w:beforeAutospacing="1" w:after="100" w:afterAutospacing="1" w:line="360" w:lineRule="auto"/>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Toyota’s strategy of following mitigates risk but could lead to the forfeiture of potential opportunities. </w:t>
      </w:r>
    </w:p>
    <w:p w14:paraId="0B54F96A" w14:textId="77777777" w:rsidR="00C9386C" w:rsidRDefault="00C9386C" w:rsidP="00C9386C">
      <w:pPr>
        <w:pStyle w:val="ListParagraph"/>
        <w:spacing w:before="100" w:beforeAutospacing="1" w:after="100" w:afterAutospacing="1" w:line="360" w:lineRule="auto"/>
        <w:ind w:left="1440"/>
        <w:rPr>
          <w:rFonts w:asciiTheme="minorBidi" w:eastAsia="Times New Roman" w:hAnsiTheme="minorBidi"/>
          <w:kern w:val="0"/>
          <w:lang w:eastAsia="zh-CN"/>
          <w14:ligatures w14:val="none"/>
        </w:rPr>
      </w:pPr>
    </w:p>
    <w:p w14:paraId="08ACAC1F" w14:textId="4DD6560B" w:rsidR="00C9386C" w:rsidRDefault="00C9386C" w:rsidP="00C9386C">
      <w:pPr>
        <w:pStyle w:val="ListParagraph"/>
        <w:tabs>
          <w:tab w:val="left" w:pos="948"/>
        </w:tabs>
        <w:spacing w:before="100" w:beforeAutospacing="1" w:after="100" w:afterAutospacing="1" w:line="360" w:lineRule="auto"/>
        <w:ind w:left="1440"/>
        <w:rPr>
          <w:rFonts w:asciiTheme="minorBidi" w:eastAsia="Times New Roman" w:hAnsiTheme="minorBidi"/>
          <w:kern w:val="0"/>
          <w:lang w:eastAsia="zh-CN"/>
          <w14:ligatures w14:val="none"/>
        </w:rPr>
      </w:pPr>
      <w:r w:rsidRPr="00C9386C">
        <w:rPr>
          <w:rFonts w:asciiTheme="minorBidi" w:eastAsia="Times New Roman" w:hAnsiTheme="minorBidi"/>
          <w:kern w:val="0"/>
          <w:lang w:eastAsia="zh-CN"/>
          <w14:ligatures w14:val="none"/>
        </w:rPr>
        <w:t xml:space="preserve">Importantly, the success of each strategy is contingent upon the characteristics of </w:t>
      </w:r>
      <w:r>
        <w:rPr>
          <w:rFonts w:asciiTheme="minorBidi" w:eastAsia="Times New Roman" w:hAnsiTheme="minorBidi"/>
          <w:kern w:val="0"/>
          <w:lang w:eastAsia="zh-CN"/>
          <w14:ligatures w14:val="none"/>
        </w:rPr>
        <w:t xml:space="preserve">technological change. In environments characterized by high disruption, swift innovation may be imperative, whereas in more stable settings, gradual enhancements may prove adequate. </w:t>
      </w:r>
    </w:p>
    <w:p w14:paraId="7114AD29" w14:textId="77777777" w:rsidR="004F0990" w:rsidRDefault="004F0990" w:rsidP="00C9386C">
      <w:pPr>
        <w:pStyle w:val="ListParagraph"/>
        <w:tabs>
          <w:tab w:val="left" w:pos="948"/>
        </w:tabs>
        <w:spacing w:before="100" w:beforeAutospacing="1" w:after="100" w:afterAutospacing="1" w:line="360" w:lineRule="auto"/>
        <w:ind w:left="1440"/>
        <w:rPr>
          <w:rFonts w:asciiTheme="minorBidi" w:eastAsia="Times New Roman" w:hAnsiTheme="minorBidi"/>
          <w:kern w:val="0"/>
          <w:lang w:eastAsia="zh-CN"/>
          <w14:ligatures w14:val="none"/>
        </w:rPr>
      </w:pPr>
    </w:p>
    <w:p w14:paraId="672D45A0" w14:textId="39217099" w:rsidR="004F0990" w:rsidRPr="004F0990" w:rsidRDefault="004F0990" w:rsidP="004F0990">
      <w:pPr>
        <w:tabs>
          <w:tab w:val="left" w:pos="948"/>
        </w:tabs>
        <w:spacing w:before="100" w:beforeAutospacing="1" w:after="100" w:afterAutospacing="1" w:line="360" w:lineRule="auto"/>
        <w:rPr>
          <w:rFonts w:asciiTheme="minorBidi" w:eastAsia="Times New Roman" w:hAnsiTheme="minorBidi"/>
          <w:b/>
          <w:bCs/>
          <w:kern w:val="0"/>
          <w:sz w:val="28"/>
          <w:szCs w:val="28"/>
          <w:u w:val="single"/>
          <w:lang w:eastAsia="zh-CN"/>
          <w14:ligatures w14:val="none"/>
        </w:rPr>
      </w:pPr>
      <w:r w:rsidRPr="004F0990">
        <w:rPr>
          <w:rFonts w:asciiTheme="minorBidi" w:eastAsia="Times New Roman" w:hAnsiTheme="minorBidi"/>
          <w:b/>
          <w:bCs/>
          <w:kern w:val="0"/>
          <w:sz w:val="28"/>
          <w:szCs w:val="28"/>
          <w:u w:val="single"/>
          <w:lang w:eastAsia="zh-CN"/>
          <w14:ligatures w14:val="none"/>
        </w:rPr>
        <w:t>Table 1: Global Electric Vehicle (EV)  Market Growth</w:t>
      </w:r>
    </w:p>
    <w:tbl>
      <w:tblPr>
        <w:tblStyle w:val="GridTable4"/>
        <w:tblW w:w="0" w:type="auto"/>
        <w:tblInd w:w="1129" w:type="dxa"/>
        <w:tblLook w:val="04A0" w:firstRow="1" w:lastRow="0" w:firstColumn="1" w:lastColumn="0" w:noHBand="0" w:noVBand="1"/>
      </w:tblPr>
      <w:tblGrid>
        <w:gridCol w:w="1276"/>
        <w:gridCol w:w="3329"/>
        <w:gridCol w:w="3282"/>
      </w:tblGrid>
      <w:tr w:rsidR="0066144E" w14:paraId="5E358583" w14:textId="77777777" w:rsidTr="004F09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Pr>
          <w:p w14:paraId="55F9557E" w14:textId="52C78B8B" w:rsidR="0066144E" w:rsidRPr="0066144E" w:rsidRDefault="0066144E" w:rsidP="00C9386C">
            <w:pPr>
              <w:pStyle w:val="ListParagraph"/>
              <w:tabs>
                <w:tab w:val="left" w:pos="948"/>
              </w:tabs>
              <w:spacing w:before="100" w:beforeAutospacing="1" w:after="100" w:afterAutospacing="1" w:line="360" w:lineRule="auto"/>
              <w:ind w:left="0"/>
              <w:rPr>
                <w:rFonts w:asciiTheme="minorBidi" w:eastAsia="Times New Roman" w:hAnsiTheme="minorBidi"/>
                <w:b w:val="0"/>
                <w:bCs w:val="0"/>
                <w:kern w:val="0"/>
                <w:lang w:eastAsia="zh-CN"/>
                <w14:ligatures w14:val="none"/>
              </w:rPr>
            </w:pPr>
            <w:r w:rsidRPr="0066144E">
              <w:rPr>
                <w:rFonts w:asciiTheme="minorBidi" w:eastAsia="Times New Roman" w:hAnsiTheme="minorBidi"/>
                <w:b w:val="0"/>
                <w:bCs w:val="0"/>
                <w:kern w:val="0"/>
                <w:sz w:val="28"/>
                <w:szCs w:val="28"/>
                <w:lang w:eastAsia="zh-CN"/>
                <w14:ligatures w14:val="none"/>
              </w:rPr>
              <w:t>Year</w:t>
            </w:r>
          </w:p>
        </w:tc>
        <w:tc>
          <w:tcPr>
            <w:tcW w:w="3329" w:type="dxa"/>
          </w:tcPr>
          <w:p w14:paraId="5951B0EB" w14:textId="2049E170" w:rsidR="0066144E" w:rsidRPr="0066144E" w:rsidRDefault="0066144E" w:rsidP="00C9386C">
            <w:pPr>
              <w:pStyle w:val="ListParagraph"/>
              <w:tabs>
                <w:tab w:val="left" w:pos="948"/>
              </w:tabs>
              <w:spacing w:before="100" w:beforeAutospacing="1" w:after="100" w:afterAutospacing="1" w:line="360" w:lineRule="auto"/>
              <w:ind w:left="0"/>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kern w:val="0"/>
                <w:sz w:val="28"/>
                <w:szCs w:val="28"/>
                <w:lang w:eastAsia="zh-CN"/>
                <w14:ligatures w14:val="none"/>
              </w:rPr>
            </w:pPr>
            <w:r w:rsidRPr="0066144E">
              <w:rPr>
                <w:rFonts w:asciiTheme="minorBidi" w:eastAsia="Times New Roman" w:hAnsiTheme="minorBidi"/>
                <w:b w:val="0"/>
                <w:bCs w:val="0"/>
                <w:kern w:val="0"/>
                <w:sz w:val="28"/>
                <w:szCs w:val="28"/>
                <w:lang w:eastAsia="zh-CN"/>
                <w14:ligatures w14:val="none"/>
              </w:rPr>
              <w:t xml:space="preserve">Global Electric Vehicle Sales (Million Units) </w:t>
            </w:r>
          </w:p>
        </w:tc>
        <w:tc>
          <w:tcPr>
            <w:tcW w:w="3282" w:type="dxa"/>
          </w:tcPr>
          <w:p w14:paraId="2DFD01A9" w14:textId="43E7E0DB" w:rsidR="0066144E" w:rsidRPr="0066144E" w:rsidRDefault="0066144E" w:rsidP="00C9386C">
            <w:pPr>
              <w:pStyle w:val="ListParagraph"/>
              <w:tabs>
                <w:tab w:val="left" w:pos="948"/>
              </w:tabs>
              <w:spacing w:before="100" w:beforeAutospacing="1" w:after="100" w:afterAutospacing="1" w:line="360" w:lineRule="auto"/>
              <w:ind w:left="0"/>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kern w:val="0"/>
                <w:sz w:val="28"/>
                <w:szCs w:val="28"/>
                <w:lang w:eastAsia="zh-CN"/>
                <w14:ligatures w14:val="none"/>
              </w:rPr>
            </w:pPr>
            <w:r w:rsidRPr="0066144E">
              <w:rPr>
                <w:rFonts w:asciiTheme="minorBidi" w:eastAsia="Times New Roman" w:hAnsiTheme="minorBidi"/>
                <w:b w:val="0"/>
                <w:bCs w:val="0"/>
                <w:kern w:val="0"/>
                <w:sz w:val="28"/>
                <w:szCs w:val="28"/>
                <w:lang w:eastAsia="zh-CN"/>
                <w14:ligatures w14:val="none"/>
              </w:rPr>
              <w:t>Market Share (%)</w:t>
            </w:r>
          </w:p>
        </w:tc>
      </w:tr>
      <w:tr w:rsidR="0066144E" w14:paraId="78934D6F" w14:textId="77777777" w:rsidTr="004F09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Pr>
          <w:p w14:paraId="464FD99E" w14:textId="388AAF7F" w:rsidR="0066144E" w:rsidRDefault="0066144E" w:rsidP="004F0990">
            <w:pPr>
              <w:pStyle w:val="ListParagraph"/>
              <w:tabs>
                <w:tab w:val="left" w:pos="948"/>
              </w:tabs>
              <w:spacing w:before="100" w:beforeAutospacing="1" w:after="100" w:afterAutospacing="1" w:line="360" w:lineRule="auto"/>
              <w:ind w:left="0"/>
              <w:jc w:val="center"/>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2019</w:t>
            </w:r>
          </w:p>
        </w:tc>
        <w:tc>
          <w:tcPr>
            <w:tcW w:w="3329" w:type="dxa"/>
          </w:tcPr>
          <w:p w14:paraId="005C52E0" w14:textId="022C08DA" w:rsidR="0066144E" w:rsidRDefault="0066144E" w:rsidP="004F0990">
            <w:pPr>
              <w:pStyle w:val="ListParagraph"/>
              <w:tabs>
                <w:tab w:val="left" w:pos="948"/>
              </w:tabs>
              <w:spacing w:before="100" w:beforeAutospacing="1" w:after="100" w:afterAutospacing="1" w:line="360" w:lineRule="auto"/>
              <w:ind w:left="0"/>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2.2</w:t>
            </w:r>
          </w:p>
        </w:tc>
        <w:tc>
          <w:tcPr>
            <w:tcW w:w="3282" w:type="dxa"/>
          </w:tcPr>
          <w:p w14:paraId="70E411FF" w14:textId="572FFF36" w:rsidR="0066144E" w:rsidRDefault="004F0990" w:rsidP="004F0990">
            <w:pPr>
              <w:pStyle w:val="ListParagraph"/>
              <w:tabs>
                <w:tab w:val="left" w:pos="948"/>
              </w:tabs>
              <w:spacing w:before="100" w:beforeAutospacing="1" w:after="100" w:afterAutospacing="1" w:line="360" w:lineRule="auto"/>
              <w:ind w:left="0"/>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2.5%</w:t>
            </w:r>
          </w:p>
        </w:tc>
      </w:tr>
      <w:tr w:rsidR="0066144E" w14:paraId="15DB57B8" w14:textId="77777777" w:rsidTr="004F0990">
        <w:tc>
          <w:tcPr>
            <w:cnfStyle w:val="001000000000" w:firstRow="0" w:lastRow="0" w:firstColumn="1" w:lastColumn="0" w:oddVBand="0" w:evenVBand="0" w:oddHBand="0" w:evenHBand="0" w:firstRowFirstColumn="0" w:firstRowLastColumn="0" w:lastRowFirstColumn="0" w:lastRowLastColumn="0"/>
            <w:tcW w:w="1276" w:type="dxa"/>
          </w:tcPr>
          <w:p w14:paraId="460E95D5" w14:textId="7B70C36E" w:rsidR="0066144E" w:rsidRDefault="0066144E" w:rsidP="004F0990">
            <w:pPr>
              <w:pStyle w:val="ListParagraph"/>
              <w:tabs>
                <w:tab w:val="left" w:pos="948"/>
              </w:tabs>
              <w:spacing w:before="100" w:beforeAutospacing="1" w:after="100" w:afterAutospacing="1" w:line="360" w:lineRule="auto"/>
              <w:ind w:left="0"/>
              <w:jc w:val="center"/>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2020</w:t>
            </w:r>
          </w:p>
        </w:tc>
        <w:tc>
          <w:tcPr>
            <w:tcW w:w="3329" w:type="dxa"/>
          </w:tcPr>
          <w:p w14:paraId="3896E59F" w14:textId="5A0A1158" w:rsidR="0066144E" w:rsidRDefault="0066144E" w:rsidP="004F0990">
            <w:pPr>
              <w:pStyle w:val="ListParagraph"/>
              <w:tabs>
                <w:tab w:val="left" w:pos="948"/>
              </w:tabs>
              <w:spacing w:before="100" w:beforeAutospacing="1" w:after="100" w:afterAutospacing="1" w:line="360" w:lineRule="auto"/>
              <w:ind w:left="0"/>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3.1</w:t>
            </w:r>
          </w:p>
        </w:tc>
        <w:tc>
          <w:tcPr>
            <w:tcW w:w="3282" w:type="dxa"/>
          </w:tcPr>
          <w:p w14:paraId="0FF3C50E" w14:textId="76F3B413" w:rsidR="0066144E" w:rsidRDefault="004F0990" w:rsidP="004F0990">
            <w:pPr>
              <w:pStyle w:val="ListParagraph"/>
              <w:tabs>
                <w:tab w:val="left" w:pos="948"/>
              </w:tabs>
              <w:spacing w:before="100" w:beforeAutospacing="1" w:after="100" w:afterAutospacing="1" w:line="360" w:lineRule="auto"/>
              <w:ind w:left="0"/>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4.2%</w:t>
            </w:r>
          </w:p>
        </w:tc>
      </w:tr>
      <w:tr w:rsidR="0066144E" w14:paraId="300F02A1" w14:textId="77777777" w:rsidTr="004F09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Pr>
          <w:p w14:paraId="1AC0F913" w14:textId="102ED19A" w:rsidR="0066144E" w:rsidRDefault="0066144E" w:rsidP="004F0990">
            <w:pPr>
              <w:pStyle w:val="ListParagraph"/>
              <w:tabs>
                <w:tab w:val="left" w:pos="948"/>
              </w:tabs>
              <w:spacing w:before="100" w:beforeAutospacing="1" w:after="100" w:afterAutospacing="1" w:line="360" w:lineRule="auto"/>
              <w:ind w:left="0"/>
              <w:jc w:val="center"/>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2021</w:t>
            </w:r>
          </w:p>
        </w:tc>
        <w:tc>
          <w:tcPr>
            <w:tcW w:w="3329" w:type="dxa"/>
          </w:tcPr>
          <w:p w14:paraId="78200F76" w14:textId="455E7C24" w:rsidR="0066144E" w:rsidRDefault="0066144E" w:rsidP="004F0990">
            <w:pPr>
              <w:pStyle w:val="ListParagraph"/>
              <w:tabs>
                <w:tab w:val="left" w:pos="948"/>
              </w:tabs>
              <w:spacing w:before="100" w:beforeAutospacing="1" w:after="100" w:afterAutospacing="1" w:line="360" w:lineRule="auto"/>
              <w:ind w:left="0"/>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6.6</w:t>
            </w:r>
          </w:p>
        </w:tc>
        <w:tc>
          <w:tcPr>
            <w:tcW w:w="3282" w:type="dxa"/>
          </w:tcPr>
          <w:p w14:paraId="00FE1F9A" w14:textId="1AAEF766" w:rsidR="0066144E" w:rsidRDefault="004F0990" w:rsidP="004F0990">
            <w:pPr>
              <w:pStyle w:val="ListParagraph"/>
              <w:tabs>
                <w:tab w:val="left" w:pos="948"/>
              </w:tabs>
              <w:spacing w:before="100" w:beforeAutospacing="1" w:after="100" w:afterAutospacing="1" w:line="360" w:lineRule="auto"/>
              <w:ind w:left="0"/>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9.0%</w:t>
            </w:r>
          </w:p>
        </w:tc>
      </w:tr>
      <w:tr w:rsidR="0066144E" w14:paraId="7B2FB4A5" w14:textId="77777777" w:rsidTr="004F0990">
        <w:tc>
          <w:tcPr>
            <w:cnfStyle w:val="001000000000" w:firstRow="0" w:lastRow="0" w:firstColumn="1" w:lastColumn="0" w:oddVBand="0" w:evenVBand="0" w:oddHBand="0" w:evenHBand="0" w:firstRowFirstColumn="0" w:firstRowLastColumn="0" w:lastRowFirstColumn="0" w:lastRowLastColumn="0"/>
            <w:tcW w:w="1276" w:type="dxa"/>
          </w:tcPr>
          <w:p w14:paraId="4AE4B05B" w14:textId="68B6B173" w:rsidR="0066144E" w:rsidRDefault="0066144E" w:rsidP="004F0990">
            <w:pPr>
              <w:pStyle w:val="ListParagraph"/>
              <w:tabs>
                <w:tab w:val="left" w:pos="948"/>
              </w:tabs>
              <w:spacing w:before="100" w:beforeAutospacing="1" w:after="100" w:afterAutospacing="1" w:line="360" w:lineRule="auto"/>
              <w:ind w:left="0"/>
              <w:jc w:val="center"/>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2022</w:t>
            </w:r>
          </w:p>
        </w:tc>
        <w:tc>
          <w:tcPr>
            <w:tcW w:w="3329" w:type="dxa"/>
          </w:tcPr>
          <w:p w14:paraId="424E7E8B" w14:textId="4E7CEC41" w:rsidR="0066144E" w:rsidRDefault="0066144E" w:rsidP="004F0990">
            <w:pPr>
              <w:pStyle w:val="ListParagraph"/>
              <w:tabs>
                <w:tab w:val="left" w:pos="948"/>
              </w:tabs>
              <w:spacing w:before="100" w:beforeAutospacing="1" w:after="100" w:afterAutospacing="1" w:line="360" w:lineRule="auto"/>
              <w:ind w:left="0"/>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10.2</w:t>
            </w:r>
          </w:p>
        </w:tc>
        <w:tc>
          <w:tcPr>
            <w:tcW w:w="3282" w:type="dxa"/>
          </w:tcPr>
          <w:p w14:paraId="585976CE" w14:textId="230D631A" w:rsidR="0066144E" w:rsidRDefault="004F0990" w:rsidP="004F0990">
            <w:pPr>
              <w:pStyle w:val="ListParagraph"/>
              <w:tabs>
                <w:tab w:val="left" w:pos="948"/>
              </w:tabs>
              <w:spacing w:before="100" w:beforeAutospacing="1" w:after="100" w:afterAutospacing="1" w:line="360" w:lineRule="auto"/>
              <w:ind w:left="0"/>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13.0%</w:t>
            </w:r>
          </w:p>
        </w:tc>
      </w:tr>
      <w:tr w:rsidR="0066144E" w14:paraId="73CE242F" w14:textId="77777777" w:rsidTr="004F09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Pr>
          <w:p w14:paraId="703208C9" w14:textId="7B2ABB9D" w:rsidR="0066144E" w:rsidRDefault="0066144E" w:rsidP="004F0990">
            <w:pPr>
              <w:pStyle w:val="ListParagraph"/>
              <w:tabs>
                <w:tab w:val="left" w:pos="948"/>
              </w:tabs>
              <w:spacing w:before="100" w:beforeAutospacing="1" w:after="100" w:afterAutospacing="1" w:line="360" w:lineRule="auto"/>
              <w:ind w:left="0"/>
              <w:jc w:val="center"/>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2023</w:t>
            </w:r>
          </w:p>
        </w:tc>
        <w:tc>
          <w:tcPr>
            <w:tcW w:w="3329" w:type="dxa"/>
          </w:tcPr>
          <w:p w14:paraId="4A88081F" w14:textId="03AF52C5" w:rsidR="0066144E" w:rsidRDefault="0066144E" w:rsidP="004F0990">
            <w:pPr>
              <w:pStyle w:val="ListParagraph"/>
              <w:tabs>
                <w:tab w:val="left" w:pos="948"/>
              </w:tabs>
              <w:spacing w:before="100" w:beforeAutospacing="1" w:after="100" w:afterAutospacing="1" w:line="360" w:lineRule="auto"/>
              <w:ind w:left="0"/>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14.0</w:t>
            </w:r>
          </w:p>
        </w:tc>
        <w:tc>
          <w:tcPr>
            <w:tcW w:w="3282" w:type="dxa"/>
          </w:tcPr>
          <w:p w14:paraId="5FAC65E6" w14:textId="013AE654" w:rsidR="0066144E" w:rsidRDefault="0066144E" w:rsidP="004F0990">
            <w:pPr>
              <w:pStyle w:val="ListParagraph"/>
              <w:tabs>
                <w:tab w:val="left" w:pos="948"/>
              </w:tabs>
              <w:spacing w:before="100" w:beforeAutospacing="1" w:after="100" w:afterAutospacing="1" w:line="360" w:lineRule="auto"/>
              <w:ind w:left="0"/>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18.0%</w:t>
            </w:r>
          </w:p>
        </w:tc>
      </w:tr>
    </w:tbl>
    <w:p w14:paraId="366A7EB0" w14:textId="3153D1FD" w:rsidR="0066144E" w:rsidRDefault="004F0990" w:rsidP="00C9386C">
      <w:pPr>
        <w:pStyle w:val="ListParagraph"/>
        <w:tabs>
          <w:tab w:val="left" w:pos="948"/>
        </w:tabs>
        <w:spacing w:before="100" w:beforeAutospacing="1" w:after="100" w:afterAutospacing="1" w:line="360" w:lineRule="auto"/>
        <w:ind w:left="1440"/>
        <w:rPr>
          <w:rFonts w:asciiTheme="minorBidi" w:eastAsia="Times New Roman" w:hAnsiTheme="minorBidi"/>
          <w:kern w:val="0"/>
          <w:lang w:eastAsia="zh-CN"/>
          <w14:ligatures w14:val="none"/>
        </w:rPr>
      </w:pPr>
      <w:r w:rsidRPr="004F0990">
        <w:rPr>
          <w:rFonts w:asciiTheme="minorBidi" w:eastAsia="Times New Roman" w:hAnsiTheme="minorBidi"/>
          <w:b/>
          <w:bCs/>
          <w:kern w:val="0"/>
          <w:lang w:eastAsia="zh-CN"/>
          <w14:ligatures w14:val="none"/>
        </w:rPr>
        <w:t>Source</w:t>
      </w:r>
      <w:r>
        <w:rPr>
          <w:rFonts w:asciiTheme="minorBidi" w:eastAsia="Times New Roman" w:hAnsiTheme="minorBidi"/>
          <w:kern w:val="0"/>
          <w:lang w:eastAsia="zh-CN"/>
          <w14:ligatures w14:val="none"/>
        </w:rPr>
        <w:t>: International Energy Agency (IEA, 2023)</w:t>
      </w:r>
    </w:p>
    <w:p w14:paraId="0F3897FB" w14:textId="2F6445F5" w:rsidR="004F0990" w:rsidRDefault="004F0990" w:rsidP="00C9386C">
      <w:pPr>
        <w:pStyle w:val="ListParagraph"/>
        <w:tabs>
          <w:tab w:val="left" w:pos="948"/>
        </w:tabs>
        <w:spacing w:before="100" w:beforeAutospacing="1" w:after="100" w:afterAutospacing="1" w:line="360" w:lineRule="auto"/>
        <w:ind w:left="1440"/>
        <w:rPr>
          <w:rFonts w:asciiTheme="minorBidi" w:eastAsia="Times New Roman" w:hAnsiTheme="minorBidi"/>
          <w:b/>
          <w:bCs/>
          <w:kern w:val="0"/>
          <w:u w:val="single"/>
          <w:lang w:eastAsia="zh-CN"/>
          <w14:ligatures w14:val="none"/>
        </w:rPr>
      </w:pPr>
      <w:r w:rsidRPr="004F0990">
        <w:rPr>
          <w:rFonts w:asciiTheme="minorBidi" w:eastAsia="Times New Roman" w:hAnsiTheme="minorBidi"/>
          <w:b/>
          <w:bCs/>
          <w:kern w:val="0"/>
          <w:u w:val="single"/>
          <w:lang w:eastAsia="zh-CN"/>
          <w14:ligatures w14:val="none"/>
        </w:rPr>
        <w:t>Analysis</w:t>
      </w:r>
    </w:p>
    <w:p w14:paraId="0F36CD46" w14:textId="128D27ED" w:rsidR="004F0990" w:rsidRPr="000E44FF" w:rsidRDefault="000E44FF" w:rsidP="00C9386C">
      <w:pPr>
        <w:pStyle w:val="ListParagraph"/>
        <w:tabs>
          <w:tab w:val="left" w:pos="948"/>
        </w:tabs>
        <w:spacing w:before="100" w:beforeAutospacing="1" w:after="100" w:afterAutospacing="1" w:line="360" w:lineRule="auto"/>
        <w:ind w:left="144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The data demonstrates the swift expansion of the worldwide electric vehicle market, with sales surging over six times from 2019 to 2023. This trend underscores the increasing influence of technological and environmental macro factors on the automative sector. For Ford, this growth signifies both a considerable opportunity and a strategic challenge owing to its late entry into the EV market. Conversely, Toyota’s measured strategy towards complete electrification may restrict its capacity to take advantage of this burgeoning market. Importantly, the data strengthens the assertion that companies must synchronize their strategies with technological disruptions to sustain their competitive edge. </w:t>
      </w:r>
    </w:p>
    <w:p w14:paraId="298C562B" w14:textId="3E93723C" w:rsidR="00F4799C" w:rsidRDefault="00F4799C" w:rsidP="00F4799C">
      <w:pPr>
        <w:pStyle w:val="Heading2"/>
        <w:spacing w:line="360" w:lineRule="auto"/>
        <w:rPr>
          <w:rFonts w:asciiTheme="minorBidi" w:hAnsiTheme="minorBidi" w:cstheme="minorBidi"/>
          <w:b/>
          <w:bCs/>
          <w:color w:val="auto"/>
          <w:sz w:val="24"/>
          <w:szCs w:val="24"/>
          <w:lang w:eastAsia="zh-CN"/>
        </w:rPr>
      </w:pPr>
      <w:bookmarkStart w:id="6" w:name="_Toc222732279"/>
      <w:r w:rsidRPr="00F4799C">
        <w:rPr>
          <w:rFonts w:asciiTheme="minorBidi" w:hAnsiTheme="minorBidi" w:cstheme="minorBidi"/>
          <w:b/>
          <w:bCs/>
          <w:color w:val="auto"/>
          <w:sz w:val="24"/>
          <w:szCs w:val="24"/>
          <w:lang w:eastAsia="zh-CN"/>
        </w:rPr>
        <w:lastRenderedPageBreak/>
        <w:t>2.3 Macro Factor 2</w:t>
      </w:r>
      <w:bookmarkEnd w:id="6"/>
      <w:r w:rsidR="006155B2">
        <w:rPr>
          <w:rFonts w:asciiTheme="minorBidi" w:hAnsiTheme="minorBidi" w:cstheme="minorBidi"/>
          <w:b/>
          <w:bCs/>
          <w:color w:val="auto"/>
          <w:sz w:val="24"/>
          <w:szCs w:val="24"/>
          <w:lang w:eastAsia="zh-CN"/>
        </w:rPr>
        <w:t>: Environmental Sustainability</w:t>
      </w:r>
    </w:p>
    <w:p w14:paraId="26CD364C" w14:textId="7A2B75BF" w:rsidR="002412F6" w:rsidRPr="002412F6" w:rsidRDefault="002412F6" w:rsidP="002412F6">
      <w:pPr>
        <w:pStyle w:val="ListParagraph"/>
        <w:rPr>
          <w:lang w:eastAsia="zh-CN"/>
        </w:rPr>
      </w:pPr>
      <w:r>
        <w:rPr>
          <w:lang w:eastAsia="zh-CN"/>
        </w:rPr>
        <w:t xml:space="preserve">Environmental Sustainability has emerged as a pivotal issue within the automative sector, propelled by climate change, regulatory demands, evolving consumer expectations. Governments in key markets are implementing more stringent emissions regulations and encouraging the shift towards low- and zero-emissions vehicles. Concurrently, consumers are placing greater emphasis on environmentally responsible brands, which is affecting their purchasing choices and brand allegiance. This transformation compels automative manufactures to reevaluate their production methods, supply chains, and product offerings to maintain competitiveness in a market increasingly focused on sustainability. </w:t>
      </w:r>
    </w:p>
    <w:p w14:paraId="07D27CBA" w14:textId="602E5E2B" w:rsidR="00F4799C" w:rsidRPr="00F4799C" w:rsidRDefault="00F4799C" w:rsidP="00F4799C">
      <w:pPr>
        <w:pStyle w:val="Heading3"/>
        <w:spacing w:line="360" w:lineRule="auto"/>
        <w:rPr>
          <w:rFonts w:asciiTheme="minorBidi" w:hAnsiTheme="minorBidi" w:cstheme="minorBidi"/>
          <w:b/>
          <w:bCs/>
          <w:color w:val="auto"/>
          <w:sz w:val="24"/>
          <w:szCs w:val="24"/>
          <w:lang w:eastAsia="zh-CN"/>
        </w:rPr>
      </w:pPr>
      <w:bookmarkStart w:id="7" w:name="_Toc222732280"/>
      <w:r w:rsidRPr="00F4799C">
        <w:rPr>
          <w:rFonts w:asciiTheme="minorBidi" w:hAnsiTheme="minorBidi" w:cstheme="minorBidi"/>
          <w:b/>
          <w:bCs/>
          <w:color w:val="auto"/>
          <w:sz w:val="24"/>
          <w:szCs w:val="24"/>
          <w:lang w:eastAsia="zh-CN"/>
        </w:rPr>
        <w:t xml:space="preserve">2.3.1 Impact on </w:t>
      </w:r>
      <w:r w:rsidR="006155B2">
        <w:rPr>
          <w:rFonts w:asciiTheme="minorBidi" w:hAnsiTheme="minorBidi" w:cstheme="minorBidi"/>
          <w:b/>
          <w:bCs/>
          <w:color w:val="auto"/>
          <w:sz w:val="24"/>
          <w:szCs w:val="24"/>
          <w:lang w:eastAsia="zh-CN"/>
        </w:rPr>
        <w:t>Ford (</w:t>
      </w:r>
      <w:r w:rsidRPr="00F4799C">
        <w:rPr>
          <w:rFonts w:asciiTheme="minorBidi" w:hAnsiTheme="minorBidi" w:cstheme="minorBidi"/>
          <w:b/>
          <w:bCs/>
          <w:color w:val="auto"/>
          <w:sz w:val="24"/>
          <w:szCs w:val="24"/>
          <w:lang w:eastAsia="zh-CN"/>
        </w:rPr>
        <w:t>Pioneer Organisation</w:t>
      </w:r>
      <w:bookmarkEnd w:id="7"/>
      <w:r w:rsidR="006155B2">
        <w:rPr>
          <w:rFonts w:asciiTheme="minorBidi" w:hAnsiTheme="minorBidi" w:cstheme="minorBidi"/>
          <w:b/>
          <w:bCs/>
          <w:color w:val="auto"/>
          <w:sz w:val="24"/>
          <w:szCs w:val="24"/>
          <w:lang w:eastAsia="zh-CN"/>
        </w:rPr>
        <w:t>)</w:t>
      </w:r>
    </w:p>
    <w:p w14:paraId="1C42D870" w14:textId="1658ADDC" w:rsidR="00F4799C" w:rsidRDefault="006155B2" w:rsidP="006155B2">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Ford encounters considerable obstacles in adjusting to the demands of environmental sustainability, primarily due to large, fuel-consuming vehicles like trucks and SUVs. </w:t>
      </w:r>
    </w:p>
    <w:p w14:paraId="5C61E134" w14:textId="32D9ED82" w:rsidR="006155B2" w:rsidRDefault="006155B2" w:rsidP="006155B2">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Environmental regulations, especially in areas such as the European Union, mandate that manufacturers lower carbon emissions and invest in cleaner technologies. Adhering to these regulations raises costs and exerts pressure on profitability. </w:t>
      </w:r>
    </w:p>
    <w:p w14:paraId="657ABF9D" w14:textId="12BE45AE" w:rsidR="006155B2" w:rsidRDefault="006155B2" w:rsidP="006155B2">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From a critical standpoint, Ford’s sustainability approach seems predominantly reactive, influenced by external pressures rather than driven by proactive innovation. This restricts its capacity to distinguish itself in a marketplace where sustainability is increasingly becoming a vital competitive element. </w:t>
      </w:r>
    </w:p>
    <w:p w14:paraId="03F72C21" w14:textId="37AC8794" w:rsidR="00EC2751" w:rsidRDefault="006155B2" w:rsidP="00EC2748">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Nevertheless, sustainability also offers Ford potential advantages. By </w:t>
      </w:r>
      <w:r w:rsidR="00E05385">
        <w:rPr>
          <w:rFonts w:asciiTheme="minorBidi" w:eastAsia="Times New Roman" w:hAnsiTheme="minorBidi"/>
          <w:kern w:val="0"/>
          <w:lang w:eastAsia="zh-CN"/>
          <w14:ligatures w14:val="none"/>
        </w:rPr>
        <w:t xml:space="preserve">channelling investments into electric vehicles and renewable energy, the company can improve its brand reputation and appeal to environmentally aware consumers. </w:t>
      </w:r>
    </w:p>
    <w:p w14:paraId="75066426" w14:textId="77777777" w:rsidR="00EC2748" w:rsidRPr="006155B2" w:rsidRDefault="00EC2748" w:rsidP="00EC2748">
      <w:pPr>
        <w:spacing w:before="100" w:beforeAutospacing="1" w:after="100" w:afterAutospacing="1" w:line="360" w:lineRule="auto"/>
        <w:ind w:left="720"/>
        <w:rPr>
          <w:rFonts w:asciiTheme="minorBidi" w:eastAsia="Times New Roman" w:hAnsiTheme="minorBidi"/>
          <w:kern w:val="0"/>
          <w:lang w:eastAsia="zh-CN"/>
          <w14:ligatures w14:val="none"/>
        </w:rPr>
      </w:pPr>
    </w:p>
    <w:p w14:paraId="4B75FD4E" w14:textId="318ABCA2" w:rsidR="00F4799C" w:rsidRPr="00F4799C" w:rsidRDefault="00F4799C" w:rsidP="00F4799C">
      <w:pPr>
        <w:pStyle w:val="Heading3"/>
        <w:spacing w:line="360" w:lineRule="auto"/>
        <w:rPr>
          <w:rFonts w:asciiTheme="minorBidi" w:hAnsiTheme="minorBidi" w:cstheme="minorBidi"/>
          <w:b/>
          <w:bCs/>
          <w:color w:val="auto"/>
          <w:sz w:val="24"/>
          <w:szCs w:val="24"/>
          <w:lang w:eastAsia="zh-CN"/>
        </w:rPr>
      </w:pPr>
      <w:bookmarkStart w:id="8" w:name="_Toc222732281"/>
      <w:r w:rsidRPr="00F4799C">
        <w:rPr>
          <w:rFonts w:asciiTheme="minorBidi" w:hAnsiTheme="minorBidi" w:cstheme="minorBidi"/>
          <w:b/>
          <w:bCs/>
          <w:color w:val="auto"/>
          <w:sz w:val="24"/>
          <w:szCs w:val="24"/>
          <w:lang w:eastAsia="zh-CN"/>
        </w:rPr>
        <w:t xml:space="preserve">2.3.2 Impact on </w:t>
      </w:r>
      <w:r w:rsidR="00EC2751">
        <w:rPr>
          <w:rFonts w:asciiTheme="minorBidi" w:hAnsiTheme="minorBidi" w:cstheme="minorBidi"/>
          <w:b/>
          <w:bCs/>
          <w:color w:val="auto"/>
          <w:sz w:val="24"/>
          <w:szCs w:val="24"/>
          <w:lang w:eastAsia="zh-CN"/>
        </w:rPr>
        <w:t>Toyota</w:t>
      </w:r>
      <w:r w:rsidRPr="00F4799C">
        <w:rPr>
          <w:rFonts w:asciiTheme="minorBidi" w:hAnsiTheme="minorBidi" w:cstheme="minorBidi"/>
          <w:b/>
          <w:bCs/>
          <w:color w:val="auto"/>
          <w:sz w:val="24"/>
          <w:szCs w:val="24"/>
          <w:lang w:eastAsia="zh-CN"/>
        </w:rPr>
        <w:t xml:space="preserve"> </w:t>
      </w:r>
      <w:r w:rsidR="00EC2751">
        <w:rPr>
          <w:rFonts w:asciiTheme="minorBidi" w:hAnsiTheme="minorBidi" w:cstheme="minorBidi"/>
          <w:b/>
          <w:bCs/>
          <w:color w:val="auto"/>
          <w:sz w:val="24"/>
          <w:szCs w:val="24"/>
          <w:lang w:eastAsia="zh-CN"/>
        </w:rPr>
        <w:t>(</w:t>
      </w:r>
      <w:r w:rsidRPr="00F4799C">
        <w:rPr>
          <w:rFonts w:asciiTheme="minorBidi" w:hAnsiTheme="minorBidi" w:cstheme="minorBidi"/>
          <w:b/>
          <w:bCs/>
          <w:color w:val="auto"/>
          <w:sz w:val="24"/>
          <w:szCs w:val="24"/>
          <w:lang w:eastAsia="zh-CN"/>
        </w:rPr>
        <w:t>Follower Organisation</w:t>
      </w:r>
      <w:bookmarkEnd w:id="8"/>
      <w:r w:rsidR="00EC2751">
        <w:rPr>
          <w:rFonts w:asciiTheme="minorBidi" w:hAnsiTheme="minorBidi" w:cstheme="minorBidi"/>
          <w:b/>
          <w:bCs/>
          <w:color w:val="auto"/>
          <w:sz w:val="24"/>
          <w:szCs w:val="24"/>
          <w:lang w:eastAsia="zh-CN"/>
        </w:rPr>
        <w:t>)</w:t>
      </w:r>
    </w:p>
    <w:p w14:paraId="08837128" w14:textId="6A043C7F" w:rsidR="00F4799C" w:rsidRDefault="00EC2751" w:rsidP="00EC2751">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Toyota has long been recognized as a frontrunner in environmental sustainability, especially through its innovation in hybrid vehicles. This </w:t>
      </w:r>
      <w:r>
        <w:rPr>
          <w:rFonts w:asciiTheme="minorBidi" w:eastAsia="Times New Roman" w:hAnsiTheme="minorBidi"/>
          <w:kern w:val="0"/>
          <w:lang w:eastAsia="zh-CN"/>
          <w14:ligatures w14:val="none"/>
        </w:rPr>
        <w:lastRenderedPageBreak/>
        <w:t xml:space="preserve">commitment has bolstered its image as a brand that prioritizes environmental responsibility. </w:t>
      </w:r>
    </w:p>
    <w:p w14:paraId="58833FAA" w14:textId="0D19673F" w:rsidR="00EC2751" w:rsidRDefault="00EC2751" w:rsidP="00EC2751">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The company’s forward-thinking stance on sustainability has granted it a competitive edge, particularly in regions where consumers value fuel efficiency and minimal emissions. </w:t>
      </w:r>
    </w:p>
    <w:p w14:paraId="1FD3A4F1" w14:textId="3F7F3483" w:rsidR="00EC2751" w:rsidRDefault="00EC2751" w:rsidP="00EC2751">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Nevertheless, Toyota’s persistent emphasis on hybrid technology could pose a challenge as the automative industry increasingly pivots towards fully electric vehicles. Governments are progressively enacting regulations that support zero-emission vehicles, which may jeopardize the long-term prospects of hybrids. </w:t>
      </w:r>
    </w:p>
    <w:p w14:paraId="57EE7674" w14:textId="63FEFFC2" w:rsidR="00EC2751" w:rsidRDefault="00EC2751" w:rsidP="00EC2751">
      <w:pPr>
        <w:spacing w:before="100" w:beforeAutospacing="1" w:after="100" w:afterAutospacing="1" w:line="360" w:lineRule="auto"/>
        <w:ind w:left="720"/>
        <w:rPr>
          <w:rFonts w:asciiTheme="minorBidi" w:eastAsia="Times New Roman" w:hAnsiTheme="minorBidi"/>
          <w:b/>
          <w:bCs/>
          <w:kern w:val="0"/>
          <w:lang w:eastAsia="zh-CN"/>
          <w14:ligatures w14:val="none"/>
        </w:rPr>
      </w:pPr>
      <w:r w:rsidRPr="00667EB1">
        <w:rPr>
          <w:rFonts w:asciiTheme="minorBidi" w:eastAsia="Times New Roman" w:hAnsiTheme="minorBidi"/>
          <w:b/>
          <w:bCs/>
          <w:kern w:val="0"/>
          <w:lang w:eastAsia="zh-CN"/>
          <w14:ligatures w14:val="none"/>
        </w:rPr>
        <w:t>Comparative Analysis</w:t>
      </w:r>
    </w:p>
    <w:p w14:paraId="7599E2AB" w14:textId="14A041AC" w:rsidR="00667EB1" w:rsidRDefault="00667EB1" w:rsidP="00EC2751">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The juxtaposition of Ford and Toyota illustrates how environmental considerations can present both opportunities and challenges, contingent upon the strategic direction of the organization. </w:t>
      </w:r>
    </w:p>
    <w:p w14:paraId="2FCF0315" w14:textId="53D3053E" w:rsidR="00667EB1" w:rsidRDefault="00667EB1" w:rsidP="00667EB1">
      <w:pPr>
        <w:pStyle w:val="ListParagraph"/>
        <w:numPr>
          <w:ilvl w:val="0"/>
          <w:numId w:val="47"/>
        </w:numPr>
        <w:spacing w:before="100" w:beforeAutospacing="1" w:after="100" w:afterAutospacing="1" w:line="360" w:lineRule="auto"/>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Ford is striving to enhance its sustainability efforts but encounters structural obstacles. </w:t>
      </w:r>
    </w:p>
    <w:p w14:paraId="014DCE96" w14:textId="2E19CF90" w:rsidR="00667EB1" w:rsidRDefault="00667EB1" w:rsidP="00667EB1">
      <w:pPr>
        <w:pStyle w:val="ListParagraph"/>
        <w:numPr>
          <w:ilvl w:val="0"/>
          <w:numId w:val="47"/>
        </w:numPr>
        <w:spacing w:before="100" w:beforeAutospacing="1" w:after="100" w:afterAutospacing="1" w:line="360" w:lineRule="auto"/>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Toyota possesses an initial advantage yet risks lagging in the shift to electric vehicles. </w:t>
      </w:r>
    </w:p>
    <w:p w14:paraId="4EBA7F89" w14:textId="77777777" w:rsidR="00667EB1" w:rsidRDefault="00667EB1" w:rsidP="00667EB1">
      <w:pPr>
        <w:pStyle w:val="ListParagraph"/>
        <w:spacing w:before="100" w:beforeAutospacing="1" w:after="100" w:afterAutospacing="1" w:line="360" w:lineRule="auto"/>
        <w:ind w:left="1440"/>
        <w:rPr>
          <w:rFonts w:asciiTheme="minorBidi" w:eastAsia="Times New Roman" w:hAnsiTheme="minorBidi"/>
          <w:kern w:val="0"/>
          <w:lang w:eastAsia="zh-CN"/>
          <w14:ligatures w14:val="none"/>
        </w:rPr>
      </w:pPr>
    </w:p>
    <w:p w14:paraId="20FBDAD8" w14:textId="77777777" w:rsidR="00F00B88" w:rsidRDefault="00667EB1" w:rsidP="00667EB1">
      <w:pPr>
        <w:pStyle w:val="ListParagraph"/>
        <w:tabs>
          <w:tab w:val="left" w:pos="1068"/>
        </w:tabs>
        <w:spacing w:before="100" w:beforeAutospacing="1" w:after="100" w:afterAutospacing="1" w:line="360" w:lineRule="auto"/>
        <w:ind w:left="1440"/>
        <w:rPr>
          <w:rFonts w:asciiTheme="minorBidi" w:eastAsia="Times New Roman" w:hAnsiTheme="minorBidi"/>
          <w:kern w:val="0"/>
          <w:lang w:eastAsia="zh-CN"/>
          <w14:ligatures w14:val="none"/>
        </w:rPr>
      </w:pPr>
      <w:r w:rsidRPr="00667EB1">
        <w:rPr>
          <w:rFonts w:asciiTheme="minorBidi" w:eastAsia="Times New Roman" w:hAnsiTheme="minorBidi"/>
          <w:kern w:val="0"/>
          <w:lang w:eastAsia="zh-CN"/>
          <w14:ligatures w14:val="none"/>
        </w:rPr>
        <w:t>This scenario underscores that sustainability is not merely a one-off accomplishment continuous strategic endeavor that necessitates ongoing adaptation.</w:t>
      </w:r>
    </w:p>
    <w:p w14:paraId="28AC36BB" w14:textId="77777777" w:rsidR="00F00B88" w:rsidRDefault="00F00B88" w:rsidP="00667EB1">
      <w:pPr>
        <w:pStyle w:val="ListParagraph"/>
        <w:tabs>
          <w:tab w:val="left" w:pos="1068"/>
        </w:tabs>
        <w:spacing w:before="100" w:beforeAutospacing="1" w:after="100" w:afterAutospacing="1" w:line="360" w:lineRule="auto"/>
        <w:ind w:left="1440"/>
        <w:rPr>
          <w:rFonts w:asciiTheme="minorBidi" w:eastAsia="Times New Roman" w:hAnsiTheme="minorBidi"/>
          <w:kern w:val="0"/>
          <w:lang w:eastAsia="zh-CN"/>
          <w14:ligatures w14:val="none"/>
        </w:rPr>
      </w:pPr>
    </w:p>
    <w:p w14:paraId="3F9E1947" w14:textId="5FB26364" w:rsidR="00667EB1" w:rsidRPr="007E5837" w:rsidRDefault="00F00B88" w:rsidP="007E5837">
      <w:pPr>
        <w:tabs>
          <w:tab w:val="left" w:pos="1068"/>
        </w:tabs>
        <w:spacing w:before="100" w:beforeAutospacing="1" w:after="100" w:afterAutospacing="1" w:line="360" w:lineRule="auto"/>
        <w:rPr>
          <w:rFonts w:asciiTheme="minorBidi" w:eastAsia="Times New Roman" w:hAnsiTheme="minorBidi"/>
          <w:b/>
          <w:bCs/>
          <w:kern w:val="0"/>
          <w:sz w:val="28"/>
          <w:szCs w:val="28"/>
          <w:u w:val="single"/>
          <w:lang w:eastAsia="zh-CN"/>
          <w14:ligatures w14:val="none"/>
        </w:rPr>
      </w:pPr>
      <w:r w:rsidRPr="007E5837">
        <w:rPr>
          <w:rFonts w:asciiTheme="minorBidi" w:eastAsia="Times New Roman" w:hAnsiTheme="minorBidi"/>
          <w:b/>
          <w:bCs/>
          <w:kern w:val="0"/>
          <w:sz w:val="28"/>
          <w:szCs w:val="28"/>
          <w:u w:val="single"/>
          <w:lang w:eastAsia="zh-CN"/>
          <w14:ligatures w14:val="none"/>
        </w:rPr>
        <w:t>Table 2: Carbon Emissions Regulations (EU Targets)</w:t>
      </w:r>
      <w:r w:rsidR="00667EB1" w:rsidRPr="007E5837">
        <w:rPr>
          <w:rFonts w:asciiTheme="minorBidi" w:eastAsia="Times New Roman" w:hAnsiTheme="minorBidi"/>
          <w:b/>
          <w:bCs/>
          <w:kern w:val="0"/>
          <w:sz w:val="28"/>
          <w:szCs w:val="28"/>
          <w:u w:val="single"/>
          <w:lang w:eastAsia="zh-CN"/>
          <w14:ligatures w14:val="none"/>
        </w:rPr>
        <w:t xml:space="preserve"> </w:t>
      </w:r>
    </w:p>
    <w:tbl>
      <w:tblPr>
        <w:tblStyle w:val="GridTable4"/>
        <w:tblW w:w="0" w:type="auto"/>
        <w:tblInd w:w="988" w:type="dxa"/>
        <w:tblLook w:val="04A0" w:firstRow="1" w:lastRow="0" w:firstColumn="1" w:lastColumn="0" w:noHBand="0" w:noVBand="1"/>
      </w:tblPr>
      <w:tblGrid>
        <w:gridCol w:w="1275"/>
        <w:gridCol w:w="3828"/>
        <w:gridCol w:w="2693"/>
      </w:tblGrid>
      <w:tr w:rsidR="00F00B88" w14:paraId="62E88D82" w14:textId="77777777" w:rsidTr="007E58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5" w:type="dxa"/>
          </w:tcPr>
          <w:p w14:paraId="22606B32" w14:textId="2AC1B1B7" w:rsidR="00F00B88" w:rsidRDefault="00F00B88" w:rsidP="00667EB1">
            <w:pPr>
              <w:pStyle w:val="ListParagraph"/>
              <w:tabs>
                <w:tab w:val="left" w:pos="1068"/>
              </w:tabs>
              <w:spacing w:before="100" w:beforeAutospacing="1" w:after="100" w:afterAutospacing="1" w:line="360" w:lineRule="auto"/>
              <w:ind w:left="0"/>
              <w:rPr>
                <w:rFonts w:asciiTheme="minorBidi" w:eastAsia="Times New Roman" w:hAnsiTheme="minorBidi"/>
                <w:kern w:val="0"/>
                <w:sz w:val="28"/>
                <w:szCs w:val="28"/>
                <w:lang w:eastAsia="zh-CN"/>
                <w14:ligatures w14:val="none"/>
              </w:rPr>
            </w:pPr>
            <w:r>
              <w:rPr>
                <w:rFonts w:asciiTheme="minorBidi" w:eastAsia="Times New Roman" w:hAnsiTheme="minorBidi"/>
                <w:kern w:val="0"/>
                <w:sz w:val="28"/>
                <w:szCs w:val="28"/>
                <w:lang w:eastAsia="zh-CN"/>
                <w14:ligatures w14:val="none"/>
              </w:rPr>
              <w:t>Year</w:t>
            </w:r>
          </w:p>
        </w:tc>
        <w:tc>
          <w:tcPr>
            <w:tcW w:w="3828" w:type="dxa"/>
          </w:tcPr>
          <w:p w14:paraId="67FD228C" w14:textId="1C8A9359" w:rsidR="00F00B88" w:rsidRDefault="00F00B88" w:rsidP="00667EB1">
            <w:pPr>
              <w:pStyle w:val="ListParagraph"/>
              <w:tabs>
                <w:tab w:val="left" w:pos="1068"/>
              </w:tabs>
              <w:spacing w:before="100" w:beforeAutospacing="1" w:after="100" w:afterAutospacing="1" w:line="360" w:lineRule="auto"/>
              <w:ind w:left="0"/>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kern w:val="0"/>
                <w:sz w:val="28"/>
                <w:szCs w:val="28"/>
                <w:lang w:eastAsia="zh-CN"/>
                <w14:ligatures w14:val="none"/>
              </w:rPr>
            </w:pPr>
            <w:r>
              <w:rPr>
                <w:rFonts w:asciiTheme="minorBidi" w:eastAsia="Times New Roman" w:hAnsiTheme="minorBidi"/>
                <w:kern w:val="0"/>
                <w:sz w:val="28"/>
                <w:szCs w:val="28"/>
                <w:lang w:eastAsia="zh-CN"/>
                <w14:ligatures w14:val="none"/>
              </w:rPr>
              <w:t>Average CO2 Emissions Target (g/km)</w:t>
            </w:r>
          </w:p>
        </w:tc>
        <w:tc>
          <w:tcPr>
            <w:tcW w:w="2693" w:type="dxa"/>
          </w:tcPr>
          <w:p w14:paraId="75233657" w14:textId="06BC4F26" w:rsidR="00F00B88" w:rsidRDefault="00F00B88" w:rsidP="00667EB1">
            <w:pPr>
              <w:pStyle w:val="ListParagraph"/>
              <w:tabs>
                <w:tab w:val="left" w:pos="1068"/>
              </w:tabs>
              <w:spacing w:before="100" w:beforeAutospacing="1" w:after="100" w:afterAutospacing="1" w:line="360" w:lineRule="auto"/>
              <w:ind w:left="0"/>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kern w:val="0"/>
                <w:sz w:val="28"/>
                <w:szCs w:val="28"/>
                <w:lang w:eastAsia="zh-CN"/>
                <w14:ligatures w14:val="none"/>
              </w:rPr>
            </w:pPr>
            <w:r>
              <w:rPr>
                <w:rFonts w:asciiTheme="minorBidi" w:eastAsia="Times New Roman" w:hAnsiTheme="minorBidi"/>
                <w:kern w:val="0"/>
                <w:sz w:val="28"/>
                <w:szCs w:val="28"/>
                <w:lang w:eastAsia="zh-CN"/>
                <w14:ligatures w14:val="none"/>
              </w:rPr>
              <w:t>Penalty per Excess Gram (</w:t>
            </w:r>
            <w:r w:rsidRPr="00F00B88">
              <w:rPr>
                <w:rFonts w:asciiTheme="minorBidi" w:eastAsia="Times New Roman" w:hAnsiTheme="minorBidi"/>
                <w:kern w:val="0"/>
                <w:sz w:val="28"/>
                <w:szCs w:val="28"/>
                <w:lang w:eastAsia="zh-CN"/>
                <w14:ligatures w14:val="none"/>
              </w:rPr>
              <w:t>€</w:t>
            </w:r>
            <w:r>
              <w:rPr>
                <w:rFonts w:asciiTheme="minorBidi" w:eastAsia="Times New Roman" w:hAnsiTheme="minorBidi"/>
                <w:kern w:val="0"/>
                <w:sz w:val="28"/>
                <w:szCs w:val="28"/>
                <w:lang w:eastAsia="zh-CN"/>
                <w14:ligatures w14:val="none"/>
              </w:rPr>
              <w:t>)</w:t>
            </w:r>
          </w:p>
        </w:tc>
      </w:tr>
      <w:tr w:rsidR="00F00B88" w14:paraId="2EA24D2E" w14:textId="77777777" w:rsidTr="007E58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5" w:type="dxa"/>
          </w:tcPr>
          <w:p w14:paraId="0E898F45" w14:textId="4300528D" w:rsidR="00F00B88" w:rsidRPr="007E5837" w:rsidRDefault="00F00B88" w:rsidP="00667EB1">
            <w:pPr>
              <w:pStyle w:val="ListParagraph"/>
              <w:tabs>
                <w:tab w:val="left" w:pos="1068"/>
              </w:tabs>
              <w:spacing w:before="100" w:beforeAutospacing="1" w:after="100" w:afterAutospacing="1" w:line="360" w:lineRule="auto"/>
              <w:ind w:left="0"/>
              <w:rPr>
                <w:rFonts w:asciiTheme="minorBidi" w:eastAsia="Times New Roman" w:hAnsiTheme="minorBidi"/>
                <w:b w:val="0"/>
                <w:bCs w:val="0"/>
                <w:kern w:val="0"/>
                <w:sz w:val="28"/>
                <w:szCs w:val="28"/>
                <w:lang w:eastAsia="zh-CN"/>
                <w14:ligatures w14:val="none"/>
              </w:rPr>
            </w:pPr>
            <w:r w:rsidRPr="007E5837">
              <w:rPr>
                <w:rFonts w:asciiTheme="minorBidi" w:eastAsia="Times New Roman" w:hAnsiTheme="minorBidi"/>
                <w:b w:val="0"/>
                <w:bCs w:val="0"/>
                <w:kern w:val="0"/>
                <w:sz w:val="28"/>
                <w:szCs w:val="28"/>
                <w:lang w:eastAsia="zh-CN"/>
                <w14:ligatures w14:val="none"/>
              </w:rPr>
              <w:t>2020</w:t>
            </w:r>
          </w:p>
        </w:tc>
        <w:tc>
          <w:tcPr>
            <w:tcW w:w="3828" w:type="dxa"/>
          </w:tcPr>
          <w:p w14:paraId="4E49F1C7" w14:textId="7DFB3999" w:rsidR="00F00B88" w:rsidRDefault="00F00B88" w:rsidP="00667EB1">
            <w:pPr>
              <w:pStyle w:val="ListParagraph"/>
              <w:tabs>
                <w:tab w:val="left" w:pos="1068"/>
              </w:tabs>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kern w:val="0"/>
                <w:sz w:val="28"/>
                <w:szCs w:val="28"/>
                <w:lang w:eastAsia="zh-CN"/>
                <w14:ligatures w14:val="none"/>
              </w:rPr>
            </w:pPr>
            <w:r>
              <w:rPr>
                <w:rFonts w:asciiTheme="minorBidi" w:eastAsia="Times New Roman" w:hAnsiTheme="minorBidi"/>
                <w:kern w:val="0"/>
                <w:sz w:val="28"/>
                <w:szCs w:val="28"/>
                <w:lang w:eastAsia="zh-CN"/>
                <w14:ligatures w14:val="none"/>
              </w:rPr>
              <w:t>95 g/km</w:t>
            </w:r>
          </w:p>
        </w:tc>
        <w:tc>
          <w:tcPr>
            <w:tcW w:w="2693" w:type="dxa"/>
          </w:tcPr>
          <w:p w14:paraId="05CD437A" w14:textId="4F760795" w:rsidR="00F00B88" w:rsidRDefault="00F00B88" w:rsidP="00667EB1">
            <w:pPr>
              <w:pStyle w:val="ListParagraph"/>
              <w:tabs>
                <w:tab w:val="left" w:pos="1068"/>
              </w:tabs>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kern w:val="0"/>
                <w:sz w:val="28"/>
                <w:szCs w:val="28"/>
                <w:lang w:eastAsia="zh-CN"/>
                <w14:ligatures w14:val="none"/>
              </w:rPr>
            </w:pPr>
            <w:r w:rsidRPr="00F00B88">
              <w:rPr>
                <w:rFonts w:asciiTheme="minorBidi" w:eastAsia="Times New Roman" w:hAnsiTheme="minorBidi"/>
                <w:kern w:val="0"/>
                <w:sz w:val="28"/>
                <w:szCs w:val="28"/>
                <w:lang w:eastAsia="zh-CN"/>
                <w14:ligatures w14:val="none"/>
              </w:rPr>
              <w:t>€</w:t>
            </w:r>
            <w:r>
              <w:rPr>
                <w:rFonts w:asciiTheme="minorBidi" w:eastAsia="Times New Roman" w:hAnsiTheme="minorBidi"/>
                <w:kern w:val="0"/>
                <w:sz w:val="28"/>
                <w:szCs w:val="28"/>
                <w:lang w:eastAsia="zh-CN"/>
                <w14:ligatures w14:val="none"/>
              </w:rPr>
              <w:t>95</w:t>
            </w:r>
          </w:p>
        </w:tc>
      </w:tr>
      <w:tr w:rsidR="00F00B88" w14:paraId="708AE291" w14:textId="77777777" w:rsidTr="007E5837">
        <w:tc>
          <w:tcPr>
            <w:cnfStyle w:val="001000000000" w:firstRow="0" w:lastRow="0" w:firstColumn="1" w:lastColumn="0" w:oddVBand="0" w:evenVBand="0" w:oddHBand="0" w:evenHBand="0" w:firstRowFirstColumn="0" w:firstRowLastColumn="0" w:lastRowFirstColumn="0" w:lastRowLastColumn="0"/>
            <w:tcW w:w="1275" w:type="dxa"/>
          </w:tcPr>
          <w:p w14:paraId="2377977C" w14:textId="65C1380B" w:rsidR="00F00B88" w:rsidRPr="007E5837" w:rsidRDefault="00F00B88" w:rsidP="00667EB1">
            <w:pPr>
              <w:pStyle w:val="ListParagraph"/>
              <w:tabs>
                <w:tab w:val="left" w:pos="1068"/>
              </w:tabs>
              <w:spacing w:before="100" w:beforeAutospacing="1" w:after="100" w:afterAutospacing="1" w:line="360" w:lineRule="auto"/>
              <w:ind w:left="0"/>
              <w:rPr>
                <w:rFonts w:asciiTheme="minorBidi" w:eastAsia="Times New Roman" w:hAnsiTheme="minorBidi"/>
                <w:b w:val="0"/>
                <w:bCs w:val="0"/>
                <w:kern w:val="0"/>
                <w:sz w:val="28"/>
                <w:szCs w:val="28"/>
                <w:lang w:eastAsia="zh-CN"/>
                <w14:ligatures w14:val="none"/>
              </w:rPr>
            </w:pPr>
            <w:r w:rsidRPr="007E5837">
              <w:rPr>
                <w:rFonts w:asciiTheme="minorBidi" w:eastAsia="Times New Roman" w:hAnsiTheme="minorBidi"/>
                <w:b w:val="0"/>
                <w:bCs w:val="0"/>
                <w:kern w:val="0"/>
                <w:sz w:val="28"/>
                <w:szCs w:val="28"/>
                <w:lang w:eastAsia="zh-CN"/>
                <w14:ligatures w14:val="none"/>
              </w:rPr>
              <w:lastRenderedPageBreak/>
              <w:t>2025</w:t>
            </w:r>
          </w:p>
        </w:tc>
        <w:tc>
          <w:tcPr>
            <w:tcW w:w="3828" w:type="dxa"/>
          </w:tcPr>
          <w:p w14:paraId="3DFB253F" w14:textId="5CC2E0B6" w:rsidR="00F00B88" w:rsidRDefault="00F00B88" w:rsidP="00667EB1">
            <w:pPr>
              <w:pStyle w:val="ListParagraph"/>
              <w:tabs>
                <w:tab w:val="left" w:pos="1068"/>
              </w:tabs>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kern w:val="0"/>
                <w:sz w:val="28"/>
                <w:szCs w:val="28"/>
                <w:lang w:eastAsia="zh-CN"/>
                <w14:ligatures w14:val="none"/>
              </w:rPr>
            </w:pPr>
            <w:r>
              <w:rPr>
                <w:rFonts w:asciiTheme="minorBidi" w:eastAsia="Times New Roman" w:hAnsiTheme="minorBidi"/>
                <w:kern w:val="0"/>
                <w:sz w:val="28"/>
                <w:szCs w:val="28"/>
                <w:lang w:eastAsia="zh-CN"/>
                <w14:ligatures w14:val="none"/>
              </w:rPr>
              <w:t xml:space="preserve">80 g/km </w:t>
            </w:r>
            <w:r w:rsidR="007E5837">
              <w:rPr>
                <w:rFonts w:asciiTheme="minorBidi" w:eastAsia="Times New Roman" w:hAnsiTheme="minorBidi"/>
                <w:kern w:val="0"/>
                <w:sz w:val="28"/>
                <w:szCs w:val="28"/>
                <w:lang w:eastAsia="zh-CN"/>
                <w14:ligatures w14:val="none"/>
              </w:rPr>
              <w:t>(Approx.)</w:t>
            </w:r>
          </w:p>
        </w:tc>
        <w:tc>
          <w:tcPr>
            <w:tcW w:w="2693" w:type="dxa"/>
          </w:tcPr>
          <w:p w14:paraId="66D0BA60" w14:textId="0A7A3619" w:rsidR="00F00B88" w:rsidRDefault="00F00B88" w:rsidP="00667EB1">
            <w:pPr>
              <w:pStyle w:val="ListParagraph"/>
              <w:tabs>
                <w:tab w:val="left" w:pos="1068"/>
              </w:tabs>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kern w:val="0"/>
                <w:sz w:val="28"/>
                <w:szCs w:val="28"/>
                <w:lang w:eastAsia="zh-CN"/>
                <w14:ligatures w14:val="none"/>
              </w:rPr>
            </w:pPr>
            <w:r w:rsidRPr="00F00B88">
              <w:rPr>
                <w:rFonts w:asciiTheme="minorBidi" w:eastAsia="Times New Roman" w:hAnsiTheme="minorBidi"/>
                <w:kern w:val="0"/>
                <w:sz w:val="28"/>
                <w:szCs w:val="28"/>
                <w:lang w:eastAsia="zh-CN"/>
                <w14:ligatures w14:val="none"/>
              </w:rPr>
              <w:t>€</w:t>
            </w:r>
            <w:r>
              <w:rPr>
                <w:rFonts w:asciiTheme="minorBidi" w:eastAsia="Times New Roman" w:hAnsiTheme="minorBidi"/>
                <w:kern w:val="0"/>
                <w:sz w:val="28"/>
                <w:szCs w:val="28"/>
                <w:lang w:eastAsia="zh-CN"/>
                <w14:ligatures w14:val="none"/>
              </w:rPr>
              <w:t>95</w:t>
            </w:r>
          </w:p>
        </w:tc>
      </w:tr>
      <w:tr w:rsidR="00F00B88" w14:paraId="7FF80DC5" w14:textId="77777777" w:rsidTr="007E58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5" w:type="dxa"/>
          </w:tcPr>
          <w:p w14:paraId="1B22D1E2" w14:textId="0E330FA7" w:rsidR="00F00B88" w:rsidRPr="007E5837" w:rsidRDefault="00F00B88" w:rsidP="00667EB1">
            <w:pPr>
              <w:pStyle w:val="ListParagraph"/>
              <w:tabs>
                <w:tab w:val="left" w:pos="1068"/>
              </w:tabs>
              <w:spacing w:before="100" w:beforeAutospacing="1" w:after="100" w:afterAutospacing="1" w:line="360" w:lineRule="auto"/>
              <w:ind w:left="0"/>
              <w:rPr>
                <w:rFonts w:asciiTheme="minorBidi" w:eastAsia="Times New Roman" w:hAnsiTheme="minorBidi"/>
                <w:b w:val="0"/>
                <w:bCs w:val="0"/>
                <w:kern w:val="0"/>
                <w:sz w:val="28"/>
                <w:szCs w:val="28"/>
                <w:lang w:eastAsia="zh-CN"/>
                <w14:ligatures w14:val="none"/>
              </w:rPr>
            </w:pPr>
            <w:r w:rsidRPr="007E5837">
              <w:rPr>
                <w:rFonts w:asciiTheme="minorBidi" w:eastAsia="Times New Roman" w:hAnsiTheme="minorBidi"/>
                <w:b w:val="0"/>
                <w:bCs w:val="0"/>
                <w:kern w:val="0"/>
                <w:sz w:val="28"/>
                <w:szCs w:val="28"/>
                <w:lang w:eastAsia="zh-CN"/>
                <w14:ligatures w14:val="none"/>
              </w:rPr>
              <w:t>2030</w:t>
            </w:r>
          </w:p>
        </w:tc>
        <w:tc>
          <w:tcPr>
            <w:tcW w:w="3828" w:type="dxa"/>
          </w:tcPr>
          <w:p w14:paraId="21DA92A9" w14:textId="31C87E42" w:rsidR="00F00B88" w:rsidRDefault="00F00B88" w:rsidP="00667EB1">
            <w:pPr>
              <w:pStyle w:val="ListParagraph"/>
              <w:tabs>
                <w:tab w:val="left" w:pos="1068"/>
              </w:tabs>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kern w:val="0"/>
                <w:sz w:val="28"/>
                <w:szCs w:val="28"/>
                <w:lang w:eastAsia="zh-CN"/>
                <w14:ligatures w14:val="none"/>
              </w:rPr>
            </w:pPr>
            <w:r>
              <w:rPr>
                <w:rFonts w:asciiTheme="minorBidi" w:eastAsia="Times New Roman" w:hAnsiTheme="minorBidi"/>
                <w:kern w:val="0"/>
                <w:sz w:val="28"/>
                <w:szCs w:val="28"/>
                <w:lang w:eastAsia="zh-CN"/>
                <w14:ligatures w14:val="none"/>
              </w:rPr>
              <w:t xml:space="preserve">55% reduction compared to 2021 levels </w:t>
            </w:r>
          </w:p>
        </w:tc>
        <w:tc>
          <w:tcPr>
            <w:tcW w:w="2693" w:type="dxa"/>
          </w:tcPr>
          <w:p w14:paraId="593922C7" w14:textId="09253860" w:rsidR="00F00B88" w:rsidRDefault="00F00B88" w:rsidP="00667EB1">
            <w:pPr>
              <w:pStyle w:val="ListParagraph"/>
              <w:tabs>
                <w:tab w:val="left" w:pos="1068"/>
              </w:tabs>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kern w:val="0"/>
                <w:sz w:val="28"/>
                <w:szCs w:val="28"/>
                <w:lang w:eastAsia="zh-CN"/>
                <w14:ligatures w14:val="none"/>
              </w:rPr>
            </w:pPr>
            <w:r w:rsidRPr="00F00B88">
              <w:rPr>
                <w:rFonts w:asciiTheme="minorBidi" w:eastAsia="Times New Roman" w:hAnsiTheme="minorBidi"/>
                <w:kern w:val="0"/>
                <w:sz w:val="28"/>
                <w:szCs w:val="28"/>
                <w:lang w:eastAsia="zh-CN"/>
                <w14:ligatures w14:val="none"/>
              </w:rPr>
              <w:t>€</w:t>
            </w:r>
            <w:r>
              <w:rPr>
                <w:rFonts w:asciiTheme="minorBidi" w:eastAsia="Times New Roman" w:hAnsiTheme="minorBidi"/>
                <w:kern w:val="0"/>
                <w:sz w:val="28"/>
                <w:szCs w:val="28"/>
                <w:lang w:eastAsia="zh-CN"/>
                <w14:ligatures w14:val="none"/>
              </w:rPr>
              <w:t>95</w:t>
            </w:r>
          </w:p>
        </w:tc>
      </w:tr>
    </w:tbl>
    <w:p w14:paraId="49B5F54F" w14:textId="0B142720" w:rsidR="00F00B88" w:rsidRPr="00A5491A" w:rsidRDefault="007E5837" w:rsidP="00667EB1">
      <w:pPr>
        <w:pStyle w:val="ListParagraph"/>
        <w:tabs>
          <w:tab w:val="left" w:pos="1068"/>
        </w:tabs>
        <w:spacing w:before="100" w:beforeAutospacing="1" w:after="100" w:afterAutospacing="1" w:line="360" w:lineRule="auto"/>
        <w:ind w:left="1440"/>
        <w:rPr>
          <w:rFonts w:asciiTheme="minorBidi" w:eastAsia="Times New Roman" w:hAnsiTheme="minorBidi"/>
          <w:kern w:val="0"/>
          <w:lang w:eastAsia="zh-CN"/>
          <w14:ligatures w14:val="none"/>
        </w:rPr>
      </w:pPr>
      <w:r w:rsidRPr="007E5837">
        <w:rPr>
          <w:rFonts w:asciiTheme="minorBidi" w:eastAsia="Times New Roman" w:hAnsiTheme="minorBidi"/>
          <w:b/>
          <w:bCs/>
          <w:kern w:val="0"/>
          <w:sz w:val="28"/>
          <w:szCs w:val="28"/>
          <w:lang w:eastAsia="zh-CN"/>
          <w14:ligatures w14:val="none"/>
        </w:rPr>
        <w:t>Source</w:t>
      </w:r>
      <w:r w:rsidRPr="00A5491A">
        <w:rPr>
          <w:rFonts w:asciiTheme="minorBidi" w:eastAsia="Times New Roman" w:hAnsiTheme="minorBidi"/>
          <w:kern w:val="0"/>
          <w:lang w:eastAsia="zh-CN"/>
          <w14:ligatures w14:val="none"/>
        </w:rPr>
        <w:t>: European Commission (2023)</w:t>
      </w:r>
    </w:p>
    <w:p w14:paraId="3611770D" w14:textId="1AC156F2" w:rsidR="007E5837" w:rsidRPr="00A5491A" w:rsidRDefault="007E5837" w:rsidP="00667EB1">
      <w:pPr>
        <w:pStyle w:val="ListParagraph"/>
        <w:tabs>
          <w:tab w:val="left" w:pos="1068"/>
        </w:tabs>
        <w:spacing w:before="100" w:beforeAutospacing="1" w:after="100" w:afterAutospacing="1" w:line="360" w:lineRule="auto"/>
        <w:ind w:left="1440"/>
        <w:rPr>
          <w:rFonts w:asciiTheme="minorBidi" w:eastAsia="Times New Roman" w:hAnsiTheme="minorBidi"/>
          <w:b/>
          <w:bCs/>
          <w:kern w:val="0"/>
          <w:u w:val="single"/>
          <w:lang w:eastAsia="zh-CN"/>
          <w14:ligatures w14:val="none"/>
        </w:rPr>
      </w:pPr>
      <w:r w:rsidRPr="00A5491A">
        <w:rPr>
          <w:rFonts w:asciiTheme="minorBidi" w:eastAsia="Times New Roman" w:hAnsiTheme="minorBidi"/>
          <w:b/>
          <w:bCs/>
          <w:kern w:val="0"/>
          <w:u w:val="single"/>
          <w:lang w:eastAsia="zh-CN"/>
          <w14:ligatures w14:val="none"/>
        </w:rPr>
        <w:t>Analysis</w:t>
      </w:r>
    </w:p>
    <w:p w14:paraId="08C57FCA" w14:textId="64FBE907" w:rsidR="00667EB1" w:rsidRPr="00A5491A" w:rsidRDefault="00212D0A" w:rsidP="00212D0A">
      <w:pPr>
        <w:pStyle w:val="ListParagraph"/>
        <w:tabs>
          <w:tab w:val="left" w:pos="1068"/>
        </w:tabs>
        <w:spacing w:before="100" w:beforeAutospacing="1" w:after="100" w:afterAutospacing="1" w:line="360" w:lineRule="auto"/>
        <w:ind w:left="1440"/>
        <w:rPr>
          <w:rFonts w:asciiTheme="minorBidi" w:eastAsia="Times New Roman" w:hAnsiTheme="minorBidi"/>
          <w:kern w:val="0"/>
          <w:lang w:eastAsia="zh-CN"/>
          <w14:ligatures w14:val="none"/>
        </w:rPr>
      </w:pPr>
      <w:r w:rsidRPr="00A5491A">
        <w:rPr>
          <w:rFonts w:asciiTheme="minorBidi" w:eastAsia="Times New Roman" w:hAnsiTheme="minorBidi"/>
          <w:kern w:val="0"/>
          <w:lang w:eastAsia="zh-CN"/>
          <w14:ligatures w14:val="none"/>
        </w:rPr>
        <w:t xml:space="preserve">This table underscores the growing rigor of environmental regulation within the automative sector. The gradual tightening of Co2 emissions targets exerts considerable pressure on manufactures to shift towards low-and zero- emissions vehicles. For Ford, these regulations pose a significant threat because of its dependence on high-emission vehicles, leading to heightened compliance costs and financial risks. Conversely, Toyota, with its well-established hybrid technology, is in a more advantageous position in the short term; however, the long-term regulatory landscape favors fully electric vehicles, which poses a challenge to its existing strategy. This illustrates how environmental considerations can alter competitive dynamics and strategic transformation. </w:t>
      </w:r>
    </w:p>
    <w:p w14:paraId="7825BA78" w14:textId="36D55E26" w:rsidR="00F4799C" w:rsidRPr="00F4799C" w:rsidRDefault="00F4799C" w:rsidP="00F4799C">
      <w:pPr>
        <w:pStyle w:val="Heading1"/>
        <w:spacing w:line="360" w:lineRule="auto"/>
        <w:rPr>
          <w:rFonts w:asciiTheme="minorBidi" w:hAnsiTheme="minorBidi" w:cstheme="minorBidi"/>
          <w:b/>
          <w:bCs/>
          <w:color w:val="auto"/>
          <w:sz w:val="24"/>
          <w:szCs w:val="24"/>
          <w:lang w:eastAsia="zh-CN"/>
        </w:rPr>
      </w:pPr>
      <w:bookmarkStart w:id="9" w:name="_Toc222732282"/>
      <w:r w:rsidRPr="00F4799C">
        <w:rPr>
          <w:rFonts w:asciiTheme="minorBidi" w:hAnsiTheme="minorBidi" w:cstheme="minorBidi"/>
          <w:b/>
          <w:bCs/>
          <w:color w:val="auto"/>
          <w:sz w:val="24"/>
          <w:szCs w:val="24"/>
          <w:lang w:eastAsia="zh-CN"/>
        </w:rPr>
        <w:t xml:space="preserve">3. Task 2: Strategic Responses of Pioneering and Follower Organisations </w:t>
      </w:r>
      <w:bookmarkEnd w:id="9"/>
    </w:p>
    <w:p w14:paraId="5A6F9331" w14:textId="41D092AC" w:rsidR="00F4799C" w:rsidRPr="00F4799C" w:rsidRDefault="00F4799C" w:rsidP="00F4799C">
      <w:pPr>
        <w:pStyle w:val="Heading2"/>
        <w:spacing w:line="360" w:lineRule="auto"/>
        <w:rPr>
          <w:rFonts w:asciiTheme="minorBidi" w:hAnsiTheme="minorBidi" w:cstheme="minorBidi"/>
          <w:b/>
          <w:bCs/>
          <w:color w:val="auto"/>
          <w:sz w:val="24"/>
          <w:szCs w:val="24"/>
          <w:lang w:eastAsia="zh-CN"/>
        </w:rPr>
      </w:pPr>
      <w:bookmarkStart w:id="10" w:name="_Toc222732283"/>
      <w:r w:rsidRPr="00F4799C">
        <w:rPr>
          <w:rFonts w:asciiTheme="minorBidi" w:hAnsiTheme="minorBidi" w:cstheme="minorBidi"/>
          <w:b/>
          <w:bCs/>
          <w:color w:val="auto"/>
          <w:sz w:val="24"/>
          <w:szCs w:val="24"/>
          <w:lang w:eastAsia="zh-CN"/>
        </w:rPr>
        <w:t>3.1 Pioneering Organisation’s Strategic Responses</w:t>
      </w:r>
      <w:bookmarkEnd w:id="10"/>
    </w:p>
    <w:p w14:paraId="12D2935F" w14:textId="00575D39" w:rsidR="00F4799C" w:rsidRDefault="002B0847" w:rsidP="00362B8F">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Porter’s Generic Strategies</w:t>
      </w:r>
    </w:p>
    <w:p w14:paraId="3D8BA6EA" w14:textId="017E05EF" w:rsidR="002B0847" w:rsidRDefault="002B0847" w:rsidP="00362B8F">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Ford primarily employs a differentiation strategy, emphasizing innovation, brand identity, and the uniqueness of its products. </w:t>
      </w:r>
    </w:p>
    <w:p w14:paraId="20F31123" w14:textId="3123D251" w:rsidR="002B0847" w:rsidRDefault="002B0847" w:rsidP="00362B8F">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For instance, the Mustang Mach-E merges Ford’s longstanding brand legacy with contemporary electric technology, thereby establishing a distinctive value proposition. This enables Ford to compete not only based on functionality but also on emotional resonance. </w:t>
      </w:r>
    </w:p>
    <w:p w14:paraId="5D057755" w14:textId="14B966B1" w:rsidR="002B0847" w:rsidRDefault="002B0847" w:rsidP="00362B8F">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Nevertheless, from a critical standpoint, Ford’s strategy may risk becoming “stuck in the middle” (Porter, 1985)</w:t>
      </w:r>
      <w:r w:rsidR="005F12FD">
        <w:rPr>
          <w:rFonts w:asciiTheme="minorBidi" w:eastAsia="Times New Roman" w:hAnsiTheme="minorBidi"/>
          <w:kern w:val="0"/>
          <w:lang w:eastAsia="zh-CN"/>
          <w14:ligatures w14:val="none"/>
        </w:rPr>
        <w:t xml:space="preserve">, as it strives to balance differentiation with </w:t>
      </w:r>
      <w:r w:rsidR="005F12FD">
        <w:rPr>
          <w:rFonts w:asciiTheme="minorBidi" w:eastAsia="Times New Roman" w:hAnsiTheme="minorBidi"/>
          <w:kern w:val="0"/>
          <w:lang w:eastAsia="zh-CN"/>
          <w14:ligatures w14:val="none"/>
        </w:rPr>
        <w:lastRenderedPageBreak/>
        <w:t xml:space="preserve">cost competitiveness. This could undermine its strategic positioning if it fails to effectively achieve either aspect. </w:t>
      </w:r>
    </w:p>
    <w:p w14:paraId="0D8E0EA3" w14:textId="41E8F727" w:rsidR="005F12FD" w:rsidRDefault="005F12FD" w:rsidP="00362B8F">
      <w:pPr>
        <w:spacing w:before="100" w:beforeAutospacing="1" w:after="100" w:afterAutospacing="1" w:line="360" w:lineRule="auto"/>
        <w:ind w:left="720"/>
        <w:rPr>
          <w:rFonts w:asciiTheme="minorBidi" w:eastAsia="Times New Roman" w:hAnsiTheme="minorBidi"/>
          <w:b/>
          <w:bCs/>
          <w:kern w:val="0"/>
          <w:lang w:eastAsia="zh-CN"/>
          <w14:ligatures w14:val="none"/>
        </w:rPr>
      </w:pPr>
      <w:r w:rsidRPr="005F12FD">
        <w:rPr>
          <w:rFonts w:asciiTheme="minorBidi" w:eastAsia="Times New Roman" w:hAnsiTheme="minorBidi"/>
          <w:b/>
          <w:bCs/>
          <w:kern w:val="0"/>
          <w:lang w:eastAsia="zh-CN"/>
          <w14:ligatures w14:val="none"/>
        </w:rPr>
        <w:t xml:space="preserve">Ansoff’s Growth Matrix </w:t>
      </w:r>
    </w:p>
    <w:p w14:paraId="3F9CAAFC" w14:textId="0FD56FC2" w:rsidR="005F12FD" w:rsidRDefault="005F12FD" w:rsidP="00362B8F">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Ford’s growth strategy can be examined through lens of Ansoff’s matrix:</w:t>
      </w:r>
    </w:p>
    <w:p w14:paraId="78A3159A" w14:textId="77777777" w:rsidR="005F12FD" w:rsidRPr="005F12FD" w:rsidRDefault="005F12FD" w:rsidP="005F12FD">
      <w:pPr>
        <w:pStyle w:val="ListParagraph"/>
        <w:numPr>
          <w:ilvl w:val="0"/>
          <w:numId w:val="48"/>
        </w:numPr>
        <w:spacing w:before="100" w:beforeAutospacing="1" w:after="100" w:afterAutospacing="1" w:line="360" w:lineRule="auto"/>
        <w:rPr>
          <w:rFonts w:asciiTheme="minorBidi" w:eastAsia="Times New Roman" w:hAnsiTheme="minorBidi"/>
          <w:kern w:val="0"/>
          <w:lang w:eastAsia="zh-CN"/>
          <w14:ligatures w14:val="none"/>
        </w:rPr>
      </w:pPr>
      <w:r w:rsidRPr="00A12271">
        <w:rPr>
          <w:rFonts w:asciiTheme="minorBidi" w:eastAsia="Times New Roman" w:hAnsiTheme="minorBidi"/>
          <w:i/>
          <w:iCs/>
          <w:kern w:val="0"/>
          <w:u w:val="single"/>
          <w:lang w:eastAsia="zh-CN"/>
          <w14:ligatures w14:val="none"/>
        </w:rPr>
        <w:t xml:space="preserve">Product Development: </w:t>
      </w:r>
      <w:r w:rsidRPr="005F12FD">
        <w:rPr>
          <w:rFonts w:asciiTheme="minorBidi" w:eastAsia="Times New Roman" w:hAnsiTheme="minorBidi"/>
          <w:kern w:val="0"/>
          <w:lang w:eastAsia="zh-CN"/>
          <w14:ligatures w14:val="none"/>
        </w:rPr>
        <w:t xml:space="preserve">Launch of electric vehicle models </w:t>
      </w:r>
    </w:p>
    <w:p w14:paraId="7EFDBBFD" w14:textId="774CDEB2" w:rsidR="005F12FD" w:rsidRDefault="005F12FD" w:rsidP="005F12FD">
      <w:pPr>
        <w:pStyle w:val="ListParagraph"/>
        <w:numPr>
          <w:ilvl w:val="0"/>
          <w:numId w:val="48"/>
        </w:numPr>
        <w:spacing w:before="100" w:beforeAutospacing="1" w:after="100" w:afterAutospacing="1" w:line="360" w:lineRule="auto"/>
        <w:rPr>
          <w:rFonts w:asciiTheme="minorBidi" w:eastAsia="Times New Roman" w:hAnsiTheme="minorBidi"/>
          <w:kern w:val="0"/>
          <w:lang w:eastAsia="zh-CN"/>
          <w14:ligatures w14:val="none"/>
        </w:rPr>
      </w:pPr>
      <w:r w:rsidRPr="00A12271">
        <w:rPr>
          <w:rFonts w:asciiTheme="minorBidi" w:eastAsia="Times New Roman" w:hAnsiTheme="minorBidi"/>
          <w:i/>
          <w:iCs/>
          <w:kern w:val="0"/>
          <w:u w:val="single"/>
          <w:lang w:eastAsia="zh-CN"/>
          <w14:ligatures w14:val="none"/>
        </w:rPr>
        <w:t>Market Development</w:t>
      </w:r>
      <w:r>
        <w:rPr>
          <w:rFonts w:asciiTheme="minorBidi" w:eastAsia="Times New Roman" w:hAnsiTheme="minorBidi"/>
          <w:kern w:val="0"/>
          <w:lang w:eastAsia="zh-CN"/>
          <w14:ligatures w14:val="none"/>
        </w:rPr>
        <w:t xml:space="preserve">: Expansion into international electric vehicle markets </w:t>
      </w:r>
    </w:p>
    <w:p w14:paraId="683D8D88" w14:textId="549ECD80" w:rsidR="005F12FD" w:rsidRDefault="005F12FD" w:rsidP="005F12FD">
      <w:pPr>
        <w:pStyle w:val="ListParagraph"/>
        <w:numPr>
          <w:ilvl w:val="0"/>
          <w:numId w:val="48"/>
        </w:numPr>
        <w:spacing w:before="100" w:beforeAutospacing="1" w:after="100" w:afterAutospacing="1" w:line="360" w:lineRule="auto"/>
        <w:rPr>
          <w:rFonts w:asciiTheme="minorBidi" w:eastAsia="Times New Roman" w:hAnsiTheme="minorBidi"/>
          <w:kern w:val="0"/>
          <w:lang w:eastAsia="zh-CN"/>
          <w14:ligatures w14:val="none"/>
        </w:rPr>
      </w:pPr>
      <w:r w:rsidRPr="00A12271">
        <w:rPr>
          <w:rFonts w:asciiTheme="minorBidi" w:eastAsia="Times New Roman" w:hAnsiTheme="minorBidi"/>
          <w:i/>
          <w:iCs/>
          <w:kern w:val="0"/>
          <w:u w:val="single"/>
          <w:lang w:eastAsia="zh-CN"/>
          <w14:ligatures w14:val="none"/>
        </w:rPr>
        <w:t>Diversification</w:t>
      </w:r>
      <w:r>
        <w:rPr>
          <w:rFonts w:asciiTheme="minorBidi" w:eastAsia="Times New Roman" w:hAnsiTheme="minorBidi"/>
          <w:kern w:val="0"/>
          <w:lang w:eastAsia="zh-CN"/>
          <w14:ligatures w14:val="none"/>
        </w:rPr>
        <w:t>: Investment in autonomous vehicles and mobility services</w:t>
      </w:r>
    </w:p>
    <w:p w14:paraId="0931B355" w14:textId="3D430A97" w:rsidR="005F12FD" w:rsidRDefault="005F12FD" w:rsidP="005F12FD">
      <w:pPr>
        <w:spacing w:before="100" w:beforeAutospacing="1" w:after="100" w:afterAutospacing="1" w:line="360" w:lineRule="auto"/>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These strategies reflect a transition towards becoming a provider of mobility solutions rather than merely a conventional automobile manufacturer. </w:t>
      </w:r>
    </w:p>
    <w:p w14:paraId="16174B63" w14:textId="3BBD9EFB" w:rsidR="005F12FD" w:rsidRPr="0064205D" w:rsidRDefault="005F12FD" w:rsidP="0064205D">
      <w:pPr>
        <w:spacing w:before="100" w:beforeAutospacing="1" w:after="100" w:afterAutospacing="1" w:line="360" w:lineRule="auto"/>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However, the effectiveness of these strategies hinges on successful implementation. Ford’s challenges indicate a disparity between strategic objectives and operational capabilities.  </w:t>
      </w:r>
      <w:bookmarkStart w:id="11" w:name="_Toc222732284"/>
    </w:p>
    <w:p w14:paraId="336C5916" w14:textId="569B123B" w:rsidR="00F4799C" w:rsidRPr="00F4799C" w:rsidRDefault="00F4799C" w:rsidP="00F4799C">
      <w:pPr>
        <w:pStyle w:val="Heading2"/>
        <w:spacing w:line="360" w:lineRule="auto"/>
        <w:rPr>
          <w:rFonts w:asciiTheme="minorBidi" w:hAnsiTheme="minorBidi" w:cstheme="minorBidi"/>
          <w:b/>
          <w:bCs/>
          <w:color w:val="auto"/>
          <w:sz w:val="24"/>
          <w:szCs w:val="24"/>
          <w:lang w:eastAsia="zh-CN"/>
        </w:rPr>
      </w:pPr>
      <w:r w:rsidRPr="00F4799C">
        <w:rPr>
          <w:rFonts w:asciiTheme="minorBidi" w:hAnsiTheme="minorBidi" w:cstheme="minorBidi"/>
          <w:b/>
          <w:bCs/>
          <w:color w:val="auto"/>
          <w:sz w:val="24"/>
          <w:szCs w:val="24"/>
          <w:lang w:eastAsia="zh-CN"/>
        </w:rPr>
        <w:t>3.2 Follower Organisation’s Strategic Responses</w:t>
      </w:r>
      <w:bookmarkEnd w:id="11"/>
    </w:p>
    <w:p w14:paraId="7BCB1B47" w14:textId="0CC92E60" w:rsidR="00F4799C" w:rsidRPr="00A12271" w:rsidRDefault="0064205D" w:rsidP="0064205D">
      <w:pPr>
        <w:spacing w:before="100" w:beforeAutospacing="1" w:after="100" w:afterAutospacing="1" w:line="360" w:lineRule="auto"/>
        <w:ind w:left="720"/>
        <w:rPr>
          <w:rFonts w:asciiTheme="minorBidi" w:eastAsia="Times New Roman" w:hAnsiTheme="minorBidi"/>
          <w:b/>
          <w:bCs/>
          <w:kern w:val="0"/>
          <w:lang w:eastAsia="zh-CN"/>
          <w14:ligatures w14:val="none"/>
        </w:rPr>
      </w:pPr>
      <w:r w:rsidRPr="00A12271">
        <w:rPr>
          <w:rFonts w:asciiTheme="minorBidi" w:eastAsia="Times New Roman" w:hAnsiTheme="minorBidi"/>
          <w:b/>
          <w:bCs/>
          <w:kern w:val="0"/>
          <w:lang w:eastAsia="zh-CN"/>
          <w14:ligatures w14:val="none"/>
        </w:rPr>
        <w:t xml:space="preserve">Porter’s Generic Strategies </w:t>
      </w:r>
    </w:p>
    <w:p w14:paraId="108439D8" w14:textId="77777777" w:rsidR="00A641C4" w:rsidRDefault="0064205D" w:rsidP="00A641C4">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Toyota </w:t>
      </w:r>
      <w:r w:rsidR="00A641C4">
        <w:rPr>
          <w:rFonts w:asciiTheme="minorBidi" w:eastAsia="Times New Roman" w:hAnsiTheme="minorBidi"/>
          <w:kern w:val="0"/>
          <w:lang w:eastAsia="zh-CN"/>
          <w14:ligatures w14:val="none"/>
        </w:rPr>
        <w:t>predominantly adheres to a cost leadership strategy, bolstered by its highly efficient production system</w:t>
      </w:r>
      <w:r>
        <w:rPr>
          <w:rFonts w:asciiTheme="minorBidi" w:eastAsia="Times New Roman" w:hAnsiTheme="minorBidi"/>
          <w:kern w:val="0"/>
          <w:lang w:eastAsia="zh-CN"/>
          <w14:ligatures w14:val="none"/>
        </w:rPr>
        <w:t>.</w:t>
      </w:r>
    </w:p>
    <w:p w14:paraId="3056B92B" w14:textId="77777777" w:rsidR="00A641C4" w:rsidRDefault="00A641C4" w:rsidP="00A641C4">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The Toyota Production System allows the company to minimize waste, lower costs, and uphold superior quality. This results in a significant competitive edge in markets that are sensitive to price. </w:t>
      </w:r>
    </w:p>
    <w:p w14:paraId="6EB9FE04" w14:textId="106CD49D" w:rsidR="0064205D" w:rsidRDefault="00A641C4" w:rsidP="00A641C4">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Nevertheless, the effectiveness of cost leadership may diminish in markets driven by innovation, where differentiation gains prominence. </w:t>
      </w:r>
      <w:r w:rsidR="0064205D">
        <w:rPr>
          <w:rFonts w:asciiTheme="minorBidi" w:eastAsia="Times New Roman" w:hAnsiTheme="minorBidi"/>
          <w:kern w:val="0"/>
          <w:lang w:eastAsia="zh-CN"/>
          <w14:ligatures w14:val="none"/>
        </w:rPr>
        <w:t xml:space="preserve"> </w:t>
      </w:r>
    </w:p>
    <w:p w14:paraId="4E2D57FA" w14:textId="6D1F0226" w:rsidR="0064205D" w:rsidRPr="00A12271" w:rsidRDefault="0064205D" w:rsidP="0064205D">
      <w:pPr>
        <w:spacing w:before="100" w:beforeAutospacing="1" w:after="100" w:afterAutospacing="1" w:line="360" w:lineRule="auto"/>
        <w:ind w:left="720"/>
        <w:rPr>
          <w:rFonts w:asciiTheme="minorBidi" w:eastAsia="Times New Roman" w:hAnsiTheme="minorBidi"/>
          <w:b/>
          <w:bCs/>
          <w:kern w:val="0"/>
          <w:lang w:eastAsia="zh-CN"/>
          <w14:ligatures w14:val="none"/>
        </w:rPr>
      </w:pPr>
      <w:r w:rsidRPr="00A12271">
        <w:rPr>
          <w:rFonts w:asciiTheme="minorBidi" w:eastAsia="Times New Roman" w:hAnsiTheme="minorBidi"/>
          <w:b/>
          <w:bCs/>
          <w:kern w:val="0"/>
          <w:lang w:eastAsia="zh-CN"/>
          <w14:ligatures w14:val="none"/>
        </w:rPr>
        <w:t>Ansoff’s Growth Matrix</w:t>
      </w:r>
    </w:p>
    <w:p w14:paraId="4769B6A6" w14:textId="11B0DAD6" w:rsidR="0064205D" w:rsidRPr="00A12271" w:rsidRDefault="0064205D" w:rsidP="0064205D">
      <w:pPr>
        <w:spacing w:before="100" w:beforeAutospacing="1" w:after="100" w:afterAutospacing="1" w:line="360" w:lineRule="auto"/>
        <w:ind w:left="720"/>
        <w:rPr>
          <w:rFonts w:asciiTheme="minorBidi" w:eastAsia="Times New Roman" w:hAnsiTheme="minorBidi"/>
          <w:kern w:val="0"/>
          <w:u w:val="single"/>
          <w:lang w:eastAsia="zh-CN"/>
          <w14:ligatures w14:val="none"/>
        </w:rPr>
      </w:pPr>
      <w:r w:rsidRPr="00A12271">
        <w:rPr>
          <w:rFonts w:asciiTheme="minorBidi" w:eastAsia="Times New Roman" w:hAnsiTheme="minorBidi"/>
          <w:kern w:val="0"/>
          <w:u w:val="single"/>
          <w:lang w:eastAsia="zh-CN"/>
          <w14:ligatures w14:val="none"/>
        </w:rPr>
        <w:t xml:space="preserve">Toyota’s Strategies </w:t>
      </w:r>
      <w:r w:rsidR="00A641C4" w:rsidRPr="00A12271">
        <w:rPr>
          <w:rFonts w:asciiTheme="minorBidi" w:eastAsia="Times New Roman" w:hAnsiTheme="minorBidi"/>
          <w:kern w:val="0"/>
          <w:u w:val="single"/>
          <w:lang w:eastAsia="zh-CN"/>
          <w14:ligatures w14:val="none"/>
        </w:rPr>
        <w:t>encompass</w:t>
      </w:r>
      <w:r w:rsidRPr="00A12271">
        <w:rPr>
          <w:rFonts w:asciiTheme="minorBidi" w:eastAsia="Times New Roman" w:hAnsiTheme="minorBidi"/>
          <w:kern w:val="0"/>
          <w:u w:val="single"/>
          <w:lang w:eastAsia="zh-CN"/>
          <w14:ligatures w14:val="none"/>
        </w:rPr>
        <w:t>:</w:t>
      </w:r>
    </w:p>
    <w:p w14:paraId="218F6240" w14:textId="688130D6" w:rsidR="0064205D" w:rsidRDefault="0064205D" w:rsidP="0064205D">
      <w:pPr>
        <w:pStyle w:val="ListParagraph"/>
        <w:numPr>
          <w:ilvl w:val="0"/>
          <w:numId w:val="49"/>
        </w:numPr>
        <w:spacing w:before="100" w:beforeAutospacing="1" w:after="100" w:afterAutospacing="1" w:line="360" w:lineRule="auto"/>
        <w:rPr>
          <w:rFonts w:asciiTheme="minorBidi" w:eastAsia="Times New Roman" w:hAnsiTheme="minorBidi"/>
          <w:kern w:val="0"/>
          <w:lang w:eastAsia="zh-CN"/>
          <w14:ligatures w14:val="none"/>
        </w:rPr>
      </w:pPr>
      <w:r w:rsidRPr="00A12271">
        <w:rPr>
          <w:rFonts w:asciiTheme="minorBidi" w:eastAsia="Times New Roman" w:hAnsiTheme="minorBidi"/>
          <w:i/>
          <w:iCs/>
          <w:kern w:val="0"/>
          <w:u w:val="single"/>
          <w:lang w:eastAsia="zh-CN"/>
          <w14:ligatures w14:val="none"/>
        </w:rPr>
        <w:lastRenderedPageBreak/>
        <w:t>Market Penetration:</w:t>
      </w:r>
      <w:r>
        <w:rPr>
          <w:rFonts w:asciiTheme="minorBidi" w:eastAsia="Times New Roman" w:hAnsiTheme="minorBidi"/>
          <w:kern w:val="0"/>
          <w:lang w:eastAsia="zh-CN"/>
          <w14:ligatures w14:val="none"/>
        </w:rPr>
        <w:t xml:space="preserve"> </w:t>
      </w:r>
      <w:r w:rsidR="00A641C4">
        <w:rPr>
          <w:rFonts w:asciiTheme="minorBidi" w:eastAsia="Times New Roman" w:hAnsiTheme="minorBidi"/>
          <w:kern w:val="0"/>
          <w:lang w:eastAsia="zh-CN"/>
          <w14:ligatures w14:val="none"/>
        </w:rPr>
        <w:t>Enhancing sales of hybrid vehicles</w:t>
      </w:r>
      <w:r>
        <w:rPr>
          <w:rFonts w:asciiTheme="minorBidi" w:eastAsia="Times New Roman" w:hAnsiTheme="minorBidi"/>
          <w:kern w:val="0"/>
          <w:lang w:eastAsia="zh-CN"/>
          <w14:ligatures w14:val="none"/>
        </w:rPr>
        <w:t xml:space="preserve"> </w:t>
      </w:r>
    </w:p>
    <w:p w14:paraId="30A4D6A5" w14:textId="6265F848" w:rsidR="0064205D" w:rsidRDefault="0064205D" w:rsidP="0064205D">
      <w:pPr>
        <w:pStyle w:val="ListParagraph"/>
        <w:numPr>
          <w:ilvl w:val="0"/>
          <w:numId w:val="49"/>
        </w:numPr>
        <w:spacing w:before="100" w:beforeAutospacing="1" w:after="100" w:afterAutospacing="1" w:line="360" w:lineRule="auto"/>
        <w:rPr>
          <w:rFonts w:asciiTheme="minorBidi" w:eastAsia="Times New Roman" w:hAnsiTheme="minorBidi"/>
          <w:kern w:val="0"/>
          <w:lang w:eastAsia="zh-CN"/>
          <w14:ligatures w14:val="none"/>
        </w:rPr>
      </w:pPr>
      <w:r w:rsidRPr="00A12271">
        <w:rPr>
          <w:rFonts w:asciiTheme="minorBidi" w:eastAsia="Times New Roman" w:hAnsiTheme="minorBidi"/>
          <w:i/>
          <w:iCs/>
          <w:kern w:val="0"/>
          <w:u w:val="single"/>
          <w:lang w:eastAsia="zh-CN"/>
          <w14:ligatures w14:val="none"/>
        </w:rPr>
        <w:t>Product Development:</w:t>
      </w:r>
      <w:r>
        <w:rPr>
          <w:rFonts w:asciiTheme="minorBidi" w:eastAsia="Times New Roman" w:hAnsiTheme="minorBidi"/>
          <w:kern w:val="0"/>
          <w:lang w:eastAsia="zh-CN"/>
          <w14:ligatures w14:val="none"/>
        </w:rPr>
        <w:t xml:space="preserve"> </w:t>
      </w:r>
      <w:r w:rsidR="00A641C4">
        <w:rPr>
          <w:rFonts w:asciiTheme="minorBidi" w:eastAsia="Times New Roman" w:hAnsiTheme="minorBidi"/>
          <w:kern w:val="0"/>
          <w:lang w:eastAsia="zh-CN"/>
          <w14:ligatures w14:val="none"/>
        </w:rPr>
        <w:t xml:space="preserve">Investing in electric vehicle and hydrogen technologies </w:t>
      </w:r>
      <w:r>
        <w:rPr>
          <w:rFonts w:asciiTheme="minorBidi" w:eastAsia="Times New Roman" w:hAnsiTheme="minorBidi"/>
          <w:kern w:val="0"/>
          <w:lang w:eastAsia="zh-CN"/>
          <w14:ligatures w14:val="none"/>
        </w:rPr>
        <w:t xml:space="preserve"> </w:t>
      </w:r>
    </w:p>
    <w:p w14:paraId="1728DD48" w14:textId="13431473" w:rsidR="0064205D" w:rsidRDefault="0064205D" w:rsidP="0064205D">
      <w:pPr>
        <w:pStyle w:val="ListParagraph"/>
        <w:numPr>
          <w:ilvl w:val="0"/>
          <w:numId w:val="49"/>
        </w:numPr>
        <w:spacing w:before="100" w:beforeAutospacing="1" w:after="100" w:afterAutospacing="1" w:line="360" w:lineRule="auto"/>
        <w:rPr>
          <w:rFonts w:asciiTheme="minorBidi" w:eastAsia="Times New Roman" w:hAnsiTheme="minorBidi"/>
          <w:kern w:val="0"/>
          <w:lang w:eastAsia="zh-CN"/>
          <w14:ligatures w14:val="none"/>
        </w:rPr>
      </w:pPr>
      <w:r w:rsidRPr="00A12271">
        <w:rPr>
          <w:rFonts w:asciiTheme="minorBidi" w:eastAsia="Times New Roman" w:hAnsiTheme="minorBidi"/>
          <w:i/>
          <w:iCs/>
          <w:kern w:val="0"/>
          <w:u w:val="single"/>
          <w:lang w:eastAsia="zh-CN"/>
          <w14:ligatures w14:val="none"/>
        </w:rPr>
        <w:t>Diversification</w:t>
      </w:r>
      <w:r>
        <w:rPr>
          <w:rFonts w:asciiTheme="minorBidi" w:eastAsia="Times New Roman" w:hAnsiTheme="minorBidi"/>
          <w:kern w:val="0"/>
          <w:lang w:eastAsia="zh-CN"/>
          <w14:ligatures w14:val="none"/>
        </w:rPr>
        <w:t xml:space="preserve">: </w:t>
      </w:r>
      <w:r w:rsidR="00C13BE6">
        <w:rPr>
          <w:rFonts w:asciiTheme="minorBidi" w:eastAsia="Times New Roman" w:hAnsiTheme="minorBidi"/>
          <w:kern w:val="0"/>
          <w:lang w:eastAsia="zh-CN"/>
          <w14:ligatures w14:val="none"/>
        </w:rPr>
        <w:t>Focusing on smart mobility and urban solutions</w:t>
      </w:r>
    </w:p>
    <w:p w14:paraId="647A67C5" w14:textId="38611019" w:rsidR="0064205D" w:rsidRDefault="0064205D" w:rsidP="0064205D">
      <w:pPr>
        <w:spacing w:before="100" w:beforeAutospacing="1" w:after="100" w:afterAutospacing="1" w:line="360" w:lineRule="auto"/>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Toyota’s </w:t>
      </w:r>
      <w:r w:rsidR="00C13BE6">
        <w:rPr>
          <w:rFonts w:asciiTheme="minorBidi" w:eastAsia="Times New Roman" w:hAnsiTheme="minorBidi"/>
          <w:kern w:val="0"/>
          <w:lang w:eastAsia="zh-CN"/>
          <w14:ligatures w14:val="none"/>
        </w:rPr>
        <w:t>strategy exemplifies a harmonious balance between stability and innovation</w:t>
      </w:r>
      <w:r>
        <w:rPr>
          <w:rFonts w:asciiTheme="minorBidi" w:eastAsia="Times New Roman" w:hAnsiTheme="minorBidi"/>
          <w:kern w:val="0"/>
          <w:lang w:eastAsia="zh-CN"/>
          <w14:ligatures w14:val="none"/>
        </w:rPr>
        <w:t xml:space="preserve">. </w:t>
      </w:r>
      <w:r w:rsidRPr="0064205D">
        <w:rPr>
          <w:rFonts w:asciiTheme="minorBidi" w:eastAsia="Times New Roman" w:hAnsiTheme="minorBidi"/>
          <w:kern w:val="0"/>
          <w:lang w:eastAsia="zh-CN"/>
          <w14:ligatures w14:val="none"/>
        </w:rPr>
        <w:t xml:space="preserve">  </w:t>
      </w:r>
    </w:p>
    <w:p w14:paraId="02EE7A9C" w14:textId="379AC631" w:rsidR="00493524" w:rsidRDefault="00493524" w:rsidP="0064205D">
      <w:pPr>
        <w:spacing w:before="100" w:beforeAutospacing="1" w:after="100" w:afterAutospacing="1" w:line="360" w:lineRule="auto"/>
        <w:rPr>
          <w:rFonts w:asciiTheme="minorBidi" w:eastAsia="Times New Roman" w:hAnsiTheme="minorBidi"/>
          <w:b/>
          <w:bCs/>
          <w:kern w:val="0"/>
          <w:lang w:eastAsia="zh-CN"/>
          <w14:ligatures w14:val="none"/>
        </w:rPr>
      </w:pPr>
      <w:r w:rsidRPr="00493524">
        <w:rPr>
          <w:rFonts w:asciiTheme="minorBidi" w:eastAsia="Times New Roman" w:hAnsiTheme="minorBidi"/>
          <w:b/>
          <w:bCs/>
          <w:kern w:val="0"/>
          <w:lang w:eastAsia="zh-CN"/>
          <w14:ligatures w14:val="none"/>
        </w:rPr>
        <w:t>Critical Comparison</w:t>
      </w:r>
    </w:p>
    <w:p w14:paraId="20D29A86" w14:textId="7AFBC6A6" w:rsidR="00493524" w:rsidRDefault="00493524" w:rsidP="0064205D">
      <w:pPr>
        <w:spacing w:before="100" w:beforeAutospacing="1" w:after="100" w:afterAutospacing="1" w:line="360" w:lineRule="auto"/>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The primary distinction between Ford and Toyota is found in their strategic focus:</w:t>
      </w:r>
    </w:p>
    <w:p w14:paraId="691368E1" w14:textId="6E18ECBD" w:rsidR="00493524" w:rsidRPr="00493524" w:rsidRDefault="00493524" w:rsidP="00493524">
      <w:pPr>
        <w:pStyle w:val="ListParagraph"/>
        <w:numPr>
          <w:ilvl w:val="0"/>
          <w:numId w:val="50"/>
        </w:numPr>
        <w:spacing w:before="100" w:beforeAutospacing="1" w:after="100" w:afterAutospacing="1" w:line="360" w:lineRule="auto"/>
        <w:rPr>
          <w:rFonts w:asciiTheme="minorBidi" w:eastAsia="Times New Roman" w:hAnsiTheme="minorBidi"/>
          <w:kern w:val="0"/>
          <w:lang w:eastAsia="zh-CN"/>
          <w14:ligatures w14:val="none"/>
        </w:rPr>
      </w:pPr>
      <w:r w:rsidRPr="00493524">
        <w:rPr>
          <w:rFonts w:asciiTheme="minorBidi" w:eastAsia="Times New Roman" w:hAnsiTheme="minorBidi"/>
          <w:kern w:val="0"/>
          <w:lang w:eastAsia="zh-CN"/>
          <w14:ligatures w14:val="none"/>
        </w:rPr>
        <w:t xml:space="preserve">Ford emphasizes transformation and innovation. </w:t>
      </w:r>
    </w:p>
    <w:p w14:paraId="0355D236" w14:textId="20BBF320" w:rsidR="00493524" w:rsidRDefault="00493524" w:rsidP="00493524">
      <w:pPr>
        <w:pStyle w:val="ListParagraph"/>
        <w:numPr>
          <w:ilvl w:val="0"/>
          <w:numId w:val="50"/>
        </w:numPr>
        <w:spacing w:before="100" w:beforeAutospacing="1" w:after="100" w:afterAutospacing="1" w:line="360" w:lineRule="auto"/>
        <w:rPr>
          <w:rFonts w:asciiTheme="minorBidi" w:eastAsia="Times New Roman" w:hAnsiTheme="minorBidi"/>
          <w:kern w:val="0"/>
          <w:lang w:eastAsia="zh-CN"/>
          <w14:ligatures w14:val="none"/>
        </w:rPr>
      </w:pPr>
      <w:r w:rsidRPr="00493524">
        <w:rPr>
          <w:rFonts w:asciiTheme="minorBidi" w:eastAsia="Times New Roman" w:hAnsiTheme="minorBidi"/>
          <w:kern w:val="0"/>
          <w:lang w:eastAsia="zh-CN"/>
          <w14:ligatures w14:val="none"/>
        </w:rPr>
        <w:t xml:space="preserve">Toyota prioritizes efficiency and incremental improvement. </w:t>
      </w:r>
    </w:p>
    <w:p w14:paraId="5538F432" w14:textId="77777777" w:rsidR="00493524" w:rsidRDefault="00493524" w:rsidP="00493524">
      <w:pPr>
        <w:pStyle w:val="ListParagraph"/>
        <w:spacing w:before="100" w:beforeAutospacing="1" w:after="100" w:afterAutospacing="1" w:line="360" w:lineRule="auto"/>
        <w:rPr>
          <w:rFonts w:asciiTheme="minorBidi" w:eastAsia="Times New Roman" w:hAnsiTheme="minorBidi"/>
          <w:kern w:val="0"/>
          <w:lang w:eastAsia="zh-CN"/>
          <w14:ligatures w14:val="none"/>
        </w:rPr>
      </w:pPr>
    </w:p>
    <w:p w14:paraId="7BD6A20F" w14:textId="3D2837F7" w:rsidR="00493524" w:rsidRDefault="00493524" w:rsidP="00493524">
      <w:pPr>
        <w:pStyle w:val="ListParagraph"/>
        <w:spacing w:before="100" w:beforeAutospacing="1" w:after="100" w:afterAutospacing="1" w:line="360" w:lineRule="auto"/>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Each strategy possesses its own advantages and disadvantages. Ford’s methodology presents a higher potential for growth, albeit with increased risk, whereas Toyota’s strategy guarantees stability, though it may restrict innovation. </w:t>
      </w:r>
    </w:p>
    <w:p w14:paraId="5E352B2C" w14:textId="415F07FA" w:rsidR="006E0423" w:rsidRPr="00C07860" w:rsidRDefault="006E0423" w:rsidP="00C07860">
      <w:pPr>
        <w:spacing w:before="100" w:beforeAutospacing="1" w:after="100" w:afterAutospacing="1" w:line="360" w:lineRule="auto"/>
        <w:rPr>
          <w:rFonts w:asciiTheme="minorBidi" w:eastAsia="Times New Roman" w:hAnsiTheme="minorBidi"/>
          <w:b/>
          <w:bCs/>
          <w:kern w:val="0"/>
          <w:sz w:val="28"/>
          <w:szCs w:val="28"/>
          <w:u w:val="single"/>
          <w:lang w:eastAsia="zh-CN"/>
          <w14:ligatures w14:val="none"/>
        </w:rPr>
      </w:pPr>
      <w:r w:rsidRPr="00C07860">
        <w:rPr>
          <w:rFonts w:asciiTheme="minorBidi" w:eastAsia="Times New Roman" w:hAnsiTheme="minorBidi"/>
          <w:b/>
          <w:bCs/>
          <w:kern w:val="0"/>
          <w:sz w:val="28"/>
          <w:szCs w:val="28"/>
          <w:u w:val="single"/>
          <w:lang w:eastAsia="zh-CN"/>
          <w14:ligatures w14:val="none"/>
        </w:rPr>
        <w:t>Table 3: Ford vs Toyota- Financial &amp; Market Performance (2023)</w:t>
      </w:r>
    </w:p>
    <w:tbl>
      <w:tblPr>
        <w:tblStyle w:val="GridTable4"/>
        <w:tblW w:w="8080" w:type="dxa"/>
        <w:tblInd w:w="846" w:type="dxa"/>
        <w:tblLook w:val="04A0" w:firstRow="1" w:lastRow="0" w:firstColumn="1" w:lastColumn="0" w:noHBand="0" w:noVBand="1"/>
      </w:tblPr>
      <w:tblGrid>
        <w:gridCol w:w="1577"/>
        <w:gridCol w:w="2019"/>
        <w:gridCol w:w="1918"/>
        <w:gridCol w:w="2566"/>
      </w:tblGrid>
      <w:tr w:rsidR="007628FB" w14:paraId="6FC01681" w14:textId="77777777" w:rsidTr="007628FB">
        <w:trPr>
          <w:cnfStyle w:val="100000000000" w:firstRow="1" w:lastRow="0" w:firstColumn="0" w:lastColumn="0" w:oddVBand="0" w:evenVBand="0" w:oddHBand="0" w:evenHBand="0" w:firstRowFirstColumn="0" w:firstRowLastColumn="0" w:lastRowFirstColumn="0" w:lastRowLastColumn="0"/>
          <w:trHeight w:val="1315"/>
        </w:trPr>
        <w:tc>
          <w:tcPr>
            <w:cnfStyle w:val="001000000000" w:firstRow="0" w:lastRow="0" w:firstColumn="1" w:lastColumn="0" w:oddVBand="0" w:evenVBand="0" w:oddHBand="0" w:evenHBand="0" w:firstRowFirstColumn="0" w:firstRowLastColumn="0" w:lastRowFirstColumn="0" w:lastRowLastColumn="0"/>
            <w:tcW w:w="1577" w:type="dxa"/>
          </w:tcPr>
          <w:p w14:paraId="6819CF12" w14:textId="56D5AA9C" w:rsidR="006E0423" w:rsidRPr="006E0423" w:rsidRDefault="007628FB" w:rsidP="00493524">
            <w:pPr>
              <w:pStyle w:val="ListParagraph"/>
              <w:spacing w:before="100" w:beforeAutospacing="1" w:after="100" w:afterAutospacing="1" w:line="360" w:lineRule="auto"/>
              <w:ind w:left="0"/>
              <w:rPr>
                <w:rFonts w:asciiTheme="minorBidi" w:eastAsia="Times New Roman" w:hAnsiTheme="minorBidi"/>
                <w:b w:val="0"/>
                <w:bCs w:val="0"/>
                <w:kern w:val="0"/>
                <w:lang w:eastAsia="zh-CN"/>
                <w14:ligatures w14:val="none"/>
              </w:rPr>
            </w:pPr>
            <w:r>
              <w:rPr>
                <w:rFonts w:asciiTheme="minorBidi" w:eastAsia="Times New Roman" w:hAnsiTheme="minorBidi"/>
                <w:b w:val="0"/>
                <w:bCs w:val="0"/>
                <w:kern w:val="0"/>
                <w:lang w:eastAsia="zh-CN"/>
                <w14:ligatures w14:val="none"/>
              </w:rPr>
              <w:t>Organization</w:t>
            </w:r>
          </w:p>
        </w:tc>
        <w:tc>
          <w:tcPr>
            <w:tcW w:w="2019" w:type="dxa"/>
          </w:tcPr>
          <w:p w14:paraId="4129D34F" w14:textId="2AC808BC" w:rsidR="006E0423" w:rsidRPr="006E0423" w:rsidRDefault="007628FB" w:rsidP="00493524">
            <w:pPr>
              <w:pStyle w:val="ListParagraph"/>
              <w:spacing w:before="100" w:beforeAutospacing="1" w:after="100" w:afterAutospacing="1" w:line="360" w:lineRule="auto"/>
              <w:ind w:left="0"/>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kern w:val="0"/>
                <w:lang w:eastAsia="zh-CN"/>
                <w14:ligatures w14:val="none"/>
              </w:rPr>
            </w:pPr>
            <w:r>
              <w:rPr>
                <w:rFonts w:asciiTheme="minorBidi" w:eastAsia="Times New Roman" w:hAnsiTheme="minorBidi"/>
                <w:b w:val="0"/>
                <w:bCs w:val="0"/>
                <w:kern w:val="0"/>
                <w:lang w:eastAsia="zh-CN"/>
                <w14:ligatures w14:val="none"/>
              </w:rPr>
              <w:t>Income</w:t>
            </w:r>
            <w:r w:rsidR="006E0423">
              <w:rPr>
                <w:rFonts w:asciiTheme="minorBidi" w:eastAsia="Times New Roman" w:hAnsiTheme="minorBidi"/>
                <w:b w:val="0"/>
                <w:bCs w:val="0"/>
                <w:kern w:val="0"/>
                <w:lang w:eastAsia="zh-CN"/>
                <w14:ligatures w14:val="none"/>
              </w:rPr>
              <w:t xml:space="preserve"> (USD Billion)</w:t>
            </w:r>
          </w:p>
        </w:tc>
        <w:tc>
          <w:tcPr>
            <w:tcW w:w="1918" w:type="dxa"/>
          </w:tcPr>
          <w:p w14:paraId="7C9C5B82" w14:textId="0072CDC3" w:rsidR="006E0423" w:rsidRPr="007628FB" w:rsidRDefault="007628FB" w:rsidP="00493524">
            <w:pPr>
              <w:pStyle w:val="ListParagraph"/>
              <w:spacing w:before="100" w:beforeAutospacing="1" w:after="100" w:afterAutospacing="1" w:line="360" w:lineRule="auto"/>
              <w:ind w:left="0"/>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kern w:val="0"/>
                <w:lang w:eastAsia="zh-CN"/>
                <w14:ligatures w14:val="none"/>
              </w:rPr>
            </w:pPr>
            <w:r w:rsidRPr="007628FB">
              <w:rPr>
                <w:rFonts w:asciiTheme="minorBidi" w:eastAsia="Times New Roman" w:hAnsiTheme="minorBidi"/>
                <w:b w:val="0"/>
                <w:bCs w:val="0"/>
                <w:kern w:val="0"/>
                <w:lang w:eastAsia="zh-CN"/>
                <w14:ligatures w14:val="none"/>
              </w:rPr>
              <w:t>Worldwide</w:t>
            </w:r>
            <w:r w:rsidR="006E0423" w:rsidRPr="007628FB">
              <w:rPr>
                <w:rFonts w:asciiTheme="minorBidi" w:eastAsia="Times New Roman" w:hAnsiTheme="minorBidi"/>
                <w:b w:val="0"/>
                <w:bCs w:val="0"/>
                <w:kern w:val="0"/>
                <w:lang w:eastAsia="zh-CN"/>
                <w14:ligatures w14:val="none"/>
              </w:rPr>
              <w:t xml:space="preserve"> Market</w:t>
            </w:r>
            <w:r w:rsidRPr="007628FB">
              <w:rPr>
                <w:rFonts w:asciiTheme="minorBidi" w:eastAsia="Times New Roman" w:hAnsiTheme="minorBidi"/>
                <w:b w:val="0"/>
                <w:bCs w:val="0"/>
                <w:kern w:val="0"/>
                <w:lang w:eastAsia="zh-CN"/>
                <w14:ligatures w14:val="none"/>
              </w:rPr>
              <w:t xml:space="preserve"> Share (%)</w:t>
            </w:r>
          </w:p>
        </w:tc>
        <w:tc>
          <w:tcPr>
            <w:tcW w:w="2566" w:type="dxa"/>
          </w:tcPr>
          <w:p w14:paraId="156F73F4" w14:textId="77C4E6CE" w:rsidR="006E0423" w:rsidRPr="007628FB" w:rsidRDefault="007628FB" w:rsidP="00493524">
            <w:pPr>
              <w:pStyle w:val="ListParagraph"/>
              <w:spacing w:before="100" w:beforeAutospacing="1" w:after="100" w:afterAutospacing="1" w:line="360" w:lineRule="auto"/>
              <w:ind w:left="0"/>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kern w:val="0"/>
                <w:lang w:eastAsia="zh-CN"/>
                <w14:ligatures w14:val="none"/>
              </w:rPr>
            </w:pPr>
            <w:r w:rsidRPr="007628FB">
              <w:rPr>
                <w:rFonts w:asciiTheme="minorBidi" w:eastAsia="Times New Roman" w:hAnsiTheme="minorBidi"/>
                <w:b w:val="0"/>
                <w:bCs w:val="0"/>
                <w:kern w:val="0"/>
                <w:lang w:eastAsia="zh-CN"/>
                <w14:ligatures w14:val="none"/>
              </w:rPr>
              <w:t>Research &amp; Development Expenditure (USD Billion)</w:t>
            </w:r>
          </w:p>
        </w:tc>
      </w:tr>
      <w:tr w:rsidR="007628FB" w14:paraId="0A04A1F7" w14:textId="77777777" w:rsidTr="00762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7" w:type="dxa"/>
          </w:tcPr>
          <w:p w14:paraId="372C3BEA" w14:textId="4949F77E" w:rsidR="006E0423" w:rsidRPr="007628FB" w:rsidRDefault="007628FB" w:rsidP="00493524">
            <w:pPr>
              <w:pStyle w:val="ListParagraph"/>
              <w:spacing w:before="100" w:beforeAutospacing="1" w:after="100" w:afterAutospacing="1" w:line="360" w:lineRule="auto"/>
              <w:ind w:left="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Ford</w:t>
            </w:r>
          </w:p>
        </w:tc>
        <w:tc>
          <w:tcPr>
            <w:tcW w:w="2019" w:type="dxa"/>
          </w:tcPr>
          <w:p w14:paraId="37034CF6" w14:textId="2CF113A7" w:rsidR="006E0423" w:rsidRPr="007628FB" w:rsidRDefault="007628FB" w:rsidP="00493524">
            <w:pPr>
              <w:pStyle w:val="ListParagraph"/>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kern w:val="0"/>
                <w:lang w:eastAsia="zh-CN"/>
                <w14:ligatures w14:val="none"/>
              </w:rPr>
            </w:pPr>
            <w:r w:rsidRPr="007628FB">
              <w:rPr>
                <w:rFonts w:asciiTheme="minorBidi" w:eastAsia="Times New Roman" w:hAnsiTheme="minorBidi"/>
                <w:kern w:val="0"/>
                <w:lang w:eastAsia="zh-CN"/>
                <w14:ligatures w14:val="none"/>
              </w:rPr>
              <w:t>176</w:t>
            </w:r>
          </w:p>
        </w:tc>
        <w:tc>
          <w:tcPr>
            <w:tcW w:w="1918" w:type="dxa"/>
          </w:tcPr>
          <w:p w14:paraId="14AC41C0" w14:textId="3FF88BCB" w:rsidR="006E0423" w:rsidRPr="007628FB" w:rsidRDefault="007628FB" w:rsidP="00493524">
            <w:pPr>
              <w:pStyle w:val="ListParagraph"/>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kern w:val="0"/>
                <w:lang w:eastAsia="zh-CN"/>
                <w14:ligatures w14:val="none"/>
              </w:rPr>
            </w:pPr>
            <w:r w:rsidRPr="007628FB">
              <w:rPr>
                <w:rFonts w:asciiTheme="minorBidi" w:eastAsia="Times New Roman" w:hAnsiTheme="minorBidi"/>
                <w:kern w:val="0"/>
                <w:lang w:eastAsia="zh-CN"/>
                <w14:ligatures w14:val="none"/>
              </w:rPr>
              <w:t>5.0%</w:t>
            </w:r>
          </w:p>
        </w:tc>
        <w:tc>
          <w:tcPr>
            <w:tcW w:w="2566" w:type="dxa"/>
          </w:tcPr>
          <w:p w14:paraId="2F63280F" w14:textId="7B646F1D" w:rsidR="006E0423" w:rsidRPr="007628FB" w:rsidRDefault="007628FB" w:rsidP="00493524">
            <w:pPr>
              <w:pStyle w:val="ListParagraph"/>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kern w:val="0"/>
                <w:lang w:eastAsia="zh-CN"/>
                <w14:ligatures w14:val="none"/>
              </w:rPr>
            </w:pPr>
            <w:r w:rsidRPr="007628FB">
              <w:rPr>
                <w:rFonts w:asciiTheme="minorBidi" w:eastAsia="Times New Roman" w:hAnsiTheme="minorBidi"/>
                <w:kern w:val="0"/>
                <w:lang w:eastAsia="zh-CN"/>
                <w14:ligatures w14:val="none"/>
              </w:rPr>
              <w:t>8.2</w:t>
            </w:r>
          </w:p>
        </w:tc>
      </w:tr>
      <w:tr w:rsidR="007628FB" w14:paraId="5C88CC73" w14:textId="77777777" w:rsidTr="007628FB">
        <w:tc>
          <w:tcPr>
            <w:cnfStyle w:val="001000000000" w:firstRow="0" w:lastRow="0" w:firstColumn="1" w:lastColumn="0" w:oddVBand="0" w:evenVBand="0" w:oddHBand="0" w:evenHBand="0" w:firstRowFirstColumn="0" w:firstRowLastColumn="0" w:lastRowFirstColumn="0" w:lastRowLastColumn="0"/>
            <w:tcW w:w="1577" w:type="dxa"/>
          </w:tcPr>
          <w:p w14:paraId="6EC64463" w14:textId="324B2E37" w:rsidR="006E0423" w:rsidRPr="007628FB" w:rsidRDefault="007628FB" w:rsidP="00493524">
            <w:pPr>
              <w:pStyle w:val="ListParagraph"/>
              <w:spacing w:before="100" w:beforeAutospacing="1" w:after="100" w:afterAutospacing="1" w:line="360" w:lineRule="auto"/>
              <w:ind w:left="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Toyota</w:t>
            </w:r>
          </w:p>
        </w:tc>
        <w:tc>
          <w:tcPr>
            <w:tcW w:w="2019" w:type="dxa"/>
          </w:tcPr>
          <w:p w14:paraId="473A8AFE" w14:textId="58A0CECC" w:rsidR="006E0423" w:rsidRPr="007628FB" w:rsidRDefault="007628FB" w:rsidP="00493524">
            <w:pPr>
              <w:pStyle w:val="ListParagraph"/>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kern w:val="0"/>
                <w:lang w:eastAsia="zh-CN"/>
                <w14:ligatures w14:val="none"/>
              </w:rPr>
            </w:pPr>
            <w:r w:rsidRPr="007628FB">
              <w:rPr>
                <w:rFonts w:asciiTheme="minorBidi" w:eastAsia="Times New Roman" w:hAnsiTheme="minorBidi"/>
                <w:kern w:val="0"/>
                <w:lang w:eastAsia="zh-CN"/>
                <w14:ligatures w14:val="none"/>
              </w:rPr>
              <w:t>312</w:t>
            </w:r>
          </w:p>
        </w:tc>
        <w:tc>
          <w:tcPr>
            <w:tcW w:w="1918" w:type="dxa"/>
          </w:tcPr>
          <w:p w14:paraId="2BF30406" w14:textId="5EA7C2B0" w:rsidR="006E0423" w:rsidRPr="007628FB" w:rsidRDefault="007628FB" w:rsidP="007628FB">
            <w:pPr>
              <w:pStyle w:val="ListParagraph"/>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kern w:val="0"/>
                <w:lang w:eastAsia="zh-CN"/>
                <w14:ligatures w14:val="none"/>
              </w:rPr>
            </w:pPr>
            <w:r w:rsidRPr="007628FB">
              <w:rPr>
                <w:rFonts w:asciiTheme="minorBidi" w:eastAsia="Times New Roman" w:hAnsiTheme="minorBidi"/>
                <w:kern w:val="0"/>
                <w:lang w:eastAsia="zh-CN"/>
                <w14:ligatures w14:val="none"/>
              </w:rPr>
              <w:t>10.5%</w:t>
            </w:r>
          </w:p>
        </w:tc>
        <w:tc>
          <w:tcPr>
            <w:tcW w:w="2566" w:type="dxa"/>
          </w:tcPr>
          <w:p w14:paraId="24EE142D" w14:textId="347C70D7" w:rsidR="006E0423" w:rsidRPr="007628FB" w:rsidRDefault="007628FB" w:rsidP="00493524">
            <w:pPr>
              <w:pStyle w:val="ListParagraph"/>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kern w:val="0"/>
                <w:lang w:eastAsia="zh-CN"/>
                <w14:ligatures w14:val="none"/>
              </w:rPr>
            </w:pPr>
            <w:r w:rsidRPr="007628FB">
              <w:rPr>
                <w:rFonts w:asciiTheme="minorBidi" w:eastAsia="Times New Roman" w:hAnsiTheme="minorBidi"/>
                <w:kern w:val="0"/>
                <w:lang w:eastAsia="zh-CN"/>
                <w14:ligatures w14:val="none"/>
              </w:rPr>
              <w:t>10.0</w:t>
            </w:r>
          </w:p>
        </w:tc>
      </w:tr>
    </w:tbl>
    <w:p w14:paraId="7CA57DC4" w14:textId="75C1D7AF" w:rsidR="006E0423" w:rsidRDefault="00C07860" w:rsidP="00C07860">
      <w:pPr>
        <w:pStyle w:val="ListParagraph"/>
        <w:tabs>
          <w:tab w:val="left" w:pos="1260"/>
        </w:tabs>
        <w:spacing w:before="100" w:beforeAutospacing="1" w:after="100" w:afterAutospacing="1" w:line="360" w:lineRule="auto"/>
        <w:rPr>
          <w:rFonts w:asciiTheme="minorBidi" w:eastAsia="Times New Roman" w:hAnsiTheme="minorBidi"/>
          <w:kern w:val="0"/>
          <w:lang w:eastAsia="zh-CN"/>
          <w14:ligatures w14:val="none"/>
        </w:rPr>
      </w:pPr>
      <w:r>
        <w:rPr>
          <w:rFonts w:asciiTheme="minorBidi" w:eastAsia="Times New Roman" w:hAnsiTheme="minorBidi"/>
          <w:b/>
          <w:bCs/>
          <w:kern w:val="0"/>
          <w:lang w:eastAsia="zh-CN"/>
          <w14:ligatures w14:val="none"/>
        </w:rPr>
        <w:t xml:space="preserve">Source: </w:t>
      </w:r>
      <w:r w:rsidRPr="00C07860">
        <w:rPr>
          <w:rFonts w:asciiTheme="minorBidi" w:eastAsia="Times New Roman" w:hAnsiTheme="minorBidi"/>
          <w:kern w:val="0"/>
          <w:lang w:eastAsia="zh-CN"/>
          <w14:ligatures w14:val="none"/>
        </w:rPr>
        <w:t>Statista (2024); Annual Reports (Ford, Toyota)</w:t>
      </w:r>
    </w:p>
    <w:p w14:paraId="278E0473" w14:textId="2F76623B" w:rsidR="00C07860" w:rsidRDefault="00C07860" w:rsidP="00C07860">
      <w:pPr>
        <w:pStyle w:val="ListParagraph"/>
        <w:tabs>
          <w:tab w:val="left" w:pos="1260"/>
        </w:tabs>
        <w:spacing w:before="100" w:beforeAutospacing="1" w:after="100" w:afterAutospacing="1" w:line="360" w:lineRule="auto"/>
        <w:rPr>
          <w:rFonts w:asciiTheme="minorBidi" w:eastAsia="Times New Roman" w:hAnsiTheme="minorBidi"/>
          <w:b/>
          <w:bCs/>
          <w:kern w:val="0"/>
          <w:u w:val="single"/>
          <w:lang w:eastAsia="zh-CN"/>
          <w14:ligatures w14:val="none"/>
        </w:rPr>
      </w:pPr>
      <w:r w:rsidRPr="00C07860">
        <w:rPr>
          <w:rFonts w:asciiTheme="minorBidi" w:eastAsia="Times New Roman" w:hAnsiTheme="minorBidi"/>
          <w:b/>
          <w:bCs/>
          <w:kern w:val="0"/>
          <w:u w:val="single"/>
          <w:lang w:eastAsia="zh-CN"/>
          <w14:ligatures w14:val="none"/>
        </w:rPr>
        <w:t>Analysis</w:t>
      </w:r>
    </w:p>
    <w:p w14:paraId="41724DD1" w14:textId="115181A3" w:rsidR="00F3334E" w:rsidRPr="00F3334E" w:rsidRDefault="00C07860" w:rsidP="00F3334E">
      <w:pPr>
        <w:pStyle w:val="ListParagraph"/>
        <w:tabs>
          <w:tab w:val="left" w:pos="1260"/>
        </w:tabs>
        <w:spacing w:before="100" w:beforeAutospacing="1" w:after="100" w:afterAutospacing="1" w:line="360" w:lineRule="auto"/>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The table illustrates Toyota’s superior global standing in comparison to Ford, evidenced by its markedly greater revenue and market share. Additionally, Toyota’s increased expenditure on research and development signifies its ongoing commitment to innovation and operational efficiency. From a </w:t>
      </w:r>
      <w:r>
        <w:rPr>
          <w:rFonts w:asciiTheme="minorBidi" w:eastAsia="Times New Roman" w:hAnsiTheme="minorBidi"/>
          <w:kern w:val="0"/>
          <w:lang w:eastAsia="zh-CN"/>
          <w14:ligatures w14:val="none"/>
        </w:rPr>
        <w:lastRenderedPageBreak/>
        <w:t>stra</w:t>
      </w:r>
      <w:r w:rsidR="00F3334E">
        <w:rPr>
          <w:rFonts w:asciiTheme="minorBidi" w:eastAsia="Times New Roman" w:hAnsiTheme="minorBidi"/>
          <w:kern w:val="0"/>
          <w:lang w:eastAsia="zh-CN"/>
          <w14:ligatures w14:val="none"/>
        </w:rPr>
        <w:t xml:space="preserve">tegic viewpoint, this reinforces the notion that follower organizations can surpass pioneers by capitalizing on operational excellence and adaptive strategies. Ford’s diminished market share highlights the difficulties it encounters in sustaining competitiveness, despite its history as a pioneer. This underscores the necessity for ongoing innovation rather than depending solely on previous achievements. </w:t>
      </w:r>
    </w:p>
    <w:p w14:paraId="39E26403" w14:textId="4C67DCC2" w:rsidR="00F4799C" w:rsidRPr="00F4799C" w:rsidRDefault="00F4799C" w:rsidP="00F4799C">
      <w:pPr>
        <w:pStyle w:val="Heading1"/>
        <w:spacing w:line="360" w:lineRule="auto"/>
        <w:rPr>
          <w:rFonts w:asciiTheme="minorBidi" w:hAnsiTheme="minorBidi" w:cstheme="minorBidi"/>
          <w:b/>
          <w:bCs/>
          <w:color w:val="auto"/>
          <w:sz w:val="24"/>
          <w:szCs w:val="24"/>
          <w:lang w:eastAsia="zh-CN"/>
        </w:rPr>
      </w:pPr>
      <w:bookmarkStart w:id="12" w:name="_Toc222732285"/>
      <w:r w:rsidRPr="00F4799C">
        <w:rPr>
          <w:rFonts w:asciiTheme="minorBidi" w:hAnsiTheme="minorBidi" w:cstheme="minorBidi"/>
          <w:b/>
          <w:bCs/>
          <w:color w:val="auto"/>
          <w:sz w:val="24"/>
          <w:szCs w:val="24"/>
          <w:lang w:eastAsia="zh-CN"/>
        </w:rPr>
        <w:t xml:space="preserve">4. Conclusion </w:t>
      </w:r>
      <w:bookmarkEnd w:id="12"/>
    </w:p>
    <w:p w14:paraId="784573EA" w14:textId="0033039A" w:rsidR="00F4799C" w:rsidRDefault="00C22A11" w:rsidP="00493524">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This report has conducted a critical analysis of the influence of technological and environmental macro factors on Ford and Toyota, emphasizing the growing significance of strategic adaptability in the global automative sector. The results indicate that external elements, such as swift technological progress and increasing environmental regulations, are not only transforming industry frameworks but also altering the foundations of competitive advantage. </w:t>
      </w:r>
    </w:p>
    <w:p w14:paraId="54DC478E" w14:textId="56B3A984" w:rsidR="00C22A11" w:rsidRDefault="00C22A11" w:rsidP="00493524">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Ford’s historical role as an innovative leader has conferred considerable benefits, especially regarding innovation leadership and brand visibility. However, the analysis indicates that these benefits have been somewhat diminished due to difficulties in effectively addressing technological </w:t>
      </w:r>
      <w:r w:rsidR="00EA39A9">
        <w:rPr>
          <w:rFonts w:asciiTheme="minorBidi" w:eastAsia="Times New Roman" w:hAnsiTheme="minorBidi"/>
          <w:kern w:val="0"/>
          <w:lang w:eastAsia="zh-CN"/>
          <w14:ligatures w14:val="none"/>
        </w:rPr>
        <w:t xml:space="preserve">disruptions. Ford’s slow shift towards electric vehicles and its ongoing dependence on traditional systems illustrate aspects of organizational inertia, which have limited its capacity to fully exploit new opportunities. While its recent strategic efforts suggest a definitive move towards electrification and digital transformation, the success of these strategies ultimately hinges on effective execution and ongoing investment. </w:t>
      </w:r>
    </w:p>
    <w:p w14:paraId="1EF0C6B1" w14:textId="6C15A26F" w:rsidR="00EA39A9" w:rsidRDefault="00EA39A9" w:rsidP="00493524">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Conversely, Toyota, as a follower organization, has showcased the success of incremental innovation and operational excellence in sustaining long-term competitiveness. Its early commitment to hybrid technology and efficient production methodologies has allowed it to establish a robust market presence and brand image.  Nonetheless, the analysis also points out potential drawbacks in Toyota’s cautious strategy, particularly in light of the rapid industry shift towards fully electric vehicles. This indicates that an </w:t>
      </w:r>
      <w:r>
        <w:rPr>
          <w:rFonts w:asciiTheme="minorBidi" w:eastAsia="Times New Roman" w:hAnsiTheme="minorBidi"/>
          <w:kern w:val="0"/>
          <w:lang w:eastAsia="zh-CN"/>
          <w14:ligatures w14:val="none"/>
        </w:rPr>
        <w:lastRenderedPageBreak/>
        <w:t xml:space="preserve">overreliance on risk-averse tactics may impede responsiveness to disruptive changes. </w:t>
      </w:r>
    </w:p>
    <w:p w14:paraId="764293CE" w14:textId="18A3DBCB" w:rsidR="00156964" w:rsidRDefault="00156964" w:rsidP="00493524">
      <w:pPr>
        <w:spacing w:before="100" w:beforeAutospacing="1" w:after="100" w:afterAutospacing="1" w:line="360" w:lineRule="auto"/>
        <w:ind w:left="720"/>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In conclusion, the report highlights that in an industry characterized by rapid transformation, strategic flexibility, ongoing environmental monitoring, and proactive adaptation are crucial for attaining sustainable growth and preserving market relevance. </w:t>
      </w:r>
    </w:p>
    <w:p w14:paraId="1B7CD84A" w14:textId="3F95B1BD" w:rsidR="00F4799C" w:rsidRPr="00F4799C" w:rsidRDefault="00F4799C" w:rsidP="00F4799C">
      <w:pPr>
        <w:pStyle w:val="Heading1"/>
        <w:spacing w:line="360" w:lineRule="auto"/>
        <w:rPr>
          <w:rFonts w:asciiTheme="minorBidi" w:hAnsiTheme="minorBidi" w:cstheme="minorBidi"/>
          <w:b/>
          <w:bCs/>
          <w:color w:val="auto"/>
          <w:sz w:val="24"/>
          <w:szCs w:val="24"/>
          <w:lang w:eastAsia="zh-CN"/>
        </w:rPr>
      </w:pPr>
      <w:bookmarkStart w:id="13" w:name="_Toc222732286"/>
      <w:r w:rsidRPr="00F4799C">
        <w:rPr>
          <w:rFonts w:asciiTheme="minorBidi" w:hAnsiTheme="minorBidi" w:cstheme="minorBidi"/>
          <w:b/>
          <w:bCs/>
          <w:color w:val="auto"/>
          <w:sz w:val="24"/>
          <w:szCs w:val="24"/>
          <w:lang w:eastAsia="zh-CN"/>
        </w:rPr>
        <w:t xml:space="preserve">5. References </w:t>
      </w:r>
      <w:bookmarkEnd w:id="13"/>
    </w:p>
    <w:p w14:paraId="630A9729" w14:textId="345326AB" w:rsidR="00F4799C" w:rsidRDefault="00156964" w:rsidP="00156964">
      <w:pPr>
        <w:pStyle w:val="ListParagraph"/>
        <w:numPr>
          <w:ilvl w:val="0"/>
          <w:numId w:val="51"/>
        </w:numPr>
        <w:spacing w:before="100" w:beforeAutospacing="1" w:after="100" w:afterAutospacing="1" w:line="360" w:lineRule="auto"/>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Grant, R.M. (2022) Contemporary Strategy Analysis. Wiley.</w:t>
      </w:r>
    </w:p>
    <w:p w14:paraId="7D1D00B4" w14:textId="6D8D39ED" w:rsidR="00156964" w:rsidRDefault="00156964" w:rsidP="00156964">
      <w:pPr>
        <w:pStyle w:val="ListParagraph"/>
        <w:numPr>
          <w:ilvl w:val="0"/>
          <w:numId w:val="51"/>
        </w:numPr>
        <w:spacing w:before="100" w:beforeAutospacing="1" w:after="100" w:afterAutospacing="1" w:line="360" w:lineRule="auto"/>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IEA (2023) Global EV Outlook</w:t>
      </w:r>
    </w:p>
    <w:p w14:paraId="0D2D3994" w14:textId="77777777" w:rsidR="00156964" w:rsidRDefault="00156964" w:rsidP="00156964">
      <w:pPr>
        <w:pStyle w:val="ListParagraph"/>
        <w:numPr>
          <w:ilvl w:val="0"/>
          <w:numId w:val="51"/>
        </w:numPr>
        <w:spacing w:before="100" w:beforeAutospacing="1" w:after="100" w:afterAutospacing="1" w:line="360" w:lineRule="auto"/>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Johnson, G. et al. (2017) Exploring Strategy. Pearson.</w:t>
      </w:r>
    </w:p>
    <w:p w14:paraId="4DFCD48B" w14:textId="77777777" w:rsidR="00156964" w:rsidRDefault="00156964" w:rsidP="00156964">
      <w:pPr>
        <w:pStyle w:val="ListParagraph"/>
        <w:numPr>
          <w:ilvl w:val="0"/>
          <w:numId w:val="51"/>
        </w:numPr>
        <w:spacing w:before="100" w:beforeAutospacing="1" w:after="100" w:afterAutospacing="1" w:line="360" w:lineRule="auto"/>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Kotler, P. et al. (2020) Marketing Management. Pearson. </w:t>
      </w:r>
    </w:p>
    <w:p w14:paraId="60D8F2C7" w14:textId="77777777" w:rsidR="00156964" w:rsidRDefault="00156964" w:rsidP="00156964">
      <w:pPr>
        <w:pStyle w:val="ListParagraph"/>
        <w:numPr>
          <w:ilvl w:val="0"/>
          <w:numId w:val="51"/>
        </w:numPr>
        <w:spacing w:before="100" w:beforeAutospacing="1" w:after="100" w:afterAutospacing="1" w:line="360" w:lineRule="auto"/>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Liker, J. (2004) The Toyota Way. McGraw-Hill.</w:t>
      </w:r>
    </w:p>
    <w:p w14:paraId="120B2385" w14:textId="77777777" w:rsidR="00156964" w:rsidRDefault="00156964" w:rsidP="00156964">
      <w:pPr>
        <w:pStyle w:val="ListParagraph"/>
        <w:numPr>
          <w:ilvl w:val="0"/>
          <w:numId w:val="51"/>
        </w:numPr>
        <w:spacing w:before="100" w:beforeAutospacing="1" w:after="100" w:afterAutospacing="1" w:line="360" w:lineRule="auto"/>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Porter, M.E. (1985) Competitive Advantage. Free Press. </w:t>
      </w:r>
    </w:p>
    <w:p w14:paraId="6F29B6BC" w14:textId="161C7A51" w:rsidR="00156964" w:rsidRDefault="00156964" w:rsidP="00156964">
      <w:pPr>
        <w:pStyle w:val="ListParagraph"/>
        <w:numPr>
          <w:ilvl w:val="0"/>
          <w:numId w:val="51"/>
        </w:numPr>
        <w:spacing w:before="100" w:beforeAutospacing="1" w:after="100" w:afterAutospacing="1" w:line="360" w:lineRule="auto"/>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Teece, DJ. (2018) ‘Dynamic Capabilities’, Strategic Management Journal.</w:t>
      </w:r>
    </w:p>
    <w:p w14:paraId="7A2DB469" w14:textId="7817D387" w:rsidR="00156964" w:rsidRPr="00156964" w:rsidRDefault="00156964" w:rsidP="00156964">
      <w:pPr>
        <w:pStyle w:val="ListParagraph"/>
        <w:numPr>
          <w:ilvl w:val="0"/>
          <w:numId w:val="51"/>
        </w:numPr>
        <w:spacing w:before="100" w:beforeAutospacing="1" w:after="100" w:afterAutospacing="1" w:line="360" w:lineRule="auto"/>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t xml:space="preserve">Womack, J. et al. (2007) The Machine That Changed the World.   </w:t>
      </w:r>
    </w:p>
    <w:p w14:paraId="10A2031F" w14:textId="77777777" w:rsidR="00E21E02" w:rsidRDefault="00E21E02" w:rsidP="00E21E02">
      <w:pPr>
        <w:spacing w:before="100" w:beforeAutospacing="1" w:after="100" w:afterAutospacing="1" w:line="360" w:lineRule="auto"/>
        <w:rPr>
          <w:rFonts w:asciiTheme="minorBidi" w:eastAsia="Times New Roman" w:hAnsiTheme="minorBidi"/>
          <w:kern w:val="0"/>
          <w:lang w:eastAsia="zh-CN"/>
          <w14:ligatures w14:val="none"/>
        </w:rPr>
      </w:pPr>
    </w:p>
    <w:p w14:paraId="7D18DBD4" w14:textId="2855F4DC" w:rsidR="00646406" w:rsidRPr="00617CF1" w:rsidRDefault="00646406" w:rsidP="00F4799C">
      <w:pPr>
        <w:pStyle w:val="Heading1"/>
        <w:rPr>
          <w:rFonts w:asciiTheme="minorBidi" w:hAnsiTheme="minorBidi"/>
        </w:rPr>
      </w:pPr>
    </w:p>
    <w:sectPr w:rsidR="00646406" w:rsidRPr="00617CF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28AA7" w14:textId="77777777" w:rsidR="00661F80" w:rsidRDefault="00661F80" w:rsidP="00F4799C">
      <w:r>
        <w:separator/>
      </w:r>
    </w:p>
  </w:endnote>
  <w:endnote w:type="continuationSeparator" w:id="0">
    <w:p w14:paraId="607DA894" w14:textId="77777777" w:rsidR="00661F80" w:rsidRDefault="00661F80" w:rsidP="00F47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3085836"/>
      <w:docPartObj>
        <w:docPartGallery w:val="Page Numbers (Bottom of Page)"/>
        <w:docPartUnique/>
      </w:docPartObj>
    </w:sdtPr>
    <w:sdtContent>
      <w:p w14:paraId="24DA9DDC" w14:textId="1AE6533E" w:rsidR="00F4799C" w:rsidRDefault="00F4799C">
        <w:pPr>
          <w:pStyle w:val="Footer"/>
        </w:pPr>
        <w:r>
          <w:fldChar w:fldCharType="begin"/>
        </w:r>
        <w:r>
          <w:instrText>PAGE   \* MERGEFORMAT</w:instrText>
        </w:r>
        <w:r>
          <w:fldChar w:fldCharType="separate"/>
        </w:r>
        <w:r>
          <w:t>2</w:t>
        </w:r>
        <w:r>
          <w:fldChar w:fldCharType="end"/>
        </w:r>
      </w:p>
    </w:sdtContent>
  </w:sdt>
  <w:p w14:paraId="573B818F" w14:textId="77777777" w:rsidR="00F4799C" w:rsidRDefault="00F47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88936" w14:textId="77777777" w:rsidR="00661F80" w:rsidRDefault="00661F80" w:rsidP="00F4799C">
      <w:r>
        <w:separator/>
      </w:r>
    </w:p>
  </w:footnote>
  <w:footnote w:type="continuationSeparator" w:id="0">
    <w:p w14:paraId="6D6AFCC6" w14:textId="77777777" w:rsidR="00661F80" w:rsidRDefault="00661F80" w:rsidP="00F479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3599A"/>
    <w:multiLevelType w:val="multilevel"/>
    <w:tmpl w:val="539E2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F7127"/>
    <w:multiLevelType w:val="hybridMultilevel"/>
    <w:tmpl w:val="0806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3F3830"/>
    <w:multiLevelType w:val="hybridMultilevel"/>
    <w:tmpl w:val="AB5C80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C552F55"/>
    <w:multiLevelType w:val="multilevel"/>
    <w:tmpl w:val="141C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5A0899"/>
    <w:multiLevelType w:val="hybridMultilevel"/>
    <w:tmpl w:val="263E8E26"/>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15:restartNumberingAfterBreak="0">
    <w:nsid w:val="1FD435D6"/>
    <w:multiLevelType w:val="multilevel"/>
    <w:tmpl w:val="25AA6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F63DDB"/>
    <w:multiLevelType w:val="multilevel"/>
    <w:tmpl w:val="6874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1478A6"/>
    <w:multiLevelType w:val="multilevel"/>
    <w:tmpl w:val="B3B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195692"/>
    <w:multiLevelType w:val="multilevel"/>
    <w:tmpl w:val="DAB4B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E459EF"/>
    <w:multiLevelType w:val="hybridMultilevel"/>
    <w:tmpl w:val="C6AC40F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9" w15:restartNumberingAfterBreak="0">
    <w:nsid w:val="314C7C30"/>
    <w:multiLevelType w:val="hybridMultilevel"/>
    <w:tmpl w:val="F88A6E1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0"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5C480B"/>
    <w:multiLevelType w:val="multilevel"/>
    <w:tmpl w:val="0E9E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0C1B55"/>
    <w:multiLevelType w:val="hybridMultilevel"/>
    <w:tmpl w:val="7C80BE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791B14"/>
    <w:multiLevelType w:val="multilevel"/>
    <w:tmpl w:val="E37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6044CE"/>
    <w:multiLevelType w:val="multilevel"/>
    <w:tmpl w:val="B62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F3563C"/>
    <w:multiLevelType w:val="multilevel"/>
    <w:tmpl w:val="0824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7432BD"/>
    <w:multiLevelType w:val="multilevel"/>
    <w:tmpl w:val="4FB8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BA6136"/>
    <w:multiLevelType w:val="multilevel"/>
    <w:tmpl w:val="3352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5F7C04"/>
    <w:multiLevelType w:val="hybridMultilevel"/>
    <w:tmpl w:val="CF125F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BA1130"/>
    <w:multiLevelType w:val="multilevel"/>
    <w:tmpl w:val="28D4D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0B1F6D"/>
    <w:multiLevelType w:val="hybridMultilevel"/>
    <w:tmpl w:val="7D0E090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15:restartNumberingAfterBreak="0">
    <w:nsid w:val="571872F6"/>
    <w:multiLevelType w:val="hybridMultilevel"/>
    <w:tmpl w:val="42CE2D6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D5351B"/>
    <w:multiLevelType w:val="multilevel"/>
    <w:tmpl w:val="F066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890301"/>
    <w:multiLevelType w:val="hybridMultilevel"/>
    <w:tmpl w:val="D0560F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AF7EB6"/>
    <w:multiLevelType w:val="multilevel"/>
    <w:tmpl w:val="C336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B113446"/>
    <w:multiLevelType w:val="multilevel"/>
    <w:tmpl w:val="4A8AE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D6C0C1E"/>
    <w:multiLevelType w:val="multilevel"/>
    <w:tmpl w:val="0E762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D6E76CD"/>
    <w:multiLevelType w:val="multilevel"/>
    <w:tmpl w:val="CBB6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DDD1493"/>
    <w:multiLevelType w:val="multilevel"/>
    <w:tmpl w:val="E266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8527600">
    <w:abstractNumId w:val="13"/>
  </w:num>
  <w:num w:numId="2" w16cid:durableId="966158073">
    <w:abstractNumId w:val="17"/>
  </w:num>
  <w:num w:numId="3" w16cid:durableId="877475478">
    <w:abstractNumId w:val="41"/>
  </w:num>
  <w:num w:numId="4" w16cid:durableId="1865439684">
    <w:abstractNumId w:val="42"/>
  </w:num>
  <w:num w:numId="5" w16cid:durableId="296037109">
    <w:abstractNumId w:val="48"/>
  </w:num>
  <w:num w:numId="6" w16cid:durableId="1857650049">
    <w:abstractNumId w:val="21"/>
  </w:num>
  <w:num w:numId="7" w16cid:durableId="1295714836">
    <w:abstractNumId w:val="1"/>
  </w:num>
  <w:num w:numId="8" w16cid:durableId="1104423434">
    <w:abstractNumId w:val="27"/>
  </w:num>
  <w:num w:numId="9" w16cid:durableId="785196607">
    <w:abstractNumId w:val="50"/>
  </w:num>
  <w:num w:numId="10" w16cid:durableId="1805731991">
    <w:abstractNumId w:val="49"/>
  </w:num>
  <w:num w:numId="11" w16cid:durableId="508838147">
    <w:abstractNumId w:val="5"/>
  </w:num>
  <w:num w:numId="12" w16cid:durableId="477303180">
    <w:abstractNumId w:val="36"/>
  </w:num>
  <w:num w:numId="13" w16cid:durableId="1043408458">
    <w:abstractNumId w:val="32"/>
  </w:num>
  <w:num w:numId="14" w16cid:durableId="453400969">
    <w:abstractNumId w:val="2"/>
  </w:num>
  <w:num w:numId="15" w16cid:durableId="1524706236">
    <w:abstractNumId w:val="51"/>
  </w:num>
  <w:num w:numId="16" w16cid:durableId="1474368624">
    <w:abstractNumId w:val="24"/>
  </w:num>
  <w:num w:numId="17" w16cid:durableId="1082482068">
    <w:abstractNumId w:val="20"/>
  </w:num>
  <w:num w:numId="18" w16cid:durableId="356203542">
    <w:abstractNumId w:val="39"/>
  </w:num>
  <w:num w:numId="19" w16cid:durableId="207844578">
    <w:abstractNumId w:val="10"/>
  </w:num>
  <w:num w:numId="20" w16cid:durableId="1398867505">
    <w:abstractNumId w:val="40"/>
  </w:num>
  <w:num w:numId="21" w16cid:durableId="780687429">
    <w:abstractNumId w:val="16"/>
  </w:num>
  <w:num w:numId="22" w16cid:durableId="1166899088">
    <w:abstractNumId w:val="15"/>
  </w:num>
  <w:num w:numId="23" w16cid:durableId="455174308">
    <w:abstractNumId w:val="11"/>
  </w:num>
  <w:num w:numId="24" w16cid:durableId="603149070">
    <w:abstractNumId w:val="14"/>
  </w:num>
  <w:num w:numId="25" w16cid:durableId="390542811">
    <w:abstractNumId w:val="3"/>
  </w:num>
  <w:num w:numId="26" w16cid:durableId="562985041">
    <w:abstractNumId w:val="25"/>
  </w:num>
  <w:num w:numId="27" w16cid:durableId="590622514">
    <w:abstractNumId w:val="7"/>
  </w:num>
  <w:num w:numId="28" w16cid:durableId="413863525">
    <w:abstractNumId w:val="26"/>
  </w:num>
  <w:num w:numId="29" w16cid:durableId="643969134">
    <w:abstractNumId w:val="43"/>
  </w:num>
  <w:num w:numId="30" w16cid:durableId="1021586810">
    <w:abstractNumId w:val="22"/>
  </w:num>
  <w:num w:numId="31" w16cid:durableId="1633365764">
    <w:abstractNumId w:val="37"/>
  </w:num>
  <w:num w:numId="32" w16cid:durableId="159463930">
    <w:abstractNumId w:val="46"/>
  </w:num>
  <w:num w:numId="33" w16cid:durableId="485391099">
    <w:abstractNumId w:val="28"/>
  </w:num>
  <w:num w:numId="34" w16cid:durableId="780539743">
    <w:abstractNumId w:val="33"/>
  </w:num>
  <w:num w:numId="35" w16cid:durableId="425730874">
    <w:abstractNumId w:val="30"/>
  </w:num>
  <w:num w:numId="36" w16cid:durableId="357195548">
    <w:abstractNumId w:val="12"/>
  </w:num>
  <w:num w:numId="37" w16cid:durableId="1140222020">
    <w:abstractNumId w:val="47"/>
  </w:num>
  <w:num w:numId="38" w16cid:durableId="1341738302">
    <w:abstractNumId w:val="29"/>
  </w:num>
  <w:num w:numId="39" w16cid:durableId="960771239">
    <w:abstractNumId w:val="0"/>
  </w:num>
  <w:num w:numId="40" w16cid:durableId="1341397419">
    <w:abstractNumId w:val="9"/>
  </w:num>
  <w:num w:numId="41" w16cid:durableId="1455295184">
    <w:abstractNumId w:val="44"/>
  </w:num>
  <w:num w:numId="42" w16cid:durableId="535849291">
    <w:abstractNumId w:val="45"/>
  </w:num>
  <w:num w:numId="43" w16cid:durableId="1651901666">
    <w:abstractNumId w:val="4"/>
  </w:num>
  <w:num w:numId="44" w16cid:durableId="433939262">
    <w:abstractNumId w:val="6"/>
  </w:num>
  <w:num w:numId="45" w16cid:durableId="1719432547">
    <w:abstractNumId w:val="23"/>
  </w:num>
  <w:num w:numId="46" w16cid:durableId="1685327374">
    <w:abstractNumId w:val="34"/>
  </w:num>
  <w:num w:numId="47" w16cid:durableId="1382171513">
    <w:abstractNumId w:val="19"/>
  </w:num>
  <w:num w:numId="48" w16cid:durableId="820849781">
    <w:abstractNumId w:val="18"/>
  </w:num>
  <w:num w:numId="49" w16cid:durableId="160826016">
    <w:abstractNumId w:val="35"/>
  </w:num>
  <w:num w:numId="50" w16cid:durableId="1110667096">
    <w:abstractNumId w:val="31"/>
  </w:num>
  <w:num w:numId="51" w16cid:durableId="2013296878">
    <w:abstractNumId w:val="8"/>
  </w:num>
  <w:num w:numId="52" w16cid:durableId="182381035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B3C98"/>
    <w:rsid w:val="000E44FF"/>
    <w:rsid w:val="000E7237"/>
    <w:rsid w:val="001003E8"/>
    <w:rsid w:val="001150D5"/>
    <w:rsid w:val="00136289"/>
    <w:rsid w:val="00156964"/>
    <w:rsid w:val="001B766E"/>
    <w:rsid w:val="001E2226"/>
    <w:rsid w:val="00202E40"/>
    <w:rsid w:val="00212D0A"/>
    <w:rsid w:val="002412F6"/>
    <w:rsid w:val="002A411D"/>
    <w:rsid w:val="002B0847"/>
    <w:rsid w:val="002D68FB"/>
    <w:rsid w:val="00304253"/>
    <w:rsid w:val="00325A3E"/>
    <w:rsid w:val="00337E3F"/>
    <w:rsid w:val="00362B8F"/>
    <w:rsid w:val="00392110"/>
    <w:rsid w:val="003A463E"/>
    <w:rsid w:val="00493524"/>
    <w:rsid w:val="004F0990"/>
    <w:rsid w:val="004F2663"/>
    <w:rsid w:val="00530255"/>
    <w:rsid w:val="00535415"/>
    <w:rsid w:val="005A28AE"/>
    <w:rsid w:val="005A570C"/>
    <w:rsid w:val="005F12FD"/>
    <w:rsid w:val="006155B2"/>
    <w:rsid w:val="00617CF1"/>
    <w:rsid w:val="0064205D"/>
    <w:rsid w:val="00646406"/>
    <w:rsid w:val="0065389B"/>
    <w:rsid w:val="0066144E"/>
    <w:rsid w:val="00661F80"/>
    <w:rsid w:val="00667EB1"/>
    <w:rsid w:val="00675F02"/>
    <w:rsid w:val="006A7510"/>
    <w:rsid w:val="006E0423"/>
    <w:rsid w:val="006E6E0D"/>
    <w:rsid w:val="00701C30"/>
    <w:rsid w:val="0073681E"/>
    <w:rsid w:val="007628FB"/>
    <w:rsid w:val="0078259E"/>
    <w:rsid w:val="007E5837"/>
    <w:rsid w:val="00805372"/>
    <w:rsid w:val="00822E1C"/>
    <w:rsid w:val="00881AE8"/>
    <w:rsid w:val="008A6174"/>
    <w:rsid w:val="009D20C9"/>
    <w:rsid w:val="009E58AF"/>
    <w:rsid w:val="00A12271"/>
    <w:rsid w:val="00A5491A"/>
    <w:rsid w:val="00A641C4"/>
    <w:rsid w:val="00A74380"/>
    <w:rsid w:val="00AD340D"/>
    <w:rsid w:val="00B57584"/>
    <w:rsid w:val="00C07860"/>
    <w:rsid w:val="00C13BE6"/>
    <w:rsid w:val="00C22A11"/>
    <w:rsid w:val="00C2720A"/>
    <w:rsid w:val="00C57D61"/>
    <w:rsid w:val="00C9386C"/>
    <w:rsid w:val="00CB01F0"/>
    <w:rsid w:val="00CE0138"/>
    <w:rsid w:val="00D061AE"/>
    <w:rsid w:val="00D343F1"/>
    <w:rsid w:val="00D70F2F"/>
    <w:rsid w:val="00D9471E"/>
    <w:rsid w:val="00DE5D5B"/>
    <w:rsid w:val="00E05385"/>
    <w:rsid w:val="00E21E02"/>
    <w:rsid w:val="00EA39A9"/>
    <w:rsid w:val="00EA6BE8"/>
    <w:rsid w:val="00EC2748"/>
    <w:rsid w:val="00EC2751"/>
    <w:rsid w:val="00EC6978"/>
    <w:rsid w:val="00F00B88"/>
    <w:rsid w:val="00F054E1"/>
    <w:rsid w:val="00F3334E"/>
    <w:rsid w:val="00F4799C"/>
    <w:rsid w:val="00F754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chartTrackingRefBased/>
  <w15:docId w15:val="{5F60F18C-9D9D-484D-BE1C-FE0AD86A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B01F0"/>
    <w:pPr>
      <w:spacing w:before="120" w:after="120"/>
    </w:pPr>
    <w:rPr>
      <w:b/>
      <w:bCs/>
      <w:caps/>
      <w:sz w:val="20"/>
      <w:szCs w:val="20"/>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ind w:left="240"/>
    </w:pPr>
    <w:rPr>
      <w:smallCaps/>
      <w:sz w:val="20"/>
      <w:szCs w:val="20"/>
    </w:rPr>
  </w:style>
  <w:style w:type="paragraph" w:styleId="TOC3">
    <w:name w:val="toc 3"/>
    <w:basedOn w:val="Normal"/>
    <w:next w:val="Normal"/>
    <w:autoRedefine/>
    <w:uiPriority w:val="39"/>
    <w:unhideWhenUsed/>
    <w:rsid w:val="00CB01F0"/>
    <w:pPr>
      <w:ind w:left="480"/>
    </w:pPr>
    <w:rPr>
      <w:i/>
      <w:iCs/>
      <w:sz w:val="20"/>
      <w:szCs w:val="20"/>
    </w:rPr>
  </w:style>
  <w:style w:type="paragraph" w:styleId="TOC4">
    <w:name w:val="toc 4"/>
    <w:basedOn w:val="Normal"/>
    <w:next w:val="Normal"/>
    <w:autoRedefine/>
    <w:uiPriority w:val="39"/>
    <w:semiHidden/>
    <w:unhideWhenUsed/>
    <w:rsid w:val="00CB01F0"/>
    <w:pPr>
      <w:ind w:left="720"/>
    </w:pPr>
    <w:rPr>
      <w:sz w:val="18"/>
      <w:szCs w:val="18"/>
    </w:rPr>
  </w:style>
  <w:style w:type="paragraph" w:styleId="TOC5">
    <w:name w:val="toc 5"/>
    <w:basedOn w:val="Normal"/>
    <w:next w:val="Normal"/>
    <w:autoRedefine/>
    <w:uiPriority w:val="39"/>
    <w:semiHidden/>
    <w:unhideWhenUsed/>
    <w:rsid w:val="00CB01F0"/>
    <w:pPr>
      <w:ind w:left="960"/>
    </w:pPr>
    <w:rPr>
      <w:sz w:val="18"/>
      <w:szCs w:val="18"/>
    </w:rPr>
  </w:style>
  <w:style w:type="paragraph" w:styleId="TOC6">
    <w:name w:val="toc 6"/>
    <w:basedOn w:val="Normal"/>
    <w:next w:val="Normal"/>
    <w:autoRedefine/>
    <w:uiPriority w:val="39"/>
    <w:semiHidden/>
    <w:unhideWhenUsed/>
    <w:rsid w:val="00CB01F0"/>
    <w:pPr>
      <w:ind w:left="1200"/>
    </w:pPr>
    <w:rPr>
      <w:sz w:val="18"/>
      <w:szCs w:val="18"/>
    </w:rPr>
  </w:style>
  <w:style w:type="paragraph" w:styleId="TOC7">
    <w:name w:val="toc 7"/>
    <w:basedOn w:val="Normal"/>
    <w:next w:val="Normal"/>
    <w:autoRedefine/>
    <w:uiPriority w:val="39"/>
    <w:semiHidden/>
    <w:unhideWhenUsed/>
    <w:rsid w:val="00CB01F0"/>
    <w:pPr>
      <w:ind w:left="1440"/>
    </w:pPr>
    <w:rPr>
      <w:sz w:val="18"/>
      <w:szCs w:val="18"/>
    </w:rPr>
  </w:style>
  <w:style w:type="paragraph" w:styleId="TOC8">
    <w:name w:val="toc 8"/>
    <w:basedOn w:val="Normal"/>
    <w:next w:val="Normal"/>
    <w:autoRedefine/>
    <w:uiPriority w:val="39"/>
    <w:semiHidden/>
    <w:unhideWhenUsed/>
    <w:rsid w:val="00CB01F0"/>
    <w:pPr>
      <w:ind w:left="1680"/>
    </w:pPr>
    <w:rPr>
      <w:sz w:val="18"/>
      <w:szCs w:val="18"/>
    </w:rPr>
  </w:style>
  <w:style w:type="paragraph" w:styleId="TOC9">
    <w:name w:val="toc 9"/>
    <w:basedOn w:val="Normal"/>
    <w:next w:val="Normal"/>
    <w:autoRedefine/>
    <w:uiPriority w:val="39"/>
    <w:semiHidden/>
    <w:unhideWhenUsed/>
    <w:rsid w:val="00CB01F0"/>
    <w:pPr>
      <w:ind w:left="1920"/>
    </w:pPr>
    <w:rPr>
      <w:sz w:val="18"/>
      <w:szCs w:val="18"/>
    </w:rPr>
  </w:style>
  <w:style w:type="paragraph" w:styleId="Header">
    <w:name w:val="header"/>
    <w:basedOn w:val="Normal"/>
    <w:link w:val="HeaderChar"/>
    <w:uiPriority w:val="99"/>
    <w:unhideWhenUsed/>
    <w:rsid w:val="00F4799C"/>
    <w:pPr>
      <w:tabs>
        <w:tab w:val="center" w:pos="4513"/>
        <w:tab w:val="right" w:pos="9026"/>
      </w:tabs>
    </w:pPr>
  </w:style>
  <w:style w:type="character" w:customStyle="1" w:styleId="HeaderChar">
    <w:name w:val="Header Char"/>
    <w:basedOn w:val="DefaultParagraphFont"/>
    <w:link w:val="Header"/>
    <w:uiPriority w:val="99"/>
    <w:rsid w:val="00F4799C"/>
  </w:style>
  <w:style w:type="paragraph" w:styleId="Footer">
    <w:name w:val="footer"/>
    <w:basedOn w:val="Normal"/>
    <w:link w:val="FooterChar"/>
    <w:uiPriority w:val="99"/>
    <w:unhideWhenUsed/>
    <w:rsid w:val="00F4799C"/>
    <w:pPr>
      <w:tabs>
        <w:tab w:val="center" w:pos="4513"/>
        <w:tab w:val="right" w:pos="9026"/>
      </w:tabs>
    </w:pPr>
  </w:style>
  <w:style w:type="character" w:customStyle="1" w:styleId="FooterChar">
    <w:name w:val="Footer Char"/>
    <w:basedOn w:val="DefaultParagraphFont"/>
    <w:link w:val="Footer"/>
    <w:uiPriority w:val="99"/>
    <w:rsid w:val="00F4799C"/>
  </w:style>
  <w:style w:type="table" w:styleId="TableGrid">
    <w:name w:val="Table Grid"/>
    <w:basedOn w:val="TableNormal"/>
    <w:uiPriority w:val="39"/>
    <w:rsid w:val="006614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4F099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673951250">
      <w:bodyDiv w:val="1"/>
      <w:marLeft w:val="0"/>
      <w:marRight w:val="0"/>
      <w:marTop w:val="0"/>
      <w:marBottom w:val="0"/>
      <w:divBdr>
        <w:top w:val="none" w:sz="0" w:space="0" w:color="auto"/>
        <w:left w:val="none" w:sz="0" w:space="0" w:color="auto"/>
        <w:bottom w:val="none" w:sz="0" w:space="0" w:color="auto"/>
        <w:right w:val="none" w:sz="0" w:space="0" w:color="auto"/>
      </w:divBdr>
    </w:div>
    <w:div w:id="177204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1773D-DE65-744A-A759-0F69C2153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1538</TotalTime>
  <Pages>14</Pages>
  <Words>3227</Words>
  <Characters>18399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Nikki Lotiwan (2518745)</cp:lastModifiedBy>
  <cp:revision>232</cp:revision>
  <dcterms:created xsi:type="dcterms:W3CDTF">2026-02-23T09:48:00Z</dcterms:created>
  <dcterms:modified xsi:type="dcterms:W3CDTF">2026-03-27T13:24:00Z</dcterms:modified>
</cp:coreProperties>
</file>