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127B9C" w14:textId="449DD5B9" w:rsidR="008516EF" w:rsidRPr="000F347F" w:rsidRDefault="00BC5DD5">
      <w:pPr>
        <w:rPr>
          <w:rFonts w:ascii="Arial" w:hAnsi="Arial" w:cs="Arial"/>
          <w:b/>
          <w:u w:val="single"/>
        </w:rPr>
      </w:pPr>
      <w:r w:rsidRPr="000F347F">
        <w:rPr>
          <w:rFonts w:ascii="Arial" w:hAnsi="Arial" w:cs="Arial"/>
          <w:b/>
          <w:u w:val="single"/>
        </w:rPr>
        <w:t>Dissertation Proposal</w:t>
      </w:r>
    </w:p>
    <w:p w14:paraId="004A7CAE" w14:textId="77777777" w:rsidR="00BC5DD5" w:rsidRPr="000F347F" w:rsidRDefault="00BC5DD5">
      <w:pPr>
        <w:rPr>
          <w:rFonts w:ascii="Arial" w:hAnsi="Arial" w:cs="Arial"/>
          <w:b/>
          <w:u w:val="single"/>
        </w:rPr>
      </w:pPr>
    </w:p>
    <w:p w14:paraId="41416D0E" w14:textId="0A616DCA" w:rsidR="001247DA" w:rsidRPr="00B72D20" w:rsidRDefault="001247DA" w:rsidP="000C6668">
      <w:pPr>
        <w:spacing w:line="480" w:lineRule="auto"/>
        <w:jc w:val="both"/>
        <w:rPr>
          <w:rFonts w:ascii="Arial" w:hAnsi="Arial" w:cs="Arial"/>
          <w:b/>
        </w:rPr>
      </w:pPr>
      <w:r w:rsidRPr="00B72D20">
        <w:rPr>
          <w:rFonts w:ascii="Arial" w:hAnsi="Arial" w:cs="Arial"/>
          <w:b/>
        </w:rPr>
        <w:t>Proposed Title:</w:t>
      </w:r>
    </w:p>
    <w:p w14:paraId="56BD97ED" w14:textId="241813AC" w:rsidR="005D267C" w:rsidRPr="000F347F" w:rsidRDefault="004F1CF3" w:rsidP="000C6668">
      <w:pPr>
        <w:spacing w:line="480" w:lineRule="auto"/>
        <w:jc w:val="both"/>
        <w:rPr>
          <w:rFonts w:ascii="Arial" w:hAnsi="Arial" w:cs="Arial"/>
        </w:rPr>
      </w:pPr>
      <w:r>
        <w:rPr>
          <w:rFonts w:ascii="Arial" w:hAnsi="Arial" w:cs="Arial"/>
        </w:rPr>
        <w:t>Addiction and Free Will: A comparison between the accounts of Kane and Frankfurt</w:t>
      </w:r>
    </w:p>
    <w:p w14:paraId="5B1C53DA" w14:textId="77777777" w:rsidR="00B72D20" w:rsidRDefault="00B72D20" w:rsidP="000C6668">
      <w:pPr>
        <w:spacing w:line="480" w:lineRule="auto"/>
        <w:jc w:val="both"/>
        <w:rPr>
          <w:rFonts w:ascii="Arial" w:hAnsi="Arial" w:cs="Arial"/>
        </w:rPr>
      </w:pPr>
    </w:p>
    <w:p w14:paraId="68C9AF67" w14:textId="77777777" w:rsidR="00B72D20" w:rsidRDefault="00B72D20" w:rsidP="000C6668">
      <w:pPr>
        <w:spacing w:line="480" w:lineRule="auto"/>
        <w:jc w:val="both"/>
        <w:rPr>
          <w:rFonts w:ascii="Arial" w:hAnsi="Arial" w:cs="Arial"/>
        </w:rPr>
      </w:pPr>
    </w:p>
    <w:p w14:paraId="035F206A" w14:textId="7108ECFA" w:rsidR="001247DA" w:rsidRPr="00B72D20" w:rsidRDefault="001247DA" w:rsidP="000C6668">
      <w:pPr>
        <w:spacing w:line="480" w:lineRule="auto"/>
        <w:jc w:val="both"/>
        <w:rPr>
          <w:rFonts w:ascii="Arial" w:hAnsi="Arial" w:cs="Arial"/>
          <w:b/>
        </w:rPr>
      </w:pPr>
      <w:r w:rsidRPr="00B72D20">
        <w:rPr>
          <w:rFonts w:ascii="Arial" w:hAnsi="Arial" w:cs="Arial"/>
          <w:b/>
        </w:rPr>
        <w:t>Abstract:</w:t>
      </w:r>
    </w:p>
    <w:p w14:paraId="519C9CE4" w14:textId="01FB4CE6" w:rsidR="008D1CFC" w:rsidRPr="000F347F" w:rsidRDefault="00400034" w:rsidP="000C6668">
      <w:pPr>
        <w:spacing w:line="480" w:lineRule="auto"/>
        <w:jc w:val="both"/>
        <w:rPr>
          <w:rFonts w:ascii="Arial" w:hAnsi="Arial" w:cs="Arial"/>
        </w:rPr>
      </w:pPr>
      <w:r w:rsidRPr="000F347F">
        <w:rPr>
          <w:rFonts w:ascii="Arial" w:hAnsi="Arial" w:cs="Arial"/>
        </w:rPr>
        <w:t xml:space="preserve">The nature of addiction for the addict brings them into an intimate contact with the will. Addicts often talk of how their desires to stop the behaviour that they are addicted to </w:t>
      </w:r>
      <w:r w:rsidR="00B4362F" w:rsidRPr="000F347F">
        <w:rPr>
          <w:rFonts w:ascii="Arial" w:hAnsi="Arial" w:cs="Arial"/>
        </w:rPr>
        <w:t>are futile, they could be said to act against their will. This dissertation will inspect through the l</w:t>
      </w:r>
      <w:r w:rsidR="009E3011" w:rsidRPr="000F347F">
        <w:rPr>
          <w:rFonts w:ascii="Arial" w:hAnsi="Arial" w:cs="Arial"/>
        </w:rPr>
        <w:t>ens of the addict two popular</w:t>
      </w:r>
      <w:r w:rsidR="00B4362F" w:rsidRPr="000F347F">
        <w:rPr>
          <w:rFonts w:ascii="Arial" w:hAnsi="Arial" w:cs="Arial"/>
        </w:rPr>
        <w:t xml:space="preserve"> positions held in philosophy surrounding free wil</w:t>
      </w:r>
      <w:r w:rsidR="006E6F64" w:rsidRPr="000F347F">
        <w:rPr>
          <w:rFonts w:ascii="Arial" w:hAnsi="Arial" w:cs="Arial"/>
        </w:rPr>
        <w:t>l and the thesis of determinism, namely, those offered by Harry G. Frankfurt and Robert Kane.</w:t>
      </w:r>
      <w:r w:rsidR="00B4362F" w:rsidRPr="000F347F">
        <w:rPr>
          <w:rFonts w:ascii="Arial" w:hAnsi="Arial" w:cs="Arial"/>
        </w:rPr>
        <w:t xml:space="preserve"> I will apply each of the positions strongest arguments through the trail of explaining addiction, looking how each deal with tackling compulsive behaviour that often an addict says they cannot help. The next step will be to see how the various positions modelled onto the case of the addict stand to the replies given to them, and if any of the positions layered on to the example of addiction offer suitable replies to their various difficulties. </w:t>
      </w:r>
    </w:p>
    <w:p w14:paraId="06E3E0AD" w14:textId="77777777" w:rsidR="000008BB" w:rsidRPr="000F347F" w:rsidRDefault="000008BB" w:rsidP="000C6668">
      <w:pPr>
        <w:spacing w:line="480" w:lineRule="auto"/>
        <w:jc w:val="both"/>
        <w:rPr>
          <w:rFonts w:ascii="Arial" w:hAnsi="Arial" w:cs="Arial"/>
        </w:rPr>
      </w:pPr>
    </w:p>
    <w:p w14:paraId="736B28CB" w14:textId="77777777" w:rsidR="001247DA" w:rsidRPr="000F347F" w:rsidRDefault="001247DA" w:rsidP="000C6668">
      <w:pPr>
        <w:spacing w:line="480" w:lineRule="auto"/>
        <w:jc w:val="both"/>
        <w:rPr>
          <w:rFonts w:ascii="Arial" w:hAnsi="Arial" w:cs="Arial"/>
        </w:rPr>
      </w:pPr>
    </w:p>
    <w:p w14:paraId="5A1C5DDF" w14:textId="6C578C28" w:rsidR="001247DA" w:rsidRPr="00B72D20" w:rsidRDefault="001247DA" w:rsidP="000C6668">
      <w:pPr>
        <w:spacing w:line="480" w:lineRule="auto"/>
        <w:jc w:val="both"/>
        <w:rPr>
          <w:rFonts w:ascii="Arial" w:hAnsi="Arial" w:cs="Arial"/>
          <w:b/>
        </w:rPr>
      </w:pPr>
      <w:r w:rsidRPr="00B72D20">
        <w:rPr>
          <w:rFonts w:ascii="Arial" w:hAnsi="Arial" w:cs="Arial"/>
          <w:b/>
        </w:rPr>
        <w:t>Context:</w:t>
      </w:r>
    </w:p>
    <w:p w14:paraId="0A43699E" w14:textId="6491B495" w:rsidR="00277AC2" w:rsidRPr="000F347F" w:rsidRDefault="00B4362F" w:rsidP="000C6668">
      <w:pPr>
        <w:spacing w:line="480" w:lineRule="auto"/>
        <w:jc w:val="both"/>
        <w:rPr>
          <w:rFonts w:ascii="Arial" w:hAnsi="Arial" w:cs="Arial"/>
        </w:rPr>
      </w:pPr>
      <w:r w:rsidRPr="000F347F">
        <w:rPr>
          <w:rFonts w:ascii="Arial" w:hAnsi="Arial" w:cs="Arial"/>
        </w:rPr>
        <w:t xml:space="preserve">The problem of causal determinism and free will is truly ancient. </w:t>
      </w:r>
      <w:r w:rsidR="00827269" w:rsidRPr="000F347F">
        <w:rPr>
          <w:rFonts w:ascii="Arial" w:hAnsi="Arial" w:cs="Arial"/>
        </w:rPr>
        <w:t xml:space="preserve">Stemming from Anaximander </w:t>
      </w:r>
      <w:r w:rsidR="00864666" w:rsidRPr="000F347F">
        <w:rPr>
          <w:rFonts w:ascii="Arial" w:hAnsi="Arial" w:cs="Arial"/>
        </w:rPr>
        <w:t xml:space="preserve">and his minting of what he called </w:t>
      </w:r>
      <w:proofErr w:type="spellStart"/>
      <w:r w:rsidR="008B6D1A" w:rsidRPr="000F347F">
        <w:rPr>
          <w:rFonts w:ascii="Arial" w:hAnsi="Arial" w:cs="Arial"/>
          <w:i/>
        </w:rPr>
        <w:t>physis</w:t>
      </w:r>
      <w:proofErr w:type="spellEnd"/>
      <w:r w:rsidR="008B6D1A" w:rsidRPr="000F347F">
        <w:rPr>
          <w:rFonts w:ascii="Arial" w:hAnsi="Arial" w:cs="Arial"/>
        </w:rPr>
        <w:t xml:space="preserve">, through Aristotle </w:t>
      </w:r>
      <w:r w:rsidR="00CF13F6" w:rsidRPr="000F347F">
        <w:rPr>
          <w:rFonts w:ascii="Arial" w:hAnsi="Arial" w:cs="Arial"/>
        </w:rPr>
        <w:t xml:space="preserve">and his chain of reasoning linking causes to a first cause, and an accidental chance indeterminism. </w:t>
      </w:r>
      <w:r w:rsidR="00345643" w:rsidRPr="000F347F">
        <w:rPr>
          <w:rFonts w:ascii="Arial" w:hAnsi="Arial" w:cs="Arial"/>
        </w:rPr>
        <w:t xml:space="preserve">The debate stretches from these ancient origins through the medieval period, such as </w:t>
      </w:r>
      <w:r w:rsidR="0082497B" w:rsidRPr="000F347F">
        <w:rPr>
          <w:rFonts w:ascii="Arial" w:hAnsi="Arial" w:cs="Arial"/>
        </w:rPr>
        <w:t xml:space="preserve">the various debates about human freedom and divine knowledge of </w:t>
      </w:r>
      <w:r w:rsidR="006032D0" w:rsidRPr="000F347F">
        <w:rPr>
          <w:rFonts w:ascii="Arial" w:hAnsi="Arial" w:cs="Arial"/>
        </w:rPr>
        <w:t xml:space="preserve">God, including </w:t>
      </w:r>
      <w:r w:rsidR="0082497B" w:rsidRPr="000F347F">
        <w:rPr>
          <w:rFonts w:ascii="Arial" w:hAnsi="Arial" w:cs="Arial"/>
        </w:rPr>
        <w:lastRenderedPageBreak/>
        <w:t xml:space="preserve">those discussed by Augustine and Aquinas, and on through the </w:t>
      </w:r>
      <w:r w:rsidR="001759A9" w:rsidRPr="000F347F">
        <w:rPr>
          <w:rFonts w:ascii="Arial" w:hAnsi="Arial" w:cs="Arial"/>
        </w:rPr>
        <w:t>R</w:t>
      </w:r>
      <w:r w:rsidR="0082497B" w:rsidRPr="000F347F">
        <w:rPr>
          <w:rFonts w:ascii="Arial" w:hAnsi="Arial" w:cs="Arial"/>
        </w:rPr>
        <w:t xml:space="preserve">enaissance into the beginning of modern European philosophy; a subject touched by a large number of philosophers from Descartes to Kant. </w:t>
      </w:r>
      <w:r w:rsidR="0086039B" w:rsidRPr="000F347F">
        <w:rPr>
          <w:rFonts w:ascii="Arial" w:hAnsi="Arial" w:cs="Arial"/>
        </w:rPr>
        <w:t xml:space="preserve">The contemporary debate is far from being settled. </w:t>
      </w:r>
    </w:p>
    <w:p w14:paraId="63B4C5A6" w14:textId="76CC1EDA" w:rsidR="001247DA" w:rsidRPr="000F347F" w:rsidRDefault="008D1CFC" w:rsidP="000C6668">
      <w:pPr>
        <w:spacing w:line="480" w:lineRule="auto"/>
        <w:ind w:firstLine="720"/>
        <w:jc w:val="both"/>
        <w:rPr>
          <w:rFonts w:ascii="Arial" w:hAnsi="Arial" w:cs="Arial"/>
        </w:rPr>
      </w:pPr>
      <w:r w:rsidRPr="000F347F">
        <w:rPr>
          <w:rFonts w:ascii="Arial" w:hAnsi="Arial" w:cs="Arial"/>
        </w:rPr>
        <w:t>Our requirements for holding an agent morally responsible for their actions are not entirely clear; they are, in fact, hotly debated. Some people may argue that to be morally responsible, we must be free to choose, we must be able to pick between options available to us.</w:t>
      </w:r>
      <w:r w:rsidR="00277AC2" w:rsidRPr="000F347F">
        <w:rPr>
          <w:rFonts w:ascii="Arial" w:hAnsi="Arial" w:cs="Arial"/>
        </w:rPr>
        <w:t xml:space="preserve"> This freedom comes from the world not being fully causally determined.</w:t>
      </w:r>
      <w:r w:rsidR="00400034" w:rsidRPr="000F347F">
        <w:rPr>
          <w:rFonts w:ascii="Arial" w:hAnsi="Arial" w:cs="Arial"/>
        </w:rPr>
        <w:t xml:space="preserve"> In a determined</w:t>
      </w:r>
      <w:r w:rsidRPr="000F347F">
        <w:rPr>
          <w:rFonts w:ascii="Arial" w:hAnsi="Arial" w:cs="Arial"/>
        </w:rPr>
        <w:t xml:space="preserve"> world, where only one future is possible due to the purposed causal nature of reality, this sort of choice </w:t>
      </w:r>
      <w:r w:rsidRPr="000F347F">
        <w:rPr>
          <w:rFonts w:ascii="Arial" w:hAnsi="Arial" w:cs="Arial"/>
          <w:i/>
        </w:rPr>
        <w:t>prima facie</w:t>
      </w:r>
      <w:r w:rsidRPr="000F347F">
        <w:rPr>
          <w:rFonts w:ascii="Arial" w:hAnsi="Arial" w:cs="Arial"/>
        </w:rPr>
        <w:t xml:space="preserve"> seems impossible. A thesis of </w:t>
      </w:r>
      <w:r w:rsidRPr="000F347F">
        <w:rPr>
          <w:rFonts w:ascii="Arial" w:hAnsi="Arial" w:cs="Arial"/>
          <w:i/>
        </w:rPr>
        <w:t>hard determinism</w:t>
      </w:r>
      <w:r w:rsidRPr="000F347F">
        <w:rPr>
          <w:rFonts w:ascii="Arial" w:hAnsi="Arial" w:cs="Arial"/>
        </w:rPr>
        <w:t xml:space="preserve"> would ex</w:t>
      </w:r>
      <w:r w:rsidR="00980B7B" w:rsidRPr="000F347F">
        <w:rPr>
          <w:rFonts w:ascii="Arial" w:hAnsi="Arial" w:cs="Arial"/>
        </w:rPr>
        <w:t>empt us from consuming moral de</w:t>
      </w:r>
      <w:r w:rsidRPr="000F347F">
        <w:rPr>
          <w:rFonts w:ascii="Arial" w:hAnsi="Arial" w:cs="Arial"/>
        </w:rPr>
        <w:t>sert. If the future can only be w</w:t>
      </w:r>
      <w:r w:rsidR="00400034" w:rsidRPr="000F347F">
        <w:rPr>
          <w:rFonts w:ascii="Arial" w:hAnsi="Arial" w:cs="Arial"/>
        </w:rPr>
        <w:t>hat it will be, the causal path of the world will unfold without hindrances. Because of the</w:t>
      </w:r>
      <w:r w:rsidRPr="000F347F">
        <w:rPr>
          <w:rFonts w:ascii="Arial" w:hAnsi="Arial" w:cs="Arial"/>
        </w:rPr>
        <w:t xml:space="preserve"> nature</w:t>
      </w:r>
      <w:r w:rsidR="00400034" w:rsidRPr="000F347F">
        <w:rPr>
          <w:rFonts w:ascii="Arial" w:hAnsi="Arial" w:cs="Arial"/>
        </w:rPr>
        <w:t xml:space="preserve"> of determinism, some people would argue that</w:t>
      </w:r>
      <w:r w:rsidRPr="000F347F">
        <w:rPr>
          <w:rFonts w:ascii="Arial" w:hAnsi="Arial" w:cs="Arial"/>
        </w:rPr>
        <w:t xml:space="preserve"> the very notion of praise and blame would seem to make no sense. Others would argue to the contrary, that even though the world is deterministic, we can still attribute praise and blame. This </w:t>
      </w:r>
      <w:r w:rsidRPr="000F347F">
        <w:rPr>
          <w:rFonts w:ascii="Arial" w:hAnsi="Arial" w:cs="Arial"/>
          <w:i/>
        </w:rPr>
        <w:t xml:space="preserve">compatibilist </w:t>
      </w:r>
      <w:r w:rsidRPr="000F347F">
        <w:rPr>
          <w:rFonts w:ascii="Arial" w:hAnsi="Arial" w:cs="Arial"/>
        </w:rPr>
        <w:t xml:space="preserve">view </w:t>
      </w:r>
      <w:r w:rsidR="00277AC2" w:rsidRPr="000F347F">
        <w:rPr>
          <w:rFonts w:ascii="Arial" w:hAnsi="Arial" w:cs="Arial"/>
        </w:rPr>
        <w:t xml:space="preserve">changes our notion of freedom. The world may indeed be causally determined, but freedom does not lie outside this deterministic conception of the world. Freedom comes from our internally determined choices being free from outer coercion. </w:t>
      </w:r>
    </w:p>
    <w:p w14:paraId="0856F135" w14:textId="4B2D8E7C" w:rsidR="00277AC2" w:rsidRPr="000F347F" w:rsidRDefault="00277AC2" w:rsidP="000C6668">
      <w:pPr>
        <w:spacing w:line="480" w:lineRule="auto"/>
        <w:jc w:val="both"/>
        <w:rPr>
          <w:rFonts w:ascii="Arial" w:hAnsi="Arial" w:cs="Arial"/>
        </w:rPr>
      </w:pPr>
      <w:r w:rsidRPr="000F347F">
        <w:rPr>
          <w:rFonts w:ascii="Arial" w:hAnsi="Arial" w:cs="Arial"/>
        </w:rPr>
        <w:tab/>
        <w:t>Some of the current debate centres around several different notions of freedom in the compatibilist</w:t>
      </w:r>
      <w:r w:rsidRPr="000F347F">
        <w:rPr>
          <w:rFonts w:ascii="Arial" w:hAnsi="Arial" w:cs="Arial"/>
          <w:i/>
        </w:rPr>
        <w:t xml:space="preserve"> </w:t>
      </w:r>
      <w:r w:rsidRPr="000F347F">
        <w:rPr>
          <w:rFonts w:ascii="Arial" w:hAnsi="Arial" w:cs="Arial"/>
        </w:rPr>
        <w:t>sense. The different requirements of what it means for an act to be free in</w:t>
      </w:r>
      <w:r w:rsidR="005065CB" w:rsidRPr="000F347F">
        <w:rPr>
          <w:rFonts w:ascii="Arial" w:hAnsi="Arial" w:cs="Arial"/>
        </w:rPr>
        <w:t xml:space="preserve"> what we would consider</w:t>
      </w:r>
      <w:r w:rsidRPr="000F347F">
        <w:rPr>
          <w:rFonts w:ascii="Arial" w:hAnsi="Arial" w:cs="Arial"/>
        </w:rPr>
        <w:t xml:space="preserve"> </w:t>
      </w:r>
      <w:r w:rsidR="005065CB" w:rsidRPr="000F347F">
        <w:rPr>
          <w:rFonts w:ascii="Arial" w:hAnsi="Arial" w:cs="Arial"/>
        </w:rPr>
        <w:t xml:space="preserve">in </w:t>
      </w:r>
      <w:r w:rsidRPr="000F347F">
        <w:rPr>
          <w:rFonts w:ascii="Arial" w:hAnsi="Arial" w:cs="Arial"/>
        </w:rPr>
        <w:t>a morally relevant sense is explore</w:t>
      </w:r>
      <w:r w:rsidR="007947FA" w:rsidRPr="000F347F">
        <w:rPr>
          <w:rFonts w:ascii="Arial" w:hAnsi="Arial" w:cs="Arial"/>
        </w:rPr>
        <w:t xml:space="preserve">d in a number of different ways. </w:t>
      </w:r>
      <w:r w:rsidR="007F2195" w:rsidRPr="000F347F">
        <w:rPr>
          <w:rFonts w:ascii="Arial" w:hAnsi="Arial" w:cs="Arial"/>
        </w:rPr>
        <w:t>One account of compatibilism has been subject to considerable discussion; the Frankfurtian account</w:t>
      </w:r>
      <w:r w:rsidR="009674F8" w:rsidRPr="000F347F">
        <w:rPr>
          <w:rFonts w:ascii="Arial" w:hAnsi="Arial" w:cs="Arial"/>
        </w:rPr>
        <w:t xml:space="preserve"> of a hierarchical </w:t>
      </w:r>
      <w:r w:rsidR="00E31157" w:rsidRPr="000F347F">
        <w:rPr>
          <w:rFonts w:ascii="Arial" w:hAnsi="Arial" w:cs="Arial"/>
        </w:rPr>
        <w:t xml:space="preserve">system of </w:t>
      </w:r>
      <w:r w:rsidR="00696A54" w:rsidRPr="000F347F">
        <w:rPr>
          <w:rFonts w:ascii="Arial" w:hAnsi="Arial" w:cs="Arial"/>
        </w:rPr>
        <w:t>desires</w:t>
      </w:r>
      <w:r w:rsidR="007F2195" w:rsidRPr="000F347F">
        <w:rPr>
          <w:rFonts w:ascii="Arial" w:hAnsi="Arial" w:cs="Arial"/>
        </w:rPr>
        <w:t>.</w:t>
      </w:r>
    </w:p>
    <w:p w14:paraId="593F6B23" w14:textId="498FBB54" w:rsidR="00522A24" w:rsidRPr="000F347F" w:rsidRDefault="00980B7B" w:rsidP="000C6668">
      <w:pPr>
        <w:spacing w:line="480" w:lineRule="auto"/>
        <w:jc w:val="both"/>
        <w:rPr>
          <w:rFonts w:ascii="Arial" w:hAnsi="Arial" w:cs="Arial"/>
        </w:rPr>
      </w:pPr>
      <w:r w:rsidRPr="000F347F">
        <w:rPr>
          <w:rFonts w:ascii="Arial" w:hAnsi="Arial" w:cs="Arial"/>
        </w:rPr>
        <w:tab/>
        <w:t xml:space="preserve">Arguments that hold that free will is incompatible with a theory of determinism may not necessarily hold that determinism is true, they could instead affirm free will. The </w:t>
      </w:r>
      <w:r w:rsidRPr="000F347F">
        <w:rPr>
          <w:rFonts w:ascii="Arial" w:hAnsi="Arial" w:cs="Arial"/>
          <w:i/>
        </w:rPr>
        <w:t>Libertarian</w:t>
      </w:r>
      <w:r w:rsidRPr="000F347F">
        <w:rPr>
          <w:rFonts w:ascii="Arial" w:hAnsi="Arial" w:cs="Arial"/>
        </w:rPr>
        <w:t xml:space="preserve"> perspective </w:t>
      </w:r>
      <w:r w:rsidR="004E7323" w:rsidRPr="000F347F">
        <w:rPr>
          <w:rFonts w:ascii="Arial" w:hAnsi="Arial" w:cs="Arial"/>
        </w:rPr>
        <w:t>does just that. Instead of trying to marry a v</w:t>
      </w:r>
      <w:r w:rsidR="007C3DE0" w:rsidRPr="000F347F">
        <w:rPr>
          <w:rFonts w:ascii="Arial" w:hAnsi="Arial" w:cs="Arial"/>
        </w:rPr>
        <w:t>ersion of free will</w:t>
      </w:r>
      <w:r w:rsidR="002B3868" w:rsidRPr="000F347F">
        <w:rPr>
          <w:rFonts w:ascii="Arial" w:hAnsi="Arial" w:cs="Arial"/>
        </w:rPr>
        <w:t xml:space="preserve"> and determinism</w:t>
      </w:r>
      <w:r w:rsidR="007C3DE0" w:rsidRPr="000F347F">
        <w:rPr>
          <w:rFonts w:ascii="Arial" w:hAnsi="Arial" w:cs="Arial"/>
        </w:rPr>
        <w:t xml:space="preserve"> together, albeit a watered-down version</w:t>
      </w:r>
      <w:r w:rsidR="002B3868" w:rsidRPr="000F347F">
        <w:rPr>
          <w:rFonts w:ascii="Arial" w:hAnsi="Arial" w:cs="Arial"/>
        </w:rPr>
        <w:t xml:space="preserve"> of free will</w:t>
      </w:r>
      <w:r w:rsidR="007C3DE0" w:rsidRPr="000F347F">
        <w:rPr>
          <w:rFonts w:ascii="Arial" w:hAnsi="Arial" w:cs="Arial"/>
        </w:rPr>
        <w:t xml:space="preserve">, the libertarian argues that we are free in the way we think we are. We are free in the sense that there is an undetermined aspect to us that is able to choose between two options. Even if we had two completely identical agents with equally identical pasts, the choice that both are on the precipice of making may go more than one way. </w:t>
      </w:r>
    </w:p>
    <w:p w14:paraId="3564A155" w14:textId="28FA939E" w:rsidR="007C3DE0" w:rsidRPr="000F347F" w:rsidRDefault="007C3DE0" w:rsidP="000C6668">
      <w:pPr>
        <w:spacing w:line="480" w:lineRule="auto"/>
        <w:jc w:val="both"/>
        <w:rPr>
          <w:rFonts w:ascii="Arial" w:hAnsi="Arial" w:cs="Arial"/>
        </w:rPr>
      </w:pPr>
      <w:r w:rsidRPr="000F347F">
        <w:rPr>
          <w:rFonts w:ascii="Arial" w:hAnsi="Arial" w:cs="Arial"/>
        </w:rPr>
        <w:tab/>
        <w:t>The hard determinist must explain why</w:t>
      </w:r>
      <w:r w:rsidR="00227A84" w:rsidRPr="000F347F">
        <w:rPr>
          <w:rFonts w:ascii="Arial" w:hAnsi="Arial" w:cs="Arial"/>
        </w:rPr>
        <w:t xml:space="preserve"> free will is incompatible </w:t>
      </w:r>
      <w:r w:rsidR="00D02765" w:rsidRPr="000F347F">
        <w:rPr>
          <w:rFonts w:ascii="Arial" w:hAnsi="Arial" w:cs="Arial"/>
        </w:rPr>
        <w:t xml:space="preserve">with the thesis of determinism, and </w:t>
      </w:r>
      <w:r w:rsidR="00D256A0" w:rsidRPr="000F347F">
        <w:rPr>
          <w:rFonts w:ascii="Arial" w:hAnsi="Arial" w:cs="Arial"/>
        </w:rPr>
        <w:t xml:space="preserve">how we cannot dissuade ourselves of a compatibilist account. They must tell us how any compatibilist theory of free will goes wrong; how it fails as a sound argument to support free will. </w:t>
      </w:r>
    </w:p>
    <w:p w14:paraId="161E6571" w14:textId="17B20392" w:rsidR="007C3DE0" w:rsidRPr="000F347F" w:rsidRDefault="007C3DE0" w:rsidP="000C6668">
      <w:pPr>
        <w:spacing w:line="480" w:lineRule="auto"/>
        <w:jc w:val="both"/>
        <w:rPr>
          <w:rFonts w:ascii="Arial" w:hAnsi="Arial" w:cs="Arial"/>
        </w:rPr>
      </w:pPr>
      <w:r w:rsidRPr="000F347F">
        <w:rPr>
          <w:rFonts w:ascii="Arial" w:hAnsi="Arial" w:cs="Arial"/>
        </w:rPr>
        <w:tab/>
        <w:t xml:space="preserve">The </w:t>
      </w:r>
      <w:r w:rsidR="002F1376" w:rsidRPr="000F347F">
        <w:rPr>
          <w:rFonts w:ascii="Arial" w:hAnsi="Arial" w:cs="Arial"/>
        </w:rPr>
        <w:t>compatibilist</w:t>
      </w:r>
      <w:r w:rsidRPr="000F347F">
        <w:rPr>
          <w:rFonts w:ascii="Arial" w:hAnsi="Arial" w:cs="Arial"/>
        </w:rPr>
        <w:t xml:space="preserve"> must argue why</w:t>
      </w:r>
      <w:r w:rsidR="00D256A0" w:rsidRPr="000F347F">
        <w:rPr>
          <w:rFonts w:ascii="Arial" w:hAnsi="Arial" w:cs="Arial"/>
        </w:rPr>
        <w:t xml:space="preserve"> their account of the func</w:t>
      </w:r>
      <w:r w:rsidR="004B3C4D" w:rsidRPr="000F347F">
        <w:rPr>
          <w:rFonts w:ascii="Arial" w:hAnsi="Arial" w:cs="Arial"/>
        </w:rPr>
        <w:t>tioning and nature of free will</w:t>
      </w:r>
      <w:r w:rsidR="007F2195" w:rsidRPr="000F347F">
        <w:rPr>
          <w:rFonts w:ascii="Arial" w:hAnsi="Arial" w:cs="Arial"/>
        </w:rPr>
        <w:t xml:space="preserve"> is a tenable position</w:t>
      </w:r>
      <w:r w:rsidR="004B3C4D" w:rsidRPr="000F347F">
        <w:rPr>
          <w:rFonts w:ascii="Arial" w:hAnsi="Arial" w:cs="Arial"/>
        </w:rPr>
        <w:t>,</w:t>
      </w:r>
      <w:r w:rsidR="007F2195" w:rsidRPr="000F347F">
        <w:rPr>
          <w:rFonts w:ascii="Arial" w:hAnsi="Arial" w:cs="Arial"/>
        </w:rPr>
        <w:t xml:space="preserve"> offering us an account of free will worth wanting</w:t>
      </w:r>
      <w:r w:rsidR="000F347F" w:rsidRPr="000F347F">
        <w:rPr>
          <w:rFonts w:ascii="Arial" w:hAnsi="Arial" w:cs="Arial"/>
        </w:rPr>
        <w:t>,</w:t>
      </w:r>
      <w:r w:rsidR="004B3C4D" w:rsidRPr="000F347F">
        <w:rPr>
          <w:rFonts w:ascii="Arial" w:hAnsi="Arial" w:cs="Arial"/>
        </w:rPr>
        <w:t xml:space="preserve"> and how such an account of free will does not conflict with the thesis of determinism. </w:t>
      </w:r>
      <w:r w:rsidR="007E63EA" w:rsidRPr="000F347F">
        <w:rPr>
          <w:rFonts w:ascii="Arial" w:hAnsi="Arial" w:cs="Arial"/>
        </w:rPr>
        <w:t xml:space="preserve">They must do this whilst avoiding the pitfalls of capturing with their definition the </w:t>
      </w:r>
      <w:r w:rsidR="007E63EA" w:rsidRPr="000F347F">
        <w:rPr>
          <w:rFonts w:ascii="Arial" w:hAnsi="Arial" w:cs="Arial"/>
          <w:i/>
        </w:rPr>
        <w:t>deeper</w:t>
      </w:r>
      <w:r w:rsidR="007E63EA" w:rsidRPr="000F347F">
        <w:rPr>
          <w:rFonts w:ascii="Arial" w:hAnsi="Arial" w:cs="Arial"/>
        </w:rPr>
        <w:t xml:space="preserve"> sense of free will; the sense that there is something part of us that has the ultimate control. They must also tell us why the notion of free will in the deeper sense is incoherent, why the deeper sense of free will is impossible. </w:t>
      </w:r>
    </w:p>
    <w:p w14:paraId="0408F799" w14:textId="63F34327" w:rsidR="007C3DE0" w:rsidRPr="000F347F" w:rsidRDefault="007C3DE0" w:rsidP="000C6668">
      <w:pPr>
        <w:spacing w:line="480" w:lineRule="auto"/>
        <w:jc w:val="both"/>
        <w:rPr>
          <w:rFonts w:ascii="Arial" w:hAnsi="Arial" w:cs="Arial"/>
        </w:rPr>
      </w:pPr>
      <w:r w:rsidRPr="000F347F">
        <w:rPr>
          <w:rFonts w:ascii="Arial" w:hAnsi="Arial" w:cs="Arial"/>
        </w:rPr>
        <w:tab/>
        <w:t>The libertarian must show how</w:t>
      </w:r>
      <w:r w:rsidR="00400034" w:rsidRPr="000F347F">
        <w:rPr>
          <w:rFonts w:ascii="Arial" w:hAnsi="Arial" w:cs="Arial"/>
        </w:rPr>
        <w:t xml:space="preserve">, much like the hard determinist, how free will is incompatible with the thesis of determinism, and must also show how we can display a sensible account of the function of free will indeterminately. There must be a good argument </w:t>
      </w:r>
      <w:r w:rsidR="003356AD" w:rsidRPr="000F347F">
        <w:rPr>
          <w:rFonts w:ascii="Arial" w:hAnsi="Arial" w:cs="Arial"/>
        </w:rPr>
        <w:t xml:space="preserve">constructed </w:t>
      </w:r>
      <w:r w:rsidR="00400034" w:rsidRPr="000F347F">
        <w:rPr>
          <w:rFonts w:ascii="Arial" w:hAnsi="Arial" w:cs="Arial"/>
        </w:rPr>
        <w:t xml:space="preserve">for an indeterminist account of free will. </w:t>
      </w:r>
    </w:p>
    <w:p w14:paraId="6F2EF408" w14:textId="77777777" w:rsidR="000008BB" w:rsidRPr="000F347F" w:rsidRDefault="000008BB" w:rsidP="000C6668">
      <w:pPr>
        <w:spacing w:line="480" w:lineRule="auto"/>
        <w:jc w:val="both"/>
        <w:rPr>
          <w:rFonts w:ascii="Arial" w:hAnsi="Arial" w:cs="Arial"/>
        </w:rPr>
      </w:pPr>
    </w:p>
    <w:p w14:paraId="01A22C20" w14:textId="31ABB7F6" w:rsidR="001B11B4" w:rsidRPr="00B72D20" w:rsidRDefault="001247DA" w:rsidP="000C6668">
      <w:pPr>
        <w:spacing w:line="480" w:lineRule="auto"/>
        <w:jc w:val="both"/>
        <w:rPr>
          <w:rFonts w:ascii="Arial" w:hAnsi="Arial" w:cs="Arial"/>
          <w:b/>
        </w:rPr>
      </w:pPr>
      <w:r w:rsidRPr="00B72D20">
        <w:rPr>
          <w:rFonts w:ascii="Arial" w:hAnsi="Arial" w:cs="Arial"/>
          <w:b/>
        </w:rPr>
        <w:t>Focus of Research:</w:t>
      </w:r>
    </w:p>
    <w:p w14:paraId="45837987" w14:textId="77777777" w:rsidR="001B11B4" w:rsidRPr="000F347F" w:rsidRDefault="001B11B4" w:rsidP="000C6668">
      <w:pPr>
        <w:spacing w:line="480" w:lineRule="auto"/>
        <w:jc w:val="both"/>
        <w:rPr>
          <w:rFonts w:ascii="Arial" w:hAnsi="Arial" w:cs="Arial"/>
        </w:rPr>
      </w:pPr>
    </w:p>
    <w:p w14:paraId="2EF5CF74" w14:textId="2938E1C0" w:rsidR="00E30889" w:rsidRPr="000F347F" w:rsidRDefault="00561460" w:rsidP="004F1CF3">
      <w:pPr>
        <w:spacing w:line="480" w:lineRule="auto"/>
        <w:jc w:val="both"/>
        <w:rPr>
          <w:rFonts w:ascii="Arial" w:hAnsi="Arial" w:cs="Arial"/>
        </w:rPr>
      </w:pPr>
      <w:r w:rsidRPr="000F347F">
        <w:rPr>
          <w:rFonts w:ascii="Arial" w:hAnsi="Arial" w:cs="Arial"/>
        </w:rPr>
        <w:t xml:space="preserve">The focus of my research will centre around </w:t>
      </w:r>
      <w:r w:rsidR="0077301E" w:rsidRPr="000F347F">
        <w:rPr>
          <w:rFonts w:ascii="Arial" w:hAnsi="Arial" w:cs="Arial"/>
        </w:rPr>
        <w:t xml:space="preserve">the debate between the </w:t>
      </w:r>
      <w:r w:rsidR="007C3A5B" w:rsidRPr="000F347F">
        <w:rPr>
          <w:rFonts w:ascii="Arial" w:hAnsi="Arial" w:cs="Arial"/>
        </w:rPr>
        <w:t>compatibilist</w:t>
      </w:r>
      <w:r w:rsidR="0077301E" w:rsidRPr="000F347F">
        <w:rPr>
          <w:rFonts w:ascii="Arial" w:hAnsi="Arial" w:cs="Arial"/>
        </w:rPr>
        <w:t xml:space="preserve"> account of Frankfurt and the libertarian </w:t>
      </w:r>
      <w:r w:rsidR="007C3A5B" w:rsidRPr="000F347F">
        <w:rPr>
          <w:rFonts w:ascii="Arial" w:hAnsi="Arial" w:cs="Arial"/>
        </w:rPr>
        <w:t>account of Kane.</w:t>
      </w:r>
      <w:r w:rsidR="00FD731B" w:rsidRPr="000F347F">
        <w:rPr>
          <w:rFonts w:ascii="Arial" w:hAnsi="Arial" w:cs="Arial"/>
        </w:rPr>
        <w:t xml:space="preserve"> I wish to provide a comparative evaluation between two prominent positions within the debate surrounding freedom, free will, responsibility, and the thesis of determinism. The comparison will be evaluated in light of the example of the addict, and how each theory adequately explains our judgments about the nature of free will and its boundaries surrounding its potential limitations.</w:t>
      </w:r>
      <w:r w:rsidR="007C3A5B" w:rsidRPr="000F347F">
        <w:rPr>
          <w:rFonts w:ascii="Arial" w:hAnsi="Arial" w:cs="Arial"/>
        </w:rPr>
        <w:t xml:space="preserve"> </w:t>
      </w:r>
      <w:r w:rsidR="00A91B82" w:rsidRPr="000F347F">
        <w:rPr>
          <w:rFonts w:ascii="Arial" w:hAnsi="Arial" w:cs="Arial"/>
        </w:rPr>
        <w:t xml:space="preserve">The Frankfurtian account offers us a hierarchical account of </w:t>
      </w:r>
      <w:r w:rsidR="003145A7" w:rsidRPr="000F347F">
        <w:rPr>
          <w:rFonts w:ascii="Arial" w:hAnsi="Arial" w:cs="Arial"/>
        </w:rPr>
        <w:t>free will</w:t>
      </w:r>
      <w:r w:rsidR="003145A7" w:rsidRPr="000F347F">
        <w:rPr>
          <w:rStyle w:val="FootnoteReference"/>
          <w:rFonts w:ascii="Arial" w:hAnsi="Arial" w:cs="Arial"/>
        </w:rPr>
        <w:footnoteReference w:id="1"/>
      </w:r>
      <w:r w:rsidR="009E6853" w:rsidRPr="000F347F">
        <w:rPr>
          <w:rFonts w:ascii="Arial" w:hAnsi="Arial" w:cs="Arial"/>
        </w:rPr>
        <w:t xml:space="preserve"> and the refutation of what Frankfurt calls the ‘principle of </w:t>
      </w:r>
      <w:r w:rsidR="007A1B69" w:rsidRPr="000F347F">
        <w:rPr>
          <w:rFonts w:ascii="Arial" w:hAnsi="Arial" w:cs="Arial"/>
        </w:rPr>
        <w:t>alternate</w:t>
      </w:r>
      <w:r w:rsidR="009E6853" w:rsidRPr="000F347F">
        <w:rPr>
          <w:rFonts w:ascii="Arial" w:hAnsi="Arial" w:cs="Arial"/>
        </w:rPr>
        <w:t xml:space="preserve"> possibilities’.</w:t>
      </w:r>
      <w:r w:rsidR="007A1B69" w:rsidRPr="000F347F">
        <w:rPr>
          <w:rStyle w:val="FootnoteReference"/>
          <w:rFonts w:ascii="Arial" w:hAnsi="Arial" w:cs="Arial"/>
        </w:rPr>
        <w:footnoteReference w:id="2"/>
      </w:r>
      <w:r w:rsidR="009E6853" w:rsidRPr="000F347F">
        <w:rPr>
          <w:rFonts w:ascii="Arial" w:hAnsi="Arial" w:cs="Arial"/>
        </w:rPr>
        <w:t xml:space="preserve"> </w:t>
      </w:r>
      <w:r w:rsidR="007A1B69" w:rsidRPr="000F347F">
        <w:rPr>
          <w:rFonts w:ascii="Arial" w:hAnsi="Arial" w:cs="Arial"/>
        </w:rPr>
        <w:t xml:space="preserve">This account of free will and responsibility will be juxtaposed against </w:t>
      </w:r>
      <w:r w:rsidR="00D71699" w:rsidRPr="000F347F">
        <w:rPr>
          <w:rFonts w:ascii="Arial" w:hAnsi="Arial" w:cs="Arial"/>
        </w:rPr>
        <w:t>the notion of freedom that Robert</w:t>
      </w:r>
      <w:r w:rsidR="007A1B69" w:rsidRPr="000F347F">
        <w:rPr>
          <w:rFonts w:ascii="Arial" w:hAnsi="Arial" w:cs="Arial"/>
        </w:rPr>
        <w:t xml:space="preserve"> Kane offers us</w:t>
      </w:r>
      <w:r w:rsidR="00D71699" w:rsidRPr="000F347F">
        <w:rPr>
          <w:rFonts w:ascii="Arial" w:hAnsi="Arial" w:cs="Arial"/>
        </w:rPr>
        <w:t>,</w:t>
      </w:r>
      <w:r w:rsidR="00652708" w:rsidRPr="000F347F">
        <w:rPr>
          <w:rFonts w:ascii="Arial" w:hAnsi="Arial" w:cs="Arial"/>
        </w:rPr>
        <w:t xml:space="preserve"> with a</w:t>
      </w:r>
      <w:r w:rsidR="00D25F1C" w:rsidRPr="000F347F">
        <w:rPr>
          <w:rFonts w:ascii="Arial" w:hAnsi="Arial" w:cs="Arial"/>
        </w:rPr>
        <w:t xml:space="preserve"> </w:t>
      </w:r>
      <w:r w:rsidR="00D27D51" w:rsidRPr="000F347F">
        <w:rPr>
          <w:rFonts w:ascii="Arial" w:hAnsi="Arial" w:cs="Arial"/>
        </w:rPr>
        <w:t>two-stage</w:t>
      </w:r>
      <w:r w:rsidR="00D25F1C" w:rsidRPr="000F347F">
        <w:rPr>
          <w:rFonts w:ascii="Arial" w:hAnsi="Arial" w:cs="Arial"/>
        </w:rPr>
        <w:t xml:space="preserve"> </w:t>
      </w:r>
      <w:r w:rsidR="00652708" w:rsidRPr="000F347F">
        <w:rPr>
          <w:rFonts w:ascii="Arial" w:hAnsi="Arial" w:cs="Arial"/>
        </w:rPr>
        <w:t>notion of libertarian freedom.</w:t>
      </w:r>
      <w:r w:rsidR="00D27D51" w:rsidRPr="000F347F">
        <w:rPr>
          <w:rStyle w:val="FootnoteReference"/>
          <w:rFonts w:ascii="Arial" w:hAnsi="Arial" w:cs="Arial"/>
        </w:rPr>
        <w:footnoteReference w:id="3"/>
      </w:r>
      <w:r w:rsidR="00E30889" w:rsidRPr="000F347F">
        <w:rPr>
          <w:rFonts w:ascii="Arial" w:hAnsi="Arial" w:cs="Arial"/>
        </w:rPr>
        <w:t xml:space="preserve"> </w:t>
      </w:r>
      <w:r w:rsidR="00FD731B" w:rsidRPr="000F347F">
        <w:rPr>
          <w:rFonts w:ascii="Arial" w:hAnsi="Arial" w:cs="Arial"/>
        </w:rPr>
        <w:t xml:space="preserve">Where </w:t>
      </w:r>
      <w:r w:rsidR="00E30889" w:rsidRPr="000F347F">
        <w:rPr>
          <w:rFonts w:ascii="Arial" w:hAnsi="Arial" w:cs="Arial"/>
        </w:rPr>
        <w:t>I will be comparing these two popular accounts of the nature and function of free will, testing each in turn against an example of someone who is categorized as an addict.</w:t>
      </w:r>
    </w:p>
    <w:p w14:paraId="2DFF6532" w14:textId="74699942" w:rsidR="008D1CFC" w:rsidRPr="000F347F" w:rsidRDefault="00E30889" w:rsidP="004F1CF3">
      <w:pPr>
        <w:spacing w:line="480" w:lineRule="auto"/>
        <w:ind w:firstLine="720"/>
        <w:jc w:val="both"/>
        <w:rPr>
          <w:rFonts w:ascii="Arial" w:hAnsi="Arial" w:cs="Arial"/>
        </w:rPr>
      </w:pPr>
      <w:r w:rsidRPr="000F347F">
        <w:rPr>
          <w:rFonts w:ascii="Arial" w:hAnsi="Arial" w:cs="Arial"/>
        </w:rPr>
        <w:t xml:space="preserve">The first part of the dissertation will focus on outlining the position that each account offers to the debate about free will. I will then proceed to map both Kane’s and Frankfurt’s accounts on to the given example of an addict. The next part will deal with the criticisms levelled at the two accounts, tweaking the example to offer a view on how the criticisms affect the </w:t>
      </w:r>
      <w:r w:rsidR="00526E7E" w:rsidRPr="000F347F">
        <w:rPr>
          <w:rFonts w:ascii="Arial" w:hAnsi="Arial" w:cs="Arial"/>
        </w:rPr>
        <w:t xml:space="preserve">debate between the two. I will then offer replies to these criticisms where I feel they are possible and effective. The last section will evaluate the strengths of the two positions offered on the debate of free will, taking in to consideration the criticisms and replies given.  </w:t>
      </w:r>
    </w:p>
    <w:p w14:paraId="7754D708" w14:textId="77777777" w:rsidR="000008BB" w:rsidRPr="000F347F" w:rsidRDefault="000008BB" w:rsidP="004F1CF3">
      <w:pPr>
        <w:spacing w:line="480" w:lineRule="auto"/>
        <w:jc w:val="both"/>
        <w:rPr>
          <w:rFonts w:ascii="Arial" w:hAnsi="Arial" w:cs="Arial"/>
        </w:rPr>
      </w:pPr>
    </w:p>
    <w:p w14:paraId="49A45B80" w14:textId="77777777" w:rsidR="001247DA" w:rsidRPr="000F347F" w:rsidRDefault="001247DA" w:rsidP="004F1CF3">
      <w:pPr>
        <w:spacing w:line="480" w:lineRule="auto"/>
        <w:jc w:val="both"/>
        <w:rPr>
          <w:rFonts w:ascii="Arial" w:hAnsi="Arial" w:cs="Arial"/>
        </w:rPr>
      </w:pPr>
    </w:p>
    <w:p w14:paraId="47F2F613" w14:textId="2D0BAACA" w:rsidR="001247DA" w:rsidRPr="00B72D20" w:rsidRDefault="001247DA" w:rsidP="004F1CF3">
      <w:pPr>
        <w:spacing w:line="480" w:lineRule="auto"/>
        <w:jc w:val="both"/>
        <w:rPr>
          <w:rFonts w:ascii="Arial" w:hAnsi="Arial" w:cs="Arial"/>
          <w:b/>
        </w:rPr>
      </w:pPr>
      <w:r w:rsidRPr="00B72D20">
        <w:rPr>
          <w:rFonts w:ascii="Arial" w:hAnsi="Arial" w:cs="Arial"/>
          <w:b/>
        </w:rPr>
        <w:t>Significance of Project:</w:t>
      </w:r>
    </w:p>
    <w:p w14:paraId="4ED719F5" w14:textId="34095D5A" w:rsidR="001247DA" w:rsidRPr="000F347F" w:rsidRDefault="005D267C" w:rsidP="004F1CF3">
      <w:pPr>
        <w:spacing w:line="480" w:lineRule="auto"/>
        <w:jc w:val="both"/>
        <w:rPr>
          <w:rFonts w:ascii="Arial" w:hAnsi="Arial" w:cs="Arial"/>
        </w:rPr>
      </w:pPr>
      <w:r w:rsidRPr="000F347F">
        <w:rPr>
          <w:rFonts w:ascii="Arial" w:hAnsi="Arial" w:cs="Arial"/>
        </w:rPr>
        <w:t>This comparative analysis of the two positions given by Kane and Frankfurt</w:t>
      </w:r>
      <w:r w:rsidR="006D2622" w:rsidRPr="000F347F">
        <w:rPr>
          <w:rFonts w:ascii="Arial" w:hAnsi="Arial" w:cs="Arial"/>
        </w:rPr>
        <w:t xml:space="preserve"> approaches the libertarian defence against the compatibilism in a different way to </w:t>
      </w:r>
      <w:proofErr w:type="spellStart"/>
      <w:r w:rsidR="006D2622" w:rsidRPr="000F347F">
        <w:rPr>
          <w:rFonts w:ascii="Arial" w:hAnsi="Arial" w:cs="Arial"/>
        </w:rPr>
        <w:t>Widerker</w:t>
      </w:r>
      <w:proofErr w:type="spellEnd"/>
      <w:r w:rsidR="006D2622" w:rsidRPr="000F347F">
        <w:rPr>
          <w:rStyle w:val="FootnoteReference"/>
          <w:rFonts w:ascii="Arial" w:hAnsi="Arial" w:cs="Arial"/>
        </w:rPr>
        <w:footnoteReference w:id="4"/>
      </w:r>
      <w:r w:rsidR="00C36D17" w:rsidRPr="000F347F">
        <w:rPr>
          <w:rFonts w:ascii="Arial" w:hAnsi="Arial" w:cs="Arial"/>
        </w:rPr>
        <w:t xml:space="preserve"> and</w:t>
      </w:r>
      <w:r w:rsidR="006D2622" w:rsidRPr="000F347F">
        <w:rPr>
          <w:rFonts w:ascii="Arial" w:hAnsi="Arial" w:cs="Arial"/>
        </w:rPr>
        <w:t xml:space="preserve"> </w:t>
      </w:r>
      <w:proofErr w:type="spellStart"/>
      <w:r w:rsidR="00851935" w:rsidRPr="000F347F">
        <w:rPr>
          <w:rFonts w:ascii="Arial" w:hAnsi="Arial" w:cs="Arial"/>
        </w:rPr>
        <w:t>Ekstrom</w:t>
      </w:r>
      <w:proofErr w:type="spellEnd"/>
      <w:r w:rsidR="00C36D17" w:rsidRPr="000F347F">
        <w:rPr>
          <w:rFonts w:ascii="Arial" w:hAnsi="Arial" w:cs="Arial"/>
        </w:rPr>
        <w:t>.</w:t>
      </w:r>
      <w:r w:rsidR="00C36D17" w:rsidRPr="000F347F">
        <w:rPr>
          <w:rStyle w:val="FootnoteReference"/>
          <w:rFonts w:ascii="Arial" w:hAnsi="Arial" w:cs="Arial"/>
        </w:rPr>
        <w:footnoteReference w:id="5"/>
      </w:r>
      <w:r w:rsidR="002B20D4" w:rsidRPr="000F347F">
        <w:rPr>
          <w:rFonts w:ascii="Arial" w:hAnsi="Arial" w:cs="Arial"/>
        </w:rPr>
        <w:t xml:space="preserve"> My focus will not just be centred around the principle of alternative possibilities, but will instead focus on the wider position that Frankfurt offers.</w:t>
      </w:r>
      <w:r w:rsidR="00FF6B5C" w:rsidRPr="000F347F">
        <w:rPr>
          <w:rFonts w:ascii="Arial" w:hAnsi="Arial" w:cs="Arial"/>
        </w:rPr>
        <w:t xml:space="preserve"> Mapping the comparison onto the example of addiction is also unique to this work. This will hopefully add to the literature available readers of the debate.</w:t>
      </w:r>
    </w:p>
    <w:p w14:paraId="5782126A" w14:textId="0D494903" w:rsidR="00FF6B5C" w:rsidRPr="000F347F" w:rsidRDefault="00FF6B5C" w:rsidP="004F1CF3">
      <w:pPr>
        <w:spacing w:line="480" w:lineRule="auto"/>
        <w:jc w:val="both"/>
        <w:rPr>
          <w:rFonts w:ascii="Arial" w:hAnsi="Arial" w:cs="Arial"/>
        </w:rPr>
      </w:pPr>
      <w:r w:rsidRPr="000F347F">
        <w:rPr>
          <w:rFonts w:ascii="Arial" w:hAnsi="Arial" w:cs="Arial"/>
        </w:rPr>
        <w:tab/>
        <w:t>Looking at these two positions through the lens of addiction should provide us with surer footings for our thinking that concerns the nature of addiction, giving us a fuller picture of what it means to be addicted to an action or substance. This is especially significant as laws around the world change, along with the way that we treat problem substance use and abuse. If we are to change what we legislate against, then our thinking on the topic should be as free from knots in our reasoning as conceptually possible. It is my hope that this dissertation will provide a comb to tease out these knots with respect to Kane’s and Frankfurt’s theoretical framework along with the wider compatibilist and libertarian accounts.</w:t>
      </w:r>
    </w:p>
    <w:p w14:paraId="0CCA3F20" w14:textId="77777777" w:rsidR="000008BB" w:rsidRPr="000F347F" w:rsidRDefault="000008BB" w:rsidP="004F1CF3">
      <w:pPr>
        <w:spacing w:line="480" w:lineRule="auto"/>
        <w:jc w:val="both"/>
        <w:rPr>
          <w:rFonts w:ascii="Arial" w:hAnsi="Arial" w:cs="Arial"/>
        </w:rPr>
      </w:pPr>
    </w:p>
    <w:p w14:paraId="4D866AA9" w14:textId="77777777" w:rsidR="001247DA" w:rsidRPr="000F347F" w:rsidRDefault="001247DA" w:rsidP="004F1CF3">
      <w:pPr>
        <w:spacing w:line="480" w:lineRule="auto"/>
        <w:jc w:val="both"/>
        <w:rPr>
          <w:rFonts w:ascii="Arial" w:hAnsi="Arial" w:cs="Arial"/>
        </w:rPr>
      </w:pPr>
    </w:p>
    <w:p w14:paraId="6A46E205" w14:textId="77777777" w:rsidR="00B72D20" w:rsidRDefault="00B72D20" w:rsidP="004F1CF3">
      <w:pPr>
        <w:spacing w:line="480" w:lineRule="auto"/>
        <w:rPr>
          <w:rFonts w:ascii="Arial" w:hAnsi="Arial" w:cs="Arial"/>
        </w:rPr>
      </w:pPr>
    </w:p>
    <w:p w14:paraId="33A3D89B" w14:textId="4B95D12C" w:rsidR="001247DA" w:rsidRPr="00B72D20" w:rsidRDefault="001247DA" w:rsidP="004F1CF3">
      <w:pPr>
        <w:spacing w:line="480" w:lineRule="auto"/>
        <w:rPr>
          <w:rFonts w:ascii="Arial" w:hAnsi="Arial" w:cs="Arial"/>
          <w:b/>
        </w:rPr>
      </w:pPr>
      <w:bookmarkStart w:id="0" w:name="_GoBack"/>
      <w:bookmarkEnd w:id="0"/>
      <w:r w:rsidRPr="00B72D20">
        <w:rPr>
          <w:rFonts w:ascii="Arial" w:hAnsi="Arial" w:cs="Arial"/>
          <w:b/>
        </w:rPr>
        <w:t>Bibliography:</w:t>
      </w:r>
    </w:p>
    <w:p w14:paraId="37691A3E" w14:textId="77777777" w:rsidR="00B72D20" w:rsidRDefault="00B72D20" w:rsidP="00B72D20">
      <w:pPr>
        <w:rPr>
          <w:rFonts w:ascii="Arial" w:eastAsia="Times New Roman" w:hAnsi="Arial" w:cs="Arial"/>
          <w:color w:val="1A1A1A"/>
          <w:lang w:eastAsia="en-GB"/>
        </w:rPr>
      </w:pPr>
      <w:r w:rsidRPr="004F1CF3">
        <w:rPr>
          <w:rFonts w:ascii="Arial" w:eastAsia="Times New Roman" w:hAnsi="Arial" w:cs="Arial"/>
          <w:color w:val="1A1A1A"/>
          <w:lang w:eastAsia="en-GB"/>
        </w:rPr>
        <w:t>Clarke, R. and Capes, J., "</w:t>
      </w:r>
      <w:proofErr w:type="spellStart"/>
      <w:r w:rsidRPr="004F1CF3">
        <w:rPr>
          <w:rFonts w:ascii="Arial" w:eastAsia="Times New Roman" w:hAnsi="Arial" w:cs="Arial"/>
          <w:color w:val="1A1A1A"/>
          <w:lang w:eastAsia="en-GB"/>
        </w:rPr>
        <w:t>Incompatibilist</w:t>
      </w:r>
      <w:proofErr w:type="spellEnd"/>
      <w:r w:rsidRPr="004F1CF3">
        <w:rPr>
          <w:rFonts w:ascii="Arial" w:eastAsia="Times New Roman" w:hAnsi="Arial" w:cs="Arial"/>
          <w:color w:val="1A1A1A"/>
          <w:lang w:eastAsia="en-GB"/>
        </w:rPr>
        <w:t xml:space="preserve"> (Nondeterministic) Theories of Free Will", </w:t>
      </w:r>
      <w:r w:rsidRPr="004F1CF3">
        <w:rPr>
          <w:rFonts w:ascii="Arial" w:eastAsia="Times New Roman" w:hAnsi="Arial" w:cs="Arial"/>
          <w:i/>
          <w:iCs/>
          <w:color w:val="1A1A1A"/>
          <w:lang w:eastAsia="en-GB"/>
        </w:rPr>
        <w:t xml:space="preserve">The Stanford </w:t>
      </w:r>
      <w:proofErr w:type="spellStart"/>
      <w:r w:rsidRPr="004F1CF3">
        <w:rPr>
          <w:rFonts w:ascii="Arial" w:eastAsia="Times New Roman" w:hAnsi="Arial" w:cs="Arial"/>
          <w:i/>
          <w:iCs/>
          <w:color w:val="1A1A1A"/>
          <w:lang w:eastAsia="en-GB"/>
        </w:rPr>
        <w:t>Encyclopedia</w:t>
      </w:r>
      <w:proofErr w:type="spellEnd"/>
      <w:r w:rsidRPr="004F1CF3">
        <w:rPr>
          <w:rFonts w:ascii="Arial" w:eastAsia="Times New Roman" w:hAnsi="Arial" w:cs="Arial"/>
          <w:i/>
          <w:iCs/>
          <w:color w:val="1A1A1A"/>
          <w:lang w:eastAsia="en-GB"/>
        </w:rPr>
        <w:t xml:space="preserve"> of Philosophy </w:t>
      </w:r>
      <w:r w:rsidRPr="004F1CF3">
        <w:rPr>
          <w:rFonts w:ascii="Arial" w:eastAsia="Times New Roman" w:hAnsi="Arial" w:cs="Arial"/>
          <w:color w:val="1A1A1A"/>
          <w:lang w:eastAsia="en-GB"/>
        </w:rPr>
        <w:t>(Spring 2017 Edition), Edward N. Zalta (ed.), URL = &lt;https://plato.stanford.edu/archives/spr2017/entries/incompatibilism-theories/&gt;.</w:t>
      </w:r>
    </w:p>
    <w:p w14:paraId="562086B4" w14:textId="77777777" w:rsidR="00B72D20" w:rsidRDefault="00B72D20" w:rsidP="00B72D20">
      <w:pPr>
        <w:jc w:val="both"/>
        <w:rPr>
          <w:rFonts w:ascii="Arial" w:eastAsia="Times New Roman" w:hAnsi="Arial" w:cs="Arial"/>
          <w:color w:val="1A1A1A"/>
          <w:lang w:eastAsia="en-GB"/>
        </w:rPr>
      </w:pPr>
    </w:p>
    <w:p w14:paraId="5A15A27D" w14:textId="7D53D1BE" w:rsidR="00B72D20" w:rsidRPr="00B72D20" w:rsidRDefault="00B72D20" w:rsidP="00B72D20">
      <w:pPr>
        <w:spacing w:line="480" w:lineRule="auto"/>
        <w:jc w:val="both"/>
        <w:rPr>
          <w:rFonts w:ascii="Arial" w:eastAsia="Times New Roman" w:hAnsi="Arial" w:cs="Arial"/>
          <w:color w:val="1A1A1A"/>
          <w:lang w:eastAsia="en-GB"/>
        </w:rPr>
      </w:pPr>
      <w:r>
        <w:rPr>
          <w:rFonts w:ascii="Arial" w:eastAsia="Times New Roman" w:hAnsi="Arial" w:cs="Arial"/>
          <w:color w:val="1A1A1A"/>
          <w:lang w:eastAsia="en-GB"/>
        </w:rPr>
        <w:t xml:space="preserve">This resource will provide a good overview of the arguments within the nondeterministic </w:t>
      </w:r>
      <w:proofErr w:type="spellStart"/>
      <w:r>
        <w:rPr>
          <w:rFonts w:ascii="Arial" w:eastAsia="Times New Roman" w:hAnsi="Arial" w:cs="Arial"/>
          <w:color w:val="1A1A1A"/>
          <w:lang w:eastAsia="en-GB"/>
        </w:rPr>
        <w:t>incompatibilist</w:t>
      </w:r>
      <w:proofErr w:type="spellEnd"/>
      <w:r>
        <w:rPr>
          <w:rFonts w:ascii="Arial" w:eastAsia="Times New Roman" w:hAnsi="Arial" w:cs="Arial"/>
          <w:color w:val="1A1A1A"/>
          <w:lang w:eastAsia="en-GB"/>
        </w:rPr>
        <w:t xml:space="preserve"> accounts of free will, providing me with further avenues of research, especially with providing further reading for the problems encountered with Kane’s position.</w:t>
      </w:r>
    </w:p>
    <w:p w14:paraId="0B07703A" w14:textId="77777777" w:rsidR="00B72D20" w:rsidRPr="000F347F" w:rsidRDefault="00B72D20" w:rsidP="004F1CF3">
      <w:pPr>
        <w:spacing w:line="480" w:lineRule="auto"/>
        <w:rPr>
          <w:rFonts w:ascii="Arial" w:hAnsi="Arial" w:cs="Arial"/>
        </w:rPr>
      </w:pPr>
    </w:p>
    <w:p w14:paraId="3BD3D0F0" w14:textId="77777777" w:rsidR="00B72D20" w:rsidRDefault="00B72D20" w:rsidP="00B72D20">
      <w:pPr>
        <w:rPr>
          <w:rFonts w:ascii="Arial" w:eastAsia="Times New Roman" w:hAnsi="Arial" w:cs="Arial"/>
          <w:lang w:eastAsia="en-GB"/>
        </w:rPr>
      </w:pPr>
      <w:proofErr w:type="spellStart"/>
      <w:r w:rsidRPr="004F1CF3">
        <w:rPr>
          <w:rFonts w:ascii="Arial" w:eastAsia="Times New Roman" w:hAnsi="Arial" w:cs="Arial"/>
          <w:lang w:eastAsia="en-GB"/>
        </w:rPr>
        <w:t>Ekstrom</w:t>
      </w:r>
      <w:proofErr w:type="spellEnd"/>
      <w:r>
        <w:rPr>
          <w:rFonts w:ascii="Arial" w:eastAsia="Times New Roman" w:hAnsi="Arial" w:cs="Arial"/>
          <w:lang w:eastAsia="en-GB"/>
        </w:rPr>
        <w:t xml:space="preserve">, L. W., </w:t>
      </w:r>
      <w:r w:rsidRPr="004F1CF3">
        <w:rPr>
          <w:rFonts w:ascii="Arial" w:eastAsia="Times New Roman" w:hAnsi="Arial" w:cs="Arial"/>
          <w:lang w:eastAsia="en-GB"/>
        </w:rPr>
        <w:t xml:space="preserve">‘Libertarianism and Frankfurt-Style Cases’, in </w:t>
      </w:r>
      <w:r w:rsidRPr="004F1CF3">
        <w:rPr>
          <w:rFonts w:ascii="Arial" w:eastAsia="Times New Roman" w:hAnsi="Arial" w:cs="Arial"/>
          <w:i/>
          <w:lang w:eastAsia="en-GB"/>
        </w:rPr>
        <w:t>The Oxford Handbook of Free Will</w:t>
      </w:r>
      <w:r w:rsidRPr="004F1CF3">
        <w:rPr>
          <w:rFonts w:ascii="Arial" w:eastAsia="Times New Roman" w:hAnsi="Arial" w:cs="Arial"/>
          <w:lang w:eastAsia="en-GB"/>
        </w:rPr>
        <w:t>, ed. by Robert Kane (Oxford: Oxford University Press, 2002)</w:t>
      </w:r>
      <w:r>
        <w:rPr>
          <w:rFonts w:ascii="Arial" w:eastAsia="Times New Roman" w:hAnsi="Arial" w:cs="Arial"/>
          <w:lang w:eastAsia="en-GB"/>
        </w:rPr>
        <w:t xml:space="preserve"> pp.308-322</w:t>
      </w:r>
    </w:p>
    <w:p w14:paraId="4803594F" w14:textId="77777777" w:rsidR="00B72D20" w:rsidRDefault="00B72D20" w:rsidP="00B72D20">
      <w:pPr>
        <w:rPr>
          <w:rFonts w:ascii="Arial" w:eastAsia="Times New Roman" w:hAnsi="Arial" w:cs="Arial"/>
          <w:lang w:eastAsia="en-GB"/>
        </w:rPr>
      </w:pPr>
    </w:p>
    <w:p w14:paraId="43860889" w14:textId="77777777" w:rsidR="00B72D20" w:rsidRDefault="00B72D20" w:rsidP="00B72D20">
      <w:pPr>
        <w:spacing w:line="480" w:lineRule="auto"/>
        <w:jc w:val="both"/>
        <w:rPr>
          <w:rFonts w:ascii="Arial" w:eastAsia="Times New Roman" w:hAnsi="Arial" w:cs="Arial"/>
          <w:lang w:eastAsia="en-GB"/>
        </w:rPr>
      </w:pPr>
      <w:r>
        <w:rPr>
          <w:rFonts w:ascii="Arial" w:eastAsia="Times New Roman" w:hAnsi="Arial" w:cs="Arial"/>
          <w:lang w:eastAsia="en-GB"/>
        </w:rPr>
        <w:t>This paper will provide me with a good analysis of the principle of alternative possibilities through the eyes of a libertarian. This libertarian perspective on Frankfurt’s argument will help towards making a comparative analysis of the two positions.</w:t>
      </w:r>
    </w:p>
    <w:p w14:paraId="08024BA3" w14:textId="77777777" w:rsidR="00B72D20" w:rsidRDefault="00B72D20" w:rsidP="004F1CF3">
      <w:pPr>
        <w:rPr>
          <w:rFonts w:ascii="Arial" w:hAnsi="Arial" w:cs="Arial"/>
        </w:rPr>
      </w:pPr>
    </w:p>
    <w:p w14:paraId="4F1967FF" w14:textId="1FCAFDD4" w:rsidR="008D1CFC" w:rsidRPr="000F347F" w:rsidRDefault="002E02AB" w:rsidP="004F1CF3">
      <w:pPr>
        <w:rPr>
          <w:rFonts w:ascii="Arial" w:hAnsi="Arial" w:cs="Arial"/>
        </w:rPr>
      </w:pPr>
      <w:r w:rsidRPr="000F347F">
        <w:rPr>
          <w:rFonts w:ascii="Arial" w:hAnsi="Arial" w:cs="Arial"/>
        </w:rPr>
        <w:t>Frankfurt,</w:t>
      </w:r>
      <w:r w:rsidRPr="000F347F">
        <w:rPr>
          <w:rFonts w:ascii="Arial" w:hAnsi="Arial" w:cs="Arial"/>
        </w:rPr>
        <w:t xml:space="preserve"> H. G.,</w:t>
      </w:r>
      <w:r w:rsidRPr="000F347F">
        <w:rPr>
          <w:rFonts w:ascii="Arial" w:hAnsi="Arial" w:cs="Arial"/>
        </w:rPr>
        <w:t xml:space="preserve"> ‘Freedom of the Will and the Concept of a Person’ in </w:t>
      </w:r>
      <w:r w:rsidRPr="000F347F">
        <w:rPr>
          <w:rFonts w:ascii="Arial" w:hAnsi="Arial" w:cs="Arial"/>
          <w:i/>
        </w:rPr>
        <w:t>Free Will,</w:t>
      </w:r>
      <w:r w:rsidRPr="000F347F">
        <w:rPr>
          <w:rFonts w:ascii="Arial" w:hAnsi="Arial" w:cs="Arial"/>
        </w:rPr>
        <w:t xml:space="preserve"> 2</w:t>
      </w:r>
      <w:r w:rsidRPr="000F347F">
        <w:rPr>
          <w:rFonts w:ascii="Arial" w:hAnsi="Arial" w:cs="Arial"/>
          <w:vertAlign w:val="superscript"/>
        </w:rPr>
        <w:t>nd</w:t>
      </w:r>
      <w:r w:rsidRPr="000F347F">
        <w:rPr>
          <w:rFonts w:ascii="Arial" w:hAnsi="Arial" w:cs="Arial"/>
        </w:rPr>
        <w:t xml:space="preserve"> edn. ed. by Gary Watson (Oxford: Oxford University Press, 2003) pp.322-336</w:t>
      </w:r>
    </w:p>
    <w:p w14:paraId="630B0AB3" w14:textId="77777777" w:rsidR="00FF6B5C" w:rsidRPr="000F347F" w:rsidRDefault="00FF6B5C" w:rsidP="004F1CF3">
      <w:pPr>
        <w:spacing w:line="480" w:lineRule="auto"/>
        <w:jc w:val="both"/>
        <w:rPr>
          <w:rFonts w:ascii="Arial" w:hAnsi="Arial" w:cs="Arial"/>
        </w:rPr>
      </w:pPr>
    </w:p>
    <w:p w14:paraId="497877F8" w14:textId="159133CE" w:rsidR="002E02AB" w:rsidRPr="000F347F" w:rsidRDefault="00FF6B5C" w:rsidP="004F1CF3">
      <w:pPr>
        <w:spacing w:line="480" w:lineRule="auto"/>
        <w:jc w:val="both"/>
        <w:rPr>
          <w:rFonts w:ascii="Arial" w:hAnsi="Arial" w:cs="Arial"/>
        </w:rPr>
      </w:pPr>
      <w:r w:rsidRPr="000F347F">
        <w:rPr>
          <w:rFonts w:ascii="Arial" w:hAnsi="Arial" w:cs="Arial"/>
        </w:rPr>
        <w:t>This paper will provide me with a starting point for the dissertation. It outlines Frankfurt’s hierarchical theory of free will.</w:t>
      </w:r>
      <w:r w:rsidR="00FF6D33" w:rsidRPr="000F347F">
        <w:rPr>
          <w:rFonts w:ascii="Arial" w:hAnsi="Arial" w:cs="Arial"/>
        </w:rPr>
        <w:t xml:space="preserve"> I will be looking at how the hierarchical account of desires</w:t>
      </w:r>
      <w:r w:rsidR="00284259" w:rsidRPr="000F347F">
        <w:rPr>
          <w:rFonts w:ascii="Arial" w:hAnsi="Arial" w:cs="Arial"/>
        </w:rPr>
        <w:t xml:space="preserve"> in terms of first and second order desires can be mapped onto the example of addiction.</w:t>
      </w:r>
    </w:p>
    <w:p w14:paraId="2D9F49A6" w14:textId="77777777" w:rsidR="002E02AB" w:rsidRPr="000F347F" w:rsidRDefault="002E02AB" w:rsidP="004F1CF3">
      <w:pPr>
        <w:spacing w:line="480" w:lineRule="auto"/>
        <w:jc w:val="both"/>
        <w:rPr>
          <w:rFonts w:ascii="Arial" w:hAnsi="Arial" w:cs="Arial"/>
        </w:rPr>
      </w:pPr>
    </w:p>
    <w:p w14:paraId="46480626" w14:textId="25BA914E" w:rsidR="008D1CFC" w:rsidRPr="000F347F" w:rsidRDefault="002E02AB" w:rsidP="004F1CF3">
      <w:pPr>
        <w:rPr>
          <w:rFonts w:ascii="Arial" w:hAnsi="Arial" w:cs="Arial"/>
        </w:rPr>
      </w:pPr>
      <w:r w:rsidRPr="000F347F">
        <w:rPr>
          <w:rFonts w:ascii="Arial" w:hAnsi="Arial" w:cs="Arial"/>
        </w:rPr>
        <w:t xml:space="preserve">Frankfurt, ‘Alternate Possibilities and Moral Responsibility’ in </w:t>
      </w:r>
      <w:r w:rsidRPr="000F347F">
        <w:rPr>
          <w:rFonts w:ascii="Arial" w:hAnsi="Arial" w:cs="Arial"/>
          <w:i/>
        </w:rPr>
        <w:t>Free Will,</w:t>
      </w:r>
      <w:r w:rsidRPr="000F347F">
        <w:rPr>
          <w:rFonts w:ascii="Arial" w:hAnsi="Arial" w:cs="Arial"/>
        </w:rPr>
        <w:t xml:space="preserve"> 2</w:t>
      </w:r>
      <w:r w:rsidRPr="000F347F">
        <w:rPr>
          <w:rFonts w:ascii="Arial" w:hAnsi="Arial" w:cs="Arial"/>
          <w:vertAlign w:val="superscript"/>
        </w:rPr>
        <w:t>nd</w:t>
      </w:r>
      <w:r w:rsidRPr="000F347F">
        <w:rPr>
          <w:rFonts w:ascii="Arial" w:hAnsi="Arial" w:cs="Arial"/>
        </w:rPr>
        <w:t xml:space="preserve"> edn. ed. by Gary Watson (Oxford: Oxford University Press, 2003)</w:t>
      </w:r>
      <w:r w:rsidRPr="000F347F">
        <w:rPr>
          <w:rFonts w:ascii="Arial" w:hAnsi="Arial" w:cs="Arial"/>
        </w:rPr>
        <w:t xml:space="preserve"> pp.</w:t>
      </w:r>
      <w:r w:rsidR="004B5777" w:rsidRPr="000F347F">
        <w:rPr>
          <w:rFonts w:ascii="Arial" w:hAnsi="Arial" w:cs="Arial"/>
        </w:rPr>
        <w:t>167-176</w:t>
      </w:r>
    </w:p>
    <w:p w14:paraId="28BF4D7C" w14:textId="77777777" w:rsidR="001247DA" w:rsidRPr="000F347F" w:rsidRDefault="001247DA" w:rsidP="004F1CF3">
      <w:pPr>
        <w:jc w:val="both"/>
        <w:rPr>
          <w:rFonts w:ascii="Arial" w:hAnsi="Arial" w:cs="Arial"/>
        </w:rPr>
      </w:pPr>
    </w:p>
    <w:p w14:paraId="771D57F1" w14:textId="2614CA59" w:rsidR="00162EB1" w:rsidRPr="000F347F" w:rsidRDefault="00FF6B5C" w:rsidP="004F1CF3">
      <w:pPr>
        <w:spacing w:line="480" w:lineRule="auto"/>
        <w:jc w:val="both"/>
        <w:rPr>
          <w:rFonts w:ascii="Arial" w:hAnsi="Arial" w:cs="Arial"/>
        </w:rPr>
      </w:pPr>
      <w:r w:rsidRPr="000F347F">
        <w:rPr>
          <w:rFonts w:ascii="Arial" w:hAnsi="Arial" w:cs="Arial"/>
        </w:rPr>
        <w:t xml:space="preserve">This paper will provide additional material in order to give a fuller view of Frankfurt’s position within the compatibilist tradition. </w:t>
      </w:r>
      <w:r w:rsidR="00284259" w:rsidRPr="000F347F">
        <w:rPr>
          <w:rFonts w:ascii="Arial" w:hAnsi="Arial" w:cs="Arial"/>
        </w:rPr>
        <w:t xml:space="preserve">I will look at the principle of alternative possibilities and Frankfurt’s rejection of this principle, gauging the strength of his rebuttal of the principle. </w:t>
      </w:r>
    </w:p>
    <w:p w14:paraId="016522CC" w14:textId="77777777" w:rsidR="00FF6B5C" w:rsidRPr="000F347F" w:rsidRDefault="00FF6B5C" w:rsidP="004F1CF3">
      <w:pPr>
        <w:spacing w:line="480" w:lineRule="auto"/>
        <w:jc w:val="both"/>
        <w:rPr>
          <w:rFonts w:ascii="Arial" w:hAnsi="Arial" w:cs="Arial"/>
        </w:rPr>
      </w:pPr>
    </w:p>
    <w:p w14:paraId="1FF4AE33" w14:textId="378DFF28" w:rsidR="00FF6B5C" w:rsidRPr="000F347F" w:rsidRDefault="00FF6B5C" w:rsidP="004F1CF3">
      <w:pPr>
        <w:spacing w:line="480" w:lineRule="auto"/>
        <w:rPr>
          <w:rFonts w:ascii="Arial" w:hAnsi="Arial" w:cs="Arial"/>
        </w:rPr>
      </w:pPr>
      <w:r w:rsidRPr="000F347F">
        <w:rPr>
          <w:rFonts w:ascii="Arial" w:hAnsi="Arial" w:cs="Arial"/>
        </w:rPr>
        <w:t xml:space="preserve">Kane, R., </w:t>
      </w:r>
      <w:r w:rsidRPr="000F347F">
        <w:rPr>
          <w:rFonts w:ascii="Arial" w:hAnsi="Arial" w:cs="Arial"/>
          <w:i/>
        </w:rPr>
        <w:t>The Significance of Free Will</w:t>
      </w:r>
      <w:r w:rsidRPr="000F347F">
        <w:rPr>
          <w:rFonts w:ascii="Arial" w:hAnsi="Arial" w:cs="Arial"/>
        </w:rPr>
        <w:t xml:space="preserve">, </w:t>
      </w:r>
      <w:r w:rsidRPr="000F347F">
        <w:rPr>
          <w:rFonts w:ascii="Arial" w:hAnsi="Arial" w:cs="Arial"/>
        </w:rPr>
        <w:t>(Oxford: Oxford University Press, 1998)</w:t>
      </w:r>
    </w:p>
    <w:p w14:paraId="15CE04F1" w14:textId="6874361C" w:rsidR="0046031C" w:rsidRDefault="0046031C" w:rsidP="004F1CF3">
      <w:pPr>
        <w:spacing w:line="480" w:lineRule="auto"/>
        <w:jc w:val="both"/>
        <w:rPr>
          <w:rFonts w:ascii="Arial" w:hAnsi="Arial" w:cs="Arial"/>
        </w:rPr>
      </w:pPr>
      <w:r w:rsidRPr="000F347F">
        <w:rPr>
          <w:rFonts w:ascii="Arial" w:hAnsi="Arial" w:cs="Arial"/>
        </w:rPr>
        <w:t xml:space="preserve">This book will provide a second comparative starting point for my research. </w:t>
      </w:r>
      <w:r w:rsidR="00BA511F" w:rsidRPr="000F347F">
        <w:rPr>
          <w:rFonts w:ascii="Arial" w:hAnsi="Arial" w:cs="Arial"/>
        </w:rPr>
        <w:t>I will look at self-forming</w:t>
      </w:r>
      <w:r w:rsidR="00284259" w:rsidRPr="000F347F">
        <w:rPr>
          <w:rFonts w:ascii="Arial" w:hAnsi="Arial" w:cs="Arial"/>
        </w:rPr>
        <w:t xml:space="preserve"> actions </w:t>
      </w:r>
      <w:r w:rsidR="00BA511F" w:rsidRPr="000F347F">
        <w:rPr>
          <w:rFonts w:ascii="Arial" w:hAnsi="Arial" w:cs="Arial"/>
        </w:rPr>
        <w:t xml:space="preserve">and wills, and how these can be displayed by the example of the addict. </w:t>
      </w:r>
      <w:r w:rsidR="009B0C39">
        <w:rPr>
          <w:rFonts w:ascii="Arial" w:hAnsi="Arial" w:cs="Arial"/>
        </w:rPr>
        <w:t xml:space="preserve">I will also research how Kane argues that the element of luck leading to indeterminacy does not lead to a control reducing thesis. </w:t>
      </w:r>
    </w:p>
    <w:p w14:paraId="5E1F2B22" w14:textId="233FC85D" w:rsidR="00162EB1" w:rsidRDefault="00162EB1" w:rsidP="00BC5DD5">
      <w:pPr>
        <w:jc w:val="both"/>
        <w:rPr>
          <w:rFonts w:ascii="Times New Roman" w:eastAsia="Times New Roman" w:hAnsi="Times New Roman" w:cs="Times New Roman"/>
          <w:lang w:eastAsia="en-GB"/>
        </w:rPr>
      </w:pPr>
    </w:p>
    <w:p w14:paraId="3E9CC006" w14:textId="77777777" w:rsidR="000932A0" w:rsidRDefault="000932A0" w:rsidP="000932A0">
      <w:pPr>
        <w:spacing w:line="480" w:lineRule="auto"/>
        <w:jc w:val="both"/>
        <w:rPr>
          <w:rFonts w:ascii="Arial" w:eastAsia="Times New Roman" w:hAnsi="Arial" w:cs="Arial"/>
          <w:lang w:eastAsia="en-GB"/>
        </w:rPr>
      </w:pPr>
    </w:p>
    <w:p w14:paraId="1E7F8C89" w14:textId="3FAEE8BC" w:rsidR="000932A0" w:rsidRDefault="000932A0" w:rsidP="000932A0">
      <w:pPr>
        <w:rPr>
          <w:rFonts w:ascii="Arial" w:hAnsi="Arial" w:cs="Arial"/>
        </w:rPr>
      </w:pPr>
      <w:proofErr w:type="spellStart"/>
      <w:r w:rsidRPr="000932A0">
        <w:rPr>
          <w:rFonts w:ascii="Arial" w:hAnsi="Arial" w:cs="Arial"/>
        </w:rPr>
        <w:t>Widerker</w:t>
      </w:r>
      <w:proofErr w:type="spellEnd"/>
      <w:r w:rsidRPr="000932A0">
        <w:rPr>
          <w:rFonts w:ascii="Arial" w:hAnsi="Arial" w:cs="Arial"/>
        </w:rPr>
        <w:t xml:space="preserve">, </w:t>
      </w:r>
      <w:r>
        <w:rPr>
          <w:rFonts w:ascii="Arial" w:hAnsi="Arial" w:cs="Arial"/>
        </w:rPr>
        <w:t xml:space="preserve">D. </w:t>
      </w:r>
      <w:r w:rsidRPr="000932A0">
        <w:rPr>
          <w:rFonts w:ascii="Arial" w:hAnsi="Arial" w:cs="Arial"/>
        </w:rPr>
        <w:t xml:space="preserve">‘Libertarianism and Frankfurt’s Attack on the Principle of Alternative possibilities’, in </w:t>
      </w:r>
      <w:r w:rsidRPr="000932A0">
        <w:rPr>
          <w:rFonts w:ascii="Arial" w:hAnsi="Arial" w:cs="Arial"/>
          <w:i/>
        </w:rPr>
        <w:t>Free Will,</w:t>
      </w:r>
      <w:r w:rsidRPr="000932A0">
        <w:rPr>
          <w:rFonts w:ascii="Arial" w:hAnsi="Arial" w:cs="Arial"/>
        </w:rPr>
        <w:t xml:space="preserve"> 2</w:t>
      </w:r>
      <w:r w:rsidRPr="000932A0">
        <w:rPr>
          <w:rFonts w:ascii="Arial" w:hAnsi="Arial" w:cs="Arial"/>
          <w:vertAlign w:val="superscript"/>
        </w:rPr>
        <w:t>nd</w:t>
      </w:r>
      <w:r w:rsidRPr="000932A0">
        <w:rPr>
          <w:rFonts w:ascii="Arial" w:hAnsi="Arial" w:cs="Arial"/>
        </w:rPr>
        <w:t xml:space="preserve"> edn. ed. by Gary Watson (Oxford: Oxford University Press, 2003) pp.177-189</w:t>
      </w:r>
    </w:p>
    <w:p w14:paraId="3423563B" w14:textId="77777777" w:rsidR="000932A0" w:rsidRDefault="000932A0" w:rsidP="000932A0">
      <w:pPr>
        <w:rPr>
          <w:rFonts w:ascii="Arial" w:hAnsi="Arial" w:cs="Arial"/>
        </w:rPr>
      </w:pPr>
    </w:p>
    <w:p w14:paraId="4AAFD86B" w14:textId="77777777" w:rsidR="000932A0" w:rsidRDefault="000932A0" w:rsidP="000932A0">
      <w:pPr>
        <w:rPr>
          <w:rFonts w:ascii="Arial" w:hAnsi="Arial" w:cs="Arial"/>
        </w:rPr>
      </w:pPr>
    </w:p>
    <w:p w14:paraId="570E698B" w14:textId="7F5F29D7" w:rsidR="000932A0" w:rsidRPr="004F1CF3" w:rsidRDefault="00B72D20" w:rsidP="000932A0">
      <w:pPr>
        <w:spacing w:line="480" w:lineRule="auto"/>
        <w:jc w:val="both"/>
        <w:rPr>
          <w:rFonts w:ascii="Arial" w:hAnsi="Arial" w:cs="Arial"/>
        </w:rPr>
      </w:pPr>
      <w:r>
        <w:rPr>
          <w:rFonts w:ascii="Arial" w:hAnsi="Arial" w:cs="Arial"/>
        </w:rPr>
        <w:t xml:space="preserve">This paper will offer me another libertarian perspective on the argument against the principle of alternative possibilities that Frankfurt employs. It will also provide me with a good starting point in the evaluation of the Frankfurtian position against the position offered by Kane. </w:t>
      </w:r>
    </w:p>
    <w:sectPr w:rsidR="000932A0" w:rsidRPr="004F1CF3" w:rsidSect="002A397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508C62" w14:textId="77777777" w:rsidR="00D22C82" w:rsidRDefault="00D22C82" w:rsidP="003145A7">
      <w:r>
        <w:separator/>
      </w:r>
    </w:p>
  </w:endnote>
  <w:endnote w:type="continuationSeparator" w:id="0">
    <w:p w14:paraId="61C25914" w14:textId="77777777" w:rsidR="00D22C82" w:rsidRDefault="00D22C82" w:rsidP="003145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12521E" w14:textId="77777777" w:rsidR="00D22C82" w:rsidRDefault="00D22C82" w:rsidP="003145A7">
      <w:r>
        <w:separator/>
      </w:r>
    </w:p>
  </w:footnote>
  <w:footnote w:type="continuationSeparator" w:id="0">
    <w:p w14:paraId="196755DF" w14:textId="77777777" w:rsidR="00D22C82" w:rsidRDefault="00D22C82" w:rsidP="003145A7">
      <w:r>
        <w:continuationSeparator/>
      </w:r>
    </w:p>
  </w:footnote>
  <w:footnote w:id="1">
    <w:p w14:paraId="4DA51AA3" w14:textId="3D13FADB" w:rsidR="003145A7" w:rsidRPr="00462CBB" w:rsidRDefault="003145A7">
      <w:pPr>
        <w:pStyle w:val="FootnoteText"/>
      </w:pPr>
      <w:r>
        <w:rPr>
          <w:rStyle w:val="FootnoteReference"/>
        </w:rPr>
        <w:footnoteRef/>
      </w:r>
      <w:r>
        <w:t xml:space="preserve"> Harry G. Frankfurt, </w:t>
      </w:r>
      <w:r w:rsidR="00B47C1A">
        <w:t xml:space="preserve">‘Freedom of the Will and the Concept of a Person’ in </w:t>
      </w:r>
      <w:r w:rsidR="00B47C1A">
        <w:rPr>
          <w:i/>
        </w:rPr>
        <w:t>Free Will</w:t>
      </w:r>
      <w:r w:rsidR="00462CBB">
        <w:rPr>
          <w:i/>
        </w:rPr>
        <w:t>,</w:t>
      </w:r>
      <w:r w:rsidR="00462CBB">
        <w:t xml:space="preserve"> 2</w:t>
      </w:r>
      <w:r w:rsidR="00462CBB" w:rsidRPr="00462CBB">
        <w:rPr>
          <w:vertAlign w:val="superscript"/>
        </w:rPr>
        <w:t>nd</w:t>
      </w:r>
      <w:r w:rsidR="00462CBB">
        <w:t xml:space="preserve"> edn. ed</w:t>
      </w:r>
      <w:r w:rsidR="00A2371E">
        <w:t>.</w:t>
      </w:r>
      <w:r w:rsidR="00462CBB">
        <w:t xml:space="preserve"> by Gary Watson (Oxford: Oxford University Press, 2003) pp.322-336</w:t>
      </w:r>
    </w:p>
  </w:footnote>
  <w:footnote w:id="2">
    <w:p w14:paraId="6DF712E1" w14:textId="428B7F6C" w:rsidR="007A1B69" w:rsidRDefault="007A1B69">
      <w:pPr>
        <w:pStyle w:val="FootnoteText"/>
      </w:pPr>
      <w:r>
        <w:rPr>
          <w:rStyle w:val="FootnoteReference"/>
        </w:rPr>
        <w:footnoteRef/>
      </w:r>
      <w:r>
        <w:t xml:space="preserve"> Harry G. Frankfurt, ‘Alternate Possibilities and Moral Responsibility’ </w:t>
      </w:r>
      <w:r>
        <w:t xml:space="preserve">in </w:t>
      </w:r>
      <w:r>
        <w:rPr>
          <w:i/>
        </w:rPr>
        <w:t>Free Will,</w:t>
      </w:r>
      <w:r>
        <w:t xml:space="preserve"> 2</w:t>
      </w:r>
      <w:r w:rsidRPr="00462CBB">
        <w:rPr>
          <w:vertAlign w:val="superscript"/>
        </w:rPr>
        <w:t>nd</w:t>
      </w:r>
      <w:r>
        <w:t xml:space="preserve"> edn. ed</w:t>
      </w:r>
      <w:r w:rsidR="00A2371E">
        <w:t>.</w:t>
      </w:r>
      <w:r>
        <w:t xml:space="preserve"> by Gary Watson (Oxford: Oxford University Press, 2003)</w:t>
      </w:r>
      <w:r>
        <w:t xml:space="preserve"> p.167</w:t>
      </w:r>
    </w:p>
  </w:footnote>
  <w:footnote w:id="3">
    <w:p w14:paraId="6EAA5DE4" w14:textId="45659F99" w:rsidR="00D27D51" w:rsidRDefault="00D27D51">
      <w:pPr>
        <w:pStyle w:val="FootnoteText"/>
      </w:pPr>
      <w:r>
        <w:rPr>
          <w:rStyle w:val="FootnoteReference"/>
        </w:rPr>
        <w:footnoteRef/>
      </w:r>
      <w:r>
        <w:t xml:space="preserve"> </w:t>
      </w:r>
      <w:r w:rsidR="00E30889">
        <w:t xml:space="preserve">Robert Kane, </w:t>
      </w:r>
      <w:r w:rsidR="00E30889" w:rsidRPr="00E30889">
        <w:rPr>
          <w:i/>
        </w:rPr>
        <w:t>The Significance of Free Will</w:t>
      </w:r>
      <w:r w:rsidR="00E30889">
        <w:t>, (Oxford: Oxford University Press, 1998)</w:t>
      </w:r>
    </w:p>
  </w:footnote>
  <w:footnote w:id="4">
    <w:p w14:paraId="5E19FEDA" w14:textId="38B018BF" w:rsidR="006D2622" w:rsidRDefault="006D2622">
      <w:pPr>
        <w:pStyle w:val="FootnoteText"/>
      </w:pPr>
      <w:r>
        <w:rPr>
          <w:rStyle w:val="FootnoteReference"/>
        </w:rPr>
        <w:footnoteRef/>
      </w:r>
      <w:r>
        <w:t xml:space="preserve"> David </w:t>
      </w:r>
      <w:proofErr w:type="spellStart"/>
      <w:r>
        <w:t>Widerker</w:t>
      </w:r>
      <w:proofErr w:type="spellEnd"/>
      <w:r>
        <w:t xml:space="preserve">, ‘Libertarianism and Frankfurt’s Attack on the Principle of Alternative possibilities’, in </w:t>
      </w:r>
      <w:r>
        <w:rPr>
          <w:i/>
        </w:rPr>
        <w:t>Free Will,</w:t>
      </w:r>
      <w:r>
        <w:t xml:space="preserve"> 2</w:t>
      </w:r>
      <w:r w:rsidRPr="00462CBB">
        <w:rPr>
          <w:vertAlign w:val="superscript"/>
        </w:rPr>
        <w:t>nd</w:t>
      </w:r>
      <w:r>
        <w:t xml:space="preserve"> edn. ed. by Gary Watson (Oxford: Oxford University Press, 2003)</w:t>
      </w:r>
      <w:r>
        <w:t xml:space="preserve"> pp.177-189</w:t>
      </w:r>
    </w:p>
  </w:footnote>
  <w:footnote w:id="5">
    <w:p w14:paraId="275E22A8" w14:textId="607F7ED1" w:rsidR="00C36D17" w:rsidRPr="00C36D17" w:rsidRDefault="00C36D17">
      <w:pPr>
        <w:pStyle w:val="FootnoteText"/>
      </w:pPr>
      <w:r>
        <w:rPr>
          <w:rStyle w:val="FootnoteReference"/>
        </w:rPr>
        <w:footnoteRef/>
      </w:r>
      <w:r>
        <w:t xml:space="preserve"> Laura Waddell </w:t>
      </w:r>
      <w:proofErr w:type="spellStart"/>
      <w:r>
        <w:t>Ekstrom</w:t>
      </w:r>
      <w:proofErr w:type="spellEnd"/>
      <w:r>
        <w:t xml:space="preserve">, ‘Libertarianism and Frankfurt-Style Cases’, in </w:t>
      </w:r>
      <w:r>
        <w:rPr>
          <w:i/>
        </w:rPr>
        <w:t>The Oxford Handbook of Free Will</w:t>
      </w:r>
      <w:r>
        <w:t>, ed. by Robert Kane (Oxford: Oxford University Press, 2002)</w:t>
      </w:r>
      <w:r w:rsidR="004F1CF3">
        <w:t xml:space="preserve"> pp.308-322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070C"/>
    <w:rsid w:val="000008BB"/>
    <w:rsid w:val="000932A0"/>
    <w:rsid w:val="000C6668"/>
    <w:rsid w:val="000E7E3C"/>
    <w:rsid w:val="000F347F"/>
    <w:rsid w:val="001247DA"/>
    <w:rsid w:val="00162EB1"/>
    <w:rsid w:val="001759A9"/>
    <w:rsid w:val="001B11B4"/>
    <w:rsid w:val="00227A84"/>
    <w:rsid w:val="0024070C"/>
    <w:rsid w:val="00277AC2"/>
    <w:rsid w:val="00284259"/>
    <w:rsid w:val="002A3972"/>
    <w:rsid w:val="002B20D4"/>
    <w:rsid w:val="002B3868"/>
    <w:rsid w:val="002E02AB"/>
    <w:rsid w:val="002F1376"/>
    <w:rsid w:val="003145A7"/>
    <w:rsid w:val="003356AD"/>
    <w:rsid w:val="00345643"/>
    <w:rsid w:val="00400034"/>
    <w:rsid w:val="00413D53"/>
    <w:rsid w:val="0046031C"/>
    <w:rsid w:val="00462CBB"/>
    <w:rsid w:val="004B3C4D"/>
    <w:rsid w:val="004B5777"/>
    <w:rsid w:val="004B78DF"/>
    <w:rsid w:val="004E7323"/>
    <w:rsid w:val="004E79AE"/>
    <w:rsid w:val="004F1CF3"/>
    <w:rsid w:val="005065CB"/>
    <w:rsid w:val="00522A24"/>
    <w:rsid w:val="00526E7E"/>
    <w:rsid w:val="005444FD"/>
    <w:rsid w:val="00561460"/>
    <w:rsid w:val="00592DCC"/>
    <w:rsid w:val="005D267C"/>
    <w:rsid w:val="006032D0"/>
    <w:rsid w:val="00652708"/>
    <w:rsid w:val="00696A54"/>
    <w:rsid w:val="006D2622"/>
    <w:rsid w:val="006E6F64"/>
    <w:rsid w:val="00730311"/>
    <w:rsid w:val="0077301E"/>
    <w:rsid w:val="00787B2F"/>
    <w:rsid w:val="007947FA"/>
    <w:rsid w:val="007A022E"/>
    <w:rsid w:val="007A1B69"/>
    <w:rsid w:val="007C3A5B"/>
    <w:rsid w:val="007C3DE0"/>
    <w:rsid w:val="007E63EA"/>
    <w:rsid w:val="007F2195"/>
    <w:rsid w:val="0082497B"/>
    <w:rsid w:val="00827269"/>
    <w:rsid w:val="00851935"/>
    <w:rsid w:val="0086039B"/>
    <w:rsid w:val="00864666"/>
    <w:rsid w:val="008B6D1A"/>
    <w:rsid w:val="008D1CFC"/>
    <w:rsid w:val="0090739D"/>
    <w:rsid w:val="00926A09"/>
    <w:rsid w:val="0095025E"/>
    <w:rsid w:val="009674F8"/>
    <w:rsid w:val="00970B89"/>
    <w:rsid w:val="00980B7B"/>
    <w:rsid w:val="009B0C39"/>
    <w:rsid w:val="009B3A43"/>
    <w:rsid w:val="009E3011"/>
    <w:rsid w:val="009E6853"/>
    <w:rsid w:val="00A2371E"/>
    <w:rsid w:val="00A63D15"/>
    <w:rsid w:val="00A91B82"/>
    <w:rsid w:val="00B25D3C"/>
    <w:rsid w:val="00B4200F"/>
    <w:rsid w:val="00B4362F"/>
    <w:rsid w:val="00B47C1A"/>
    <w:rsid w:val="00B66F31"/>
    <w:rsid w:val="00B72D20"/>
    <w:rsid w:val="00BA511F"/>
    <w:rsid w:val="00BC5DD5"/>
    <w:rsid w:val="00C36D17"/>
    <w:rsid w:val="00C65731"/>
    <w:rsid w:val="00CF13F6"/>
    <w:rsid w:val="00D02765"/>
    <w:rsid w:val="00D22C82"/>
    <w:rsid w:val="00D256A0"/>
    <w:rsid w:val="00D25F1C"/>
    <w:rsid w:val="00D27D51"/>
    <w:rsid w:val="00D6529C"/>
    <w:rsid w:val="00D71699"/>
    <w:rsid w:val="00E23E0E"/>
    <w:rsid w:val="00E30889"/>
    <w:rsid w:val="00E31157"/>
    <w:rsid w:val="00E31E53"/>
    <w:rsid w:val="00F06732"/>
    <w:rsid w:val="00F206A2"/>
    <w:rsid w:val="00F65AAC"/>
    <w:rsid w:val="00FD731B"/>
    <w:rsid w:val="00FF6B5C"/>
    <w:rsid w:val="00FF6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FF885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145A7"/>
  </w:style>
  <w:style w:type="character" w:customStyle="1" w:styleId="FootnoteTextChar">
    <w:name w:val="Footnote Text Char"/>
    <w:basedOn w:val="DefaultParagraphFont"/>
    <w:link w:val="FootnoteText"/>
    <w:uiPriority w:val="99"/>
    <w:rsid w:val="003145A7"/>
  </w:style>
  <w:style w:type="character" w:styleId="FootnoteReference">
    <w:name w:val="footnote reference"/>
    <w:basedOn w:val="DefaultParagraphFont"/>
    <w:uiPriority w:val="99"/>
    <w:unhideWhenUsed/>
    <w:rsid w:val="003145A7"/>
    <w:rPr>
      <w:vertAlign w:val="superscript"/>
    </w:rPr>
  </w:style>
  <w:style w:type="character" w:styleId="Emphasis">
    <w:name w:val="Emphasis"/>
    <w:basedOn w:val="DefaultParagraphFont"/>
    <w:uiPriority w:val="20"/>
    <w:qFormat/>
    <w:rsid w:val="004F1C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6749962">
      <w:bodyDiv w:val="1"/>
      <w:marLeft w:val="0"/>
      <w:marRight w:val="0"/>
      <w:marTop w:val="0"/>
      <w:marBottom w:val="0"/>
      <w:divBdr>
        <w:top w:val="none" w:sz="0" w:space="0" w:color="auto"/>
        <w:left w:val="none" w:sz="0" w:space="0" w:color="auto"/>
        <w:bottom w:val="none" w:sz="0" w:space="0" w:color="auto"/>
        <w:right w:val="none" w:sz="0" w:space="0" w:color="auto"/>
      </w:divBdr>
      <w:divsChild>
        <w:div w:id="1845624916">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B233F9A0-38EF-3E4F-89D0-534A8F939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7</Pages>
  <Words>1620</Words>
  <Characters>9234</Characters>
  <Application>Microsoft Macintosh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dc:creator>
  <cp:keywords/>
  <dc:description/>
  <cp:lastModifiedBy>Daniel Jones</cp:lastModifiedBy>
  <cp:revision>2</cp:revision>
  <cp:lastPrinted>2017-11-03T13:38:00Z</cp:lastPrinted>
  <dcterms:created xsi:type="dcterms:W3CDTF">2017-11-15T21:52:00Z</dcterms:created>
  <dcterms:modified xsi:type="dcterms:W3CDTF">2017-11-15T21:52:00Z</dcterms:modified>
</cp:coreProperties>
</file>