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bidi w:val="0"/>
        <w:jc w:val="both"/>
        <w:rPr>
          <w:rFonts w:ascii="Arial" w:hAnsi="Arial"/>
          <w:b w:val="false"/>
          <w:b w:val="false"/>
          <w:bCs w:val="false"/>
          <w:color w:val="auto"/>
          <w:sz w:val="24"/>
          <w:szCs w:val="24"/>
        </w:rPr>
      </w:pPr>
      <w:hyperlink r:id="rId2">
        <w:r>
          <w:rPr/>
        </w:r>
      </w:hyperlink>
    </w:p>
    <w:p>
      <w:pPr>
        <w:pStyle w:val="Normal"/>
        <w:bidi w:val="0"/>
        <w:jc w:val="both"/>
        <w:rPr>
          <w:rFonts w:ascii="Arial" w:hAnsi="Arial"/>
          <w:b w:val="false"/>
          <w:b w:val="false"/>
          <w:bCs w:val="false"/>
          <w:color w:val="auto"/>
          <w:sz w:val="24"/>
          <w:szCs w:val="24"/>
        </w:rPr>
      </w:pPr>
      <w:r>
        <w:rPr>
          <w:rFonts w:ascii="Arial" w:hAnsi="Arial"/>
          <w:b w:val="false"/>
          <w:bCs w:val="false"/>
          <w:color w:val="auto"/>
          <w:sz w:val="24"/>
          <w:szCs w:val="24"/>
        </w:rPr>
      </w:r>
    </w:p>
    <w:p>
      <w:pPr>
        <w:pStyle w:val="Normal"/>
        <w:bidi w:val="0"/>
        <w:spacing w:lineRule="auto" w:line="432"/>
        <w:ind w:left="0" w:right="0" w:hanging="0"/>
        <w:jc w:val="both"/>
        <w:rPr>
          <w:rFonts w:ascii="Arial" w:hAnsi="Arial"/>
          <w:b w:val="false"/>
          <w:b w:val="false"/>
          <w:bCs w:val="false"/>
          <w:i/>
          <w:i/>
          <w:iCs/>
          <w:caps w:val="false"/>
          <w:smallCaps w:val="false"/>
          <w:strike w:val="false"/>
          <w:dstrike w:val="false"/>
          <w:color w:val="auto"/>
          <w:spacing w:val="0"/>
          <w:sz w:val="24"/>
          <w:szCs w:val="24"/>
          <w:highlight w:val="white"/>
          <w:u w:val="none"/>
          <w:effect w:val="none"/>
        </w:rPr>
      </w:pPr>
      <w:r>
        <w:rPr>
          <w:rFonts w:ascii="Arial" w:hAnsi="Arial"/>
          <w:b w:val="false"/>
          <w:bCs w:val="false"/>
          <w:i/>
          <w:iCs/>
          <w:caps w:val="false"/>
          <w:smallCaps w:val="false"/>
          <w:strike w:val="false"/>
          <w:dstrike w:val="false"/>
          <w:color w:val="auto"/>
          <w:spacing w:val="0"/>
          <w:sz w:val="24"/>
          <w:szCs w:val="24"/>
          <w:highlight w:val="white"/>
          <w:u w:val="none"/>
          <w:effect w:val="none"/>
        </w:rPr>
        <w:t xml:space="preserve">… </w:t>
      </w:r>
      <w:r>
        <w:rPr>
          <w:rFonts w:ascii="Arial" w:hAnsi="Arial"/>
          <w:b w:val="false"/>
          <w:bCs w:val="false"/>
          <w:i/>
          <w:iCs/>
          <w:caps w:val="false"/>
          <w:smallCaps w:val="false"/>
          <w:strike w:val="false"/>
          <w:dstrike w:val="false"/>
          <w:color w:val="auto"/>
          <w:spacing w:val="0"/>
          <w:sz w:val="24"/>
          <w:szCs w:val="24"/>
          <w:highlight w:val="white"/>
          <w:u w:val="none"/>
          <w:effect w:val="none"/>
        </w:rPr>
        <w:t xml:space="preserve">we may still not have reached the point of a practical desanctiﬁcation of space. And perhaps our life is still governed by a certain number of oppositions that remain inviolable, that our institutions and practices have not yet dared to break down. These are oppositions that we regard as simple givens: for example between private space and public space, between family space and social space, between cultural space and useful space, between the space of leisure and that of work. All these are still nurtured by the hidden presence of the sacred.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right"/>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hyperlink r:id="rId3">
        <w:r>
          <w:rPr>
            <w:rStyle w:val="InternetLink"/>
            <w:rFonts w:ascii="Arial" w:hAnsi="Arial"/>
            <w:b w:val="false"/>
            <w:bCs w:val="false"/>
            <w:i w:val="false"/>
            <w:caps w:val="false"/>
            <w:smallCaps w:val="false"/>
            <w:strike w:val="false"/>
            <w:dstrike w:val="false"/>
            <w:color w:val="auto"/>
            <w:spacing w:val="0"/>
            <w:sz w:val="24"/>
            <w:szCs w:val="24"/>
            <w:highlight w:val="white"/>
            <w:u w:val="none"/>
            <w:effect w:val="none"/>
          </w:rPr>
          <w:t>https://foucault.info/documents/heterotopia/foucault.heteroTopia.en/</w:t>
        </w:r>
      </w:hyperlink>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Few heritage sites seem to sum up the oppositions described above as neatly as Stonehenge. An iconic site used in a variety of ways, a world heritage site as well as a national one, and described as the “flagship” of English Heritage’s portfolio of sites and properties managed “…..for the nation”, even as the literature and interpretation at the site reflect it’s British, rather than English, contributions and content. There are a variety of tensions and aspects to Stonehenge which make it a fascinating site to critically analyse how it has engaged with representation and interpretation of the physical past and cultural inheritance. A new visitor centre and exhibition mean it is both ancient monument and cutting edge heritage practice simultaneously, perhaps a hetratopia in itself, given it’s context within the archaeology of the surrounding area, rich in </w:t>
      </w:r>
      <w:r>
        <w:rPr>
          <w:rFonts w:ascii="Arial" w:hAnsi="Arial"/>
          <w:b w:val="false"/>
          <w:bCs w:val="false"/>
          <w:i w:val="false"/>
          <w:caps w:val="false"/>
          <w:smallCaps w:val="false"/>
          <w:strike w:val="false"/>
          <w:dstrike w:val="false"/>
          <w:color w:val="auto"/>
          <w:spacing w:val="0"/>
          <w:sz w:val="24"/>
          <w:szCs w:val="24"/>
          <w:highlight w:val="white"/>
          <w:u w:val="none"/>
          <w:effect w:val="none"/>
        </w:rPr>
        <w:t>prehistoric</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sites. </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Stonehenge meets all 6 of Foucault’s principles of heteratopic space, and this is reflected in the way the site has been represented to potential audiences and in the way the physical evidence of the site has been interpreted for visitors.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In order to consider the representation and interpretation of the site, we first need to establish what is physically there. Stonehenge is a composition of prehistoric earthworks and monuments which in the phrasing of it’s UNESCO listing “...</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is one of the most impressive prehistoric megalithic monuments in the world on account of the sheer size of its megaliths, the sophistication of its concentric plan and architectural design, the shaping of the stones - uniquely using both Wiltshire Sarsen sandstone and Pembroke Bluestone - and the precision with which it was built.” As well as the famous stones themselves, Stonehenge’s listing also includes “the Avenue, the Cursuses, Durrington Walls, Woodhenge, and the densest concentration of burial mounds in Britain”1.</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w:t>
      </w:r>
      <w:r>
        <w:rPr>
          <w:rFonts w:ascii="Arial" w:hAnsi="Arial"/>
          <w:b w:val="false"/>
          <w:bCs w:val="false"/>
          <w:i w:val="false"/>
          <w:caps w:val="false"/>
          <w:smallCaps w:val="false"/>
          <w:strike w:val="false"/>
          <w:dstrike w:val="false"/>
          <w:color w:val="auto"/>
          <w:spacing w:val="0"/>
          <w:sz w:val="24"/>
          <w:szCs w:val="24"/>
          <w:highlight w:val="white"/>
          <w:u w:val="none"/>
          <w:effect w:val="none"/>
        </w:rPr>
        <w:t>As a visitor attraction, it consists of a large modern visitor centre built in 2013, comprising of an exhibition space, model huts, cafe and shop. Facilities include buses to the stones themselves, audio guides in various languages, and diff</w:t>
      </w:r>
      <w:r>
        <w:rPr>
          <w:rFonts w:ascii="Arial" w:hAnsi="Arial"/>
          <w:b w:val="false"/>
          <w:bCs w:val="false"/>
          <w:i w:val="false"/>
          <w:caps w:val="false"/>
          <w:smallCaps w:val="false"/>
          <w:strike w:val="false"/>
          <w:dstrike w:val="false"/>
          <w:color w:val="auto"/>
          <w:spacing w:val="0"/>
          <w:sz w:val="24"/>
          <w:szCs w:val="24"/>
          <w:highlight w:val="white"/>
          <w:u w:val="none"/>
          <w:effect w:val="none"/>
        </w:rPr>
        <w:t>e</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rentiated resources and presentation to cater for international visitors and some ALN and disability. Events are also run to enhance visitor experience regarding different aspects of the site. Visitor flow through the visitor centre and to the stones is fluid, the visitor able to choose which aspect of the site to investigate and the order in which to do so, though there is a booking system that requires visitors to book a time slot to visit, and specified visiting hours. Thought has clearly been expended in expediting visitors through the admin of getting tickets in order to concentrate on engaging with and experiencing the site.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In some respects, this gated entry directing people to choose how they can experience the past on the site is an example of </w:t>
      </w:r>
      <w:r>
        <w:rPr>
          <w:rFonts w:ascii="Arial" w:hAnsi="Arial"/>
          <w:b w:val="false"/>
          <w:bCs w:val="false"/>
          <w:i w:val="false"/>
          <w:caps w:val="false"/>
          <w:smallCaps w:val="false"/>
          <w:strike w:val="false"/>
          <w:dstrike w:val="false"/>
          <w:color w:val="auto"/>
          <w:spacing w:val="0"/>
          <w:sz w:val="24"/>
          <w:szCs w:val="24"/>
          <w:highlight w:val="white"/>
          <w:u w:val="none"/>
          <w:effect w:val="none"/>
        </w:rPr>
        <w:t>Foucault’s first principle of heterotopia, in that it is creating an entry point into ‘other’ space. Although not at what Foucault would determine a crisis point, it is a guided entry into a place regarded as mystical, spiritual and very much anchored in the past rather than the present. The whole premise is to step away from the contemporary world to engage with the prehistoric space. From the moment tickets are booked or bought, there are rituals to be observed in order to enter the space, albeit they seem rather mundane when compared to processing along The Avenue, or awaiting a defining moment at Solstice. At Stonehenge,  visitors are processed into into the site effectively, with staff on hand and visible to help, something partly possibly by the stress on booking ahead and preparing for the visit in all the pre-visit visitor information. This measured access to the site ties in with Foucault’s 5</w:t>
      </w:r>
      <w:r>
        <w:rPr>
          <w:rFonts w:ascii="Arial" w:hAnsi="Arial"/>
          <w:b w:val="false"/>
          <w:bCs w:val="false"/>
          <w:i w:val="false"/>
          <w:caps w:val="false"/>
          <w:smallCaps w:val="false"/>
          <w:strike w:val="false"/>
          <w:dstrike w:val="false"/>
          <w:color w:val="auto"/>
          <w:spacing w:val="0"/>
          <w:sz w:val="24"/>
          <w:szCs w:val="24"/>
          <w:highlight w:val="white"/>
          <w:u w:val="none"/>
          <w:effect w:val="none"/>
          <w:vertAlign w:val="superscript"/>
        </w:rPr>
        <w:t>th</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principle of heterotopia.</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Stonehenge is a place of ancient burials, and as such meets </w:t>
      </w:r>
      <w:r>
        <w:rPr>
          <w:rFonts w:ascii="Arial" w:hAnsi="Arial"/>
          <w:b w:val="false"/>
          <w:bCs w:val="false"/>
          <w:i w:val="false"/>
          <w:caps w:val="false"/>
          <w:smallCaps w:val="false"/>
          <w:strike w:val="false"/>
          <w:dstrike w:val="false"/>
          <w:color w:val="auto"/>
          <w:spacing w:val="0"/>
          <w:sz w:val="24"/>
          <w:szCs w:val="24"/>
          <w:highlight w:val="white"/>
          <w:u w:val="none"/>
          <w:effect w:val="none"/>
        </w:rPr>
        <w:t>F</w:t>
      </w:r>
      <w:r>
        <w:rPr>
          <w:rFonts w:ascii="Arial" w:hAnsi="Arial"/>
          <w:b w:val="false"/>
          <w:bCs w:val="false"/>
          <w:i w:val="false"/>
          <w:caps w:val="false"/>
          <w:smallCaps w:val="false"/>
          <w:strike w:val="false"/>
          <w:dstrike w:val="false"/>
          <w:color w:val="auto"/>
          <w:spacing w:val="0"/>
          <w:sz w:val="24"/>
          <w:szCs w:val="24"/>
          <w:highlight w:val="white"/>
          <w:u w:val="none"/>
          <w:effect w:val="none"/>
        </w:rPr>
        <w:t>oucault’s second principle, being both part of and disconnected from it’s culture.</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Currently hugely disconnected from the culture of those buried there by sheer time, we know little about the different cultures of the people who constructed the site at various points in terms of spiritual belief. The interpretation presented to visitors plays on this sense of not knowing, stressing the sense of a special ‘other’ space, without defining it. In many respects, a lot of the representation of the site invokes ‘other’.  We don’t know the purpose of the site, and the archaeology can only take us so far. English Heritage has played on this sense of mystery very well, displaying different facets of prehistorical evidence found at the site and setting it in archaeological and chronological context, while asking questions rather than drawing conclusions or informing visitors of definitions. As a method of engagement it is a good one to encourage people to still think about and engage with the site after they’ve left, and if you’re cynical, one that might encourage visitors to buy books on the subject before they go. Driving secondary spend as well as footfall is a necessary imperative in terms of managing heritage sites, as the nature of funding has changed greatly over the last two decades, and the way in which heritage is seen as valuable and worth investment has also changed. As a world heritage site, Stonehenge has more protection than other places, but equally, English Heritage has a stated aim of becoming financially independent by 2023, and as has been pointed out by Christopher Chippendale, Stonehenge is a flagship site for English Heritage, which also carries it’s own challenges in terms of preservation and conservation of the heritage site and the area surrounding it which makes up the rest of the UNESCO listing. The juxtaposition of different visitor experiences, tension between it’s role as an organisational heritage commodity as well as an area rich in prehistory and a world heritage site plays into Foucault’s third principle of heteratopia, in that it is essentially several places at once. Deemed a national treasure, with attempts to protect it as such such starting from the 19</w:t>
      </w:r>
      <w:r>
        <w:rPr>
          <w:rFonts w:ascii="Arial" w:hAnsi="Arial"/>
          <w:b w:val="false"/>
          <w:bCs w:val="false"/>
          <w:i w:val="false"/>
          <w:caps w:val="false"/>
          <w:smallCaps w:val="false"/>
          <w:strike w:val="false"/>
          <w:dstrike w:val="false"/>
          <w:color w:val="auto"/>
          <w:spacing w:val="0"/>
          <w:sz w:val="24"/>
          <w:szCs w:val="24"/>
          <w:highlight w:val="white"/>
          <w:u w:val="none"/>
          <w:effect w:val="none"/>
          <w:vertAlign w:val="superscript"/>
        </w:rPr>
        <w:t>th</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century, Stonehenge was constructed over a period predating modern understanding of nation states. It may be seen by many as a national icon, but it’s very hard to establish what it’s an icon of, as everyone has a slightly different if overlapping impression of it. It as much belongs to the overseas visitors as anyone else, as the construction techniques and likely spiritual and cultural motives are as relevant to other nations as ours. In that sense, Stonehenge is a far bigger space than initially appears, as it encompasses this huge sense of multi geographic relevance. The journey within the heritage space of Stonehenge involves translocation to common ground of shared rather than national heritage, which by definition excludes anyone not of the ‘nation’ perceived to own the heritage in question. In this respect, where shared spaces overlap, it illustrates the 6</w:t>
      </w:r>
      <w:r>
        <w:rPr>
          <w:rFonts w:ascii="Arial" w:hAnsi="Arial"/>
          <w:b w:val="false"/>
          <w:bCs w:val="false"/>
          <w:i w:val="false"/>
          <w:caps w:val="false"/>
          <w:smallCaps w:val="false"/>
          <w:strike w:val="false"/>
          <w:dstrike w:val="false"/>
          <w:color w:val="auto"/>
          <w:spacing w:val="0"/>
          <w:sz w:val="24"/>
          <w:szCs w:val="24"/>
          <w:highlight w:val="white"/>
          <w:u w:val="none"/>
          <w:effect w:val="none"/>
          <w:vertAlign w:val="superscript"/>
        </w:rPr>
        <w:t>th</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principle of Foucault's theory of heterotopia, and one of it’s most interesting aspects, as the site retains function to all the different experiences and spaces layered within it by visitor and public experience and understanding, allowing physical and metaphysical space for those experiences to occur in.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Those using the site can be roughly divided into likely groups. You have visitors ‘doing’ famous monuments, some of whom will have been told they will find the site interesting rather than choosing it directly.  You have people visiting interested in the archaeology and history of the site, you have people for whom the site holds spiritual relevance, and those who are doing a day trip to entertain or educate guests or children. There will be people who fit into more than one category, and people who fit into none, but that seems to be roughly the expectation of English Heritage based on the nature of the interpretation offered at the visitor centre. It is also apparent they are very aware of and prepared for their international visitors. Audio tours and guide books are available in 14 different languages, reflecting the demographic of their visitors, and there are timelines repeated within the exhibition which show the development of Stonehenge in it’s local and international context, indicating where comparable sites of significance were built. This is interesting in and of itself as historical context, but it also helps embed Stonehenge on a broader stage than Salisbury Plain. </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In keeping with this inclusive approach, there are a number of strategies employed to promote access for those who may have physical difficulties accessing material or ALN. The audio digital display running on a loop in a section of the exhibition space has 4 displays surrounding a central point. On all of them, the voice-over is accompanied by B.S.L, which would for the most part also be accessible to speakers of A.S.L. Some terms are different, but there are a lot of similarities. Discussing this on site with members of staff, here are text versions of all audio available, and models of the stones to enable partially sighted or blind visitors to literally get a feel for them. I’m told they were also teaching staff basic B.S.L. until fairly recently. Impressive as all this is, and it’s streets ahead in terms of provision for many sites, none of this is made clear in the promotional material, or pre-visit information. You would need to contact English Heritage on site to make enquiries if there was anything available, which could be off putting to many who may otherwise have visited. It is not as inclusive as it initially  appears, for all the good things happening there. An additional point is that for the Deaf community, English is not necessarily their first language, B.S.L may be, and dense quantiess of text can be off putting and difficult to read. Especially given visual impairment can often go hand in hand with hearing impairment. The inclusion of B.S.L. as a matter of course is very encouraging though, and from discussions with staff members, something they’re looking to build on to promote broader access. It is worth noting though, the text presented within the display is short, clearly laid out with regards to artefacts where relevant, and informative. It focusses on archaeological finds and evidence to build up an impression of those who built and used the site before it fell into disrepair, and explains a little about the burials and movement of the stones, as well as their currant use a as a focal point for solstice and equinoctial festivals both in the past and currently.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As mentioned, the interpretation has been created and disseminated by English Heritage, who as well as having a great deal of professional expertise in the field, also have a corporate element to their presentation. Their marketing and publicity is very cohesive, and in some areas very comprehensive. If you were studying the archaeology of the area you would find more information on the website than at the exhibition, as you can download reports of surveys, and explore the site within its surrounding sites to get an oversight in a way difficult to achieve on the ground.</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The interpretation in the visitor centre seems to be looking to share a glossed rather than detailed understanding. This is possibly partly as we still have a lot to understand, but may also be in part because the mystery of Stonehenge is part of it’s glamour. It may also play into the sense of visitor experience that English Heritage have stated as an aim, rather than the focus being to convey dense material requiring a specific type of education to access. The experience and mystery is the thing to take away, not a grounding in prehistoric history.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In this respect, English Heritage are being very specific in who they’re addressing. It’s not an audience they anticipate being knowledgable about the archaeology of the environment, but people looking to experience Stonehenge as a liminal space, as a heteratopia, where they can step through and explore what things might have been, and windows into how people may have lived.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Various </w:t>
      </w:r>
      <w:r>
        <w:rPr>
          <w:rFonts w:ascii="Arial" w:hAnsi="Arial"/>
          <w:b w:val="false"/>
          <w:bCs w:val="false"/>
          <w:i w:val="false"/>
          <w:caps w:val="false"/>
          <w:smallCaps w:val="false"/>
          <w:strike w:val="false"/>
          <w:dstrike w:val="false"/>
          <w:color w:val="auto"/>
          <w:spacing w:val="0"/>
          <w:sz w:val="24"/>
          <w:szCs w:val="24"/>
          <w:highlight w:val="white"/>
          <w:u w:val="none"/>
          <w:effect w:val="none"/>
        </w:rPr>
        <w:t>strategies</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have been used to achieve the nature of this display. Re enactment workshops and events literally providing a flavour of the past, and the skills used, static and digital displays </w:t>
      </w:r>
      <w:r>
        <w:rPr>
          <w:rFonts w:ascii="Arial" w:hAnsi="Arial"/>
          <w:b w:val="false"/>
          <w:bCs w:val="false"/>
          <w:i w:val="false"/>
          <w:caps w:val="false"/>
          <w:smallCaps w:val="false"/>
          <w:strike w:val="false"/>
          <w:dstrike w:val="false"/>
          <w:color w:val="auto"/>
          <w:spacing w:val="0"/>
          <w:sz w:val="24"/>
          <w:szCs w:val="24"/>
          <w:highlight w:val="white"/>
          <w:u w:val="none"/>
          <w:effect w:val="none"/>
        </w:rPr>
        <w:t>using text, imagery and artefacts</w:t>
      </w:r>
      <w:r>
        <w:rPr>
          <w:rFonts w:ascii="Arial" w:hAnsi="Arial"/>
          <w:b w:val="false"/>
          <w:bCs w:val="false"/>
          <w:i w:val="false"/>
          <w:caps w:val="false"/>
          <w:smallCaps w:val="false"/>
          <w:strike w:val="false"/>
          <w:dstrike w:val="false"/>
          <w:color w:val="auto"/>
          <w:spacing w:val="0"/>
          <w:sz w:val="24"/>
          <w:szCs w:val="24"/>
          <w:highlight w:val="white"/>
          <w:u w:val="none"/>
          <w:effect w:val="none"/>
        </w:rPr>
        <w:t>, and temporary exhibitions. The current one invit</w:t>
      </w:r>
      <w:r>
        <w:rPr>
          <w:rFonts w:ascii="Arial" w:hAnsi="Arial"/>
          <w:b w:val="false"/>
          <w:bCs w:val="false"/>
          <w:i w:val="false"/>
          <w:caps w:val="false"/>
          <w:smallCaps w:val="false"/>
          <w:strike w:val="false"/>
          <w:dstrike w:val="false"/>
          <w:color w:val="auto"/>
          <w:spacing w:val="0"/>
          <w:sz w:val="24"/>
          <w:szCs w:val="24"/>
          <w:highlight w:val="white"/>
          <w:u w:val="none"/>
          <w:effect w:val="none"/>
        </w:rPr>
        <w:t>es</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people to share family photos of visiting the stones, and </w:t>
      </w:r>
      <w:r>
        <w:rPr>
          <w:rFonts w:ascii="Arial" w:hAnsi="Arial"/>
          <w:b w:val="false"/>
          <w:bCs w:val="false"/>
          <w:i w:val="false"/>
          <w:caps w:val="false"/>
          <w:smallCaps w:val="false"/>
          <w:strike w:val="false"/>
          <w:dstrike w:val="false"/>
          <w:color w:val="auto"/>
          <w:spacing w:val="0"/>
          <w:sz w:val="24"/>
          <w:szCs w:val="24"/>
          <w:highlight w:val="white"/>
          <w:u w:val="none"/>
          <w:effect w:val="none"/>
        </w:rPr>
        <w:t>has</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curat</w:t>
      </w:r>
      <w:r>
        <w:rPr>
          <w:rFonts w:ascii="Arial" w:hAnsi="Arial"/>
          <w:b w:val="false"/>
          <w:bCs w:val="false"/>
          <w:i w:val="false"/>
          <w:caps w:val="false"/>
          <w:smallCaps w:val="false"/>
          <w:strike w:val="false"/>
          <w:dstrike w:val="false"/>
          <w:color w:val="auto"/>
          <w:spacing w:val="0"/>
          <w:sz w:val="24"/>
          <w:szCs w:val="24"/>
          <w:highlight w:val="white"/>
          <w:u w:val="none"/>
          <w:effect w:val="none"/>
        </w:rPr>
        <w:t>ed</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them chronologically, allowing the visitor to look at how attitudes to visiting heritage monuments, in particular Stonehenge, have changed over the years. It is very much about the viewers gaze, </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and the different levels and types of connections within it.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However, despite being motivated to broaden access and attract new audiences, and despite the shared experience the management of the site promotes, there are some troubling details which suggest that there is a certain level of blindness and exclusion in the way Stonehenge is managed as a heritage site. Already mentioned are the ALN provisions which have to be asked for rather than simply accessed. Something that people won’t always do in a society that sees difference as less, as it lessens the expectation of being included or reaching into a space where </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navigating solutions can be as complicated as navigating without them. Part of that is to do with expectations on both sides of the divide, part of it is simply exhaustion, or learning to pick your fights. Despite the DDA, passed in 1995 and the Equality Act passed in 2010, there is still a long way to go to put difference in terms of disabilty or ALN simply as part and parcel rather than an extra in terms of audience provision. Stonehenge is one of the better examples of trying to change this, but while some things are flagged, much of it you only find out by approaching and talking to staff at the site. This is one aspect that seems indicative of expectations of who will access the site. It is, for example, possible to download the audio tour onto your own device to save queueing on site. But this app is only available for iPhones and other apple devices, indicating an assumption that people will have access to the latest, and most expensive tech. There may be reasons that the audio tour was presented as an iPad/phone app, but Apple devices are more expensive than others, and this only allows the relatively privileged to use it. This seems to be an issue endemic within heritage organisations. Another example is Cadw’s much vaunted dragon finding app, which only works on the latest device models, excluding a substantial number of people from being able to access it. The drive seems to be to present a clever app, rather than ensuring that app is available to all visitors on an even footing.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Other details which are more complicated than initially appear include a lack of differentiation for younger or much older visitors. At no point either on the website or on site did I see activities aimed at children, though I understand from staff that events are geared towards them. In contrast, the National Trust is quite good at creating children’s activities, and Avebury is significantly more child friendly as a site, despite being spread out over a much larger area. </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Avebury also uses a wider variety of methods to engage and attract its visitors to different parts of the site, from using interactive tech stations to using interactive models that may manipulated to things as simple as lifting flaps or turning pages. Some of this is simply low tech and cost effective, but it is effective, and perhaps more encompassing than the shock and awe of entering the exhibition space of Stone henge, through the circular space with digital changing representations of the stones at different times of day and year, towards the three huge boards framed in the opposing doorway. It;s clever and dramatic design, but it doesn’t draw the visitor to do anything other than watch, read or listen, making it quite a passive visitor experience. That’s not to say engagement isn’t encouraged elsewhere, such as the photo exhibition, or feeling the models of 3 different stages of development. But in the hour of wandering observing how people interacted with the exhibit, very few people actually touched them. West’s vehement argument about access to Stonehenge may have been tempered with shifting time and attitudes, but there certainly still seems to be a very curated set of responses drawn from visitors, as well as curated display.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It’s also interesting that while Stonehenge periodically acknowledges and mentions Avebury within context of it’s world heritage status, and it;s archaeological context, Avebury doesn’t. There is one mention on the National Trust website, and one mention on site. In a ring binder under a display, on the third page. The UNESCO listing discusses them in relation to each other as being part of a historic landscape and set of man-made constructions worth preserving and study, but the two institutions responsible for running them seem intent on presenting them very separately, even though they work together at Stonehenge in various capacities. This might be seen as a logistical issue, both sites being complex in and of themselves, it may be seen as a marketing issue, or possibly even a competition for visitors issue. But given they sell books about Aubrey and Stonehenge in the gift shop at Avebury, despite there being no apparent reason to do so across most of the interpretation, it does stand out as slightly odd, once you’ve noticed it. There seems to be a dislocation in terms of recognising the sites as being simultaneously local, national and global heritage. It is also noticeable that both sites present similar history and information with very different foci. The Avebury site contains the manor house lived in by Alexander Bierkeller, who contributed a great deal to the understanding of Avebury’s stone circles, and the focus is on the people who used and explored the site. Possibly because the stone circles are so vast it is hard to encompass them. However it is a narrative that the National Trust often does well, and while it may feel a little corporate at times in terms of publicity and promotion, it is an engaging site. In contrast to this, Stonehenge can feel a little distanced from visitors. The site is about the stones, with people only mentioned  creating, arranging, and viewing the stones. Having said that, Stonehenge is not a dwelling, nor, as far as we know, has it ever been one. The two places might hold equal worth in the eyes of UNESCO, but they have played very different functions since throughout the millenia, one remaining remote in the middle of farming land, the other with a village, church and manor as a focal point. They may share prehistory, and as a result, the interest of the same archaeologists, but they do not share the same historical narrative beyond that prehistory, despite similarities in things such as people trying to move or destroy the stones.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In terms of curation and national heritage, this is where being a world heritage site, with all the attendant expectations and demands in terms of management and conservation can be at odds with practical needs on the ground. Whatever the criticisms, and there are many, of commodifying heritage, in the currant climate it is an imperative. To be in a position to conserve and convey physical and cultural heritage, we need to be able to afford its upkeep, financially and socially. It has become a balancing act between presenting heritage, which Lownthall, Benton and others would argue is mutable as societal values shift anyway, and creating a product which will drive footfall and keep the site open, and consequently available as heritage for future generations (hopefully). Commodification of our own heritage isn’t necessarily a bad thing, if it means the bones of the inheritance, be they seen as cultural, physical, spiritual, common to all or only to a specific group, survive. At the end of the day, much of heritage is about how we identify it. It’s about the stories we tell and why we tell them, and those narratives are always going to shift over time. Heritage and history may have grown from the same roots as academic disciplines, but they’re not the same thing. Selective fact selection is part of any narrative and it doesn’t have to be inaccurate, or political. </w:t>
      </w:r>
      <w:r>
        <w:rPr>
          <w:rFonts w:ascii="Arial" w:hAnsi="Arial"/>
          <w:b w:val="false"/>
          <w:bCs w:val="false"/>
          <w:i w:val="false"/>
          <w:caps w:val="false"/>
          <w:smallCaps w:val="false"/>
          <w:strike w:val="false"/>
          <w:dstrike w:val="false"/>
          <w:color w:val="auto"/>
          <w:spacing w:val="0"/>
          <w:sz w:val="24"/>
          <w:szCs w:val="24"/>
          <w:highlight w:val="white"/>
          <w:u w:val="none"/>
          <w:effect w:val="none"/>
        </w:rPr>
        <w:t>It can be pragmatic or logistical as much as political. It</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has huge potential for abuse, as does anything that works on emotive/nostalgic/personal response can be, but </w:t>
      </w:r>
      <w:r>
        <w:rPr>
          <w:rFonts w:ascii="Arial" w:hAnsi="Arial"/>
          <w:b w:val="false"/>
          <w:bCs w:val="false"/>
          <w:i w:val="false"/>
          <w:caps w:val="false"/>
          <w:smallCaps w:val="false"/>
          <w:strike w:val="false"/>
          <w:dstrike w:val="false"/>
          <w:color w:val="auto"/>
          <w:spacing w:val="0"/>
          <w:sz w:val="24"/>
          <w:szCs w:val="24"/>
          <w:highlight w:val="white"/>
          <w:u w:val="none"/>
          <w:effect w:val="none"/>
        </w:rPr>
        <w:t>that doesn’t automatically mean that abuse will happen</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The requirements </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that UNESCO recommended, such as rebuilding the heritage centre and moving the road may have contributed to protecting Stonehenge as a world heritage site, but it also dislocated it from it’s local history by removing things which had grown up as part of its surroundings over the years. It imposes a duality on the site that almost requires an absence of identity with the heritage presented, making it other, rather than shared heritage.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In many respects, this takes us back to heterotopias. For any heritage site, as has been discussed by various authors, often in the context of museums, they are dealing with hetrotopic spaces, because they are dealing with deciphering a path through providing information, providing a service, and providing something that their visitors can relate to and engage with. Broadly speaking everyone has a slightly different way of engaging and internalising that. For Stonehenge it almost has too many spaces to contend with, which present practical issues of conservation, but also of communication and engagement. It’s iconic status allows it to raise awareness of English Heritage and the work they do, it makes it a destination where overseas visitors, having enjoyed a visit there, may look to other English Heritage sites to visit. This may also happen with domestic visitors. But it also makes it something to put on a tick list of destinations, rather than appreciating the context and nature of the site. It objectifies it in a way that makes access to the heritage aspect of the site, rather than physical presence on it, complicated to predict and work with. There is no doubt that Stonehenge is presented in such a way that some people are excluded from aspects of it. But I would argue this is done for practical, rather than the sinister political shenanigans suggested by West.  That may have been the case, but currently it seems more about managing the sheer number of people moving through the site looking for a mystery. And that’s what the interpretation gives them. It can’t represent everyone, however big it’s heritage centre. It can’t interpret all the information in detail and target its hetertopic audiences effectively, because there is simultaneously too much and too little detail to provide. What it does do is suggest ways in so different audiences can find their own paths through. It is a grandiose visitor experience, and there is a little shock and awe masking a passive top down experience for most visitors, but managing the footfall means conserving the stones and surrounding archaeology, as much as it means driving revenue. Assumptions about audience seem to be financial, rather than political. Though it might be argued that anything to do with finance is political in nature. But when we deal with heritage, particularly shared heritage which transcends geographical space, intention is as important as result. Results can be improved as different possibilities and awareness’ come into play, but intention is critical. As far as I can see, the intention at Stonehenge is to make it available to as many people as possible, while attempting to meet the demands placed on English Heritage as stewards of vulnerable sites, and by external expectations. The currant visitor centre was deemed a good thing internationally. Closing a road used by a considerable number of people seen as less good locally. </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In many respects as a heritage site the interpretation at Stonehenge reflects engagement with objects, primarily the stones, set in a spiritual or mysterious scene. Perhaps in keeping with such an amalgamation of heterotopia, this seems to represent both everyone and no one simultaneously.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b/>
          <w:bCs/>
          <w:i w:val="false"/>
          <w:caps w:val="false"/>
          <w:smallCaps w:val="false"/>
          <w:strike w:val="false"/>
          <w:dstrike w:val="false"/>
          <w:color w:val="auto"/>
          <w:spacing w:val="0"/>
          <w:sz w:val="24"/>
          <w:szCs w:val="24"/>
          <w:highlight w:val="white"/>
          <w:u w:val="single"/>
          <w:effect w:val="none"/>
        </w:rPr>
      </w:pPr>
      <w:r>
        <w:rPr>
          <w:rFonts w:ascii="Arial" w:hAnsi="Arial"/>
          <w:b/>
          <w:bCs/>
          <w:i w:val="false"/>
          <w:caps w:val="false"/>
          <w:smallCaps w:val="false"/>
          <w:strike w:val="false"/>
          <w:dstrike w:val="false"/>
          <w:color w:val="auto"/>
          <w:spacing w:val="0"/>
          <w:sz w:val="24"/>
          <w:szCs w:val="24"/>
          <w:highlight w:val="white"/>
          <w:u w:val="single"/>
          <w:effect w:val="none"/>
        </w:rPr>
      </w:r>
    </w:p>
    <w:p>
      <w:pPr>
        <w:pStyle w:val="Normal"/>
        <w:bidi w:val="0"/>
        <w:spacing w:lineRule="auto" w:line="432"/>
        <w:ind w:left="0" w:right="0" w:hanging="0"/>
        <w:jc w:val="both"/>
        <w:rPr>
          <w:rFonts w:ascii="Arial" w:hAnsi="Arial"/>
          <w:b/>
          <w:b/>
          <w:bCs/>
          <w:i w:val="false"/>
          <w:caps w:val="false"/>
          <w:smallCaps w:val="false"/>
          <w:strike w:val="false"/>
          <w:dstrike w:val="false"/>
          <w:color w:val="auto"/>
          <w:spacing w:val="0"/>
          <w:sz w:val="24"/>
          <w:szCs w:val="24"/>
          <w:highlight w:val="white"/>
          <w:u w:val="single"/>
          <w:effect w:val="none"/>
        </w:rPr>
      </w:pPr>
      <w:r>
        <w:rPr>
          <w:rFonts w:ascii="Arial" w:hAnsi="Arial"/>
          <w:b/>
          <w:bCs/>
          <w:i w:val="false"/>
          <w:caps w:val="false"/>
          <w:smallCaps w:val="false"/>
          <w:strike w:val="false"/>
          <w:dstrike w:val="false"/>
          <w:color w:val="auto"/>
          <w:spacing w:val="0"/>
          <w:sz w:val="24"/>
          <w:szCs w:val="24"/>
          <w:highlight w:val="white"/>
          <w:u w:val="single"/>
          <w:effect w:val="none"/>
        </w:rPr>
      </w:r>
    </w:p>
    <w:p>
      <w:pPr>
        <w:pStyle w:val="Normal"/>
        <w:bidi w:val="0"/>
        <w:spacing w:lineRule="auto" w:line="432"/>
        <w:ind w:left="0" w:right="0" w:hanging="0"/>
        <w:jc w:val="both"/>
        <w:rPr>
          <w:rFonts w:ascii="Arial" w:hAnsi="Arial"/>
          <w:b/>
          <w:b/>
          <w:bCs/>
          <w:i w:val="false"/>
          <w:caps w:val="false"/>
          <w:smallCaps w:val="false"/>
          <w:strike w:val="false"/>
          <w:dstrike w:val="false"/>
          <w:color w:val="auto"/>
          <w:spacing w:val="0"/>
          <w:sz w:val="24"/>
          <w:szCs w:val="24"/>
          <w:highlight w:val="white"/>
          <w:u w:val="single"/>
          <w:effect w:val="none"/>
        </w:rPr>
      </w:pPr>
      <w:r>
        <w:rPr>
          <w:rFonts w:ascii="Arial" w:hAnsi="Arial"/>
          <w:b/>
          <w:bCs/>
          <w:i w:val="false"/>
          <w:caps w:val="false"/>
          <w:smallCaps w:val="false"/>
          <w:strike w:val="false"/>
          <w:dstrike w:val="false"/>
          <w:color w:val="auto"/>
          <w:spacing w:val="0"/>
          <w:sz w:val="24"/>
          <w:szCs w:val="24"/>
          <w:highlight w:val="white"/>
          <w:u w:val="single"/>
          <w:effect w:val="none"/>
        </w:rPr>
      </w:r>
    </w:p>
    <w:p>
      <w:pPr>
        <w:pStyle w:val="Normal"/>
        <w:bidi w:val="0"/>
        <w:spacing w:lineRule="auto" w:line="432"/>
        <w:ind w:left="0" w:right="0" w:hanging="0"/>
        <w:jc w:val="both"/>
        <w:rPr>
          <w:rFonts w:ascii="Arial" w:hAnsi="Arial"/>
          <w:b/>
          <w:b/>
          <w:bCs/>
          <w:i w:val="false"/>
          <w:caps w:val="false"/>
          <w:smallCaps w:val="false"/>
          <w:strike w:val="false"/>
          <w:dstrike w:val="false"/>
          <w:color w:val="auto"/>
          <w:spacing w:val="0"/>
          <w:sz w:val="24"/>
          <w:szCs w:val="24"/>
          <w:highlight w:val="white"/>
          <w:u w:val="single"/>
          <w:effect w:val="none"/>
        </w:rPr>
      </w:pPr>
      <w:r>
        <w:rPr>
          <w:rFonts w:ascii="Arial" w:hAnsi="Arial"/>
          <w:b/>
          <w:bCs/>
          <w:i w:val="false"/>
          <w:caps w:val="false"/>
          <w:smallCaps w:val="false"/>
          <w:strike w:val="false"/>
          <w:dstrike w:val="false"/>
          <w:color w:val="auto"/>
          <w:spacing w:val="0"/>
          <w:sz w:val="24"/>
          <w:szCs w:val="24"/>
          <w:highlight w:val="white"/>
          <w:u w:val="single"/>
          <w:effect w:val="none"/>
        </w:rPr>
      </w:r>
    </w:p>
    <w:p>
      <w:pPr>
        <w:pStyle w:val="Normal"/>
        <w:bidi w:val="0"/>
        <w:spacing w:lineRule="auto" w:line="432"/>
        <w:ind w:left="0" w:right="0" w:hanging="0"/>
        <w:jc w:val="both"/>
        <w:rPr>
          <w:rFonts w:ascii="Arial" w:hAnsi="Arial"/>
          <w:b/>
          <w:b/>
          <w:bCs/>
          <w:i w:val="false"/>
          <w:caps w:val="false"/>
          <w:smallCaps w:val="false"/>
          <w:strike w:val="false"/>
          <w:dstrike w:val="false"/>
          <w:color w:val="auto"/>
          <w:spacing w:val="0"/>
          <w:sz w:val="24"/>
          <w:szCs w:val="24"/>
          <w:highlight w:val="white"/>
          <w:u w:val="single"/>
          <w:effect w:val="none"/>
        </w:rPr>
      </w:pPr>
      <w:r>
        <w:rPr>
          <w:rFonts w:ascii="Arial" w:hAnsi="Arial"/>
          <w:b/>
          <w:bCs/>
          <w:i w:val="false"/>
          <w:caps w:val="false"/>
          <w:smallCaps w:val="false"/>
          <w:strike w:val="false"/>
          <w:dstrike w:val="false"/>
          <w:color w:val="auto"/>
          <w:spacing w:val="0"/>
          <w:sz w:val="24"/>
          <w:szCs w:val="24"/>
          <w:highlight w:val="white"/>
          <w:u w:val="single"/>
          <w:effect w:val="none"/>
        </w:rPr>
      </w:r>
    </w:p>
    <w:p>
      <w:pPr>
        <w:pStyle w:val="Normal"/>
        <w:bidi w:val="0"/>
        <w:spacing w:lineRule="auto" w:line="432"/>
        <w:ind w:left="0" w:right="0" w:hanging="0"/>
        <w:jc w:val="both"/>
        <w:rPr>
          <w:rFonts w:ascii="Arial" w:hAnsi="Arial"/>
          <w:b/>
          <w:b/>
          <w:bCs/>
          <w:i w:val="false"/>
          <w:caps w:val="false"/>
          <w:smallCaps w:val="false"/>
          <w:strike w:val="false"/>
          <w:dstrike w:val="false"/>
          <w:color w:val="auto"/>
          <w:spacing w:val="0"/>
          <w:sz w:val="24"/>
          <w:szCs w:val="24"/>
          <w:highlight w:val="white"/>
          <w:u w:val="single"/>
          <w:effect w:val="none"/>
        </w:rPr>
      </w:pPr>
      <w:r>
        <w:rPr>
          <w:rFonts w:ascii="Arial" w:hAnsi="Arial"/>
          <w:b/>
          <w:bCs/>
          <w:i w:val="false"/>
          <w:caps w:val="false"/>
          <w:smallCaps w:val="false"/>
          <w:strike w:val="false"/>
          <w:dstrike w:val="false"/>
          <w:color w:val="auto"/>
          <w:spacing w:val="0"/>
          <w:sz w:val="24"/>
          <w:szCs w:val="24"/>
          <w:highlight w:val="white"/>
          <w:u w:val="single"/>
          <w:effect w:val="none"/>
        </w:rPr>
      </w:r>
    </w:p>
    <w:p>
      <w:pPr>
        <w:pStyle w:val="Normal"/>
        <w:bidi w:val="0"/>
        <w:spacing w:lineRule="auto" w:line="432"/>
        <w:ind w:left="0" w:right="0" w:hanging="0"/>
        <w:jc w:val="both"/>
        <w:rPr>
          <w:rFonts w:ascii="Arial" w:hAnsi="Arial"/>
          <w:b/>
          <w:b/>
          <w:bCs/>
          <w:i w:val="false"/>
          <w:caps w:val="false"/>
          <w:smallCaps w:val="false"/>
          <w:strike w:val="false"/>
          <w:dstrike w:val="false"/>
          <w:color w:val="auto"/>
          <w:spacing w:val="0"/>
          <w:sz w:val="24"/>
          <w:szCs w:val="24"/>
          <w:highlight w:val="white"/>
          <w:u w:val="single"/>
          <w:effect w:val="none"/>
        </w:rPr>
      </w:pPr>
      <w:r>
        <w:rPr>
          <w:rFonts w:ascii="Arial" w:hAnsi="Arial"/>
          <w:b/>
          <w:bCs/>
          <w:i w:val="false"/>
          <w:caps w:val="false"/>
          <w:smallCaps w:val="false"/>
          <w:strike w:val="false"/>
          <w:dstrike w:val="false"/>
          <w:color w:val="auto"/>
          <w:spacing w:val="0"/>
          <w:sz w:val="24"/>
          <w:szCs w:val="24"/>
          <w:highlight w:val="white"/>
          <w:u w:val="single"/>
          <w:effect w:val="none"/>
        </w:rPr>
        <w:t>Bibliography</w:t>
      </w:r>
    </w:p>
    <w:p>
      <w:pPr>
        <w:pStyle w:val="Normal"/>
        <w:bidi w:val="0"/>
        <w:spacing w:lineRule="auto" w:line="432"/>
        <w:ind w:left="0" w:right="0" w:hanging="0"/>
        <w:jc w:val="both"/>
        <w:rPr>
          <w:rFonts w:ascii="Arial" w:hAnsi="Arial"/>
          <w:b/>
          <w:b/>
          <w:bCs/>
          <w:i w:val="false"/>
          <w:caps w:val="false"/>
          <w:smallCaps w:val="false"/>
          <w:strike w:val="false"/>
          <w:dstrike w:val="false"/>
          <w:color w:val="auto"/>
          <w:spacing w:val="0"/>
          <w:sz w:val="24"/>
          <w:szCs w:val="24"/>
          <w:highlight w:val="white"/>
          <w:u w:val="single"/>
          <w:effect w:val="none"/>
        </w:rPr>
      </w:pPr>
      <w:r>
        <w:rPr>
          <w:rFonts w:ascii="Arial" w:hAnsi="Arial"/>
          <w:b/>
          <w:bCs/>
          <w:i w:val="false"/>
          <w:caps w:val="false"/>
          <w:smallCaps w:val="false"/>
          <w:strike w:val="false"/>
          <w:dstrike w:val="false"/>
          <w:color w:val="auto"/>
          <w:spacing w:val="0"/>
          <w:sz w:val="24"/>
          <w:szCs w:val="24"/>
          <w:highlight w:val="white"/>
          <w:u w:val="singl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iCs/>
          <w:caps w:val="false"/>
          <w:smallCaps w:val="false"/>
          <w:strike w:val="false"/>
          <w:dstrike w:val="false"/>
          <w:color w:val="auto"/>
          <w:spacing w:val="0"/>
          <w:sz w:val="24"/>
          <w:szCs w:val="24"/>
          <w:highlight w:val="white"/>
          <w:u w:val="none"/>
          <w:effect w:val="none"/>
        </w:rPr>
        <w:t>Heritage Globalisation</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M. Askew,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iCs/>
          <w:caps w:val="false"/>
          <w:smallCaps w:val="false"/>
          <w:strike w:val="false"/>
          <w:dstrike w:val="false"/>
          <w:color w:val="auto"/>
          <w:spacing w:val="0"/>
          <w:sz w:val="24"/>
          <w:szCs w:val="24"/>
          <w:highlight w:val="white"/>
          <w:u w:val="none"/>
          <w:effect w:val="none"/>
        </w:rPr>
        <w:t>Contested Landscapes,</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B. Bender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iCs/>
          <w:caps w:val="false"/>
          <w:smallCaps w:val="false"/>
          <w:strike w:val="false"/>
          <w:dstrike w:val="false"/>
          <w:color w:val="auto"/>
          <w:spacing w:val="0"/>
          <w:sz w:val="24"/>
          <w:szCs w:val="24"/>
          <w:highlight w:val="white"/>
          <w:u w:val="none"/>
          <w:effect w:val="none"/>
        </w:rPr>
        <w:t>Stonehenge Complete</w:t>
      </w:r>
      <w:r>
        <w:rPr>
          <w:rFonts w:ascii="Arial" w:hAnsi="Arial"/>
          <w:b w:val="false"/>
          <w:bCs w:val="false"/>
          <w:i w:val="false"/>
          <w:caps w:val="false"/>
          <w:smallCaps w:val="false"/>
          <w:strike w:val="false"/>
          <w:dstrike w:val="false"/>
          <w:color w:val="auto"/>
          <w:spacing w:val="0"/>
          <w:sz w:val="24"/>
          <w:szCs w:val="24"/>
          <w:highlight w:val="white"/>
          <w:u w:val="none"/>
          <w:effect w:val="none"/>
        </w:rPr>
        <w:t>, C. Chippendale, Thames &amp; Hudson (2012)</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iCs/>
          <w:caps w:val="false"/>
          <w:smallCaps w:val="false"/>
          <w:strike w:val="false"/>
          <w:dstrike w:val="false"/>
          <w:color w:val="auto"/>
          <w:spacing w:val="0"/>
          <w:sz w:val="24"/>
          <w:szCs w:val="24"/>
          <w:highlight w:val="white"/>
          <w:u w:val="none"/>
          <w:effect w:val="none"/>
        </w:rPr>
        <w:t>The Heritage Industry: Britain in a Climate of Decline</w:t>
      </w:r>
      <w:r>
        <w:rPr>
          <w:rFonts w:ascii="Arial" w:hAnsi="Arial"/>
          <w:b w:val="false"/>
          <w:bCs w:val="false"/>
          <w:i w:val="false"/>
          <w:caps w:val="false"/>
          <w:smallCaps w:val="false"/>
          <w:strike w:val="false"/>
          <w:dstrike w:val="false"/>
          <w:color w:val="auto"/>
          <w:spacing w:val="0"/>
          <w:sz w:val="24"/>
          <w:szCs w:val="24"/>
          <w:highlight w:val="white"/>
          <w:u w:val="none"/>
          <w:effect w:val="none"/>
        </w:rPr>
        <w:t>, R Hewison, Methuen (1987)</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iCs/>
          <w:caps w:val="false"/>
          <w:smallCaps w:val="false"/>
          <w:strike w:val="false"/>
          <w:dstrike w:val="false"/>
          <w:color w:val="auto"/>
          <w:spacing w:val="0"/>
          <w:sz w:val="24"/>
          <w:szCs w:val="24"/>
          <w:highlight w:val="white"/>
          <w:u w:val="none"/>
          <w:effect w:val="none"/>
        </w:rPr>
        <w:t>The Heritage Crusade,</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D Lowenthal, C</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ambridge </w:t>
      </w:r>
      <w:r>
        <w:rPr>
          <w:rFonts w:ascii="Arial" w:hAnsi="Arial"/>
          <w:b w:val="false"/>
          <w:bCs w:val="false"/>
          <w:i w:val="false"/>
          <w:caps w:val="false"/>
          <w:smallCaps w:val="false"/>
          <w:strike w:val="false"/>
          <w:dstrike w:val="false"/>
          <w:color w:val="auto"/>
          <w:spacing w:val="0"/>
          <w:sz w:val="24"/>
          <w:szCs w:val="24"/>
          <w:highlight w:val="white"/>
          <w:u w:val="none"/>
          <w:effect w:val="none"/>
        </w:rPr>
        <w:t>U</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niversity </w:t>
      </w:r>
      <w:r>
        <w:rPr>
          <w:rFonts w:ascii="Arial" w:hAnsi="Arial"/>
          <w:b w:val="false"/>
          <w:bCs w:val="false"/>
          <w:i w:val="false"/>
          <w:caps w:val="false"/>
          <w:smallCaps w:val="false"/>
          <w:strike w:val="false"/>
          <w:dstrike w:val="false"/>
          <w:color w:val="auto"/>
          <w:spacing w:val="0"/>
          <w:sz w:val="24"/>
          <w:szCs w:val="24"/>
          <w:highlight w:val="white"/>
          <w:u w:val="none"/>
          <w:effect w:val="none"/>
        </w:rPr>
        <w:t>P</w:t>
      </w:r>
      <w:r>
        <w:rPr>
          <w:rFonts w:ascii="Arial" w:hAnsi="Arial"/>
          <w:b w:val="false"/>
          <w:bCs w:val="false"/>
          <w:i w:val="false"/>
          <w:caps w:val="false"/>
          <w:smallCaps w:val="false"/>
          <w:strike w:val="false"/>
          <w:dstrike w:val="false"/>
          <w:color w:val="auto"/>
          <w:spacing w:val="0"/>
          <w:sz w:val="24"/>
          <w:szCs w:val="24"/>
          <w:highlight w:val="white"/>
          <w:u w:val="none"/>
          <w:effect w:val="none"/>
        </w:rPr>
        <w:t>ress</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(2010)</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iCs/>
          <w:caps w:val="false"/>
          <w:smallCaps w:val="false"/>
          <w:strike w:val="false"/>
          <w:dstrike w:val="false"/>
          <w:color w:val="auto"/>
          <w:spacing w:val="0"/>
          <w:sz w:val="24"/>
          <w:szCs w:val="24"/>
          <w:highlight w:val="white"/>
          <w:u w:val="none"/>
          <w:effect w:val="none"/>
        </w:rPr>
        <w:t>Stonehenge,</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w:t>
      </w:r>
      <w:r>
        <w:rPr>
          <w:rFonts w:ascii="Arial" w:hAnsi="Arial"/>
          <w:b w:val="false"/>
          <w:bCs w:val="false"/>
          <w:i w:val="false"/>
          <w:caps w:val="false"/>
          <w:smallCaps w:val="false"/>
          <w:strike w:val="false"/>
          <w:dstrike w:val="false"/>
          <w:color w:val="auto"/>
          <w:spacing w:val="0"/>
          <w:sz w:val="24"/>
          <w:szCs w:val="24"/>
          <w:highlight w:val="white"/>
          <w:u w:val="none"/>
          <w:effect w:val="none"/>
        </w:rPr>
        <w:t>J. Richards</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English Heritage Guidebooks (</w:t>
      </w:r>
      <w:r>
        <w:rPr>
          <w:rFonts w:ascii="Arial" w:hAnsi="Arial"/>
          <w:b w:val="false"/>
          <w:bCs w:val="false"/>
          <w:i w:val="false"/>
          <w:caps w:val="false"/>
          <w:smallCaps w:val="false"/>
          <w:strike w:val="false"/>
          <w:dstrike w:val="false"/>
          <w:color w:val="auto"/>
          <w:spacing w:val="0"/>
          <w:sz w:val="24"/>
          <w:szCs w:val="24"/>
          <w:highlight w:val="white"/>
          <w:u w:val="none"/>
          <w:effect w:val="none"/>
        </w:rPr>
        <w:t>2017)</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iCs/>
          <w:caps w:val="false"/>
          <w:smallCaps w:val="false"/>
          <w:strike w:val="false"/>
          <w:dstrike w:val="false"/>
          <w:color w:val="auto"/>
          <w:spacing w:val="0"/>
          <w:sz w:val="24"/>
          <w:szCs w:val="24"/>
          <w:highlight w:val="white"/>
          <w:u w:val="none"/>
          <w:effect w:val="none"/>
        </w:rPr>
        <w:t xml:space="preserve">Avebury: </w:t>
      </w:r>
      <w:r>
        <w:rPr>
          <w:rFonts w:ascii="Arial" w:hAnsi="Arial"/>
          <w:b w:val="false"/>
          <w:bCs w:val="false"/>
          <w:i/>
          <w:iCs/>
          <w:caps w:val="false"/>
          <w:smallCaps w:val="false"/>
          <w:strike w:val="false"/>
          <w:dstrike w:val="false"/>
          <w:color w:val="auto"/>
          <w:spacing w:val="0"/>
          <w:sz w:val="24"/>
          <w:szCs w:val="24"/>
          <w:highlight w:val="white"/>
          <w:u w:val="none"/>
          <w:effect w:val="none"/>
        </w:rPr>
        <w:t>The Biography of a Landscape</w:t>
      </w:r>
      <w:r>
        <w:rPr>
          <w:rFonts w:ascii="Arial" w:hAnsi="Arial"/>
          <w:b w:val="false"/>
          <w:bCs w:val="false"/>
          <w:i w:val="false"/>
          <w:caps w:val="false"/>
          <w:smallCaps w:val="false"/>
          <w:strike w:val="false"/>
          <w:dstrike w:val="false"/>
          <w:color w:val="auto"/>
          <w:spacing w:val="0"/>
          <w:sz w:val="24"/>
          <w:szCs w:val="24"/>
          <w:highlight w:val="white"/>
          <w:u w:val="none"/>
          <w:effect w:val="none"/>
        </w:rPr>
        <w:t>, J. Pollard &amp; A. Reynolds, The History Press (2010)</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English Heritage website – </w:t>
      </w:r>
      <w:r>
        <w:rPr>
          <w:rFonts w:ascii="Arial" w:hAnsi="Arial"/>
          <w:b w:val="false"/>
          <w:bCs w:val="false"/>
          <w:i w:val="false"/>
          <w:caps w:val="false"/>
          <w:smallCaps w:val="false"/>
          <w:strike w:val="false"/>
          <w:dstrike w:val="false"/>
          <w:color w:val="auto"/>
          <w:spacing w:val="0"/>
          <w:sz w:val="24"/>
          <w:szCs w:val="24"/>
          <w:highlight w:val="white"/>
          <w:u w:val="none"/>
          <w:effect w:val="none"/>
        </w:rPr>
        <w:t>English-Heritage.org.uk</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National Trust website – </w:t>
      </w:r>
      <w:r>
        <w:rPr>
          <w:rFonts w:ascii="Arial" w:hAnsi="Arial"/>
          <w:b w:val="false"/>
          <w:bCs w:val="false"/>
          <w:i w:val="false"/>
          <w:caps w:val="false"/>
          <w:smallCaps w:val="false"/>
          <w:strike w:val="false"/>
          <w:dstrike w:val="false"/>
          <w:color w:val="auto"/>
          <w:spacing w:val="0"/>
          <w:sz w:val="24"/>
          <w:szCs w:val="24"/>
          <w:highlight w:val="white"/>
          <w:u w:val="none"/>
          <w:effect w:val="none"/>
        </w:rPr>
        <w:t>nationaltrust.org.uk/Avebury</w:t>
      </w:r>
    </w:p>
    <w:p>
      <w:pPr>
        <w:pStyle w:val="Normal"/>
        <w:bidi w:val="0"/>
        <w:spacing w:lineRule="auto" w:line="432"/>
        <w:ind w:left="0" w:right="0" w:hanging="0"/>
        <w:jc w:val="both"/>
        <w:rPr>
          <w:rFonts w:ascii="Ink Free" w:hAnsi="Ink Free"/>
          <w:b/>
          <w:i w:val="false"/>
          <w:caps w:val="false"/>
          <w:smallCaps w:val="false"/>
          <w:strike w:val="false"/>
          <w:dstrike w:val="false"/>
          <w:color w:val="auto"/>
          <w:spacing w:val="0"/>
          <w:sz w:val="27"/>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UNESCO listing of Stonehenge and Avebury – https://whc.unesco.org/en/list/373/ -</w:t>
      </w:r>
    </w:p>
    <w:p>
      <w:pPr>
        <w:pStyle w:val="Normal"/>
        <w:bidi w:val="0"/>
        <w:spacing w:lineRule="auto" w:line="432"/>
        <w:ind w:left="0" w:right="0" w:hanging="0"/>
        <w:jc w:val="both"/>
        <w:rPr>
          <w:rFonts w:ascii="Ink Free" w:hAnsi="Ink Free"/>
          <w:b/>
          <w:i w:val="false"/>
          <w:caps w:val="false"/>
          <w:smallCaps w:val="false"/>
          <w:strike w:val="false"/>
          <w:dstrike w:val="false"/>
          <w:color w:val="auto"/>
          <w:spacing w:val="0"/>
          <w:sz w:val="27"/>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lang w:val="en-GB"/>
        </w:rPr>
        <w:t xml:space="preserve">audio download of English Heritage audio tour of Stonehenge - </w:t>
      </w:r>
      <w:r>
        <w:rPr>
          <w:rFonts w:ascii="Arial" w:hAnsi="Arial"/>
          <w:b w:val="false"/>
          <w:bCs w:val="false"/>
          <w:i w:val="false"/>
          <w:caps w:val="false"/>
          <w:smallCaps w:val="false"/>
          <w:strike w:val="false"/>
          <w:dstrike w:val="false"/>
          <w:color w:val="auto"/>
          <w:spacing w:val="0"/>
          <w:sz w:val="24"/>
          <w:szCs w:val="24"/>
          <w:highlight w:val="white"/>
          <w:u w:val="none"/>
          <w:effect w:val="none"/>
          <w:lang w:val="zxx"/>
        </w:rPr>
        <w:t>https://blog.stonehenge-stone-circle.co.uk/2013/12/14/stonehenge-audio-tour-free-download-from-english-heritage/</w:t>
      </w: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   </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only mention of Stonehenge on the Avebury National Trust website</w:t>
      </w:r>
    </w:p>
    <w:p>
      <w:pPr>
        <w:pStyle w:val="Normal"/>
        <w:bidi w:val="0"/>
        <w:spacing w:lineRule="auto" w:line="432"/>
        <w:ind w:left="0" w:right="0" w:hanging="0"/>
        <w:jc w:val="both"/>
        <w:rPr>
          <w:rFonts w:ascii="Ink Free" w:hAnsi="Ink Free"/>
          <w:b/>
          <w:i w:val="false"/>
          <w:caps w:val="false"/>
          <w:smallCaps w:val="false"/>
          <w:strike w:val="false"/>
          <w:dstrike w:val="false"/>
          <w:color w:val="C9211E"/>
          <w:spacing w:val="0"/>
          <w:sz w:val="27"/>
          <w:highlight w:val="white"/>
          <w:u w:val="none"/>
          <w:effect w:val="none"/>
        </w:rPr>
      </w:pPr>
      <w:hyperlink r:id="rId4">
        <w:r>
          <w:rPr>
            <w:rStyle w:val="InternetLink"/>
            <w:rFonts w:ascii="Arial" w:hAnsi="Arial"/>
            <w:b w:val="false"/>
            <w:bCs w:val="false"/>
            <w:i w:val="false"/>
            <w:caps w:val="false"/>
            <w:smallCaps w:val="false"/>
            <w:strike w:val="false"/>
            <w:dstrike w:val="false"/>
            <w:color w:val="auto"/>
            <w:spacing w:val="0"/>
            <w:sz w:val="24"/>
            <w:szCs w:val="24"/>
            <w:highlight w:val="white"/>
            <w:u w:val="none"/>
            <w:effect w:val="none"/>
          </w:rPr>
          <w:t>https://www.nationaltrust.org.uk/avebury/lists/avebury-world-heritage-site</w:t>
        </w:r>
      </w:hyperlink>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Informal conversation with staff at Stonehenge and Avebury about visitors, engagement with the sites and provision for alternative languages and needs.</w:t>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r>
    </w:p>
    <w:p>
      <w:pPr>
        <w:pStyle w:val="Normal"/>
        <w:bidi w:val="0"/>
        <w:spacing w:lineRule="auto" w:line="432"/>
        <w:ind w:left="0" w:right="0" w:hanging="0"/>
        <w:jc w:val="both"/>
        <w:rPr>
          <w:rFonts w:ascii="Arial" w:hAnsi="Arial"/>
          <w:b w:val="false"/>
          <w:b w:val="false"/>
          <w:bCs w:val="false"/>
          <w:i w:val="false"/>
          <w:caps w:val="false"/>
          <w:smallCaps w:val="false"/>
          <w:strike w:val="false"/>
          <w:dstrike w:val="false"/>
          <w:color w:val="auto"/>
          <w:spacing w:val="0"/>
          <w:sz w:val="24"/>
          <w:szCs w:val="24"/>
          <w:highlight w:val="white"/>
          <w:u w:val="none"/>
          <w:effect w:val="none"/>
        </w:rPr>
      </w:pPr>
      <w:r>
        <w:rPr>
          <w:rFonts w:ascii="Arial" w:hAnsi="Arial"/>
          <w:b w:val="false"/>
          <w:bCs w:val="false"/>
          <w:i w:val="false"/>
          <w:caps w:val="false"/>
          <w:smallCaps w:val="false"/>
          <w:strike w:val="false"/>
          <w:dstrike w:val="false"/>
          <w:color w:val="auto"/>
          <w:spacing w:val="0"/>
          <w:sz w:val="24"/>
          <w:szCs w:val="24"/>
          <w:highlight w:val="white"/>
          <w:u w:val="none"/>
          <w:effect w:val="none"/>
        </w:rPr>
        <w:t xml:space="preserve">Professional </w:t>
      </w:r>
      <w:r>
        <w:rPr>
          <w:rFonts w:ascii="Arial" w:hAnsi="Arial"/>
          <w:b w:val="false"/>
          <w:bCs w:val="false"/>
          <w:i w:val="false"/>
          <w:caps w:val="false"/>
          <w:smallCaps w:val="false"/>
          <w:strike w:val="false"/>
          <w:dstrike w:val="false"/>
          <w:color w:val="auto"/>
          <w:spacing w:val="0"/>
          <w:sz w:val="24"/>
          <w:szCs w:val="24"/>
          <w:highlight w:val="white"/>
          <w:u w:val="none"/>
          <w:effect w:val="none"/>
        </w:rPr>
        <w:t>Webinar run by AMA ‘Can You Hear Me: Engaging Deaf Audiences’</w:t>
      </w:r>
    </w:p>
    <w:sect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swiss"/>
    <w:pitch w:val="variable"/>
  </w:font>
  <w:font w:name="Arial">
    <w:charset w:val="01"/>
    <w:family w:val="swiss"/>
    <w:pitch w:val="variable"/>
  </w:font>
  <w:font w:name="Ink Free">
    <w:charset w:val="00"/>
    <w:family w:val="script"/>
    <w:pitch w:val="variable"/>
  </w:font>
</w:fonts>
</file>

<file path=word/settings.xml><?xml version="1.0" encoding="utf-8"?>
<w:settings xmlns:w="http://schemas.openxmlformats.org/wordprocessingml/2006/main">
  <w:zoom w:percent="100"/>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widowControl/>
      </w:pPr>
    </w:pPrDefault>
  </w:docDefaults>
  <w:style w:type="paragraph" w:styleId="Normal">
    <w:name w:val="Normal"/>
    <w:qFormat/>
    <w:pPr>
      <w:widowControl/>
      <w:kinsoku w:val="true"/>
      <w:overflowPunct w:val="true"/>
      <w:autoSpaceDE w:val="true"/>
      <w:bidi w:val="0"/>
    </w:pPr>
    <w:rPr>
      <w:rFonts w:ascii="Liberation Serif" w:hAnsi="Liberation Serif" w:eastAsia="NSimSun" w:cs="Arial"/>
      <w:color w:val="auto"/>
      <w:kern w:val="2"/>
      <w:sz w:val="24"/>
      <w:szCs w:val="24"/>
      <w:lang w:val="en-GB" w:eastAsia="zh-CN" w:bidi="hi-IN"/>
    </w:rPr>
  </w:style>
  <w:style w:type="character" w:styleId="InternetLink">
    <w:name w:val="Internet Link"/>
    <w:rPr>
      <w:color w:val="000080"/>
      <w:u w:val="single"/>
      <w:lang w:val="zxx" w:eastAsia="zxx" w:bidi="zxx"/>
    </w:rPr>
  </w:style>
  <w:style w:type="character" w:styleId="FootnoteCharacters">
    <w:name w:val="Footnote Characters"/>
    <w:qFormat/>
    <w:rPr/>
  </w:style>
  <w:style w:type="character" w:styleId="FootnoteAnchor">
    <w:name w:val="Footnote Anchor"/>
    <w:rPr>
      <w:vertAlign w:val="superscript"/>
    </w:rPr>
  </w:style>
  <w:style w:type="character" w:styleId="EndnoteCharacters">
    <w:name w:val="Endnote Characters"/>
    <w:qFormat/>
    <w:rPr/>
  </w:style>
  <w:style w:type="character" w:styleId="EndnoteAnchor">
    <w:name w:val="Endnote Anchor"/>
    <w:rPr>
      <w:vertAlign w:val="superscript"/>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Footnote">
    <w:name w:val="Footnote Text"/>
    <w:basedOn w:val="Normal"/>
    <w:pPr>
      <w:suppressLineNumbers/>
      <w:ind w:left="339" w:right="0" w:hanging="339"/>
    </w:pPr>
    <w:rPr>
      <w:sz w:val="20"/>
      <w:szCs w:val="20"/>
    </w:rPr>
  </w:style>
  <w:style w:type="paragraph" w:styleId="Endnote">
    <w:name w:val="Endnote Text"/>
    <w:basedOn w:val="Normal"/>
    <w:pPr>
      <w:suppressLineNumbers/>
      <w:ind w:left="339" w:right="0" w:hanging="339"/>
    </w:pPr>
    <w:rPr>
      <w:sz w:val="20"/>
      <w:szCs w:val="20"/>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foucault.info/documents/heterotopia/foucault.heteroTopia.en/" TargetMode="External"/><Relationship Id="rId3" Type="http://schemas.openxmlformats.org/officeDocument/2006/relationships/hyperlink" Target="https://foucault.info/documents/heterotopia/foucault.heteroTopia.en/" TargetMode="External"/><Relationship Id="rId4" Type="http://schemas.openxmlformats.org/officeDocument/2006/relationships/hyperlink" Target="https://www.nationaltrust.org.uk/avebury/lists/avebury-world-heritage-sitew" TargetMode="External"/><Relationship Id="rId5" Type="http://schemas.openxmlformats.org/officeDocument/2006/relationships/fontTable" Target="fontTable.xml"/><Relationship Id="rId6"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100</TotalTime>
  <Application>LibreOffice/6.3.4.2$Windows_X86_64 LibreOffice_project/60da17e045e08f1793c57c00ba83cdfce946d0aa</Application>
  <Pages>12</Pages>
  <Words>4256</Words>
  <Characters>21915</Characters>
  <CharactersWithSpaces>26167</CharactersWithSpaces>
  <Paragraphs>31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2020-01-10T08:04:33Z</dcterms:created>
  <dc:creator/>
  <dc:description/>
  <dc:language>en-GB</dc:language>
  <cp:lastModifiedBy/>
  <dcterms:modified xsi:type="dcterms:W3CDTF">2020-01-10T22:25:26Z</dcterms:modified>
  <cp:revision>12</cp:revision>
  <dc:subject/>
  <dc:title/>
</cp:coreProperties>
</file>