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525250" w14:textId="4D1CB819" w:rsidR="00753308" w:rsidRDefault="00753308" w:rsidP="00753308">
      <w:pPr>
        <w:rPr>
          <w:sz w:val="32"/>
          <w:szCs w:val="32"/>
          <w:u w:val="single"/>
        </w:rPr>
      </w:pPr>
      <w:r w:rsidRPr="00753308">
        <w:drawing>
          <wp:anchor distT="0" distB="0" distL="114300" distR="114300" simplePos="0" relativeHeight="251658240" behindDoc="0" locked="0" layoutInCell="1" allowOverlap="1" wp14:anchorId="1FA6735B" wp14:editId="4A7D7924">
            <wp:simplePos x="0" y="0"/>
            <wp:positionH relativeFrom="column">
              <wp:posOffset>476250</wp:posOffset>
            </wp:positionH>
            <wp:positionV relativeFrom="paragraph">
              <wp:posOffset>1763395</wp:posOffset>
            </wp:positionV>
            <wp:extent cx="2047875" cy="305752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2047875" cy="3057525"/>
                    </a:xfrm>
                    <a:prstGeom prst="rect">
                      <a:avLst/>
                    </a:prstGeom>
                  </pic:spPr>
                </pic:pic>
              </a:graphicData>
            </a:graphic>
            <wp14:sizeRelH relativeFrom="page">
              <wp14:pctWidth>0</wp14:pctWidth>
            </wp14:sizeRelH>
            <wp14:sizeRelV relativeFrom="page">
              <wp14:pctHeight>0</wp14:pctHeight>
            </wp14:sizeRelV>
          </wp:anchor>
        </w:drawing>
      </w:r>
      <w:r w:rsidRPr="00753308">
        <w:drawing>
          <wp:anchor distT="0" distB="0" distL="114300" distR="114300" simplePos="0" relativeHeight="251659264" behindDoc="0" locked="0" layoutInCell="1" allowOverlap="1" wp14:anchorId="5D1E8E85" wp14:editId="4866923A">
            <wp:simplePos x="0" y="0"/>
            <wp:positionH relativeFrom="column">
              <wp:posOffset>3419475</wp:posOffset>
            </wp:positionH>
            <wp:positionV relativeFrom="paragraph">
              <wp:posOffset>1753870</wp:posOffset>
            </wp:positionV>
            <wp:extent cx="1381125" cy="30480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1381125" cy="3048000"/>
                    </a:xfrm>
                    <a:prstGeom prst="rect">
                      <a:avLst/>
                    </a:prstGeom>
                  </pic:spPr>
                </pic:pic>
              </a:graphicData>
            </a:graphic>
            <wp14:sizeRelH relativeFrom="page">
              <wp14:pctWidth>0</wp14:pctWidth>
            </wp14:sizeRelH>
            <wp14:sizeRelV relativeFrom="page">
              <wp14:pctHeight>0</wp14:pctHeight>
            </wp14:sizeRelV>
          </wp:anchor>
        </w:drawing>
      </w:r>
      <w:r w:rsidRPr="00753308">
        <w:rPr>
          <w:sz w:val="32"/>
          <w:szCs w:val="32"/>
          <w:u w:val="single"/>
        </w:rPr>
        <w:t>Use the following two images to distinguish different art styles we find during the Amarna Period. Explain the distinctiveness of both styles and date them.</w:t>
      </w:r>
    </w:p>
    <w:p w14:paraId="61CF6F32" w14:textId="6DE9C261" w:rsidR="00753308" w:rsidRPr="00753308" w:rsidRDefault="00753308" w:rsidP="00753308">
      <w:pPr>
        <w:rPr>
          <w:sz w:val="32"/>
          <w:szCs w:val="32"/>
        </w:rPr>
      </w:pPr>
    </w:p>
    <w:p w14:paraId="3BD2EEB0" w14:textId="261B9BB3" w:rsidR="00753308" w:rsidRPr="00753308" w:rsidRDefault="00753308" w:rsidP="00753308">
      <w:pPr>
        <w:rPr>
          <w:sz w:val="32"/>
          <w:szCs w:val="32"/>
        </w:rPr>
      </w:pPr>
    </w:p>
    <w:p w14:paraId="0C30D9A1" w14:textId="4919A06C" w:rsidR="00753308" w:rsidRPr="00753308" w:rsidRDefault="00753308" w:rsidP="00753308">
      <w:pPr>
        <w:rPr>
          <w:sz w:val="32"/>
          <w:szCs w:val="32"/>
        </w:rPr>
      </w:pPr>
    </w:p>
    <w:p w14:paraId="772C2C24" w14:textId="74A66A45" w:rsidR="00753308" w:rsidRPr="00753308" w:rsidRDefault="00753308" w:rsidP="00753308">
      <w:pPr>
        <w:rPr>
          <w:sz w:val="32"/>
          <w:szCs w:val="32"/>
        </w:rPr>
      </w:pPr>
    </w:p>
    <w:p w14:paraId="2F47C963" w14:textId="7005993A" w:rsidR="00753308" w:rsidRPr="00753308" w:rsidRDefault="00753308" w:rsidP="00753308">
      <w:pPr>
        <w:rPr>
          <w:sz w:val="32"/>
          <w:szCs w:val="32"/>
        </w:rPr>
      </w:pPr>
    </w:p>
    <w:p w14:paraId="21D4441A" w14:textId="67456100" w:rsidR="00753308" w:rsidRDefault="00753308" w:rsidP="00753308">
      <w:pPr>
        <w:rPr>
          <w:sz w:val="32"/>
          <w:szCs w:val="32"/>
          <w:u w:val="single"/>
        </w:rPr>
      </w:pPr>
    </w:p>
    <w:p w14:paraId="6BA728BF" w14:textId="66AADEAA" w:rsidR="00753308" w:rsidRDefault="00753308" w:rsidP="00753308">
      <w:pPr>
        <w:rPr>
          <w:sz w:val="32"/>
          <w:szCs w:val="32"/>
        </w:rPr>
      </w:pPr>
    </w:p>
    <w:p w14:paraId="12690F66" w14:textId="4D3DFA30" w:rsidR="00753308" w:rsidRPr="00753308" w:rsidRDefault="00753308" w:rsidP="00753308">
      <w:pPr>
        <w:rPr>
          <w:sz w:val="32"/>
          <w:szCs w:val="32"/>
        </w:rPr>
      </w:pPr>
    </w:p>
    <w:p w14:paraId="5445E36B" w14:textId="4C540DE7" w:rsidR="00753308" w:rsidRPr="00753308" w:rsidRDefault="00753308" w:rsidP="00753308">
      <w:pPr>
        <w:rPr>
          <w:sz w:val="32"/>
          <w:szCs w:val="32"/>
        </w:rPr>
      </w:pPr>
    </w:p>
    <w:p w14:paraId="5FCD9F99" w14:textId="13A66C44" w:rsidR="00753308" w:rsidRDefault="00807BE4" w:rsidP="00753308">
      <w:pPr>
        <w:rPr>
          <w:sz w:val="32"/>
          <w:szCs w:val="32"/>
        </w:rPr>
      </w:pPr>
      <w:r w:rsidRPr="00807BE4">
        <w:rPr>
          <w:noProof/>
          <w:sz w:val="32"/>
          <w:szCs w:val="32"/>
        </w:rPr>
        <mc:AlternateContent>
          <mc:Choice Requires="wps">
            <w:drawing>
              <wp:anchor distT="45720" distB="45720" distL="114300" distR="114300" simplePos="0" relativeHeight="251663360" behindDoc="0" locked="0" layoutInCell="1" allowOverlap="1" wp14:anchorId="7294292B" wp14:editId="70093C9E">
                <wp:simplePos x="0" y="0"/>
                <wp:positionH relativeFrom="column">
                  <wp:posOffset>3648075</wp:posOffset>
                </wp:positionH>
                <wp:positionV relativeFrom="paragraph">
                  <wp:posOffset>126365</wp:posOffset>
                </wp:positionV>
                <wp:extent cx="971550" cy="31432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1550" cy="314325"/>
                        </a:xfrm>
                        <a:prstGeom prst="rect">
                          <a:avLst/>
                        </a:prstGeom>
                        <a:solidFill>
                          <a:srgbClr val="FFFFFF"/>
                        </a:solidFill>
                        <a:ln w="9525">
                          <a:solidFill>
                            <a:srgbClr val="000000"/>
                          </a:solidFill>
                          <a:miter lim="800000"/>
                          <a:headEnd/>
                          <a:tailEnd/>
                        </a:ln>
                      </wps:spPr>
                      <wps:txbx>
                        <w:txbxContent>
                          <w:p w14:paraId="0A20CFCF" w14:textId="7FEA38F8" w:rsidR="00807BE4" w:rsidRPr="00807BE4" w:rsidRDefault="00807BE4">
                            <w:pPr>
                              <w:rPr>
                                <w:sz w:val="24"/>
                                <w:szCs w:val="24"/>
                              </w:rPr>
                            </w:pPr>
                            <w:r w:rsidRPr="00807BE4">
                              <w:rPr>
                                <w:sz w:val="24"/>
                                <w:szCs w:val="24"/>
                              </w:rPr>
                              <w:t>Image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294292B" id="_x0000_t202" coordsize="21600,21600" o:spt="202" path="m,l,21600r21600,l21600,xe">
                <v:stroke joinstyle="miter"/>
                <v:path gradientshapeok="t" o:connecttype="rect"/>
              </v:shapetype>
              <v:shape id="Text Box 2" o:spid="_x0000_s1026" type="#_x0000_t202" style="position:absolute;margin-left:287.25pt;margin-top:9.95pt;width:76.5pt;height:24.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">
                <v:textbox>
                  <w:txbxContent>
                    <w:p w14:paraId="0A20CFCF" w14:textId="7FEA38F8" w:rsidR="00807BE4" w:rsidRPr="00807BE4" w:rsidRDefault="00807BE4">
                      <w:pPr>
                        <w:rPr>
                          <w:sz w:val="24"/>
                          <w:szCs w:val="24"/>
                        </w:rPr>
                      </w:pPr>
                      <w:r w:rsidRPr="00807BE4">
                        <w:rPr>
                          <w:sz w:val="24"/>
                          <w:szCs w:val="24"/>
                        </w:rPr>
                        <w:t>Image 2</w:t>
                      </w:r>
                    </w:p>
                  </w:txbxContent>
                </v:textbox>
                <w10:wrap type="square"/>
              </v:shape>
            </w:pict>
          </mc:Fallback>
        </mc:AlternateContent>
      </w:r>
      <w:r w:rsidRPr="00807BE4">
        <w:rPr>
          <w:noProof/>
          <w:sz w:val="28"/>
          <w:szCs w:val="28"/>
        </w:rPr>
        <mc:AlternateContent>
          <mc:Choice Requires="wps">
            <w:drawing>
              <wp:anchor distT="45720" distB="45720" distL="114300" distR="114300" simplePos="0" relativeHeight="251661312" behindDoc="0" locked="0" layoutInCell="1" allowOverlap="1" wp14:anchorId="3515E238" wp14:editId="25303822">
                <wp:simplePos x="0" y="0"/>
                <wp:positionH relativeFrom="column">
                  <wp:posOffset>1009650</wp:posOffset>
                </wp:positionH>
                <wp:positionV relativeFrom="paragraph">
                  <wp:posOffset>135890</wp:posOffset>
                </wp:positionV>
                <wp:extent cx="809625" cy="3429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9625" cy="342900"/>
                        </a:xfrm>
                        <a:prstGeom prst="rect">
                          <a:avLst/>
                        </a:prstGeom>
                        <a:solidFill>
                          <a:srgbClr val="FFFFFF"/>
                        </a:solidFill>
                        <a:ln w="9525">
                          <a:solidFill>
                            <a:srgbClr val="000000"/>
                          </a:solidFill>
                          <a:miter lim="800000"/>
                          <a:headEnd/>
                          <a:tailEnd/>
                        </a:ln>
                      </wps:spPr>
                      <wps:txbx>
                        <w:txbxContent>
                          <w:p w14:paraId="05DB99FF" w14:textId="492E445B" w:rsidR="00807BE4" w:rsidRPr="00807BE4" w:rsidRDefault="00807BE4">
                            <w:pPr>
                              <w:rPr>
                                <w:sz w:val="24"/>
                                <w:szCs w:val="24"/>
                              </w:rPr>
                            </w:pPr>
                            <w:r w:rsidRPr="00807BE4">
                              <w:rPr>
                                <w:sz w:val="24"/>
                                <w:szCs w:val="24"/>
                              </w:rPr>
                              <w:t>Image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15E238" id="_x0000_s1027" type="#_x0000_t202" style="position:absolute;margin-left:79.5pt;margin-top:10.7pt;width:63.75pt;height:2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">
                <v:textbox>
                  <w:txbxContent>
                    <w:p w14:paraId="05DB99FF" w14:textId="492E445B" w:rsidR="00807BE4" w:rsidRPr="00807BE4" w:rsidRDefault="00807BE4">
                      <w:pPr>
                        <w:rPr>
                          <w:sz w:val="24"/>
                          <w:szCs w:val="24"/>
                        </w:rPr>
                      </w:pPr>
                      <w:r w:rsidRPr="00807BE4">
                        <w:rPr>
                          <w:sz w:val="24"/>
                          <w:szCs w:val="24"/>
                        </w:rPr>
                        <w:t>Image 1</w:t>
                      </w:r>
                    </w:p>
                  </w:txbxContent>
                </v:textbox>
                <w10:wrap type="square"/>
              </v:shape>
            </w:pict>
          </mc:Fallback>
        </mc:AlternateContent>
      </w:r>
    </w:p>
    <w:p w14:paraId="6EA920D6" w14:textId="16B04411" w:rsidR="00753308" w:rsidRDefault="00753308" w:rsidP="00753308">
      <w:pPr>
        <w:rPr>
          <w:sz w:val="32"/>
          <w:szCs w:val="32"/>
        </w:rPr>
      </w:pPr>
    </w:p>
    <w:p w14:paraId="465312C5" w14:textId="0760CFF1" w:rsidR="00753308" w:rsidRDefault="00753308" w:rsidP="00753308">
      <w:pPr>
        <w:rPr>
          <w:sz w:val="32"/>
          <w:szCs w:val="32"/>
        </w:rPr>
      </w:pPr>
    </w:p>
    <w:p w14:paraId="1D78FDFB" w14:textId="328E507F" w:rsidR="00501BFC" w:rsidRPr="00807BE4" w:rsidRDefault="00753308" w:rsidP="00753308">
      <w:pPr>
        <w:rPr>
          <w:sz w:val="24"/>
          <w:szCs w:val="24"/>
        </w:rPr>
      </w:pPr>
      <w:r>
        <w:rPr>
          <w:sz w:val="32"/>
          <w:szCs w:val="32"/>
        </w:rPr>
        <w:t xml:space="preserve">     </w:t>
      </w:r>
      <w:r w:rsidRPr="00807BE4">
        <w:rPr>
          <w:sz w:val="24"/>
          <w:szCs w:val="24"/>
        </w:rPr>
        <w:t>Throughout the Amarna period, there was noted to be two distinctive periods of expression of Amarna art, one style noted to be of the more extreme style, and the other style noted to be of a more naturalistic style.</w:t>
      </w:r>
      <w:r w:rsidR="00965B4E" w:rsidRPr="00807BE4">
        <w:rPr>
          <w:sz w:val="24"/>
          <w:szCs w:val="24"/>
        </w:rPr>
        <w:t xml:space="preserve"> With the two Amarna art styles, when I first encountered them, some examples that I saw, such as one of the colossi of the Gem-Pa-Aten, despite its appearance, it was noted as part of the extreme style, not because the Pharaoh was disfigured, but because of the iconography that was on the colossus. Similarly, later wall reliefs that show Akhenaten with Nefertiti and some of his daughters, despite what I assumed to be the extreme style (due to the disfigured looks of the reliefs) where actually from later in Akhenaten’s reign and noted as being of the naturalistic style due to the way that the reliefs show emotion and movement in them. These aspects of Amarna art, and the two different styles make it quite hard for me to be able to tell what style different pieces can be, as they all look strangely beautiful to me. Through selecting this question, I hope to be able to challenge myself and work out what Amarna art styles each of the </w:t>
      </w:r>
      <w:r w:rsidR="00965B4E" w:rsidRPr="00807BE4">
        <w:rPr>
          <w:sz w:val="24"/>
          <w:szCs w:val="24"/>
        </w:rPr>
        <w:lastRenderedPageBreak/>
        <w:t xml:space="preserve">images are, as well as dating them and hopefully giving names to the mysterious women that the images are showing. </w:t>
      </w:r>
      <w:r w:rsidR="00530448" w:rsidRPr="00807BE4">
        <w:rPr>
          <w:sz w:val="24"/>
          <w:szCs w:val="24"/>
        </w:rPr>
        <w:t xml:space="preserve"> </w:t>
      </w:r>
    </w:p>
    <w:p w14:paraId="6FBE3A44" w14:textId="7269C39A" w:rsidR="00501BFC" w:rsidRPr="00807BE4" w:rsidRDefault="00501BFC" w:rsidP="00753308">
      <w:pPr>
        <w:rPr>
          <w:sz w:val="24"/>
          <w:szCs w:val="24"/>
        </w:rPr>
      </w:pPr>
      <w:r>
        <w:rPr>
          <w:sz w:val="28"/>
          <w:szCs w:val="28"/>
        </w:rPr>
        <w:t xml:space="preserve">     </w:t>
      </w:r>
      <w:r w:rsidRPr="00807BE4">
        <w:rPr>
          <w:sz w:val="24"/>
          <w:szCs w:val="24"/>
        </w:rPr>
        <w:t>B</w:t>
      </w:r>
      <w:r w:rsidR="00530448" w:rsidRPr="00807BE4">
        <w:rPr>
          <w:sz w:val="24"/>
          <w:szCs w:val="24"/>
        </w:rPr>
        <w:t xml:space="preserve">oth styles have clear differences in how they are presented, with the extreme style looking more disfigured with controversial iconography in it, and the naturalistic style having a softer look to it showing more the mortality of the subject such as facial lines around their mouths for age, as well as </w:t>
      </w:r>
      <w:r w:rsidRPr="00807BE4">
        <w:rPr>
          <w:sz w:val="24"/>
          <w:szCs w:val="24"/>
        </w:rPr>
        <w:t xml:space="preserve">womanly figures having rounder stomachs to show the results of childbirth on the body. </w:t>
      </w:r>
      <w:proofErr w:type="spellStart"/>
      <w:r w:rsidRPr="00807BE4">
        <w:rPr>
          <w:sz w:val="24"/>
          <w:szCs w:val="24"/>
        </w:rPr>
        <w:t>Baikie</w:t>
      </w:r>
      <w:proofErr w:type="spellEnd"/>
      <w:r w:rsidRPr="00807BE4">
        <w:rPr>
          <w:sz w:val="24"/>
          <w:szCs w:val="24"/>
        </w:rPr>
        <w:t xml:space="preserve"> (2014, p284) notes that ‘ the inscription as well as the reliefs bear witness to the tenderness of the union of the king and queen’. This would suggest that despite the two conflicting art styles present in Amarna, they both still showed something totally new to Egyptian art and depictions, the fact that they began to show emotion and movement in these pieces of art, unlike the more formal and stiff depictions of the previous Pharaohs of Egypt.</w:t>
      </w:r>
      <w:r w:rsidR="00753308" w:rsidRPr="00807BE4">
        <w:rPr>
          <w:sz w:val="24"/>
          <w:szCs w:val="24"/>
        </w:rPr>
        <w:t xml:space="preserve"> </w:t>
      </w:r>
      <w:r w:rsidRPr="00807BE4">
        <w:rPr>
          <w:sz w:val="24"/>
          <w:szCs w:val="24"/>
        </w:rPr>
        <w:t xml:space="preserve">Indeed, even </w:t>
      </w:r>
      <w:proofErr w:type="spellStart"/>
      <w:r w:rsidRPr="00807BE4">
        <w:rPr>
          <w:sz w:val="24"/>
          <w:szCs w:val="24"/>
        </w:rPr>
        <w:t>Laboury</w:t>
      </w:r>
      <w:proofErr w:type="spellEnd"/>
      <w:r w:rsidRPr="00807BE4">
        <w:rPr>
          <w:sz w:val="24"/>
          <w:szCs w:val="24"/>
        </w:rPr>
        <w:t xml:space="preserve"> (2011, p2) makes a note of the ‘fluidity of its compositions, in contrast to the very hieratic nature of traditional Egyptian art’.</w:t>
      </w:r>
    </w:p>
    <w:p w14:paraId="1F1A0F85" w14:textId="2E329D62" w:rsidR="005F6944" w:rsidRPr="00807BE4" w:rsidRDefault="00501BFC" w:rsidP="00753308">
      <w:pPr>
        <w:rPr>
          <w:sz w:val="24"/>
          <w:szCs w:val="24"/>
        </w:rPr>
      </w:pPr>
      <w:r w:rsidRPr="00807BE4">
        <w:rPr>
          <w:sz w:val="24"/>
          <w:szCs w:val="24"/>
        </w:rPr>
        <w:t xml:space="preserve">      </w:t>
      </w:r>
      <w:r w:rsidR="00753308" w:rsidRPr="00807BE4">
        <w:rPr>
          <w:sz w:val="24"/>
          <w:szCs w:val="24"/>
        </w:rPr>
        <w:t>When it comes to dating the relief fi</w:t>
      </w:r>
      <w:r w:rsidR="00AB1065" w:rsidRPr="00807BE4">
        <w:rPr>
          <w:sz w:val="24"/>
          <w:szCs w:val="24"/>
        </w:rPr>
        <w:t>g</w:t>
      </w:r>
      <w:r w:rsidR="00753308" w:rsidRPr="00807BE4">
        <w:rPr>
          <w:sz w:val="24"/>
          <w:szCs w:val="24"/>
        </w:rPr>
        <w:t>ure and the</w:t>
      </w:r>
      <w:r w:rsidR="00AB1065" w:rsidRPr="00807BE4">
        <w:rPr>
          <w:sz w:val="24"/>
          <w:szCs w:val="24"/>
        </w:rPr>
        <w:t xml:space="preserve"> statuette, it becomes clear that each one is a noticeable representative of each of the two distinctive Amarna art styles. The first one, the relief of a royal Amarna woman (presumed to be Nefertiti</w:t>
      </w:r>
      <w:r w:rsidR="00F06574" w:rsidRPr="00807BE4">
        <w:rPr>
          <w:sz w:val="24"/>
          <w:szCs w:val="24"/>
        </w:rPr>
        <w:t xml:space="preserve"> due to her status and position as the chief wife of the pharaoh Akhenaten) can be seen as the more extreme style type of Amarna art, as the features on the relief has key features attributed to this style, such as the longer pendulum like chin that we can see on the face of the woman. Whilst it would not be fair to label this style as a caricature of any of the people that are portrayed in this particular style, it is mentioned by </w:t>
      </w:r>
      <w:proofErr w:type="spellStart"/>
      <w:r w:rsidR="00F06574" w:rsidRPr="00807BE4">
        <w:rPr>
          <w:sz w:val="24"/>
          <w:szCs w:val="24"/>
        </w:rPr>
        <w:t>Laboury</w:t>
      </w:r>
      <w:proofErr w:type="spellEnd"/>
      <w:r w:rsidR="00F06574" w:rsidRPr="00807BE4">
        <w:rPr>
          <w:sz w:val="24"/>
          <w:szCs w:val="24"/>
        </w:rPr>
        <w:t xml:space="preserve"> (2011, p3) that this style is ‘an early exaggerated (or caricatural) style’, showing that the earlier Amarna art styles where seen as an extreme version of traditional Egyptian styled art up until the reign on Akhenaten. </w:t>
      </w:r>
    </w:p>
    <w:p w14:paraId="08F81FBE" w14:textId="6D7E3F5F" w:rsidR="005F6944" w:rsidRPr="00807BE4" w:rsidRDefault="005F6944" w:rsidP="00753308">
      <w:pPr>
        <w:rPr>
          <w:sz w:val="24"/>
          <w:szCs w:val="24"/>
        </w:rPr>
      </w:pPr>
      <w:r w:rsidRPr="00807BE4">
        <w:rPr>
          <w:sz w:val="24"/>
          <w:szCs w:val="24"/>
        </w:rPr>
        <w:t xml:space="preserve">     </w:t>
      </w:r>
      <w:r w:rsidR="00F06574" w:rsidRPr="00807BE4">
        <w:rPr>
          <w:sz w:val="24"/>
          <w:szCs w:val="24"/>
        </w:rPr>
        <w:t xml:space="preserve">When it comes to dating the relief image, as it is most likely the extreme Amarna art style, there is a good possibility that this is dated from around regnal year 4 of Akhenaten, when he started to draw away from the Amun priesthood and changed his name from Amenhotep IV to Akhenaten. The latest date we could propose for this relief could be around regnal year 8-10, when Akhenaten </w:t>
      </w:r>
      <w:r w:rsidRPr="00807BE4">
        <w:rPr>
          <w:sz w:val="24"/>
          <w:szCs w:val="24"/>
        </w:rPr>
        <w:t xml:space="preserve">had mostly finished his move to the site of </w:t>
      </w:r>
      <w:proofErr w:type="spellStart"/>
      <w:r w:rsidRPr="00807BE4">
        <w:rPr>
          <w:sz w:val="24"/>
          <w:szCs w:val="24"/>
        </w:rPr>
        <w:t>Akhetaten</w:t>
      </w:r>
      <w:proofErr w:type="spellEnd"/>
      <w:r w:rsidRPr="00807BE4">
        <w:rPr>
          <w:sz w:val="24"/>
          <w:szCs w:val="24"/>
        </w:rPr>
        <w:t xml:space="preserve">. </w:t>
      </w:r>
      <w:r w:rsidR="00F06574" w:rsidRPr="00807BE4">
        <w:rPr>
          <w:sz w:val="24"/>
          <w:szCs w:val="24"/>
        </w:rPr>
        <w:t xml:space="preserve"> </w:t>
      </w:r>
      <w:r w:rsidRPr="00807BE4">
        <w:rPr>
          <w:sz w:val="24"/>
          <w:szCs w:val="24"/>
        </w:rPr>
        <w:t>This relief is likely to not be the more naturalist or beautiful style, as one main feature of the naturalistic style is, as the name suggests, a more natural look to Images and statuettes, such as facial lines around the mouth, showing age on the faces of the figures that the statues are modelled on. The fact that the woman in the relief looks youthful could mean that this relief is of the more extreme style, as that style still followed traditional Egyptian style to an extent, by having the person being portrayed as eternally youthful.</w:t>
      </w:r>
    </w:p>
    <w:p w14:paraId="1E88F15B" w14:textId="6C8DF6BD" w:rsidR="00530448" w:rsidRPr="00807BE4" w:rsidRDefault="005F6944" w:rsidP="00753308">
      <w:pPr>
        <w:rPr>
          <w:sz w:val="24"/>
          <w:szCs w:val="24"/>
        </w:rPr>
      </w:pPr>
      <w:r w:rsidRPr="00807BE4">
        <w:rPr>
          <w:sz w:val="24"/>
          <w:szCs w:val="24"/>
        </w:rPr>
        <w:t xml:space="preserve">      With the statuette, this one is more noticeably of the naturalistic style of Amarna art. One obvious feature that this statuette has to show this is the fact that the face of the statuette has age lines on the mouth (which can be seen in a close up of the statuette). The statuette also has a soft</w:t>
      </w:r>
      <w:r w:rsidR="00530448" w:rsidRPr="00807BE4">
        <w:rPr>
          <w:sz w:val="24"/>
          <w:szCs w:val="24"/>
        </w:rPr>
        <w:t>er</w:t>
      </w:r>
      <w:r w:rsidRPr="00807BE4">
        <w:rPr>
          <w:sz w:val="24"/>
          <w:szCs w:val="24"/>
        </w:rPr>
        <w:t xml:space="preserve"> looking style to it, which </w:t>
      </w:r>
      <w:proofErr w:type="spellStart"/>
      <w:r w:rsidRPr="00807BE4">
        <w:rPr>
          <w:sz w:val="24"/>
          <w:szCs w:val="24"/>
        </w:rPr>
        <w:t>Laboury</w:t>
      </w:r>
      <w:proofErr w:type="spellEnd"/>
      <w:r w:rsidRPr="00807BE4">
        <w:rPr>
          <w:sz w:val="24"/>
          <w:szCs w:val="24"/>
        </w:rPr>
        <w:t xml:space="preserve"> (2011, p3) notes as being a </w:t>
      </w:r>
      <w:r w:rsidRPr="00807BE4">
        <w:rPr>
          <w:sz w:val="24"/>
          <w:szCs w:val="24"/>
        </w:rPr>
        <w:lastRenderedPageBreak/>
        <w:t xml:space="preserve">‘style, notably attested by Nefertiti’s so-called Berlin bust’, which is noted for being of the naturalistic style of Amarna art. </w:t>
      </w:r>
      <w:r w:rsidR="00530448" w:rsidRPr="00807BE4">
        <w:rPr>
          <w:sz w:val="24"/>
          <w:szCs w:val="24"/>
        </w:rPr>
        <w:t xml:space="preserve">When you look at the eyes of the statuette, they appear to be less stylized, not so much in the traditional almond shape that is seen before Akhenaten. </w:t>
      </w:r>
      <w:proofErr w:type="spellStart"/>
      <w:r w:rsidR="00530448" w:rsidRPr="00807BE4">
        <w:rPr>
          <w:sz w:val="24"/>
          <w:szCs w:val="24"/>
        </w:rPr>
        <w:t>Laboury</w:t>
      </w:r>
      <w:proofErr w:type="spellEnd"/>
      <w:r w:rsidR="00530448" w:rsidRPr="00807BE4">
        <w:rPr>
          <w:sz w:val="24"/>
          <w:szCs w:val="24"/>
        </w:rPr>
        <w:t xml:space="preserve"> (2011, p10) notes that ‘the design of the eye, which became less stylized and less almond shaped around year 8’, which is something that will help in dating the statuette.</w:t>
      </w:r>
    </w:p>
    <w:p w14:paraId="47BAA684" w14:textId="3D2332D0" w:rsidR="00B53261" w:rsidRPr="00807BE4" w:rsidRDefault="00530448" w:rsidP="00753308">
      <w:pPr>
        <w:rPr>
          <w:sz w:val="24"/>
          <w:szCs w:val="24"/>
        </w:rPr>
      </w:pPr>
      <w:r w:rsidRPr="00807BE4">
        <w:rPr>
          <w:sz w:val="24"/>
          <w:szCs w:val="24"/>
        </w:rPr>
        <w:t xml:space="preserve">      The date of the statuette can be assumed to be made, at the earliest, around regnal year 8 of Akhenaten’s reign as Pharaoh, due to the fact that </w:t>
      </w:r>
      <w:proofErr w:type="spellStart"/>
      <w:r w:rsidRPr="00807BE4">
        <w:rPr>
          <w:sz w:val="24"/>
          <w:szCs w:val="24"/>
        </w:rPr>
        <w:t>Laboury</w:t>
      </w:r>
      <w:proofErr w:type="spellEnd"/>
      <w:r w:rsidRPr="00807BE4">
        <w:rPr>
          <w:sz w:val="24"/>
          <w:szCs w:val="24"/>
        </w:rPr>
        <w:t xml:space="preserve"> mentions the change in style of the eye shape at around year 8 of Akhenaten. The fact that the statuette also has signs that point to it being made in the later period of Amarna art, such as the facial lines around the mouth, could suggest that this is a more naturalistic statuette, produced in the later years of Akhenaten’s reign when his art style calmed down a bit and seemed less extreme compared to earlier works such as his colossi at the Gem-Pa-Aten.</w:t>
      </w:r>
      <w:r w:rsidR="00501BFC" w:rsidRPr="00807BE4">
        <w:rPr>
          <w:sz w:val="24"/>
          <w:szCs w:val="24"/>
        </w:rPr>
        <w:t xml:space="preserve"> </w:t>
      </w:r>
    </w:p>
    <w:p w14:paraId="132D595F" w14:textId="061FADBE" w:rsidR="00B53261" w:rsidRPr="00807BE4" w:rsidRDefault="00B53261" w:rsidP="00753308">
      <w:pPr>
        <w:rPr>
          <w:sz w:val="24"/>
          <w:szCs w:val="24"/>
        </w:rPr>
      </w:pPr>
      <w:r w:rsidRPr="00807BE4">
        <w:rPr>
          <w:sz w:val="24"/>
          <w:szCs w:val="24"/>
        </w:rPr>
        <w:t xml:space="preserve">     </w:t>
      </w:r>
      <w:r w:rsidR="00501BFC" w:rsidRPr="00807BE4">
        <w:rPr>
          <w:sz w:val="24"/>
          <w:szCs w:val="24"/>
        </w:rPr>
        <w:t xml:space="preserve">As for figuring out the identity of the figure that is represented by the statuette, as the woman is wearing a headdress with a hole that could have been meant for an </w:t>
      </w:r>
      <w:proofErr w:type="spellStart"/>
      <w:r w:rsidR="00501BFC" w:rsidRPr="00807BE4">
        <w:rPr>
          <w:sz w:val="24"/>
          <w:szCs w:val="24"/>
        </w:rPr>
        <w:t>Uraeus</w:t>
      </w:r>
      <w:proofErr w:type="spellEnd"/>
      <w:r w:rsidR="00501BFC" w:rsidRPr="00807BE4">
        <w:rPr>
          <w:sz w:val="24"/>
          <w:szCs w:val="24"/>
        </w:rPr>
        <w:t xml:space="preserve"> snake to be added into, it can be suggested that she is an Amarna royal woman. Due to the fact that she has facial lines around her mouth to show that she is an older woman, this would rule out the six daughters of Akhenaten, who were all suggested to be relatively young in comparison with the potential age of the woman that the statuette is based on. </w:t>
      </w:r>
      <w:r w:rsidRPr="00807BE4">
        <w:rPr>
          <w:sz w:val="24"/>
          <w:szCs w:val="24"/>
        </w:rPr>
        <w:t>Could this woman therefore be Nefertiti perhaps. She had, by the time that Akhenaten had moved to Amarna, given birth to at least six children, the daughters, and so the stomach of the statuette could suggest it is a royal woman that has survived birth.</w:t>
      </w:r>
    </w:p>
    <w:p w14:paraId="3DDEA3CA" w14:textId="453B5EC1" w:rsidR="00753308" w:rsidRPr="00807BE4" w:rsidRDefault="00B53261" w:rsidP="00753308">
      <w:pPr>
        <w:rPr>
          <w:sz w:val="24"/>
          <w:szCs w:val="24"/>
        </w:rPr>
      </w:pPr>
      <w:r w:rsidRPr="00807BE4">
        <w:rPr>
          <w:sz w:val="24"/>
          <w:szCs w:val="24"/>
        </w:rPr>
        <w:t xml:space="preserve">      But there could also be anther contender for the identity of the statuette, and that is the mother of Akhenaten, </w:t>
      </w:r>
      <w:proofErr w:type="spellStart"/>
      <w:r w:rsidRPr="00807BE4">
        <w:rPr>
          <w:sz w:val="24"/>
          <w:szCs w:val="24"/>
        </w:rPr>
        <w:t>Tiye</w:t>
      </w:r>
      <w:proofErr w:type="spellEnd"/>
      <w:r w:rsidRPr="00807BE4">
        <w:rPr>
          <w:sz w:val="24"/>
          <w:szCs w:val="24"/>
        </w:rPr>
        <w:t xml:space="preserve">. She outlived Akhenaten’s father, her husband Amenhotep III by what has been estimated as at least 10 years. With this in mind, and the fact that this statuette could be dated from around regnal year 8 or later of Akhenaten, and that fact that </w:t>
      </w:r>
      <w:proofErr w:type="spellStart"/>
      <w:r w:rsidRPr="00807BE4">
        <w:rPr>
          <w:sz w:val="24"/>
          <w:szCs w:val="24"/>
        </w:rPr>
        <w:t>Tiye</w:t>
      </w:r>
      <w:proofErr w:type="spellEnd"/>
      <w:r w:rsidRPr="00807BE4">
        <w:rPr>
          <w:sz w:val="24"/>
          <w:szCs w:val="24"/>
        </w:rPr>
        <w:t xml:space="preserve"> would have been quite old for the time and would have had children, this could be a representation of </w:t>
      </w:r>
      <w:proofErr w:type="spellStart"/>
      <w:r w:rsidRPr="00807BE4">
        <w:rPr>
          <w:sz w:val="24"/>
          <w:szCs w:val="24"/>
        </w:rPr>
        <w:t>Tiye</w:t>
      </w:r>
      <w:proofErr w:type="spellEnd"/>
      <w:r w:rsidRPr="00807BE4">
        <w:rPr>
          <w:sz w:val="24"/>
          <w:szCs w:val="24"/>
        </w:rPr>
        <w:t>, as it is known that she visited Amarna during her lifetime and the reign of her son Akhenaten.</w:t>
      </w:r>
      <w:r w:rsidR="00501BFC" w:rsidRPr="00807BE4">
        <w:rPr>
          <w:sz w:val="24"/>
          <w:szCs w:val="24"/>
        </w:rPr>
        <w:t xml:space="preserve"> </w:t>
      </w:r>
      <w:r w:rsidR="00530448" w:rsidRPr="00807BE4">
        <w:rPr>
          <w:sz w:val="24"/>
          <w:szCs w:val="24"/>
        </w:rPr>
        <w:t xml:space="preserve"> </w:t>
      </w:r>
      <w:r w:rsidR="00807BE4">
        <w:rPr>
          <w:sz w:val="24"/>
          <w:szCs w:val="24"/>
        </w:rPr>
        <w:t xml:space="preserve">For this statuette, I would be inclined to suggest that it is the mother of Akhenaten, </w:t>
      </w:r>
      <w:proofErr w:type="spellStart"/>
      <w:r w:rsidR="00807BE4">
        <w:rPr>
          <w:sz w:val="24"/>
          <w:szCs w:val="24"/>
        </w:rPr>
        <w:t>Tiye</w:t>
      </w:r>
      <w:proofErr w:type="spellEnd"/>
      <w:r w:rsidR="00807BE4">
        <w:rPr>
          <w:sz w:val="24"/>
          <w:szCs w:val="24"/>
        </w:rPr>
        <w:t xml:space="preserve">, as it is known that Nefertiti has her own distinctive style of crown that she is depicted in from regnal year 4 and onwards. If this statuette was to be assumed to be Nefertiti, one obvious question that would be asked is why she would be represented with a different crown as opposed to her signature crown headdress. If we were to assume that this statuette is in fact </w:t>
      </w:r>
      <w:proofErr w:type="spellStart"/>
      <w:r w:rsidR="00807BE4">
        <w:rPr>
          <w:sz w:val="24"/>
          <w:szCs w:val="24"/>
        </w:rPr>
        <w:t>Tiye</w:t>
      </w:r>
      <w:proofErr w:type="spellEnd"/>
      <w:r w:rsidR="00807BE4">
        <w:rPr>
          <w:sz w:val="24"/>
          <w:szCs w:val="24"/>
        </w:rPr>
        <w:t xml:space="preserve">, the different crown would make sense, as well as the age lines on the face of the statuette, showing that this woman was an older woman at the royal court of Amarna, and even possibly a royal due to the hole that would hold an </w:t>
      </w:r>
      <w:proofErr w:type="spellStart"/>
      <w:r w:rsidR="00807BE4">
        <w:rPr>
          <w:sz w:val="24"/>
          <w:szCs w:val="24"/>
        </w:rPr>
        <w:t>Uraes</w:t>
      </w:r>
      <w:proofErr w:type="spellEnd"/>
      <w:r w:rsidR="00807BE4">
        <w:rPr>
          <w:sz w:val="24"/>
          <w:szCs w:val="24"/>
        </w:rPr>
        <w:t>, a symbol of royalty.</w:t>
      </w:r>
      <w:r w:rsidR="00753308" w:rsidRPr="00807BE4">
        <w:rPr>
          <w:sz w:val="24"/>
          <w:szCs w:val="24"/>
        </w:rPr>
        <w:t xml:space="preserve"> </w:t>
      </w:r>
    </w:p>
    <w:p w14:paraId="7BC94C7D" w14:textId="4A0A967B" w:rsidR="00807BE4" w:rsidRDefault="00807BE4" w:rsidP="00753308">
      <w:pPr>
        <w:rPr>
          <w:sz w:val="28"/>
          <w:szCs w:val="28"/>
        </w:rPr>
      </w:pPr>
      <w:r>
        <w:rPr>
          <w:sz w:val="28"/>
          <w:szCs w:val="28"/>
        </w:rPr>
        <w:t xml:space="preserve">       </w:t>
      </w:r>
    </w:p>
    <w:p w14:paraId="0AD348BA" w14:textId="77777777" w:rsidR="001B7854" w:rsidRDefault="001B7854" w:rsidP="00753308">
      <w:pPr>
        <w:rPr>
          <w:sz w:val="28"/>
          <w:szCs w:val="28"/>
        </w:rPr>
      </w:pPr>
    </w:p>
    <w:p w14:paraId="702778A8" w14:textId="7B4B178C" w:rsidR="00965B4E" w:rsidRDefault="00965B4E" w:rsidP="00753308">
      <w:pPr>
        <w:rPr>
          <w:sz w:val="32"/>
          <w:szCs w:val="32"/>
          <w:u w:val="single"/>
        </w:rPr>
      </w:pPr>
      <w:bookmarkStart w:id="0" w:name="_GoBack"/>
      <w:bookmarkEnd w:id="0"/>
      <w:r>
        <w:rPr>
          <w:sz w:val="32"/>
          <w:szCs w:val="32"/>
          <w:u w:val="single"/>
        </w:rPr>
        <w:lastRenderedPageBreak/>
        <w:t>Bibliography :</w:t>
      </w:r>
    </w:p>
    <w:p w14:paraId="3B044747" w14:textId="2E2F33F4" w:rsidR="00965B4E" w:rsidRDefault="00965B4E" w:rsidP="00753308">
      <w:pPr>
        <w:rPr>
          <w:sz w:val="32"/>
          <w:szCs w:val="32"/>
          <w:u w:val="single"/>
        </w:rPr>
      </w:pPr>
    </w:p>
    <w:p w14:paraId="3FCCC678" w14:textId="2840632F" w:rsidR="00965B4E" w:rsidRPr="00807BE4" w:rsidRDefault="00965B4E" w:rsidP="00753308">
      <w:pPr>
        <w:rPr>
          <w:sz w:val="24"/>
          <w:szCs w:val="24"/>
        </w:rPr>
      </w:pPr>
      <w:proofErr w:type="spellStart"/>
      <w:r w:rsidRPr="00807BE4">
        <w:rPr>
          <w:sz w:val="24"/>
          <w:szCs w:val="24"/>
        </w:rPr>
        <w:t>Baikie</w:t>
      </w:r>
      <w:proofErr w:type="spellEnd"/>
      <w:r w:rsidRPr="00807BE4">
        <w:rPr>
          <w:sz w:val="24"/>
          <w:szCs w:val="24"/>
        </w:rPr>
        <w:t xml:space="preserve">, J. (2014). </w:t>
      </w:r>
      <w:r w:rsidRPr="00807BE4">
        <w:rPr>
          <w:i/>
          <w:iCs/>
          <w:sz w:val="24"/>
          <w:szCs w:val="24"/>
        </w:rPr>
        <w:t>The Amarna Age</w:t>
      </w:r>
      <w:r w:rsidRPr="00807BE4">
        <w:rPr>
          <w:sz w:val="24"/>
          <w:szCs w:val="24"/>
        </w:rPr>
        <w:t xml:space="preserve">. </w:t>
      </w:r>
      <w:proofErr w:type="spellStart"/>
      <w:r w:rsidRPr="00807BE4">
        <w:rPr>
          <w:sz w:val="24"/>
          <w:szCs w:val="24"/>
        </w:rPr>
        <w:t>Hobeken</w:t>
      </w:r>
      <w:proofErr w:type="spellEnd"/>
      <w:r w:rsidRPr="00807BE4">
        <w:rPr>
          <w:sz w:val="24"/>
          <w:szCs w:val="24"/>
        </w:rPr>
        <w:t>. Taylor and Francis.</w:t>
      </w:r>
    </w:p>
    <w:p w14:paraId="4929C97B" w14:textId="77777777" w:rsidR="00965B4E" w:rsidRPr="00807BE4" w:rsidRDefault="00965B4E" w:rsidP="00753308">
      <w:pPr>
        <w:rPr>
          <w:sz w:val="24"/>
          <w:szCs w:val="24"/>
        </w:rPr>
      </w:pPr>
    </w:p>
    <w:p w14:paraId="63E8E437" w14:textId="6323517E" w:rsidR="00965B4E" w:rsidRPr="00807BE4" w:rsidRDefault="00965B4E" w:rsidP="00753308">
      <w:pPr>
        <w:rPr>
          <w:sz w:val="24"/>
          <w:szCs w:val="24"/>
        </w:rPr>
      </w:pPr>
      <w:proofErr w:type="spellStart"/>
      <w:r w:rsidRPr="00807BE4">
        <w:rPr>
          <w:sz w:val="24"/>
          <w:szCs w:val="24"/>
        </w:rPr>
        <w:t>Laboury</w:t>
      </w:r>
      <w:proofErr w:type="spellEnd"/>
      <w:r w:rsidRPr="00807BE4">
        <w:rPr>
          <w:sz w:val="24"/>
          <w:szCs w:val="24"/>
        </w:rPr>
        <w:t xml:space="preserve">, D. (2011). </w:t>
      </w:r>
      <w:r w:rsidRPr="00807BE4">
        <w:rPr>
          <w:i/>
          <w:iCs/>
          <w:sz w:val="24"/>
          <w:szCs w:val="24"/>
        </w:rPr>
        <w:t>Amarna Art</w:t>
      </w:r>
      <w:r w:rsidRPr="00807BE4">
        <w:rPr>
          <w:sz w:val="24"/>
          <w:szCs w:val="24"/>
        </w:rPr>
        <w:t>. UCLA Encyclopaedia of Egyptology, 1(1).</w:t>
      </w:r>
    </w:p>
    <w:p w14:paraId="5CFA387F" w14:textId="0656454B" w:rsidR="00965B4E" w:rsidRPr="00807BE4" w:rsidRDefault="00965B4E" w:rsidP="00753308">
      <w:pPr>
        <w:rPr>
          <w:sz w:val="24"/>
          <w:szCs w:val="24"/>
        </w:rPr>
      </w:pPr>
    </w:p>
    <w:p w14:paraId="36AD09F7" w14:textId="4F98850E" w:rsidR="00965B4E" w:rsidRPr="00807BE4" w:rsidRDefault="00965B4E" w:rsidP="00753308">
      <w:pPr>
        <w:rPr>
          <w:sz w:val="24"/>
          <w:szCs w:val="24"/>
        </w:rPr>
      </w:pPr>
      <w:r w:rsidRPr="00807BE4">
        <w:rPr>
          <w:sz w:val="24"/>
          <w:szCs w:val="24"/>
        </w:rPr>
        <w:t xml:space="preserve">Image 1 – wall relief of a woman from Amarna, provided by Katharina Zinn, </w:t>
      </w:r>
      <w:r w:rsidR="00807BE4" w:rsidRPr="00807BE4">
        <w:rPr>
          <w:sz w:val="24"/>
          <w:szCs w:val="24"/>
        </w:rPr>
        <w:t>accessed from Moodle page : Amarna, Materiality of a Religious Revolution (HPAH5003)</w:t>
      </w:r>
    </w:p>
    <w:p w14:paraId="4DC6F4EC" w14:textId="64AEF1E6" w:rsidR="00965B4E" w:rsidRPr="00807BE4" w:rsidRDefault="00965B4E" w:rsidP="00753308">
      <w:pPr>
        <w:rPr>
          <w:sz w:val="24"/>
          <w:szCs w:val="24"/>
        </w:rPr>
      </w:pPr>
    </w:p>
    <w:p w14:paraId="26830189" w14:textId="79DADF85" w:rsidR="00965B4E" w:rsidRPr="00807BE4" w:rsidRDefault="00965B4E" w:rsidP="00753308">
      <w:pPr>
        <w:rPr>
          <w:sz w:val="24"/>
          <w:szCs w:val="24"/>
        </w:rPr>
      </w:pPr>
      <w:r w:rsidRPr="00807BE4">
        <w:rPr>
          <w:sz w:val="24"/>
          <w:szCs w:val="24"/>
        </w:rPr>
        <w:t xml:space="preserve">Image 2 – statuette of older woman from Amarna, provided by Katharina Zinn, accessed from Moodle page : Amarna, </w:t>
      </w:r>
      <w:r w:rsidR="00807BE4" w:rsidRPr="00807BE4">
        <w:rPr>
          <w:sz w:val="24"/>
          <w:szCs w:val="24"/>
        </w:rPr>
        <w:t>Materiality</w:t>
      </w:r>
      <w:r w:rsidRPr="00807BE4">
        <w:rPr>
          <w:sz w:val="24"/>
          <w:szCs w:val="24"/>
        </w:rPr>
        <w:t xml:space="preserve"> of a Religious Revolution (HPAH</w:t>
      </w:r>
      <w:r w:rsidR="00807BE4" w:rsidRPr="00807BE4">
        <w:rPr>
          <w:sz w:val="24"/>
          <w:szCs w:val="24"/>
        </w:rPr>
        <w:t>5003)</w:t>
      </w:r>
    </w:p>
    <w:p w14:paraId="0CC97955" w14:textId="77777777" w:rsidR="00965B4E" w:rsidRPr="00965B4E" w:rsidRDefault="00965B4E" w:rsidP="00753308">
      <w:pPr>
        <w:rPr>
          <w:sz w:val="28"/>
          <w:szCs w:val="28"/>
        </w:rPr>
      </w:pPr>
    </w:p>
    <w:sectPr w:rsidR="00965B4E" w:rsidRPr="00965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308"/>
    <w:rsid w:val="00073D67"/>
    <w:rsid w:val="001B7854"/>
    <w:rsid w:val="00501BFC"/>
    <w:rsid w:val="00530448"/>
    <w:rsid w:val="005F6944"/>
    <w:rsid w:val="00753308"/>
    <w:rsid w:val="00807BE4"/>
    <w:rsid w:val="00965B4E"/>
    <w:rsid w:val="00AB1065"/>
    <w:rsid w:val="00B53261"/>
    <w:rsid w:val="00F06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75291"/>
  <w15:chartTrackingRefBased/>
  <w15:docId w15:val="{02A2284E-0DC8-4E8D-8139-69A72A2F8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1253</Words>
  <Characters>7144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Nadia Seale</dc:creator>
  <cp:keywords/>
  <dc:description/>
  <cp:lastModifiedBy>Nadia Seale</cp:lastModifiedBy>
  <cp:revision>2</cp:revision>
  <dcterms:created xsi:type="dcterms:W3CDTF">2019-06-07T21:52:00Z</dcterms:created>
  <dcterms:modified xsi:type="dcterms:W3CDTF">2019-06-07T21:52:00Z</dcterms:modified>
</cp:coreProperties>
</file>