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729F" w:rsidRDefault="00FB729F" w:rsidP="00FB729F">
      <w:pPr>
        <w:pStyle w:val="NormalWeb"/>
        <w:spacing w:before="0" w:beforeAutospacing="0" w:after="0" w:afterAutospacing="0"/>
        <w:ind w:left="-180" w:right="-334"/>
      </w:pPr>
      <w:r>
        <w:rPr>
          <w:noProof/>
          <w:lang w:eastAsia="en-GB"/>
        </w:rPr>
        <w:drawing>
          <wp:inline distT="0" distB="0" distL="0" distR="0">
            <wp:extent cx="1905000" cy="638175"/>
            <wp:effectExtent l="19050" t="19050" r="19050" b="28575"/>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rsidR="00FB729F" w:rsidRDefault="00FB729F" w:rsidP="00FB729F">
      <w:pPr>
        <w:pStyle w:val="NormalWeb"/>
        <w:spacing w:before="0" w:beforeAutospacing="0" w:after="0" w:afterAutospacing="0"/>
        <w:ind w:left="-180" w:right="-334"/>
      </w:pPr>
    </w:p>
    <w:p w:rsidR="00FB729F" w:rsidRDefault="00FB729F" w:rsidP="00FB729F">
      <w:pPr>
        <w:pStyle w:val="NormalWeb"/>
        <w:spacing w:before="0" w:beforeAutospacing="0" w:after="0" w:afterAutospacing="0"/>
        <w:ind w:left="-180" w:right="-334"/>
      </w:pPr>
    </w:p>
    <w:p w:rsidR="00FB729F" w:rsidRDefault="00FB729F" w:rsidP="00FB729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FB729F" w:rsidRPr="00230F35" w:rsidRDefault="00FB729F" w:rsidP="00FB729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FB729F" w:rsidRPr="00230F35" w:rsidRDefault="00FB729F" w:rsidP="00FB729F">
      <w:pPr>
        <w:rPr>
          <w:rFonts w:ascii="Arial" w:hAnsi="Arial" w:cs="Arial"/>
          <w:sz w:val="28"/>
          <w:szCs w:val="28"/>
          <w:lang w:val="cy-GB"/>
        </w:rPr>
      </w:pPr>
    </w:p>
    <w:p w:rsidR="00FB729F" w:rsidRDefault="00FB729F" w:rsidP="00FB729F">
      <w:pPr>
        <w:pStyle w:val="Heading3"/>
        <w:jc w:val="center"/>
        <w:rPr>
          <w:lang w:val="cy-GB"/>
        </w:rPr>
      </w:pPr>
      <w:r>
        <w:rPr>
          <w:lang w:val="cy-GB"/>
        </w:rPr>
        <w:t>THIS SHEET MUST BE THE FIRST PAGE OF THE ASSIGNMENT YOU ARE SUBMITTING  (DO NOT SEND AS A SEPARATE FILE)</w:t>
      </w:r>
    </w:p>
    <w:p w:rsidR="00FB729F" w:rsidRDefault="00FB729F" w:rsidP="00FB729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FB729F" w:rsidRPr="00230F35" w:rsidTr="00080FE3">
        <w:trPr>
          <w:trHeight w:val="614"/>
        </w:trPr>
        <w:tc>
          <w:tcPr>
            <w:tcW w:w="8856" w:type="dxa"/>
            <w:gridSpan w:val="5"/>
          </w:tcPr>
          <w:p w:rsidR="00FB729F" w:rsidRPr="00230F35" w:rsidRDefault="00FB729F" w:rsidP="00080FE3">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FB729F" w:rsidRPr="00230F35" w:rsidTr="00080FE3">
        <w:trPr>
          <w:trHeight w:val="718"/>
        </w:trPr>
        <w:tc>
          <w:tcPr>
            <w:tcW w:w="8856" w:type="dxa"/>
            <w:gridSpan w:val="5"/>
          </w:tcPr>
          <w:p w:rsidR="00FB729F" w:rsidRDefault="00FB729F" w:rsidP="00080F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Jon Burwell </w:t>
            </w:r>
          </w:p>
          <w:p w:rsidR="00FB729F" w:rsidRPr="00230F35" w:rsidRDefault="00FB729F" w:rsidP="00080FE3">
            <w:pPr>
              <w:pStyle w:val="NormalWeb"/>
              <w:spacing w:before="0" w:beforeAutospacing="0" w:after="0" w:afterAutospacing="0"/>
              <w:ind w:right="34"/>
              <w:rPr>
                <w:rFonts w:ascii="Arial" w:hAnsi="Arial" w:cs="Arial"/>
                <w:sz w:val="22"/>
                <w:szCs w:val="22"/>
              </w:rPr>
            </w:pPr>
          </w:p>
        </w:tc>
      </w:tr>
      <w:tr w:rsidR="00FB729F" w:rsidRPr="00230F35" w:rsidTr="00080FE3">
        <w:trPr>
          <w:trHeight w:val="849"/>
        </w:trPr>
        <w:tc>
          <w:tcPr>
            <w:tcW w:w="4788" w:type="dxa"/>
          </w:tcPr>
          <w:p w:rsidR="00FB729F" w:rsidRPr="00230F35" w:rsidRDefault="00FB729F" w:rsidP="00080F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HPHI7033</w:t>
            </w:r>
          </w:p>
          <w:p w:rsidR="00FB729F" w:rsidRPr="00230F35" w:rsidRDefault="00FB729F" w:rsidP="00080FE3">
            <w:pPr>
              <w:pStyle w:val="NormalWeb"/>
              <w:spacing w:before="0" w:beforeAutospacing="0" w:after="0" w:afterAutospacing="0"/>
              <w:ind w:right="34"/>
              <w:rPr>
                <w:rFonts w:ascii="Arial" w:hAnsi="Arial" w:cs="Arial"/>
                <w:sz w:val="22"/>
                <w:szCs w:val="22"/>
              </w:rPr>
            </w:pPr>
          </w:p>
          <w:p w:rsidR="00FB729F" w:rsidRDefault="00FB729F" w:rsidP="00080FE3">
            <w:pPr>
              <w:pStyle w:val="Heading1"/>
              <w:shd w:val="clear" w:color="auto" w:fill="FBF7F5"/>
              <w:spacing w:before="0"/>
              <w:rPr>
                <w:rFonts w:ascii="Segoe UI" w:hAnsi="Segoe UI" w:cs="Segoe UI"/>
                <w:b w:val="0"/>
                <w:bCs w:val="0"/>
                <w:color w:val="373A3C"/>
              </w:rPr>
            </w:pPr>
            <w:r w:rsidRPr="00230F35">
              <w:rPr>
                <w:sz w:val="22"/>
                <w:szCs w:val="22"/>
              </w:rPr>
              <w:t>Module title:</w:t>
            </w:r>
            <w:r>
              <w:rPr>
                <w:rFonts w:ascii="Segoe UI" w:hAnsi="Segoe UI" w:cs="Segoe UI"/>
                <w:b w:val="0"/>
                <w:bCs w:val="0"/>
                <w:color w:val="373A3C"/>
              </w:rPr>
              <w:t xml:space="preserve"> </w:t>
            </w:r>
            <w:r w:rsidRPr="00407D70">
              <w:rPr>
                <w:b w:val="0"/>
                <w:bCs w:val="0"/>
                <w:color w:val="373A3C"/>
                <w:sz w:val="22"/>
                <w:szCs w:val="22"/>
              </w:rPr>
              <w:t>Research Methodology for Historians</w:t>
            </w:r>
          </w:p>
          <w:p w:rsidR="00FB729F" w:rsidRDefault="00FB729F" w:rsidP="00080FE3">
            <w:pPr>
              <w:pStyle w:val="NormalWeb"/>
              <w:spacing w:before="0" w:beforeAutospacing="0" w:after="0" w:afterAutospacing="0"/>
              <w:ind w:right="34"/>
              <w:rPr>
                <w:rFonts w:ascii="Arial" w:hAnsi="Arial" w:cs="Arial"/>
                <w:sz w:val="22"/>
                <w:szCs w:val="22"/>
              </w:rPr>
            </w:pPr>
          </w:p>
          <w:p w:rsidR="00FB729F" w:rsidRDefault="00FB729F" w:rsidP="00080FE3">
            <w:pPr>
              <w:pStyle w:val="NormalWeb"/>
              <w:spacing w:before="0" w:beforeAutospacing="0" w:after="0" w:afterAutospacing="0"/>
              <w:ind w:right="34"/>
              <w:rPr>
                <w:rFonts w:ascii="Arial" w:hAnsi="Arial" w:cs="Arial"/>
                <w:sz w:val="22"/>
                <w:szCs w:val="22"/>
              </w:rPr>
            </w:pPr>
          </w:p>
          <w:p w:rsidR="00FB729F" w:rsidRPr="00230F35" w:rsidRDefault="00FB729F" w:rsidP="00080FE3">
            <w:pPr>
              <w:pStyle w:val="NormalWeb"/>
              <w:spacing w:before="0" w:beforeAutospacing="0" w:after="0" w:afterAutospacing="0"/>
              <w:ind w:right="34"/>
              <w:rPr>
                <w:rFonts w:ascii="Arial" w:hAnsi="Arial" w:cs="Arial"/>
                <w:sz w:val="22"/>
                <w:szCs w:val="22"/>
              </w:rPr>
            </w:pPr>
          </w:p>
        </w:tc>
        <w:tc>
          <w:tcPr>
            <w:tcW w:w="2266" w:type="dxa"/>
            <w:gridSpan w:val="3"/>
          </w:tcPr>
          <w:p w:rsidR="00FB729F" w:rsidRDefault="00FB729F" w:rsidP="00080F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FB729F" w:rsidRDefault="00FB729F" w:rsidP="00080FE3">
            <w:pPr>
              <w:pStyle w:val="NormalWeb"/>
              <w:spacing w:before="0" w:beforeAutospacing="0" w:after="0" w:afterAutospacing="0"/>
              <w:ind w:right="34"/>
              <w:rPr>
                <w:rFonts w:ascii="Arial" w:hAnsi="Arial" w:cs="Arial"/>
                <w:sz w:val="22"/>
                <w:szCs w:val="22"/>
              </w:rPr>
            </w:pPr>
          </w:p>
          <w:p w:rsidR="00FB729F" w:rsidRPr="00230F35" w:rsidRDefault="00FB729F" w:rsidP="00080FE3">
            <w:pPr>
              <w:pStyle w:val="NormalWeb"/>
              <w:spacing w:before="0" w:beforeAutospacing="0" w:after="0" w:afterAutospacing="0"/>
              <w:ind w:right="34"/>
              <w:rPr>
                <w:rFonts w:ascii="Arial" w:hAnsi="Arial" w:cs="Arial"/>
                <w:sz w:val="22"/>
                <w:szCs w:val="22"/>
              </w:rPr>
            </w:pPr>
            <w:r>
              <w:rPr>
                <w:rFonts w:ascii="Arial" w:hAnsi="Arial" w:cs="Arial"/>
                <w:sz w:val="22"/>
                <w:szCs w:val="22"/>
              </w:rPr>
              <w:t>1904910</w:t>
            </w:r>
          </w:p>
        </w:tc>
        <w:tc>
          <w:tcPr>
            <w:tcW w:w="1802" w:type="dxa"/>
          </w:tcPr>
          <w:p w:rsidR="00FB729F" w:rsidRPr="00230F35" w:rsidRDefault="00FB729F" w:rsidP="00080F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FB729F" w:rsidRPr="00230F35" w:rsidRDefault="00FB729F" w:rsidP="00080FE3">
            <w:pPr>
              <w:pStyle w:val="NormalWeb"/>
              <w:spacing w:before="0" w:beforeAutospacing="0" w:after="0" w:afterAutospacing="0"/>
              <w:ind w:right="34"/>
              <w:rPr>
                <w:rFonts w:ascii="Arial" w:hAnsi="Arial" w:cs="Arial"/>
                <w:sz w:val="22"/>
                <w:szCs w:val="22"/>
              </w:rPr>
            </w:pPr>
            <w:r>
              <w:rPr>
                <w:rFonts w:ascii="Arial" w:hAnsi="Arial" w:cs="Arial"/>
                <w:sz w:val="22"/>
                <w:szCs w:val="22"/>
              </w:rPr>
              <w:t>NO</w:t>
            </w:r>
          </w:p>
        </w:tc>
      </w:tr>
      <w:tr w:rsidR="00FB729F" w:rsidRPr="00230F35" w:rsidTr="00080FE3">
        <w:trPr>
          <w:trHeight w:val="1139"/>
        </w:trPr>
        <w:tc>
          <w:tcPr>
            <w:tcW w:w="8856" w:type="dxa"/>
            <w:gridSpan w:val="5"/>
          </w:tcPr>
          <w:p w:rsidR="00FB729F" w:rsidRPr="00230F35" w:rsidRDefault="00FB729F" w:rsidP="00080FE3">
            <w:pPr>
              <w:pStyle w:val="NormalWeb"/>
              <w:spacing w:before="0" w:beforeAutospacing="0" w:after="0" w:afterAutospacing="0"/>
              <w:ind w:right="34"/>
              <w:rPr>
                <w:rFonts w:ascii="Arial" w:hAnsi="Arial" w:cs="Arial"/>
                <w:sz w:val="22"/>
                <w:szCs w:val="22"/>
              </w:rPr>
            </w:pPr>
            <w:r>
              <w:rPr>
                <w:rFonts w:ascii="Arial" w:hAnsi="Arial" w:cs="Arial"/>
                <w:sz w:val="22"/>
                <w:szCs w:val="22"/>
              </w:rPr>
              <w:t>Module tutor:</w:t>
            </w:r>
          </w:p>
          <w:p w:rsidR="00FB729F" w:rsidRPr="00230F35" w:rsidRDefault="00FB729F" w:rsidP="00080FE3">
            <w:pPr>
              <w:pStyle w:val="NormalWeb"/>
              <w:spacing w:before="0" w:beforeAutospacing="0" w:after="0" w:afterAutospacing="0"/>
              <w:ind w:right="34"/>
              <w:rPr>
                <w:rFonts w:ascii="Arial" w:hAnsi="Arial" w:cs="Arial"/>
                <w:sz w:val="22"/>
                <w:szCs w:val="22"/>
              </w:rPr>
            </w:pPr>
            <w:r>
              <w:rPr>
                <w:rFonts w:ascii="Arial" w:hAnsi="Arial" w:cs="Arial"/>
                <w:sz w:val="22"/>
                <w:szCs w:val="22"/>
              </w:rPr>
              <w:t xml:space="preserve">Professor Jane Bruton </w:t>
            </w:r>
          </w:p>
          <w:p w:rsidR="00FB729F" w:rsidRDefault="00FB729F" w:rsidP="00080FE3">
            <w:pPr>
              <w:pStyle w:val="NormalWeb"/>
              <w:spacing w:before="0" w:beforeAutospacing="0" w:after="0" w:afterAutospacing="0"/>
              <w:ind w:right="34"/>
              <w:rPr>
                <w:rFonts w:ascii="Arial" w:hAnsi="Arial" w:cs="Arial"/>
                <w:sz w:val="22"/>
                <w:szCs w:val="22"/>
              </w:rPr>
            </w:pPr>
          </w:p>
          <w:p w:rsidR="00FB729F" w:rsidRPr="00230F35" w:rsidRDefault="00FB729F" w:rsidP="00080F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24</w:t>
            </w:r>
            <w:r w:rsidRPr="00407D70">
              <w:rPr>
                <w:rFonts w:ascii="Arial" w:hAnsi="Arial" w:cs="Arial"/>
                <w:sz w:val="22"/>
                <w:szCs w:val="22"/>
                <w:vertAlign w:val="superscript"/>
              </w:rPr>
              <w:t>th</w:t>
            </w:r>
            <w:r>
              <w:rPr>
                <w:rFonts w:ascii="Arial" w:hAnsi="Arial" w:cs="Arial"/>
                <w:sz w:val="22"/>
                <w:szCs w:val="22"/>
              </w:rPr>
              <w:t xml:space="preserve"> Jan 2020</w:t>
            </w:r>
          </w:p>
        </w:tc>
      </w:tr>
      <w:tr w:rsidR="00FB729F" w:rsidRPr="00230F35" w:rsidTr="00080FE3">
        <w:trPr>
          <w:trHeight w:val="978"/>
        </w:trPr>
        <w:tc>
          <w:tcPr>
            <w:tcW w:w="8856" w:type="dxa"/>
            <w:gridSpan w:val="5"/>
            <w:tcBorders>
              <w:bottom w:val="single" w:sz="4" w:space="0" w:color="000000"/>
            </w:tcBorders>
          </w:tcPr>
          <w:p w:rsidR="00FB729F" w:rsidRDefault="00FB729F" w:rsidP="00080FE3">
            <w:pPr>
              <w:rPr>
                <w:rFonts w:ascii="Arial" w:hAnsi="Arial" w:cs="Arial"/>
              </w:rPr>
            </w:pPr>
            <w:r>
              <w:rPr>
                <w:rFonts w:ascii="Arial" w:hAnsi="Arial" w:cs="Arial"/>
              </w:rPr>
              <w:t>If your module has multiple submissions please indicate which piece of work this is.</w:t>
            </w:r>
          </w:p>
          <w:p w:rsidR="00FB729F" w:rsidRDefault="00FB729F" w:rsidP="00080FE3">
            <w:pPr>
              <w:rPr>
                <w:rFonts w:ascii="Arial" w:hAnsi="Arial" w:cs="Arial"/>
              </w:rPr>
            </w:pPr>
          </w:p>
          <w:p w:rsidR="00FB729F" w:rsidRPr="00230F35" w:rsidRDefault="00FB729F" w:rsidP="005944FA">
            <w:pPr>
              <w:rPr>
                <w:rFonts w:ascii="Arial" w:hAnsi="Arial" w:cs="Arial"/>
              </w:rPr>
            </w:pPr>
            <w:r w:rsidRPr="00230F35">
              <w:rPr>
                <w:rFonts w:ascii="Arial" w:hAnsi="Arial" w:cs="Arial"/>
              </w:rPr>
              <w:t>1</w:t>
            </w:r>
            <w:r w:rsidRPr="00230F35">
              <w:rPr>
                <w:rFonts w:ascii="Arial" w:hAnsi="Arial" w:cs="Arial"/>
                <w:vertAlign w:val="superscript"/>
              </w:rPr>
              <w:t xml:space="preserve">st </w:t>
            </w:r>
            <w:r w:rsidRPr="00230F35">
              <w:rPr>
                <w:rFonts w:ascii="Arial" w:hAnsi="Arial" w:cs="Arial"/>
              </w:rPr>
              <w:fldChar w:fldCharType="begin">
                <w:ffData>
                  <w:name w:val="Check13"/>
                  <w:enabled/>
                  <w:calcOnExit w:val="0"/>
                  <w:checkBox>
                    <w:sizeAuto/>
                    <w:default w:val="0"/>
                  </w:checkBox>
                </w:ffData>
              </w:fldChar>
            </w:r>
            <w:bookmarkStart w:id="0" w:name="Check13"/>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w:t>
            </w:r>
            <w:r w:rsidRPr="00230F35">
              <w:rPr>
                <w:rFonts w:ascii="Arial" w:hAnsi="Arial" w:cs="Arial"/>
              </w:rPr>
              <w:fldChar w:fldCharType="begin">
                <w:ffData>
                  <w:name w:val="Check14"/>
                  <w:enabled/>
                  <w:calcOnExit w:val="0"/>
                  <w:checkBox>
                    <w:sizeAuto/>
                    <w:default w:val="0"/>
                  </w:checkBox>
                </w:ffData>
              </w:fldChar>
            </w:r>
            <w:bookmarkStart w:id="1" w:name="Check14"/>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1"/>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bookmarkStart w:id="2" w:name="Check15"/>
            <w:r w:rsidR="005944FA">
              <w:rPr>
                <w:rFonts w:ascii="Arial" w:hAnsi="Arial" w:cs="Arial"/>
              </w:rPr>
              <w:fldChar w:fldCharType="begin">
                <w:ffData>
                  <w:name w:val="Check15"/>
                  <w:enabled/>
                  <w:calcOnExit w:val="0"/>
                  <w:checkBox>
                    <w:sizeAuto/>
                    <w:default w:val="1"/>
                  </w:checkBox>
                </w:ffData>
              </w:fldChar>
            </w:r>
            <w:r w:rsidR="005944FA">
              <w:rPr>
                <w:rFonts w:ascii="Arial" w:hAnsi="Arial" w:cs="Arial"/>
              </w:rPr>
              <w:instrText xml:space="preserve"> FORMCHECKBOX </w:instrText>
            </w:r>
            <w:r w:rsidR="005944FA">
              <w:rPr>
                <w:rFonts w:ascii="Arial" w:hAnsi="Arial" w:cs="Arial"/>
              </w:rPr>
            </w:r>
            <w:r w:rsidR="005944FA">
              <w:rPr>
                <w:rFonts w:ascii="Arial" w:hAnsi="Arial" w:cs="Arial"/>
              </w:rPr>
              <w:fldChar w:fldCharType="end"/>
            </w:r>
            <w:bookmarkEnd w:id="2"/>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bookmarkStart w:id="3" w:name="Check16"/>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3"/>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bookmarkStart w:id="4" w:name="Check17"/>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4"/>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bookmarkStart w:id="5" w:name="Check18"/>
            <w:r w:rsidRPr="00230F35">
              <w:rPr>
                <w:rFonts w:ascii="Arial" w:hAnsi="Arial" w:cs="Arial"/>
              </w:rPr>
              <w:instrText xml:space="preserve"> FORMCHECKBOX </w:instrText>
            </w:r>
            <w:r w:rsidRPr="00230F35">
              <w:rPr>
                <w:rFonts w:ascii="Arial" w:hAnsi="Arial" w:cs="Arial"/>
              </w:rPr>
            </w:r>
            <w:r w:rsidRPr="00230F35">
              <w:rPr>
                <w:rFonts w:ascii="Arial" w:hAnsi="Arial" w:cs="Arial"/>
              </w:rPr>
              <w:fldChar w:fldCharType="end"/>
            </w:r>
            <w:bookmarkEnd w:id="5"/>
          </w:p>
        </w:tc>
      </w:tr>
      <w:tr w:rsidR="00FB729F" w:rsidRPr="00230F35" w:rsidTr="00080FE3">
        <w:trPr>
          <w:trHeight w:val="978"/>
        </w:trPr>
        <w:tc>
          <w:tcPr>
            <w:tcW w:w="8856" w:type="dxa"/>
            <w:gridSpan w:val="5"/>
            <w:shd w:val="clear" w:color="auto" w:fill="D9D9D9"/>
          </w:tcPr>
          <w:p w:rsidR="00FB729F" w:rsidRPr="00230F35" w:rsidRDefault="00FB729F" w:rsidP="00080F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FB729F" w:rsidRDefault="00FB729F" w:rsidP="00080FE3">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rsidR="00FB729F" w:rsidRDefault="00FB729F" w:rsidP="00080FE3">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Pr>
                <w:rFonts w:ascii="Calibri" w:hAnsi="Calibri" w:cs="Calibri"/>
                <w:b/>
                <w:sz w:val="44"/>
                <w:szCs w:val="44"/>
              </w:rPr>
              <w:t>x</w:t>
            </w:r>
          </w:p>
          <w:p w:rsidR="00FB729F" w:rsidRPr="00230F35" w:rsidRDefault="00FB729F" w:rsidP="00080FE3">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FB729F" w:rsidRPr="00230F35" w:rsidTr="00080FE3">
        <w:trPr>
          <w:trHeight w:val="3972"/>
        </w:trPr>
        <w:tc>
          <w:tcPr>
            <w:tcW w:w="8856" w:type="dxa"/>
            <w:gridSpan w:val="5"/>
          </w:tcPr>
          <w:p w:rsidR="00FB729F" w:rsidRDefault="00FB729F" w:rsidP="00080FE3">
            <w:pPr>
              <w:rPr>
                <w:rFonts w:ascii="Arial" w:hAnsi="Arial"/>
                <w:b/>
              </w:rPr>
            </w:pPr>
          </w:p>
          <w:p w:rsidR="00FB729F" w:rsidRPr="00116CE6" w:rsidRDefault="00FB729F" w:rsidP="00080FE3">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FB729F" w:rsidRPr="00116CE6" w:rsidTr="00080FE3">
              <w:tc>
                <w:tcPr>
                  <w:tcW w:w="6970" w:type="dxa"/>
                </w:tcPr>
                <w:p w:rsidR="00FB729F" w:rsidRPr="00116CE6" w:rsidRDefault="00FB729F" w:rsidP="00080FE3">
                  <w:pPr>
                    <w:rPr>
                      <w:rFonts w:ascii="Arial" w:hAnsi="Arial"/>
                      <w:sz w:val="20"/>
                      <w:szCs w:val="20"/>
                    </w:rPr>
                  </w:pPr>
                </w:p>
                <w:p w:rsidR="00FB729F" w:rsidRPr="00116CE6" w:rsidRDefault="00FB729F" w:rsidP="00080FE3">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rsidR="00FB729F" w:rsidRPr="00116CE6" w:rsidRDefault="00FB729F" w:rsidP="00080FE3">
                  <w:pPr>
                    <w:rPr>
                      <w:rFonts w:ascii="Arial" w:hAnsi="Arial"/>
                      <w:sz w:val="20"/>
                      <w:szCs w:val="20"/>
                    </w:rPr>
                  </w:pPr>
                </w:p>
              </w:tc>
            </w:tr>
            <w:tr w:rsidR="00FB729F" w:rsidRPr="00116CE6" w:rsidTr="00080FE3">
              <w:tc>
                <w:tcPr>
                  <w:tcW w:w="6970" w:type="dxa"/>
                </w:tcPr>
                <w:p w:rsidR="00FB729F" w:rsidRPr="00116CE6" w:rsidRDefault="00FB729F" w:rsidP="00080FE3">
                  <w:pPr>
                    <w:rPr>
                      <w:rFonts w:ascii="Arial" w:hAnsi="Arial"/>
                      <w:sz w:val="20"/>
                      <w:szCs w:val="20"/>
                    </w:rPr>
                  </w:pPr>
                </w:p>
                <w:p w:rsidR="00FB729F" w:rsidRPr="00116CE6" w:rsidRDefault="00FB729F" w:rsidP="00080FE3">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rsidR="00FB729F" w:rsidRPr="00116CE6" w:rsidRDefault="00FB729F" w:rsidP="00080FE3">
                  <w:pPr>
                    <w:rPr>
                      <w:rFonts w:ascii="Arial" w:hAnsi="Arial"/>
                      <w:sz w:val="20"/>
                      <w:szCs w:val="20"/>
                    </w:rPr>
                  </w:pPr>
                </w:p>
              </w:tc>
            </w:tr>
            <w:tr w:rsidR="00FB729F" w:rsidRPr="00116CE6" w:rsidTr="00080FE3">
              <w:tc>
                <w:tcPr>
                  <w:tcW w:w="6970" w:type="dxa"/>
                </w:tcPr>
                <w:p w:rsidR="00FB729F" w:rsidRPr="00116CE6" w:rsidRDefault="00FB729F" w:rsidP="00080FE3">
                  <w:pPr>
                    <w:rPr>
                      <w:rFonts w:ascii="Arial" w:hAnsi="Arial"/>
                      <w:sz w:val="20"/>
                      <w:szCs w:val="20"/>
                    </w:rPr>
                  </w:pPr>
                </w:p>
                <w:p w:rsidR="00FB729F" w:rsidRPr="00116CE6" w:rsidRDefault="00FB729F" w:rsidP="00080FE3">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rsidR="00FB729F" w:rsidRPr="00116CE6" w:rsidRDefault="00FB729F" w:rsidP="00080FE3">
                  <w:pPr>
                    <w:rPr>
                      <w:rFonts w:ascii="Arial" w:hAnsi="Arial"/>
                      <w:sz w:val="20"/>
                      <w:szCs w:val="20"/>
                    </w:rPr>
                  </w:pPr>
                </w:p>
              </w:tc>
            </w:tr>
            <w:tr w:rsidR="00FB729F" w:rsidRPr="00116CE6" w:rsidTr="00080FE3">
              <w:tc>
                <w:tcPr>
                  <w:tcW w:w="6970" w:type="dxa"/>
                </w:tcPr>
                <w:p w:rsidR="00FB729F" w:rsidRDefault="00FB729F" w:rsidP="00080FE3">
                  <w:pPr>
                    <w:rPr>
                      <w:rFonts w:ascii="Arial" w:hAnsi="Arial"/>
                      <w:sz w:val="20"/>
                      <w:szCs w:val="20"/>
                    </w:rPr>
                  </w:pPr>
                </w:p>
                <w:p w:rsidR="00FB729F" w:rsidRPr="00022345" w:rsidRDefault="00FB729F" w:rsidP="00080FE3">
                  <w:pPr>
                    <w:rPr>
                      <w:rFonts w:ascii="Arial" w:hAnsi="Arial"/>
                      <w:b/>
                      <w:sz w:val="20"/>
                      <w:szCs w:val="20"/>
                    </w:rPr>
                  </w:pPr>
                  <w:r w:rsidRPr="00022345">
                    <w:rPr>
                      <w:rFonts w:ascii="Arial" w:hAnsi="Arial"/>
                      <w:b/>
                      <w:sz w:val="20"/>
                      <w:szCs w:val="20"/>
                    </w:rPr>
                    <w:t>Final Mark</w:t>
                  </w:r>
                </w:p>
                <w:p w:rsidR="00FB729F" w:rsidRPr="00116CE6" w:rsidRDefault="00FB729F" w:rsidP="00080FE3">
                  <w:pPr>
                    <w:rPr>
                      <w:rFonts w:ascii="Arial" w:hAnsi="Arial"/>
                      <w:sz w:val="20"/>
                      <w:szCs w:val="20"/>
                    </w:rPr>
                  </w:pPr>
                </w:p>
              </w:tc>
              <w:tc>
                <w:tcPr>
                  <w:tcW w:w="1660" w:type="dxa"/>
                </w:tcPr>
                <w:p w:rsidR="00FB729F" w:rsidRPr="00116CE6" w:rsidRDefault="00FB729F" w:rsidP="00080FE3">
                  <w:pPr>
                    <w:rPr>
                      <w:rFonts w:ascii="Arial" w:hAnsi="Arial"/>
                      <w:sz w:val="20"/>
                      <w:szCs w:val="20"/>
                    </w:rPr>
                  </w:pPr>
                </w:p>
              </w:tc>
            </w:tr>
          </w:tbl>
          <w:p w:rsidR="00FB729F" w:rsidRDefault="00FB729F" w:rsidP="00080FE3">
            <w:pPr>
              <w:pStyle w:val="NormalWeb"/>
              <w:spacing w:before="0" w:beforeAutospacing="0" w:after="0" w:afterAutospacing="0"/>
              <w:ind w:left="142" w:right="34"/>
              <w:rPr>
                <w:rFonts w:ascii="Arial" w:hAnsi="Arial" w:cs="Arial"/>
                <w:b/>
                <w:sz w:val="22"/>
                <w:szCs w:val="22"/>
              </w:rPr>
            </w:pPr>
          </w:p>
          <w:p w:rsidR="00FB729F" w:rsidRPr="00230F35" w:rsidRDefault="00FB729F" w:rsidP="00080FE3">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FB729F" w:rsidRDefault="00FB729F" w:rsidP="00080FE3">
            <w:pPr>
              <w:pStyle w:val="NormalWeb"/>
              <w:spacing w:before="0" w:beforeAutospacing="0" w:after="0" w:afterAutospacing="0"/>
              <w:rPr>
                <w:rFonts w:ascii="Arial" w:hAnsi="Arial" w:cs="Arial"/>
                <w:b/>
                <w:sz w:val="22"/>
                <w:szCs w:val="22"/>
              </w:rPr>
            </w:pPr>
          </w:p>
          <w:p w:rsidR="00FB729F" w:rsidRDefault="00FB729F" w:rsidP="00080FE3">
            <w:pPr>
              <w:pStyle w:val="NormalWeb"/>
              <w:spacing w:before="0" w:beforeAutospacing="0" w:after="0" w:afterAutospacing="0"/>
              <w:rPr>
                <w:rFonts w:ascii="Arial" w:hAnsi="Arial" w:cs="Arial"/>
                <w:b/>
                <w:sz w:val="22"/>
                <w:szCs w:val="22"/>
              </w:rPr>
            </w:pPr>
          </w:p>
          <w:p w:rsidR="00FB729F" w:rsidRDefault="00FB729F" w:rsidP="00080FE3">
            <w:pPr>
              <w:pStyle w:val="NormalWeb"/>
              <w:spacing w:before="0" w:beforeAutospacing="0" w:after="0" w:afterAutospacing="0"/>
              <w:rPr>
                <w:rFonts w:ascii="Arial" w:hAnsi="Arial" w:cs="Arial"/>
                <w:b/>
                <w:sz w:val="22"/>
                <w:szCs w:val="22"/>
              </w:rPr>
            </w:pPr>
          </w:p>
          <w:p w:rsidR="00FB729F" w:rsidRDefault="00FB729F" w:rsidP="00080FE3">
            <w:pPr>
              <w:pStyle w:val="NormalWeb"/>
              <w:spacing w:before="0" w:beforeAutospacing="0" w:after="0" w:afterAutospacing="0"/>
              <w:rPr>
                <w:rFonts w:ascii="Arial" w:hAnsi="Arial" w:cs="Arial"/>
                <w:b/>
                <w:sz w:val="22"/>
                <w:szCs w:val="22"/>
              </w:rPr>
            </w:pPr>
          </w:p>
          <w:p w:rsidR="00FB729F" w:rsidRDefault="00FB729F" w:rsidP="00080FE3">
            <w:pPr>
              <w:pStyle w:val="NormalWeb"/>
              <w:spacing w:before="0" w:beforeAutospacing="0" w:after="0" w:afterAutospacing="0"/>
              <w:rPr>
                <w:rFonts w:ascii="Arial" w:hAnsi="Arial" w:cs="Arial"/>
                <w:b/>
                <w:sz w:val="22"/>
                <w:szCs w:val="22"/>
              </w:rPr>
            </w:pPr>
          </w:p>
          <w:p w:rsidR="00FB729F" w:rsidRPr="00230F35" w:rsidRDefault="00FB729F" w:rsidP="00080FE3">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FB729F" w:rsidRDefault="00FB729F" w:rsidP="00080FE3">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FB729F" w:rsidRPr="00001C3B" w:rsidRDefault="00FB729F" w:rsidP="00080FE3">
            <w:pPr>
              <w:pStyle w:val="NormalWeb"/>
              <w:rPr>
                <w:rFonts w:ascii="Arial" w:hAnsi="Arial" w:cs="Arial"/>
                <w:sz w:val="22"/>
                <w:szCs w:val="22"/>
              </w:rPr>
            </w:pPr>
          </w:p>
        </w:tc>
      </w:tr>
      <w:tr w:rsidR="00FB729F" w:rsidRPr="00230F35" w:rsidTr="00080FE3">
        <w:trPr>
          <w:trHeight w:val="492"/>
        </w:trPr>
        <w:tc>
          <w:tcPr>
            <w:tcW w:w="6768" w:type="dxa"/>
            <w:gridSpan w:val="3"/>
          </w:tcPr>
          <w:p w:rsidR="00FB729F" w:rsidRPr="00230F35" w:rsidRDefault="00FB729F" w:rsidP="00080FE3">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FB729F" w:rsidRPr="00230F35" w:rsidRDefault="00FB729F" w:rsidP="00080FE3">
            <w:pPr>
              <w:pStyle w:val="NormalWeb"/>
              <w:spacing w:after="0"/>
              <w:ind w:left="142" w:right="34"/>
              <w:rPr>
                <w:rFonts w:ascii="Arial" w:hAnsi="Arial" w:cs="Arial"/>
                <w:sz w:val="22"/>
                <w:szCs w:val="22"/>
              </w:rPr>
            </w:pPr>
            <w:r w:rsidRPr="00230F35">
              <w:rPr>
                <w:rFonts w:ascii="Arial" w:hAnsi="Arial" w:cs="Arial"/>
                <w:sz w:val="22"/>
                <w:szCs w:val="22"/>
              </w:rPr>
              <w:t>Date:</w:t>
            </w:r>
          </w:p>
        </w:tc>
      </w:tr>
      <w:tr w:rsidR="00FB729F" w:rsidRPr="002F467C" w:rsidTr="00080FE3">
        <w:tc>
          <w:tcPr>
            <w:tcW w:w="8856" w:type="dxa"/>
            <w:gridSpan w:val="5"/>
          </w:tcPr>
          <w:p w:rsidR="00FB729F" w:rsidRPr="00230F35" w:rsidRDefault="00FB729F" w:rsidP="00080FE3">
            <w:pPr>
              <w:pStyle w:val="NormalWeb"/>
              <w:spacing w:before="0" w:beforeAutospacing="0" w:after="0" w:afterAutospacing="0"/>
              <w:ind w:right="-334"/>
              <w:rPr>
                <w:rFonts w:ascii="Arial" w:hAnsi="Arial" w:cs="Arial"/>
                <w:bCs/>
                <w:i/>
                <w:sz w:val="22"/>
                <w:szCs w:val="22"/>
              </w:rPr>
            </w:pPr>
          </w:p>
          <w:p w:rsidR="00FB729F" w:rsidRPr="00230F35" w:rsidRDefault="00FB729F" w:rsidP="00080FE3">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FB729F" w:rsidRPr="00230F35" w:rsidRDefault="00FB729F" w:rsidP="00080FE3">
            <w:pPr>
              <w:pStyle w:val="NormalWeb"/>
              <w:spacing w:before="0" w:beforeAutospacing="0" w:after="0" w:afterAutospacing="0"/>
              <w:ind w:right="-334"/>
              <w:rPr>
                <w:rFonts w:ascii="Arial" w:hAnsi="Arial" w:cs="Arial"/>
                <w:b/>
                <w:bCs/>
                <w:sz w:val="22"/>
                <w:szCs w:val="22"/>
              </w:rPr>
            </w:pPr>
          </w:p>
          <w:p w:rsidR="00FB729F" w:rsidRPr="00230F35" w:rsidRDefault="00FB729F" w:rsidP="00080FE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FB729F" w:rsidRPr="00230F35" w:rsidRDefault="00FB729F" w:rsidP="00080FE3">
            <w:pPr>
              <w:pStyle w:val="NormalWeb"/>
              <w:spacing w:before="0" w:beforeAutospacing="0" w:after="0" w:afterAutospacing="0"/>
              <w:ind w:right="-334"/>
              <w:rPr>
                <w:rFonts w:ascii="Arial" w:hAnsi="Arial" w:cs="Arial"/>
                <w:bCs/>
                <w:sz w:val="22"/>
                <w:szCs w:val="22"/>
              </w:rPr>
            </w:pPr>
          </w:p>
          <w:p w:rsidR="00FB729F" w:rsidRPr="00230F35" w:rsidRDefault="00FB729F" w:rsidP="00080FE3">
            <w:pPr>
              <w:pStyle w:val="NormalWeb"/>
              <w:spacing w:before="0" w:beforeAutospacing="0" w:after="0" w:afterAutospacing="0"/>
              <w:ind w:right="-334"/>
              <w:rPr>
                <w:rFonts w:ascii="Arial" w:hAnsi="Arial" w:cs="Arial"/>
                <w:bCs/>
                <w:sz w:val="22"/>
                <w:szCs w:val="22"/>
              </w:rPr>
            </w:pPr>
          </w:p>
          <w:p w:rsidR="00FB729F" w:rsidRPr="00230F35" w:rsidRDefault="00FB729F" w:rsidP="00080FE3">
            <w:pPr>
              <w:pStyle w:val="NormalWeb"/>
              <w:spacing w:before="0" w:beforeAutospacing="0" w:after="0" w:afterAutospacing="0"/>
              <w:ind w:right="-334"/>
              <w:rPr>
                <w:rFonts w:ascii="Arial" w:hAnsi="Arial" w:cs="Arial"/>
                <w:bCs/>
                <w:sz w:val="22"/>
                <w:szCs w:val="22"/>
              </w:rPr>
            </w:pPr>
          </w:p>
        </w:tc>
      </w:tr>
      <w:tr w:rsidR="00FB729F" w:rsidRPr="002F467C" w:rsidTr="00080FE3">
        <w:trPr>
          <w:trHeight w:val="720"/>
        </w:trPr>
        <w:tc>
          <w:tcPr>
            <w:tcW w:w="5211" w:type="dxa"/>
            <w:gridSpan w:val="2"/>
          </w:tcPr>
          <w:p w:rsidR="00FB729F" w:rsidRPr="00230F35" w:rsidRDefault="00FB729F" w:rsidP="00080FE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FB729F" w:rsidRPr="00230F35" w:rsidRDefault="00FB729F" w:rsidP="00080FE3">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FB729F" w:rsidRPr="002F467C" w:rsidTr="00080FE3">
        <w:trPr>
          <w:trHeight w:val="720"/>
        </w:trPr>
        <w:tc>
          <w:tcPr>
            <w:tcW w:w="8856" w:type="dxa"/>
            <w:gridSpan w:val="5"/>
          </w:tcPr>
          <w:p w:rsidR="00FB729F" w:rsidRPr="00B34964" w:rsidRDefault="00FB729F" w:rsidP="00080FE3">
            <w:pPr>
              <w:rPr>
                <w:rFonts w:ascii="Arial" w:hAnsi="Arial" w:cs="Arial"/>
                <w:b/>
              </w:rPr>
            </w:pPr>
            <w:r w:rsidRPr="00B34964">
              <w:rPr>
                <w:rFonts w:ascii="Arial" w:hAnsi="Arial" w:cs="Arial"/>
                <w:b/>
              </w:rPr>
              <w:t>External Examiner’s comments (if relevant)</w:t>
            </w:r>
          </w:p>
          <w:p w:rsidR="00FB729F" w:rsidRPr="00230F35" w:rsidRDefault="00FB729F" w:rsidP="00080FE3">
            <w:pPr>
              <w:pStyle w:val="NormalWeb"/>
              <w:spacing w:before="0" w:beforeAutospacing="0" w:after="0" w:afterAutospacing="0"/>
              <w:ind w:right="-334"/>
              <w:rPr>
                <w:rFonts w:ascii="Arial" w:hAnsi="Arial" w:cs="Arial"/>
                <w:bCs/>
                <w:sz w:val="22"/>
                <w:szCs w:val="22"/>
              </w:rPr>
            </w:pPr>
          </w:p>
          <w:p w:rsidR="00FB729F" w:rsidRPr="00230F35" w:rsidRDefault="00FB729F" w:rsidP="00080FE3">
            <w:pPr>
              <w:pStyle w:val="NormalWeb"/>
              <w:spacing w:before="0" w:beforeAutospacing="0" w:after="0" w:afterAutospacing="0"/>
              <w:ind w:right="-334"/>
              <w:rPr>
                <w:rFonts w:ascii="Arial" w:hAnsi="Arial" w:cs="Arial"/>
                <w:bCs/>
                <w:sz w:val="22"/>
                <w:szCs w:val="22"/>
              </w:rPr>
            </w:pPr>
          </w:p>
          <w:p w:rsidR="00FB729F" w:rsidRPr="00230F35" w:rsidRDefault="00FB729F" w:rsidP="00080FE3">
            <w:pPr>
              <w:pStyle w:val="NormalWeb"/>
              <w:spacing w:before="0" w:beforeAutospacing="0" w:after="0" w:afterAutospacing="0"/>
              <w:ind w:right="-334"/>
              <w:rPr>
                <w:rFonts w:ascii="Arial" w:hAnsi="Arial" w:cs="Arial"/>
                <w:bCs/>
                <w:sz w:val="22"/>
                <w:szCs w:val="22"/>
              </w:rPr>
            </w:pPr>
          </w:p>
        </w:tc>
      </w:tr>
      <w:tr w:rsidR="00FB729F" w:rsidRPr="002F467C" w:rsidTr="00080FE3">
        <w:trPr>
          <w:trHeight w:val="720"/>
        </w:trPr>
        <w:tc>
          <w:tcPr>
            <w:tcW w:w="5211" w:type="dxa"/>
            <w:gridSpan w:val="2"/>
          </w:tcPr>
          <w:p w:rsidR="00FB729F" w:rsidRPr="00230F35" w:rsidRDefault="00FB729F" w:rsidP="00080FE3">
            <w:pPr>
              <w:rPr>
                <w:rFonts w:ascii="Arial" w:hAnsi="Arial" w:cs="Arial"/>
              </w:rPr>
            </w:pPr>
            <w:r w:rsidRPr="00230F35">
              <w:rPr>
                <w:rFonts w:ascii="Arial" w:hAnsi="Arial" w:cs="Arial"/>
              </w:rPr>
              <w:t>External Examiner’s Signature:</w:t>
            </w:r>
          </w:p>
        </w:tc>
        <w:tc>
          <w:tcPr>
            <w:tcW w:w="3645" w:type="dxa"/>
            <w:gridSpan w:val="3"/>
          </w:tcPr>
          <w:p w:rsidR="00FB729F" w:rsidRPr="00230F35" w:rsidRDefault="00FB729F" w:rsidP="00080FE3">
            <w:pPr>
              <w:rPr>
                <w:rFonts w:ascii="Arial" w:hAnsi="Arial" w:cs="Arial"/>
              </w:rPr>
            </w:pPr>
            <w:r w:rsidRPr="00230F35">
              <w:rPr>
                <w:rFonts w:ascii="Arial" w:hAnsi="Arial" w:cs="Arial"/>
              </w:rPr>
              <w:t>Date:</w:t>
            </w:r>
          </w:p>
        </w:tc>
      </w:tr>
    </w:tbl>
    <w:p w:rsidR="00FB729F" w:rsidRDefault="00FB729F" w:rsidP="00CD13E3">
      <w:pPr>
        <w:spacing w:line="360" w:lineRule="auto"/>
        <w:jc w:val="center"/>
        <w:rPr>
          <w:rFonts w:ascii="Arial" w:hAnsi="Arial" w:cs="Arial"/>
          <w:sz w:val="24"/>
          <w:szCs w:val="24"/>
        </w:rPr>
      </w:pPr>
    </w:p>
    <w:p w:rsidR="00CD13E3" w:rsidRPr="00CD13E3" w:rsidRDefault="00CD13E3" w:rsidP="00CD13E3">
      <w:pPr>
        <w:spacing w:line="360" w:lineRule="auto"/>
        <w:jc w:val="center"/>
        <w:rPr>
          <w:rFonts w:ascii="Arial" w:hAnsi="Arial" w:cs="Arial"/>
          <w:sz w:val="24"/>
          <w:szCs w:val="24"/>
        </w:rPr>
      </w:pPr>
      <w:r w:rsidRPr="00CD13E3">
        <w:rPr>
          <w:rFonts w:ascii="Arial" w:hAnsi="Arial" w:cs="Arial"/>
          <w:sz w:val="24"/>
          <w:szCs w:val="24"/>
        </w:rPr>
        <w:lastRenderedPageBreak/>
        <w:t>HPHI7003 Research Methodology for Historians</w:t>
      </w:r>
    </w:p>
    <w:p w:rsidR="00CD13E3" w:rsidRDefault="00CD13E3" w:rsidP="00CD13E3">
      <w:pPr>
        <w:spacing w:line="360" w:lineRule="auto"/>
        <w:jc w:val="center"/>
        <w:rPr>
          <w:rFonts w:ascii="Arial" w:hAnsi="Arial" w:cs="Arial"/>
          <w:sz w:val="24"/>
          <w:szCs w:val="24"/>
        </w:rPr>
      </w:pPr>
      <w:r w:rsidRPr="00CD13E3">
        <w:rPr>
          <w:rFonts w:ascii="Arial" w:hAnsi="Arial" w:cs="Arial"/>
          <w:color w:val="000080"/>
          <w:sz w:val="24"/>
          <w:szCs w:val="24"/>
        </w:rPr>
        <w:t xml:space="preserve"> </w:t>
      </w:r>
      <w:r w:rsidRPr="00CD13E3">
        <w:rPr>
          <w:rFonts w:ascii="Arial" w:hAnsi="Arial" w:cs="Arial"/>
          <w:sz w:val="24"/>
          <w:szCs w:val="24"/>
        </w:rPr>
        <w:t xml:space="preserve">Part </w:t>
      </w:r>
      <w:r>
        <w:rPr>
          <w:rFonts w:ascii="Arial" w:hAnsi="Arial" w:cs="Arial"/>
          <w:sz w:val="24"/>
          <w:szCs w:val="24"/>
        </w:rPr>
        <w:t>Three</w:t>
      </w:r>
      <w:r w:rsidRPr="00CD13E3">
        <w:rPr>
          <w:rFonts w:ascii="Arial" w:hAnsi="Arial" w:cs="Arial"/>
          <w:sz w:val="24"/>
          <w:szCs w:val="24"/>
        </w:rPr>
        <w:t xml:space="preserve">: </w:t>
      </w:r>
      <w:r>
        <w:rPr>
          <w:rFonts w:ascii="Arial" w:hAnsi="Arial" w:cs="Arial"/>
          <w:sz w:val="24"/>
          <w:szCs w:val="24"/>
        </w:rPr>
        <w:t xml:space="preserve">Image </w:t>
      </w:r>
      <w:r w:rsidR="00FB729F">
        <w:rPr>
          <w:rFonts w:ascii="Arial" w:hAnsi="Arial" w:cs="Arial"/>
          <w:sz w:val="24"/>
          <w:szCs w:val="24"/>
        </w:rPr>
        <w:t>Commentary</w:t>
      </w:r>
    </w:p>
    <w:p w:rsidR="00CD13E3" w:rsidRDefault="00CD13E3" w:rsidP="00CD13E3">
      <w:pPr>
        <w:spacing w:line="360" w:lineRule="auto"/>
        <w:jc w:val="center"/>
        <w:rPr>
          <w:rFonts w:ascii="Arial" w:hAnsi="Arial" w:cs="Arial"/>
          <w:sz w:val="24"/>
          <w:szCs w:val="24"/>
        </w:rPr>
      </w:pPr>
    </w:p>
    <w:p w:rsidR="00056DAC" w:rsidRDefault="00CD13E3" w:rsidP="00056DAC">
      <w:pPr>
        <w:spacing w:line="360" w:lineRule="auto"/>
        <w:jc w:val="both"/>
        <w:rPr>
          <w:rFonts w:ascii="Arial" w:hAnsi="Arial" w:cs="Arial"/>
          <w:sz w:val="24"/>
          <w:szCs w:val="24"/>
        </w:rPr>
      </w:pPr>
      <w:r>
        <w:rPr>
          <w:rFonts w:ascii="Arial" w:hAnsi="Arial" w:cs="Arial"/>
          <w:sz w:val="24"/>
          <w:szCs w:val="24"/>
        </w:rPr>
        <w:t>Within</w:t>
      </w:r>
      <w:r w:rsidR="00056DAC">
        <w:rPr>
          <w:rFonts w:ascii="Arial" w:hAnsi="Arial" w:cs="Arial"/>
          <w:sz w:val="24"/>
          <w:szCs w:val="24"/>
        </w:rPr>
        <w:t xml:space="preserve"> his consideration of </w:t>
      </w:r>
      <w:r>
        <w:rPr>
          <w:rFonts w:ascii="Arial" w:hAnsi="Arial" w:cs="Arial"/>
          <w:sz w:val="24"/>
          <w:szCs w:val="24"/>
        </w:rPr>
        <w:t>‘</w:t>
      </w:r>
      <w:r w:rsidR="00056DAC">
        <w:rPr>
          <w:rFonts w:ascii="Arial" w:hAnsi="Arial" w:cs="Arial"/>
          <w:sz w:val="24"/>
          <w:szCs w:val="24"/>
        </w:rPr>
        <w:t>material culture and historical narratives</w:t>
      </w:r>
      <w:r>
        <w:rPr>
          <w:rFonts w:ascii="Arial" w:hAnsi="Arial" w:cs="Arial"/>
          <w:sz w:val="24"/>
          <w:szCs w:val="24"/>
        </w:rPr>
        <w:t>’</w:t>
      </w:r>
      <w:r w:rsidR="00056DAC">
        <w:rPr>
          <w:rFonts w:ascii="Arial" w:hAnsi="Arial" w:cs="Arial"/>
          <w:sz w:val="24"/>
          <w:szCs w:val="24"/>
        </w:rPr>
        <w:t xml:space="preserve"> Reiello cautions of minimising historical images or objects as ‘props’ to provide ans</w:t>
      </w:r>
      <w:r w:rsidR="00E33F4D">
        <w:rPr>
          <w:rFonts w:ascii="Arial" w:hAnsi="Arial" w:cs="Arial"/>
          <w:sz w:val="24"/>
          <w:szCs w:val="24"/>
        </w:rPr>
        <w:t>wers but utilising them  “</w:t>
      </w:r>
      <w:r w:rsidR="00056DAC">
        <w:rPr>
          <w:rFonts w:ascii="Arial" w:hAnsi="Arial" w:cs="Arial"/>
          <w:sz w:val="24"/>
          <w:szCs w:val="24"/>
        </w:rPr>
        <w:t>for asking better questions.”</w:t>
      </w:r>
      <w:r>
        <w:rPr>
          <w:rFonts w:ascii="Arial" w:hAnsi="Arial" w:cs="Arial"/>
          <w:sz w:val="24"/>
          <w:szCs w:val="24"/>
        </w:rPr>
        <w:t xml:space="preserve"> Concluding them as ‘multifarious</w:t>
      </w:r>
      <w:r w:rsidR="00E33F4D">
        <w:rPr>
          <w:rFonts w:ascii="Arial" w:hAnsi="Arial" w:cs="Arial"/>
          <w:sz w:val="24"/>
          <w:szCs w:val="24"/>
        </w:rPr>
        <w:t xml:space="preserve"> enteritis’</w:t>
      </w:r>
      <w:r>
        <w:rPr>
          <w:rFonts w:ascii="Arial" w:hAnsi="Arial" w:cs="Arial"/>
          <w:sz w:val="24"/>
          <w:szCs w:val="24"/>
        </w:rPr>
        <w:t xml:space="preserve">, Reiello proposes that the nature of images </w:t>
      </w:r>
      <w:r w:rsidR="00056DAC">
        <w:rPr>
          <w:rFonts w:ascii="Arial" w:hAnsi="Arial" w:cs="Arial"/>
          <w:sz w:val="24"/>
          <w:szCs w:val="24"/>
        </w:rPr>
        <w:t>can be determined by differing narratives, such as those of theology, architecture and ideology.</w:t>
      </w:r>
      <w:r w:rsidR="00056DAC">
        <w:rPr>
          <w:rStyle w:val="FootnoteReference"/>
          <w:rFonts w:ascii="Arial" w:hAnsi="Arial" w:cs="Arial"/>
          <w:sz w:val="24"/>
          <w:szCs w:val="24"/>
        </w:rPr>
        <w:footnoteReference w:id="2"/>
      </w:r>
      <w:r w:rsidR="00056DAC">
        <w:rPr>
          <w:rFonts w:ascii="Arial" w:hAnsi="Arial" w:cs="Arial"/>
          <w:sz w:val="24"/>
          <w:szCs w:val="24"/>
        </w:rPr>
        <w:t>This will be attempted with investigation of a pain</w:t>
      </w:r>
      <w:r>
        <w:rPr>
          <w:rFonts w:ascii="Arial" w:hAnsi="Arial" w:cs="Arial"/>
          <w:sz w:val="24"/>
          <w:szCs w:val="24"/>
        </w:rPr>
        <w:t>ted fresco of Saint Christopher within Pi</w:t>
      </w:r>
      <w:r w:rsidR="00704890">
        <w:rPr>
          <w:rFonts w:ascii="Arial" w:hAnsi="Arial" w:cs="Arial"/>
          <w:sz w:val="24"/>
          <w:szCs w:val="24"/>
        </w:rPr>
        <w:t>ckering, England.</w:t>
      </w:r>
      <w:r>
        <w:rPr>
          <w:rFonts w:ascii="Arial" w:hAnsi="Arial" w:cs="Arial"/>
          <w:sz w:val="24"/>
          <w:szCs w:val="24"/>
        </w:rPr>
        <w:t xml:space="preserve"> B</w:t>
      </w:r>
      <w:r w:rsidR="00056DAC">
        <w:rPr>
          <w:rFonts w:ascii="Arial" w:hAnsi="Arial" w:cs="Arial"/>
          <w:sz w:val="24"/>
          <w:szCs w:val="24"/>
        </w:rPr>
        <w:t>uilt around 1140, and expanded</w:t>
      </w:r>
      <w:r>
        <w:rPr>
          <w:rFonts w:ascii="Arial" w:hAnsi="Arial" w:cs="Arial"/>
          <w:sz w:val="24"/>
          <w:szCs w:val="24"/>
        </w:rPr>
        <w:t xml:space="preserve"> up until the Fifteenth Century, the frescos on display still attract both tourists and worshippers to the North Yorkshire Church. </w:t>
      </w:r>
    </w:p>
    <w:p w:rsidR="00056DAC" w:rsidRDefault="00056DAC" w:rsidP="00056DAC">
      <w:pPr>
        <w:spacing w:line="360" w:lineRule="auto"/>
        <w:jc w:val="both"/>
        <w:rPr>
          <w:rFonts w:ascii="Arial" w:hAnsi="Arial" w:cs="Arial"/>
          <w:sz w:val="24"/>
          <w:szCs w:val="24"/>
        </w:rPr>
      </w:pPr>
    </w:p>
    <w:p w:rsidR="00056DAC" w:rsidRDefault="00056DAC" w:rsidP="00056DAC">
      <w:pPr>
        <w:spacing w:line="360" w:lineRule="auto"/>
        <w:jc w:val="both"/>
        <w:rPr>
          <w:rFonts w:ascii="Arial" w:hAnsi="Arial" w:cs="Arial"/>
          <w:sz w:val="24"/>
          <w:szCs w:val="24"/>
        </w:rPr>
      </w:pPr>
      <w:r>
        <w:rPr>
          <w:rFonts w:ascii="Arial" w:hAnsi="Arial" w:cs="Arial"/>
          <w:sz w:val="24"/>
          <w:szCs w:val="24"/>
        </w:rPr>
        <w:t xml:space="preserve">Consideration must be given to the </w:t>
      </w:r>
      <w:r w:rsidR="00CD13E3">
        <w:rPr>
          <w:rFonts w:ascii="Arial" w:hAnsi="Arial" w:cs="Arial"/>
          <w:sz w:val="24"/>
          <w:szCs w:val="24"/>
        </w:rPr>
        <w:t>controversy of veneration for saints’</w:t>
      </w:r>
      <w:r>
        <w:rPr>
          <w:rFonts w:ascii="Arial" w:hAnsi="Arial" w:cs="Arial"/>
          <w:sz w:val="24"/>
          <w:szCs w:val="24"/>
        </w:rPr>
        <w:t xml:space="preserve"> painted images within Christian worship. With the ‘worshipping’ of’ graven’ (or carved) images </w:t>
      </w:r>
      <w:r w:rsidR="00E33F4D">
        <w:rPr>
          <w:rFonts w:ascii="Arial" w:hAnsi="Arial" w:cs="Arial"/>
          <w:sz w:val="24"/>
          <w:szCs w:val="24"/>
        </w:rPr>
        <w:t>biblically forbidden</w:t>
      </w:r>
      <w:r>
        <w:rPr>
          <w:rFonts w:ascii="Arial" w:hAnsi="Arial" w:cs="Arial"/>
          <w:sz w:val="24"/>
          <w:szCs w:val="24"/>
        </w:rPr>
        <w:t xml:space="preserve"> as idolatrous </w:t>
      </w:r>
      <w:r w:rsidR="00E33F4D">
        <w:rPr>
          <w:rStyle w:val="FootnoteReference"/>
          <w:rFonts w:ascii="Arial" w:hAnsi="Arial" w:cs="Arial"/>
          <w:sz w:val="24"/>
          <w:szCs w:val="24"/>
        </w:rPr>
        <w:footnoteReference w:id="3"/>
      </w:r>
      <w:r w:rsidR="00CD13E3">
        <w:rPr>
          <w:rFonts w:ascii="Arial" w:hAnsi="Arial" w:cs="Arial"/>
          <w:sz w:val="24"/>
          <w:szCs w:val="24"/>
        </w:rPr>
        <w:t>,</w:t>
      </w:r>
      <w:r>
        <w:rPr>
          <w:rFonts w:ascii="Arial" w:hAnsi="Arial" w:cs="Arial"/>
          <w:sz w:val="24"/>
          <w:szCs w:val="24"/>
        </w:rPr>
        <w:t xml:space="preserve">John of Damascus had defended their veneration during the iconoclastic ‘breaking of images’ controversy between the years 725-842 </w:t>
      </w:r>
      <w:r w:rsidR="00E33F4D">
        <w:rPr>
          <w:rFonts w:ascii="Arial" w:hAnsi="Arial" w:cs="Arial"/>
          <w:sz w:val="24"/>
          <w:szCs w:val="24"/>
        </w:rPr>
        <w:t>which McGrath</w:t>
      </w:r>
      <w:r>
        <w:rPr>
          <w:rFonts w:ascii="Arial" w:hAnsi="Arial" w:cs="Arial"/>
          <w:sz w:val="24"/>
          <w:szCs w:val="24"/>
        </w:rPr>
        <w:t xml:space="preserve"> concludes as “. . . mainly political. . . ”. </w:t>
      </w:r>
      <w:r>
        <w:rPr>
          <w:rStyle w:val="FootnoteReference"/>
          <w:rFonts w:ascii="Arial" w:hAnsi="Arial" w:cs="Arial"/>
          <w:sz w:val="24"/>
          <w:szCs w:val="24"/>
        </w:rPr>
        <w:footnoteReference w:id="4"/>
      </w:r>
      <w:r>
        <w:rPr>
          <w:rFonts w:ascii="Arial" w:hAnsi="Arial" w:cs="Arial"/>
          <w:sz w:val="24"/>
          <w:szCs w:val="24"/>
        </w:rPr>
        <w:t>By the mediaeval period churches commonly commissioned wall paintings as both a devotional and educational aid for their mostly illiterate congregations.</w:t>
      </w:r>
    </w:p>
    <w:p w:rsidR="00056DAC" w:rsidRDefault="00056DAC" w:rsidP="00056DAC">
      <w:pPr>
        <w:spacing w:line="360" w:lineRule="auto"/>
        <w:jc w:val="both"/>
        <w:rPr>
          <w:rFonts w:ascii="Arial" w:hAnsi="Arial" w:cs="Arial"/>
          <w:sz w:val="24"/>
          <w:szCs w:val="24"/>
        </w:rPr>
      </w:pPr>
    </w:p>
    <w:p w:rsidR="00056DAC" w:rsidRDefault="00CD13E3" w:rsidP="00056DAC">
      <w:pPr>
        <w:spacing w:line="360" w:lineRule="auto"/>
        <w:jc w:val="both"/>
        <w:rPr>
          <w:rFonts w:ascii="Arial" w:hAnsi="Arial" w:cs="Arial"/>
          <w:sz w:val="24"/>
          <w:szCs w:val="24"/>
        </w:rPr>
      </w:pPr>
      <w:r>
        <w:rPr>
          <w:rFonts w:ascii="Arial" w:hAnsi="Arial" w:cs="Arial"/>
          <w:sz w:val="24"/>
          <w:szCs w:val="24"/>
        </w:rPr>
        <w:t>Notably, t</w:t>
      </w:r>
      <w:r w:rsidR="00E33F4D">
        <w:rPr>
          <w:rFonts w:ascii="Arial" w:hAnsi="Arial" w:cs="Arial"/>
          <w:sz w:val="24"/>
          <w:szCs w:val="24"/>
        </w:rPr>
        <w:t>he gift of an image in church,</w:t>
      </w:r>
      <w:r w:rsidR="00056DAC">
        <w:rPr>
          <w:rFonts w:ascii="Arial" w:hAnsi="Arial" w:cs="Arial"/>
          <w:sz w:val="24"/>
          <w:szCs w:val="24"/>
        </w:rPr>
        <w:t xml:space="preserve"> particularly when illuminated, could be sufficient for the rapid establishment of a potentially lucrative cult or place of pilgrimage. Duffy discusses Saint Christopher cult established in 1530s Cambridgeshire.</w:t>
      </w:r>
      <w:r w:rsidR="00056DAC">
        <w:rPr>
          <w:rStyle w:val="FootnoteReference"/>
          <w:rFonts w:ascii="Arial" w:hAnsi="Arial" w:cs="Arial"/>
          <w:sz w:val="24"/>
          <w:szCs w:val="24"/>
        </w:rPr>
        <w:footnoteReference w:id="5"/>
      </w:r>
      <w:r w:rsidR="00056DAC">
        <w:rPr>
          <w:rFonts w:ascii="Arial" w:hAnsi="Arial" w:cs="Arial"/>
          <w:sz w:val="24"/>
          <w:szCs w:val="24"/>
        </w:rPr>
        <w:t>Carlow proposes Pickering’s paintings as being commissioned earlier</w:t>
      </w:r>
      <w:r>
        <w:rPr>
          <w:rFonts w:ascii="Arial" w:hAnsi="Arial" w:cs="Arial"/>
          <w:sz w:val="24"/>
          <w:szCs w:val="24"/>
        </w:rPr>
        <w:t xml:space="preserve"> however</w:t>
      </w:r>
      <w:r w:rsidR="00056DAC">
        <w:rPr>
          <w:rFonts w:ascii="Arial" w:hAnsi="Arial" w:cs="Arial"/>
          <w:sz w:val="24"/>
          <w:szCs w:val="24"/>
        </w:rPr>
        <w:t xml:space="preserve">, around 1450, and suggests the depictions of clothing and armour indicate it was completed within a decade there. </w:t>
      </w:r>
      <w:r w:rsidR="00056DAC">
        <w:rPr>
          <w:rStyle w:val="FootnoteReference"/>
          <w:rFonts w:ascii="Arial" w:hAnsi="Arial" w:cs="Arial"/>
          <w:sz w:val="24"/>
          <w:szCs w:val="24"/>
        </w:rPr>
        <w:footnoteReference w:id="6"/>
      </w:r>
    </w:p>
    <w:p w:rsidR="00CD13E3" w:rsidRDefault="00CD13E3" w:rsidP="00056DAC">
      <w:pPr>
        <w:spacing w:line="360" w:lineRule="auto"/>
        <w:jc w:val="both"/>
        <w:rPr>
          <w:rFonts w:ascii="Arial" w:hAnsi="Arial" w:cs="Arial"/>
          <w:sz w:val="24"/>
          <w:szCs w:val="24"/>
        </w:rPr>
      </w:pPr>
    </w:p>
    <w:p w:rsidR="00056DAC" w:rsidRDefault="00056DAC" w:rsidP="00056DAC">
      <w:pPr>
        <w:spacing w:line="360" w:lineRule="auto"/>
        <w:jc w:val="both"/>
        <w:rPr>
          <w:rFonts w:ascii="Arial" w:hAnsi="Arial" w:cs="Arial"/>
          <w:sz w:val="24"/>
          <w:szCs w:val="24"/>
        </w:rPr>
      </w:pPr>
      <w:r>
        <w:rPr>
          <w:rFonts w:ascii="Arial" w:hAnsi="Arial" w:cs="Arial"/>
          <w:sz w:val="24"/>
          <w:szCs w:val="24"/>
        </w:rPr>
        <w:t xml:space="preserve">In common with most churches following </w:t>
      </w:r>
      <w:r w:rsidR="00FC617D">
        <w:rPr>
          <w:rFonts w:ascii="Arial" w:hAnsi="Arial" w:cs="Arial"/>
          <w:sz w:val="24"/>
          <w:szCs w:val="24"/>
        </w:rPr>
        <w:t>the Sixteenth</w:t>
      </w:r>
      <w:r>
        <w:rPr>
          <w:rFonts w:ascii="Arial" w:hAnsi="Arial" w:cs="Arial"/>
          <w:sz w:val="24"/>
          <w:szCs w:val="24"/>
        </w:rPr>
        <w:t xml:space="preserve"> Century events known as the English </w:t>
      </w:r>
      <w:r w:rsidR="00FC617D">
        <w:rPr>
          <w:rFonts w:ascii="Arial" w:hAnsi="Arial" w:cs="Arial"/>
          <w:sz w:val="24"/>
          <w:szCs w:val="24"/>
        </w:rPr>
        <w:t>Reformation, church</w:t>
      </w:r>
      <w:r>
        <w:rPr>
          <w:rFonts w:ascii="Arial" w:hAnsi="Arial" w:cs="Arial"/>
          <w:sz w:val="24"/>
          <w:szCs w:val="24"/>
        </w:rPr>
        <w:t xml:space="preserve"> ornamentation such as wall paintings were </w:t>
      </w:r>
      <w:r w:rsidR="00FC617D">
        <w:rPr>
          <w:rFonts w:ascii="Arial" w:hAnsi="Arial" w:cs="Arial"/>
          <w:sz w:val="24"/>
          <w:szCs w:val="24"/>
        </w:rPr>
        <w:t>removed; Pickering</w:t>
      </w:r>
      <w:r>
        <w:rPr>
          <w:rFonts w:ascii="Arial" w:hAnsi="Arial" w:cs="Arial"/>
          <w:sz w:val="24"/>
          <w:szCs w:val="24"/>
        </w:rPr>
        <w:t xml:space="preserve"> Church’s </w:t>
      </w:r>
      <w:r w:rsidR="00FC617D">
        <w:rPr>
          <w:rFonts w:ascii="Arial" w:hAnsi="Arial" w:cs="Arial"/>
          <w:sz w:val="24"/>
          <w:szCs w:val="24"/>
        </w:rPr>
        <w:t>paintings were</w:t>
      </w:r>
      <w:r>
        <w:rPr>
          <w:rFonts w:ascii="Arial" w:hAnsi="Arial" w:cs="Arial"/>
          <w:sz w:val="24"/>
          <w:szCs w:val="24"/>
        </w:rPr>
        <w:t xml:space="preserve"> covered with lime wash. The wall paintings </w:t>
      </w:r>
      <w:r w:rsidR="00CD13E3">
        <w:rPr>
          <w:rFonts w:ascii="Arial" w:hAnsi="Arial" w:cs="Arial"/>
          <w:sz w:val="24"/>
          <w:szCs w:val="24"/>
        </w:rPr>
        <w:t>were unintentionally</w:t>
      </w:r>
      <w:r>
        <w:rPr>
          <w:rFonts w:ascii="Arial" w:hAnsi="Arial" w:cs="Arial"/>
          <w:sz w:val="24"/>
          <w:szCs w:val="24"/>
        </w:rPr>
        <w:t xml:space="preserve"> uncovered during three weeks of renovation in 1852, though not fully uncovered and restored until 1876-78. </w:t>
      </w:r>
      <w:r>
        <w:rPr>
          <w:rStyle w:val="FootnoteReference"/>
          <w:rFonts w:ascii="Arial" w:hAnsi="Arial" w:cs="Arial"/>
          <w:sz w:val="24"/>
          <w:szCs w:val="24"/>
        </w:rPr>
        <w:footnoteReference w:id="7"/>
      </w:r>
    </w:p>
    <w:p w:rsidR="00704890" w:rsidRDefault="00704890" w:rsidP="00056DAC">
      <w:pPr>
        <w:spacing w:line="360" w:lineRule="auto"/>
        <w:jc w:val="both"/>
        <w:rPr>
          <w:rFonts w:ascii="Arial" w:hAnsi="Arial" w:cs="Arial"/>
          <w:sz w:val="24"/>
          <w:szCs w:val="24"/>
        </w:rPr>
      </w:pPr>
    </w:p>
    <w:p w:rsidR="00056DAC" w:rsidRDefault="00CD13E3" w:rsidP="00056DAC">
      <w:pPr>
        <w:spacing w:line="360" w:lineRule="auto"/>
        <w:jc w:val="both"/>
        <w:rPr>
          <w:rFonts w:ascii="Arial" w:hAnsi="Arial" w:cs="Arial"/>
          <w:sz w:val="24"/>
          <w:szCs w:val="24"/>
        </w:rPr>
      </w:pPr>
      <w:r>
        <w:rPr>
          <w:rFonts w:ascii="Arial" w:hAnsi="Arial" w:cs="Arial"/>
          <w:sz w:val="24"/>
          <w:szCs w:val="24"/>
        </w:rPr>
        <w:t xml:space="preserve">St. Christopher’s image is </w:t>
      </w:r>
      <w:r w:rsidR="00704890">
        <w:rPr>
          <w:rFonts w:ascii="Arial" w:hAnsi="Arial" w:cs="Arial"/>
          <w:sz w:val="24"/>
          <w:szCs w:val="24"/>
        </w:rPr>
        <w:t xml:space="preserve">immediately visible by anyone entering – or even lbriefly looking into,  Pickering’s Norman Church, stemming </w:t>
      </w:r>
      <w:r w:rsidR="00056DAC">
        <w:rPr>
          <w:rFonts w:ascii="Arial" w:hAnsi="Arial" w:cs="Arial"/>
          <w:sz w:val="24"/>
          <w:szCs w:val="24"/>
        </w:rPr>
        <w:t xml:space="preserve">from the belief that </w:t>
      </w:r>
      <w:r w:rsidR="00056DAC">
        <w:rPr>
          <w:rFonts w:ascii="Arial" w:hAnsi="Arial" w:cs="Arial"/>
          <w:color w:val="373737"/>
          <w:sz w:val="24"/>
          <w:szCs w:val="24"/>
          <w:shd w:val="clear" w:color="auto" w:fill="FFFFFF"/>
        </w:rPr>
        <w:t xml:space="preserve">viewing </w:t>
      </w:r>
      <w:r w:rsidR="00704890">
        <w:rPr>
          <w:rFonts w:ascii="Arial" w:hAnsi="Arial" w:cs="Arial"/>
          <w:color w:val="373737"/>
          <w:sz w:val="24"/>
          <w:szCs w:val="24"/>
          <w:shd w:val="clear" w:color="auto" w:fill="FFFFFF"/>
        </w:rPr>
        <w:t xml:space="preserve">Saint Christopher’s </w:t>
      </w:r>
      <w:r w:rsidR="00056DAC">
        <w:rPr>
          <w:rFonts w:ascii="Arial" w:hAnsi="Arial" w:cs="Arial"/>
          <w:color w:val="373737"/>
          <w:sz w:val="24"/>
          <w:szCs w:val="24"/>
          <w:shd w:val="clear" w:color="auto" w:fill="FFFFFF"/>
        </w:rPr>
        <w:t>provide</w:t>
      </w:r>
      <w:r w:rsidR="00704890">
        <w:rPr>
          <w:rFonts w:ascii="Arial" w:hAnsi="Arial" w:cs="Arial"/>
          <w:color w:val="373737"/>
          <w:sz w:val="24"/>
          <w:szCs w:val="24"/>
          <w:shd w:val="clear" w:color="auto" w:fill="FFFFFF"/>
        </w:rPr>
        <w:t>d</w:t>
      </w:r>
      <w:r w:rsidR="00056DAC">
        <w:rPr>
          <w:rFonts w:ascii="Arial" w:hAnsi="Arial" w:cs="Arial"/>
          <w:color w:val="373737"/>
          <w:sz w:val="24"/>
          <w:szCs w:val="24"/>
          <w:shd w:val="clear" w:color="auto" w:fill="FFFFFF"/>
        </w:rPr>
        <w:t xml:space="preserve"> protection from unexpected sudden death during the remainder of that day. Doyle proposes this </w:t>
      </w:r>
      <w:r w:rsidR="00704890">
        <w:rPr>
          <w:rFonts w:ascii="Arial" w:hAnsi="Arial" w:cs="Arial"/>
          <w:color w:val="373737"/>
          <w:sz w:val="24"/>
          <w:szCs w:val="24"/>
          <w:shd w:val="clear" w:color="auto" w:fill="FFFFFF"/>
        </w:rPr>
        <w:t xml:space="preserve">belief </w:t>
      </w:r>
      <w:r w:rsidR="00056DAC">
        <w:rPr>
          <w:rFonts w:ascii="Arial" w:hAnsi="Arial" w:cs="Arial"/>
          <w:color w:val="373737"/>
          <w:sz w:val="24"/>
          <w:szCs w:val="24"/>
          <w:shd w:val="clear" w:color="auto" w:fill="FFFFFF"/>
        </w:rPr>
        <w:t>as a key factor in the saint’s popularity and frequent representations in churches of the period.</w:t>
      </w:r>
      <w:r w:rsidR="00056DAC">
        <w:rPr>
          <w:rStyle w:val="FootnoteReference"/>
          <w:rFonts w:ascii="Arial" w:hAnsi="Arial" w:cs="Arial"/>
          <w:sz w:val="24"/>
          <w:szCs w:val="24"/>
        </w:rPr>
        <w:footnoteReference w:id="8"/>
      </w:r>
    </w:p>
    <w:p w:rsidR="00056DAC" w:rsidRDefault="00056DAC" w:rsidP="00056DAC">
      <w:pPr>
        <w:spacing w:line="360" w:lineRule="auto"/>
        <w:jc w:val="both"/>
        <w:rPr>
          <w:rFonts w:ascii="Arial" w:hAnsi="Arial" w:cs="Arial"/>
          <w:sz w:val="24"/>
          <w:szCs w:val="24"/>
        </w:rPr>
      </w:pPr>
    </w:p>
    <w:p w:rsidR="00056DAC" w:rsidRDefault="00056DAC" w:rsidP="00056DAC">
      <w:pPr>
        <w:spacing w:line="360" w:lineRule="auto"/>
        <w:jc w:val="both"/>
        <w:rPr>
          <w:rFonts w:ascii="Arial" w:hAnsi="Arial" w:cs="Arial"/>
          <w:sz w:val="24"/>
          <w:szCs w:val="24"/>
        </w:rPr>
      </w:pPr>
      <w:r>
        <w:rPr>
          <w:rFonts w:ascii="Arial" w:hAnsi="Arial" w:cs="Arial"/>
          <w:sz w:val="24"/>
          <w:szCs w:val="24"/>
        </w:rPr>
        <w:t>Pickering’s depiction</w:t>
      </w:r>
      <w:r>
        <w:rPr>
          <w:rFonts w:ascii="Arial" w:hAnsi="Arial" w:cs="Arial"/>
          <w:color w:val="000000"/>
          <w:sz w:val="24"/>
          <w:szCs w:val="24"/>
          <w:shd w:val="clear" w:color="auto" w:fill="FFFFFF"/>
        </w:rPr>
        <w:t xml:space="preserve"> of Saint Christopher is monumental; a </w:t>
      </w:r>
      <w:r w:rsidR="00704890">
        <w:rPr>
          <w:rFonts w:ascii="Arial" w:hAnsi="Arial" w:cs="Arial"/>
          <w:color w:val="000000"/>
          <w:sz w:val="24"/>
          <w:szCs w:val="24"/>
          <w:shd w:val="clear" w:color="auto" w:fill="FFFFFF"/>
        </w:rPr>
        <w:t>public ‘</w:t>
      </w:r>
      <w:r>
        <w:rPr>
          <w:rFonts w:ascii="Arial" w:hAnsi="Arial" w:cs="Arial"/>
          <w:color w:val="000000"/>
          <w:sz w:val="24"/>
          <w:szCs w:val="24"/>
          <w:shd w:val="clear" w:color="auto" w:fill="FFFFFF"/>
        </w:rPr>
        <w:t>larger than life</w:t>
      </w:r>
      <w:r w:rsidR="00704890">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portrait intended to be admired by the church’s congregation. </w:t>
      </w:r>
      <w:r>
        <w:rPr>
          <w:rFonts w:ascii="Arial" w:hAnsi="Arial" w:cs="Arial"/>
          <w:sz w:val="24"/>
          <w:szCs w:val="24"/>
        </w:rPr>
        <w:t xml:space="preserve">The image contains several key </w:t>
      </w:r>
      <w:r w:rsidR="00704890">
        <w:rPr>
          <w:rFonts w:ascii="Arial" w:hAnsi="Arial" w:cs="Arial"/>
          <w:sz w:val="24"/>
          <w:szCs w:val="24"/>
        </w:rPr>
        <w:t xml:space="preserve">identifications </w:t>
      </w:r>
      <w:r>
        <w:rPr>
          <w:rFonts w:ascii="Arial" w:hAnsi="Arial" w:cs="Arial"/>
          <w:sz w:val="24"/>
          <w:szCs w:val="24"/>
        </w:rPr>
        <w:t>of the S</w:t>
      </w:r>
      <w:r w:rsidRPr="00E33F4D">
        <w:rPr>
          <w:rFonts w:ascii="Arial" w:hAnsi="Arial" w:cs="Arial"/>
          <w:sz w:val="24"/>
          <w:szCs w:val="24"/>
        </w:rPr>
        <w:t xml:space="preserve">aint Christopher and the infant Jesus. The Christ child is identified by his halo and by holding a </w:t>
      </w:r>
      <w:r w:rsidR="00FC617D">
        <w:rPr>
          <w:rFonts w:ascii="Arial" w:hAnsi="Arial" w:cs="Arial"/>
          <w:sz w:val="24"/>
          <w:szCs w:val="24"/>
        </w:rPr>
        <w:t>‘</w:t>
      </w:r>
      <w:r w:rsidRPr="00E33F4D">
        <w:rPr>
          <w:rFonts w:ascii="Arial" w:hAnsi="Arial" w:cs="Arial"/>
          <w:bCs/>
          <w:iCs/>
          <w:sz w:val="24"/>
          <w:szCs w:val="24"/>
          <w:shd w:val="clear" w:color="auto" w:fill="FFFFFF"/>
        </w:rPr>
        <w:t>globuscruciger</w:t>
      </w:r>
      <w:r w:rsidR="00FC617D">
        <w:rPr>
          <w:rFonts w:ascii="Arial" w:hAnsi="Arial" w:cs="Arial"/>
          <w:bCs/>
          <w:iCs/>
          <w:sz w:val="24"/>
          <w:szCs w:val="24"/>
          <w:shd w:val="clear" w:color="auto" w:fill="FFFFFF"/>
        </w:rPr>
        <w:t>’</w:t>
      </w:r>
      <w:r w:rsidRPr="00E33F4D">
        <w:rPr>
          <w:rFonts w:ascii="Arial" w:hAnsi="Arial" w:cs="Arial"/>
          <w:sz w:val="24"/>
          <w:szCs w:val="24"/>
          <w:shd w:val="clear" w:color="auto" w:fill="FFFFFF"/>
        </w:rPr>
        <w:t> (Latin: ‘cross-bearing orb’) in a common iconographic representation known as ‘</w:t>
      </w:r>
      <w:hyperlink r:id="rId9" w:tooltip="Salvator Mundi" w:history="1">
        <w:r w:rsidRPr="00E33F4D">
          <w:rPr>
            <w:rStyle w:val="Hyperlink"/>
            <w:rFonts w:ascii="Arial" w:hAnsi="Arial" w:cs="Arial"/>
            <w:iCs/>
            <w:color w:val="auto"/>
            <w:sz w:val="24"/>
            <w:szCs w:val="24"/>
            <w:u w:val="none"/>
            <w:shd w:val="clear" w:color="auto" w:fill="FFFFFF"/>
          </w:rPr>
          <w:t>Salvator Mundi</w:t>
        </w:r>
      </w:hyperlink>
      <w:r w:rsidRPr="00E33F4D">
        <w:rPr>
          <w:rFonts w:ascii="Arial" w:hAnsi="Arial" w:cs="Arial"/>
          <w:iCs/>
          <w:sz w:val="24"/>
          <w:szCs w:val="24"/>
          <w:shd w:val="clear" w:color="auto" w:fill="FFFFFF"/>
        </w:rPr>
        <w:t>’</w:t>
      </w:r>
      <w:r w:rsidRPr="00E33F4D">
        <w:rPr>
          <w:rFonts w:ascii="Arial" w:hAnsi="Arial" w:cs="Arial"/>
          <w:sz w:val="24"/>
          <w:szCs w:val="24"/>
          <w:shd w:val="clear" w:color="auto" w:fill="FFFFFF"/>
        </w:rPr>
        <w:t> (Latin: ‘Saviour of the World’).</w:t>
      </w:r>
      <w:r w:rsidRPr="00E33F4D">
        <w:rPr>
          <w:rStyle w:val="FootnoteReference"/>
          <w:rFonts w:ascii="Arial" w:hAnsi="Arial" w:cs="Arial"/>
          <w:sz w:val="24"/>
          <w:szCs w:val="24"/>
        </w:rPr>
        <w:footnoteReference w:id="9"/>
      </w:r>
    </w:p>
    <w:p w:rsidR="00056DAC" w:rsidRDefault="00056DAC" w:rsidP="00056DAC">
      <w:pPr>
        <w:spacing w:line="360" w:lineRule="auto"/>
        <w:jc w:val="both"/>
        <w:rPr>
          <w:rFonts w:ascii="Arial" w:hAnsi="Arial" w:cs="Arial"/>
          <w:sz w:val="24"/>
          <w:szCs w:val="24"/>
        </w:rPr>
      </w:pPr>
    </w:p>
    <w:p w:rsidR="00056DAC" w:rsidRDefault="00056DAC" w:rsidP="00056DAC">
      <w:pPr>
        <w:spacing w:line="360" w:lineRule="auto"/>
        <w:jc w:val="both"/>
        <w:rPr>
          <w:rFonts w:ascii="Arial" w:hAnsi="Arial" w:cs="Arial"/>
          <w:sz w:val="24"/>
          <w:szCs w:val="24"/>
        </w:rPr>
      </w:pPr>
      <w:r>
        <w:rPr>
          <w:rFonts w:ascii="Arial" w:hAnsi="Arial" w:cs="Arial"/>
          <w:sz w:val="24"/>
          <w:szCs w:val="24"/>
        </w:rPr>
        <w:t>Saint Christopher is identified by his miraculous sprouting staff, which he appears to have planted as instructed</w:t>
      </w:r>
      <w:r w:rsidR="00704890">
        <w:rPr>
          <w:rFonts w:ascii="Arial" w:hAnsi="Arial" w:cs="Arial"/>
          <w:sz w:val="24"/>
          <w:szCs w:val="24"/>
        </w:rPr>
        <w:t>,</w:t>
      </w:r>
      <w:r>
        <w:rPr>
          <w:rFonts w:ascii="Arial" w:hAnsi="Arial" w:cs="Arial"/>
          <w:sz w:val="24"/>
          <w:szCs w:val="24"/>
        </w:rPr>
        <w:t xml:space="preserve"> and is employing as an aid to leave the stream. Secondly, he is depicted as being the huge size described in legend, twelve biblical cubits.</w:t>
      </w:r>
      <w:r>
        <w:rPr>
          <w:rStyle w:val="FootnoteReference"/>
          <w:rFonts w:ascii="Arial" w:hAnsi="Arial" w:cs="Arial"/>
          <w:sz w:val="24"/>
          <w:szCs w:val="24"/>
        </w:rPr>
        <w:footnoteReference w:id="10"/>
      </w:r>
      <w:r>
        <w:rPr>
          <w:rFonts w:ascii="Arial" w:hAnsi="Arial" w:cs="Arial"/>
          <w:sz w:val="24"/>
          <w:szCs w:val="24"/>
        </w:rPr>
        <w:t xml:space="preserve"> The Christopher figure is additionally represented as struggling with serpent like creatures on </w:t>
      </w:r>
      <w:r w:rsidR="00E33F4D">
        <w:rPr>
          <w:rFonts w:ascii="Arial" w:hAnsi="Arial" w:cs="Arial"/>
          <w:sz w:val="24"/>
          <w:szCs w:val="24"/>
        </w:rPr>
        <w:t>land and</w:t>
      </w:r>
      <w:r>
        <w:rPr>
          <w:rFonts w:ascii="Arial" w:hAnsi="Arial" w:cs="Arial"/>
          <w:sz w:val="24"/>
          <w:szCs w:val="24"/>
        </w:rPr>
        <w:t xml:space="preserve"> in the water represent</w:t>
      </w:r>
      <w:r w:rsidR="00E33F4D">
        <w:rPr>
          <w:rFonts w:ascii="Arial" w:hAnsi="Arial" w:cs="Arial"/>
          <w:sz w:val="24"/>
          <w:szCs w:val="24"/>
        </w:rPr>
        <w:t>ing</w:t>
      </w:r>
      <w:r>
        <w:rPr>
          <w:rFonts w:ascii="Arial" w:hAnsi="Arial" w:cs="Arial"/>
          <w:sz w:val="24"/>
          <w:szCs w:val="24"/>
        </w:rPr>
        <w:t xml:space="preserve"> Christopher’s (and the viewer’s) adversity</w:t>
      </w:r>
      <w:r w:rsidR="00E33F4D">
        <w:rPr>
          <w:rFonts w:ascii="Arial" w:hAnsi="Arial" w:cs="Arial"/>
          <w:sz w:val="24"/>
          <w:szCs w:val="24"/>
        </w:rPr>
        <w:t xml:space="preserve"> during their Christian journey</w:t>
      </w:r>
      <w:r>
        <w:rPr>
          <w:rFonts w:ascii="Arial" w:hAnsi="Arial" w:cs="Arial"/>
          <w:sz w:val="24"/>
          <w:szCs w:val="24"/>
        </w:rPr>
        <w:t xml:space="preserve">. This is a less common in iconography of Saint Christopher, though fish were often represented, Strache notes. </w:t>
      </w:r>
      <w:r>
        <w:rPr>
          <w:rStyle w:val="FootnoteReference"/>
          <w:rFonts w:ascii="Arial" w:hAnsi="Arial" w:cs="Arial"/>
          <w:sz w:val="24"/>
          <w:szCs w:val="24"/>
        </w:rPr>
        <w:footnoteReference w:id="11"/>
      </w:r>
      <w:r w:rsidRPr="00E33F4D">
        <w:rPr>
          <w:rFonts w:ascii="Arial" w:hAnsi="Arial" w:cs="Arial"/>
          <w:sz w:val="24"/>
          <w:szCs w:val="24"/>
        </w:rPr>
        <w:t xml:space="preserve">Finally, a </w:t>
      </w:r>
      <w:r w:rsidRPr="00E33F4D">
        <w:rPr>
          <w:rFonts w:ascii="Arial" w:hAnsi="Arial" w:cs="Arial"/>
          <w:sz w:val="24"/>
          <w:szCs w:val="24"/>
        </w:rPr>
        <w:lastRenderedPageBreak/>
        <w:t xml:space="preserve">bearded </w:t>
      </w:r>
      <w:r w:rsidR="00E33F4D" w:rsidRPr="00E33F4D">
        <w:rPr>
          <w:rFonts w:ascii="Arial" w:hAnsi="Arial" w:cs="Arial"/>
          <w:sz w:val="24"/>
          <w:szCs w:val="24"/>
        </w:rPr>
        <w:t xml:space="preserve">male figure </w:t>
      </w:r>
      <w:r w:rsidRPr="00E33F4D">
        <w:rPr>
          <w:rFonts w:ascii="Arial" w:hAnsi="Arial" w:cs="Arial"/>
          <w:sz w:val="24"/>
          <w:szCs w:val="24"/>
        </w:rPr>
        <w:t xml:space="preserve">holding </w:t>
      </w:r>
      <w:r w:rsidR="00E33F4D" w:rsidRPr="00E33F4D">
        <w:rPr>
          <w:rFonts w:ascii="Arial" w:hAnsi="Arial" w:cs="Arial"/>
          <w:sz w:val="24"/>
          <w:szCs w:val="24"/>
        </w:rPr>
        <w:t xml:space="preserve">a lantern waits for Christopher, </w:t>
      </w:r>
      <w:r w:rsidRPr="00E33F4D">
        <w:rPr>
          <w:rFonts w:ascii="Arial" w:hAnsi="Arial" w:cs="Arial"/>
          <w:sz w:val="24"/>
          <w:szCs w:val="24"/>
        </w:rPr>
        <w:t>representing either the illumination of his Christian journey, his baptising hermit, or as Carlowe suggests, the Saint’s (unrecorded) monastic abbot.</w:t>
      </w:r>
      <w:r w:rsidRPr="00E33F4D">
        <w:rPr>
          <w:rStyle w:val="FootnoteReference"/>
          <w:rFonts w:ascii="Arial" w:hAnsi="Arial" w:cs="Arial"/>
          <w:sz w:val="24"/>
          <w:szCs w:val="24"/>
        </w:rPr>
        <w:footnoteReference w:id="12"/>
      </w:r>
    </w:p>
    <w:p w:rsidR="00704890" w:rsidRDefault="00704890" w:rsidP="00056DAC">
      <w:pPr>
        <w:spacing w:line="360" w:lineRule="auto"/>
        <w:jc w:val="both"/>
        <w:rPr>
          <w:rFonts w:ascii="Arial" w:hAnsi="Arial" w:cs="Arial"/>
          <w:sz w:val="24"/>
          <w:szCs w:val="24"/>
        </w:rPr>
      </w:pPr>
    </w:p>
    <w:p w:rsidR="00704890" w:rsidRDefault="00704890" w:rsidP="00704890">
      <w:pPr>
        <w:spacing w:line="360" w:lineRule="auto"/>
        <w:jc w:val="both"/>
        <w:rPr>
          <w:rFonts w:ascii="Arial" w:hAnsi="Arial" w:cs="Arial"/>
          <w:sz w:val="24"/>
          <w:szCs w:val="24"/>
        </w:rPr>
      </w:pPr>
      <w:r>
        <w:rPr>
          <w:rFonts w:ascii="Arial" w:hAnsi="Arial" w:cs="Arial"/>
          <w:sz w:val="24"/>
          <w:szCs w:val="24"/>
        </w:rPr>
        <w:t>Barber reminds us, however, of the difficulties of differentiating between representational, thus literal, and implied meanings within physical art forms and cautions the historian to consider the relationships between the artist, historical work and its audiences.</w:t>
      </w:r>
      <w:r>
        <w:rPr>
          <w:rStyle w:val="FootnoteReference"/>
          <w:rFonts w:ascii="Arial" w:hAnsi="Arial" w:cs="Arial"/>
          <w:sz w:val="24"/>
          <w:szCs w:val="24"/>
        </w:rPr>
        <w:footnoteReference w:id="13"/>
      </w:r>
    </w:p>
    <w:p w:rsidR="00056DAC" w:rsidRDefault="00056DAC" w:rsidP="00056DAC">
      <w:pPr>
        <w:spacing w:line="360" w:lineRule="auto"/>
        <w:jc w:val="both"/>
        <w:rPr>
          <w:rFonts w:ascii="Arial" w:hAnsi="Arial" w:cs="Arial"/>
          <w:sz w:val="24"/>
          <w:szCs w:val="24"/>
        </w:rPr>
      </w:pPr>
    </w:p>
    <w:p w:rsidR="00056DAC" w:rsidRDefault="00056DAC" w:rsidP="00056DAC">
      <w:pPr>
        <w:spacing w:line="360" w:lineRule="auto"/>
        <w:jc w:val="both"/>
        <w:rPr>
          <w:rFonts w:ascii="Arial" w:hAnsi="Arial" w:cs="Arial"/>
          <w:sz w:val="24"/>
          <w:szCs w:val="24"/>
        </w:rPr>
      </w:pPr>
      <w:r>
        <w:rPr>
          <w:rFonts w:ascii="Arial" w:hAnsi="Arial" w:cs="Arial"/>
          <w:sz w:val="24"/>
          <w:szCs w:val="24"/>
        </w:rPr>
        <w:t>The Pickering church wall painting of Saint Christopher contains numerous common themes about the Saint and one which is notably unusual. De Varagine’</w:t>
      </w:r>
      <w:r>
        <w:rPr>
          <w:rFonts w:ascii="Arial" w:hAnsi="Arial" w:cs="Arial"/>
          <w:color w:val="000000"/>
          <w:sz w:val="24"/>
          <w:szCs w:val="24"/>
          <w:shd w:val="clear" w:color="auto" w:fill="FFFFFF"/>
        </w:rPr>
        <w:t>s</w:t>
      </w:r>
      <w:r>
        <w:rPr>
          <w:rFonts w:ascii="Arial" w:hAnsi="Arial" w:cs="Arial"/>
          <w:sz w:val="24"/>
          <w:szCs w:val="24"/>
        </w:rPr>
        <w:t xml:space="preserve"> contemporarily well read ‘Golden Legend’ hagiographies of 1260 proposed six reasons for the veneration of the saints, before summarising them as “. . .  our Dukes and Leaders.”,  stressing the need then for obedience in both temporal and spiritual realms. </w:t>
      </w:r>
      <w:r>
        <w:rPr>
          <w:rFonts w:ascii="Arial" w:hAnsi="Arial" w:cs="Arial"/>
          <w:color w:val="222222"/>
          <w:sz w:val="24"/>
          <w:szCs w:val="24"/>
          <w:shd w:val="clear" w:color="auto" w:fill="FFFFFF"/>
        </w:rPr>
        <w:t>Whilst legends of Saint Christopher are recorded as early as the Sixth Century</w:t>
      </w:r>
      <w:r w:rsidR="00704890">
        <w:rPr>
          <w:rFonts w:ascii="Arial" w:hAnsi="Arial" w:cs="Arial"/>
          <w:color w:val="222222"/>
          <w:sz w:val="24"/>
          <w:szCs w:val="24"/>
          <w:shd w:val="clear" w:color="auto" w:fill="FFFFFF"/>
        </w:rPr>
        <w:t>,</w:t>
      </w:r>
      <w:r>
        <w:rPr>
          <w:rFonts w:ascii="Arial" w:hAnsi="Arial" w:cs="Arial"/>
          <w:color w:val="222222"/>
          <w:sz w:val="24"/>
          <w:szCs w:val="24"/>
          <w:shd w:val="clear" w:color="auto" w:fill="FFFFFF"/>
        </w:rPr>
        <w:t xml:space="preserve"> Duffy concludes that the veneration of Saint Christopher’s is promoted significantly by </w:t>
      </w:r>
      <w:r>
        <w:rPr>
          <w:rFonts w:ascii="Arial" w:hAnsi="Arial" w:cs="Arial"/>
          <w:sz w:val="24"/>
          <w:szCs w:val="24"/>
        </w:rPr>
        <w:t xml:space="preserve">‘Golden Legend’, which elevated his popularity as a patron saint for travellers. </w:t>
      </w:r>
      <w:r>
        <w:rPr>
          <w:rStyle w:val="FootnoteReference"/>
          <w:rFonts w:ascii="Arial" w:hAnsi="Arial" w:cs="Arial"/>
          <w:sz w:val="24"/>
          <w:szCs w:val="24"/>
        </w:rPr>
        <w:footnoteReference w:id="14"/>
      </w:r>
    </w:p>
    <w:p w:rsidR="00056DAC" w:rsidRDefault="00056DAC" w:rsidP="00056DAC">
      <w:pPr>
        <w:spacing w:line="360" w:lineRule="auto"/>
        <w:jc w:val="both"/>
        <w:rPr>
          <w:rFonts w:ascii="Arial" w:hAnsi="Arial" w:cs="Arial"/>
          <w:sz w:val="24"/>
          <w:szCs w:val="24"/>
        </w:rPr>
      </w:pPr>
    </w:p>
    <w:p w:rsidR="00056DAC" w:rsidRDefault="00056DAC" w:rsidP="00056DAC">
      <w:pPr>
        <w:spacing w:line="360" w:lineRule="auto"/>
        <w:jc w:val="both"/>
        <w:rPr>
          <w:rFonts w:ascii="Arial" w:hAnsi="Arial" w:cs="Arial"/>
          <w:sz w:val="24"/>
          <w:szCs w:val="24"/>
        </w:rPr>
      </w:pPr>
      <w:r>
        <w:rPr>
          <w:rFonts w:ascii="Arial" w:hAnsi="Arial" w:cs="Arial"/>
          <w:sz w:val="24"/>
          <w:szCs w:val="24"/>
        </w:rPr>
        <w:t>Stracke reports that De Varagine’</w:t>
      </w:r>
      <w:r>
        <w:rPr>
          <w:rFonts w:ascii="Arial" w:hAnsi="Arial" w:cs="Arial"/>
          <w:color w:val="000000"/>
          <w:sz w:val="24"/>
          <w:szCs w:val="24"/>
          <w:shd w:val="clear" w:color="auto" w:fill="FFFFFF"/>
        </w:rPr>
        <w:t>s</w:t>
      </w:r>
      <w:r w:rsidR="00FC617D">
        <w:rPr>
          <w:rFonts w:ascii="Arial" w:hAnsi="Arial" w:cs="Arial"/>
          <w:color w:val="000000"/>
          <w:sz w:val="24"/>
          <w:szCs w:val="24"/>
          <w:shd w:val="clear" w:color="auto" w:fill="FFFFFF"/>
        </w:rPr>
        <w:t xml:space="preserve"> </w:t>
      </w:r>
      <w:r>
        <w:rPr>
          <w:rFonts w:ascii="Arial" w:hAnsi="Arial" w:cs="Arial"/>
          <w:sz w:val="24"/>
          <w:szCs w:val="24"/>
        </w:rPr>
        <w:t>‘Golden Legend’</w:t>
      </w:r>
      <w:r w:rsidR="00FC617D">
        <w:rPr>
          <w:rFonts w:ascii="Arial" w:hAnsi="Arial" w:cs="Arial"/>
          <w:sz w:val="24"/>
          <w:szCs w:val="24"/>
        </w:rPr>
        <w:t xml:space="preserve"> </w:t>
      </w:r>
      <w:r>
        <w:rPr>
          <w:rFonts w:ascii="Arial" w:hAnsi="Arial" w:cs="Arial"/>
          <w:sz w:val="24"/>
          <w:szCs w:val="24"/>
        </w:rPr>
        <w:t xml:space="preserve">identifies Christopher as a giant named </w:t>
      </w:r>
      <w:r w:rsidR="00FC617D">
        <w:rPr>
          <w:rFonts w:ascii="Arial" w:hAnsi="Arial" w:cs="Arial"/>
          <w:sz w:val="24"/>
          <w:szCs w:val="24"/>
        </w:rPr>
        <w:t>‘</w:t>
      </w:r>
      <w:r>
        <w:rPr>
          <w:rFonts w:ascii="Arial" w:hAnsi="Arial" w:cs="Arial"/>
          <w:sz w:val="24"/>
          <w:szCs w:val="24"/>
        </w:rPr>
        <w:t>Reprobus</w:t>
      </w:r>
      <w:r w:rsidR="00FC617D">
        <w:rPr>
          <w:rFonts w:ascii="Arial" w:hAnsi="Arial" w:cs="Arial"/>
          <w:sz w:val="24"/>
          <w:szCs w:val="24"/>
        </w:rPr>
        <w:t>’</w:t>
      </w:r>
      <w:r>
        <w:rPr>
          <w:rFonts w:ascii="Arial" w:hAnsi="Arial" w:cs="Arial"/>
          <w:sz w:val="24"/>
          <w:szCs w:val="24"/>
        </w:rPr>
        <w:t xml:space="preserve"> (‘the reject’) whose desire to serve only the most powerful king is thwarted on discoveries of weakness in all he encounters, including the Devil. Baptised </w:t>
      </w:r>
      <w:r w:rsidR="00FC617D">
        <w:rPr>
          <w:rFonts w:ascii="Arial" w:hAnsi="Arial" w:cs="Arial"/>
          <w:sz w:val="24"/>
          <w:szCs w:val="24"/>
        </w:rPr>
        <w:t>‘</w:t>
      </w:r>
      <w:r>
        <w:rPr>
          <w:rFonts w:ascii="Arial" w:hAnsi="Arial" w:cs="Arial"/>
          <w:sz w:val="24"/>
          <w:szCs w:val="24"/>
        </w:rPr>
        <w:t>Christophorosor</w:t>
      </w:r>
      <w:r w:rsidR="00FC617D">
        <w:rPr>
          <w:rFonts w:ascii="Arial" w:hAnsi="Arial" w:cs="Arial"/>
          <w:sz w:val="24"/>
          <w:szCs w:val="24"/>
        </w:rPr>
        <w:t>’</w:t>
      </w:r>
      <w:r>
        <w:rPr>
          <w:rFonts w:ascii="Arial" w:hAnsi="Arial" w:cs="Arial"/>
          <w:sz w:val="24"/>
          <w:szCs w:val="24"/>
        </w:rPr>
        <w:t xml:space="preserve"> </w:t>
      </w:r>
      <w:r w:rsidR="00FC617D">
        <w:rPr>
          <w:rFonts w:ascii="Arial" w:hAnsi="Arial" w:cs="Arial"/>
          <w:sz w:val="24"/>
          <w:szCs w:val="24"/>
        </w:rPr>
        <w:t>(</w:t>
      </w:r>
      <w:r>
        <w:rPr>
          <w:rFonts w:ascii="Arial" w:hAnsi="Arial" w:cs="Arial"/>
          <w:sz w:val="24"/>
          <w:szCs w:val="24"/>
        </w:rPr>
        <w:t>‘Christ-bearer’</w:t>
      </w:r>
      <w:r w:rsidR="00FC617D">
        <w:rPr>
          <w:rFonts w:ascii="Arial" w:hAnsi="Arial" w:cs="Arial"/>
          <w:sz w:val="24"/>
          <w:szCs w:val="24"/>
        </w:rPr>
        <w:t>)</w:t>
      </w:r>
      <w:r>
        <w:rPr>
          <w:rFonts w:ascii="Arial" w:hAnsi="Arial" w:cs="Arial"/>
          <w:sz w:val="24"/>
          <w:szCs w:val="24"/>
        </w:rPr>
        <w:t xml:space="preserve"> by a hermit, Christopher carries a small child across a stream, before the child’s weight becomes increasingly unbearable.</w:t>
      </w:r>
    </w:p>
    <w:p w:rsidR="00FB729F" w:rsidRDefault="00FB729F" w:rsidP="00056DAC">
      <w:pPr>
        <w:spacing w:line="360" w:lineRule="auto"/>
        <w:jc w:val="both"/>
        <w:rPr>
          <w:rFonts w:ascii="Arial" w:hAnsi="Arial" w:cs="Arial"/>
          <w:sz w:val="24"/>
          <w:szCs w:val="24"/>
        </w:rPr>
      </w:pPr>
    </w:p>
    <w:p w:rsidR="00FB729F" w:rsidRDefault="00FB729F" w:rsidP="00056DAC">
      <w:pPr>
        <w:spacing w:line="360" w:lineRule="auto"/>
        <w:jc w:val="both"/>
        <w:rPr>
          <w:rFonts w:ascii="Arial" w:hAnsi="Arial" w:cs="Arial"/>
          <w:sz w:val="24"/>
          <w:szCs w:val="24"/>
        </w:rPr>
      </w:pPr>
    </w:p>
    <w:p w:rsidR="00FB729F" w:rsidRDefault="00FB729F" w:rsidP="00056DAC">
      <w:pPr>
        <w:spacing w:line="360" w:lineRule="auto"/>
        <w:jc w:val="both"/>
        <w:rPr>
          <w:rFonts w:ascii="Arial" w:hAnsi="Arial" w:cs="Arial"/>
          <w:sz w:val="24"/>
          <w:szCs w:val="24"/>
        </w:rPr>
      </w:pPr>
    </w:p>
    <w:p w:rsidR="00704890" w:rsidRDefault="00056DAC" w:rsidP="00056DAC">
      <w:pPr>
        <w:spacing w:line="360" w:lineRule="auto"/>
        <w:jc w:val="both"/>
        <w:rPr>
          <w:rFonts w:ascii="Arial" w:hAnsi="Arial" w:cs="Arial"/>
          <w:sz w:val="24"/>
          <w:szCs w:val="24"/>
        </w:rPr>
      </w:pPr>
      <w:r>
        <w:rPr>
          <w:rFonts w:ascii="Arial" w:hAnsi="Arial" w:cs="Arial"/>
          <w:sz w:val="24"/>
          <w:szCs w:val="24"/>
        </w:rPr>
        <w:lastRenderedPageBreak/>
        <w:t>Identifying himself as the child Jesus, he is told that “. . . thou hast not only borne the entire world upon thee, but thou h</w:t>
      </w:r>
      <w:bookmarkStart w:id="6" w:name="_GoBack"/>
      <w:bookmarkEnd w:id="6"/>
      <w:r>
        <w:rPr>
          <w:rFonts w:ascii="Arial" w:hAnsi="Arial" w:cs="Arial"/>
          <w:sz w:val="24"/>
          <w:szCs w:val="24"/>
        </w:rPr>
        <w:t xml:space="preserve">ast borne him that created and made the entire world, upon thy shoulders."Ordered to plant his staff into the ground “. . . for it to bear leaf and fruit tomorrow.”, the sprouting stave gains miraculous properties, enabling the </w:t>
      </w:r>
      <w:r w:rsidR="00FC617D">
        <w:rPr>
          <w:rFonts w:ascii="Arial" w:hAnsi="Arial" w:cs="Arial"/>
          <w:sz w:val="24"/>
          <w:szCs w:val="24"/>
        </w:rPr>
        <w:t>conversion</w:t>
      </w:r>
      <w:r>
        <w:rPr>
          <w:rFonts w:ascii="Arial" w:hAnsi="Arial" w:cs="Arial"/>
          <w:sz w:val="24"/>
          <w:szCs w:val="24"/>
        </w:rPr>
        <w:t xml:space="preserve"> of thousands in Lycia, before the country’s monarch martyrs Christopher.</w:t>
      </w:r>
      <w:r>
        <w:rPr>
          <w:rStyle w:val="FootnoteReference"/>
          <w:rFonts w:ascii="Arial" w:hAnsi="Arial" w:cs="Arial"/>
          <w:sz w:val="24"/>
          <w:szCs w:val="24"/>
        </w:rPr>
        <w:footnoteReference w:id="15"/>
      </w:r>
    </w:p>
    <w:p w:rsidR="00FB729F" w:rsidRDefault="00FB729F" w:rsidP="00056DAC">
      <w:pPr>
        <w:spacing w:line="360" w:lineRule="auto"/>
        <w:jc w:val="both"/>
        <w:rPr>
          <w:rFonts w:ascii="Arial" w:hAnsi="Arial" w:cs="Arial"/>
          <w:sz w:val="24"/>
          <w:szCs w:val="24"/>
        </w:rPr>
      </w:pPr>
    </w:p>
    <w:p w:rsidR="00056DAC" w:rsidRDefault="00704890" w:rsidP="00056DAC">
      <w:pPr>
        <w:spacing w:line="360" w:lineRule="auto"/>
        <w:jc w:val="both"/>
        <w:rPr>
          <w:rFonts w:ascii="Arial" w:hAnsi="Arial" w:cs="Arial"/>
          <w:sz w:val="24"/>
          <w:szCs w:val="24"/>
        </w:rPr>
      </w:pPr>
      <w:r>
        <w:rPr>
          <w:rFonts w:ascii="Arial" w:hAnsi="Arial" w:cs="Arial"/>
          <w:sz w:val="24"/>
          <w:szCs w:val="24"/>
        </w:rPr>
        <w:t xml:space="preserve">As with other medieval wall-paintings, the </w:t>
      </w:r>
      <w:r w:rsidR="00FB729F">
        <w:rPr>
          <w:rFonts w:ascii="Arial" w:hAnsi="Arial" w:cs="Arial"/>
          <w:sz w:val="24"/>
          <w:szCs w:val="24"/>
        </w:rPr>
        <w:t xml:space="preserve">church’s structure and internal architecture form the ‘canvas’ for the inspirational narrative of Saint Christopher’s overcoming adversity through faith. Along with other images in the family f frescos, the Saint Christopher wall painting </w:t>
      </w:r>
      <w:r w:rsidR="00E33F4D">
        <w:rPr>
          <w:rFonts w:ascii="Arial" w:hAnsi="Arial" w:cs="Arial"/>
          <w:sz w:val="24"/>
          <w:szCs w:val="24"/>
        </w:rPr>
        <w:t>provides</w:t>
      </w:r>
      <w:r w:rsidR="00056DAC" w:rsidRPr="00E33F4D">
        <w:rPr>
          <w:rFonts w:ascii="Arial" w:hAnsi="Arial" w:cs="Arial"/>
          <w:sz w:val="24"/>
          <w:szCs w:val="24"/>
        </w:rPr>
        <w:t xml:space="preserve"> an artistic </w:t>
      </w:r>
      <w:r w:rsidR="00E33F4D">
        <w:rPr>
          <w:rFonts w:ascii="Arial" w:hAnsi="Arial" w:cs="Arial"/>
          <w:sz w:val="24"/>
          <w:szCs w:val="24"/>
        </w:rPr>
        <w:t xml:space="preserve">backdrop </w:t>
      </w:r>
      <w:r w:rsidR="00056DAC" w:rsidRPr="00E33F4D">
        <w:rPr>
          <w:rFonts w:ascii="Arial" w:hAnsi="Arial" w:cs="Arial"/>
          <w:sz w:val="24"/>
          <w:szCs w:val="24"/>
        </w:rPr>
        <w:t xml:space="preserve">to accentuate the solemnity and grandeur of the church’s ceremony and ritual.  </w:t>
      </w:r>
      <w:r w:rsidR="00056DAC" w:rsidRPr="00E33F4D">
        <w:rPr>
          <w:rStyle w:val="FootnoteReference"/>
          <w:rFonts w:ascii="Arial" w:hAnsi="Arial" w:cs="Arial"/>
          <w:sz w:val="24"/>
          <w:szCs w:val="24"/>
        </w:rPr>
        <w:footnoteReference w:id="16"/>
      </w:r>
    </w:p>
    <w:p w:rsidR="00E33F4D" w:rsidRDefault="00E33F4D" w:rsidP="00056DAC">
      <w:pPr>
        <w:spacing w:line="360" w:lineRule="auto"/>
        <w:jc w:val="both"/>
        <w:rPr>
          <w:rFonts w:ascii="Arial" w:hAnsi="Arial" w:cs="Arial"/>
          <w:sz w:val="24"/>
          <w:szCs w:val="24"/>
        </w:rPr>
      </w:pPr>
    </w:p>
    <w:p w:rsidR="00FB729F" w:rsidRDefault="00FB729F" w:rsidP="00056DAC">
      <w:pPr>
        <w:spacing w:line="360" w:lineRule="auto"/>
        <w:jc w:val="both"/>
        <w:rPr>
          <w:rFonts w:ascii="Arial" w:hAnsi="Arial" w:cs="Arial"/>
          <w:sz w:val="24"/>
          <w:szCs w:val="24"/>
        </w:rPr>
      </w:pPr>
    </w:p>
    <w:p w:rsidR="00FB729F" w:rsidRPr="00FB729F" w:rsidRDefault="00FB729F" w:rsidP="00FB729F">
      <w:pPr>
        <w:spacing w:line="360" w:lineRule="auto"/>
        <w:jc w:val="right"/>
        <w:rPr>
          <w:rFonts w:ascii="Arial" w:hAnsi="Arial" w:cs="Arial"/>
          <w:i/>
          <w:sz w:val="24"/>
          <w:szCs w:val="24"/>
        </w:rPr>
      </w:pPr>
      <w:r w:rsidRPr="00FB729F">
        <w:rPr>
          <w:rFonts w:ascii="Arial" w:hAnsi="Arial" w:cs="Arial"/>
          <w:i/>
          <w:sz w:val="24"/>
          <w:szCs w:val="24"/>
        </w:rPr>
        <w:t>Word Count 1033</w:t>
      </w:r>
    </w:p>
    <w:p w:rsidR="00056DAC" w:rsidRDefault="00056DAC" w:rsidP="00056DAC">
      <w:pPr>
        <w:spacing w:line="360" w:lineRule="auto"/>
        <w:jc w:val="both"/>
        <w:rPr>
          <w:rFonts w:ascii="Arial" w:hAnsi="Arial" w:cs="Arial"/>
          <w:sz w:val="24"/>
          <w:szCs w:val="24"/>
        </w:rPr>
      </w:pPr>
    </w:p>
    <w:p w:rsidR="00056DAC" w:rsidRDefault="00056DAC" w:rsidP="00056DAC">
      <w:pPr>
        <w:spacing w:line="360" w:lineRule="auto"/>
        <w:jc w:val="both"/>
        <w:rPr>
          <w:rFonts w:ascii="Arial" w:hAnsi="Arial" w:cs="Arial"/>
          <w:sz w:val="24"/>
          <w:szCs w:val="24"/>
        </w:rPr>
      </w:pPr>
    </w:p>
    <w:p w:rsidR="00056DAC" w:rsidRDefault="00056DAC" w:rsidP="00056DAC">
      <w:pPr>
        <w:spacing w:line="360" w:lineRule="auto"/>
        <w:jc w:val="both"/>
        <w:rPr>
          <w:rFonts w:ascii="Arial" w:hAnsi="Arial" w:cs="Arial"/>
          <w:sz w:val="24"/>
          <w:szCs w:val="24"/>
        </w:rPr>
      </w:pPr>
    </w:p>
    <w:p w:rsidR="00056DAC" w:rsidRDefault="00056DAC" w:rsidP="00056DAC">
      <w:pPr>
        <w:rPr>
          <w:rFonts w:ascii="Arial" w:hAnsi="Arial" w:cs="Arial"/>
          <w:sz w:val="24"/>
          <w:szCs w:val="24"/>
        </w:rPr>
      </w:pPr>
    </w:p>
    <w:p w:rsidR="00056DAC" w:rsidRDefault="00056DAC" w:rsidP="00056DAC">
      <w:pPr>
        <w:rPr>
          <w:rFonts w:ascii="Arial" w:hAnsi="Arial" w:cs="Arial"/>
          <w:sz w:val="24"/>
          <w:szCs w:val="24"/>
        </w:rPr>
      </w:pPr>
    </w:p>
    <w:p w:rsidR="00056DAC" w:rsidRDefault="00056DAC" w:rsidP="00056DAC">
      <w:pPr>
        <w:rPr>
          <w:rFonts w:ascii="Arial" w:hAnsi="Arial" w:cs="Arial"/>
          <w:sz w:val="24"/>
          <w:szCs w:val="24"/>
        </w:rPr>
      </w:pPr>
    </w:p>
    <w:p w:rsidR="00056DAC" w:rsidRDefault="00056DAC" w:rsidP="00056DAC">
      <w:pPr>
        <w:rPr>
          <w:rFonts w:ascii="Arial" w:hAnsi="Arial" w:cs="Arial"/>
          <w:sz w:val="24"/>
          <w:szCs w:val="24"/>
        </w:rPr>
      </w:pPr>
    </w:p>
    <w:p w:rsidR="00056DAC" w:rsidRDefault="00056DAC" w:rsidP="00056DAC">
      <w:pPr>
        <w:rPr>
          <w:rFonts w:ascii="Arial" w:hAnsi="Arial" w:cs="Arial"/>
          <w:sz w:val="24"/>
          <w:szCs w:val="24"/>
        </w:rPr>
      </w:pPr>
    </w:p>
    <w:p w:rsidR="00056DAC" w:rsidRDefault="00056DAC" w:rsidP="00056DAC">
      <w:pPr>
        <w:rPr>
          <w:rFonts w:ascii="Arial" w:hAnsi="Arial" w:cs="Arial"/>
          <w:color w:val="222222"/>
          <w:sz w:val="24"/>
          <w:szCs w:val="24"/>
          <w:shd w:val="clear" w:color="auto" w:fill="FFFFFF"/>
        </w:rPr>
      </w:pPr>
    </w:p>
    <w:p w:rsidR="00056DAC" w:rsidRDefault="00056DAC" w:rsidP="00056DAC">
      <w:pPr>
        <w:rPr>
          <w:rFonts w:ascii="Arial" w:hAnsi="Arial" w:cs="Arial"/>
          <w:sz w:val="24"/>
          <w:szCs w:val="24"/>
        </w:rPr>
      </w:pPr>
    </w:p>
    <w:p w:rsidR="00056DAC" w:rsidRDefault="00056DAC" w:rsidP="00056DAC">
      <w:pPr>
        <w:rPr>
          <w:rFonts w:ascii="Arial" w:hAnsi="Arial" w:cs="Arial"/>
          <w:sz w:val="24"/>
          <w:szCs w:val="24"/>
        </w:rPr>
      </w:pPr>
    </w:p>
    <w:p w:rsidR="00056DAC" w:rsidRPr="005944FA" w:rsidRDefault="00FB729F" w:rsidP="00FB729F">
      <w:pPr>
        <w:jc w:val="center"/>
        <w:rPr>
          <w:rFonts w:ascii="Arial" w:hAnsi="Arial" w:cs="Arial"/>
          <w:b/>
          <w:sz w:val="24"/>
          <w:szCs w:val="24"/>
        </w:rPr>
      </w:pPr>
      <w:r w:rsidRPr="005944FA">
        <w:rPr>
          <w:rFonts w:ascii="Arial" w:hAnsi="Arial" w:cs="Arial"/>
          <w:b/>
          <w:sz w:val="24"/>
          <w:szCs w:val="24"/>
        </w:rPr>
        <w:lastRenderedPageBreak/>
        <w:t>Bibliography</w:t>
      </w:r>
    </w:p>
    <w:p w:rsidR="005944FA" w:rsidRPr="005944FA" w:rsidRDefault="00FB729F" w:rsidP="005944FA">
      <w:pPr>
        <w:jc w:val="center"/>
        <w:rPr>
          <w:rFonts w:ascii="Arial" w:hAnsi="Arial" w:cs="Arial"/>
          <w:sz w:val="24"/>
          <w:szCs w:val="24"/>
        </w:rPr>
      </w:pPr>
      <w:r w:rsidRPr="005944FA">
        <w:rPr>
          <w:rFonts w:ascii="Arial" w:hAnsi="Arial" w:cs="Arial"/>
          <w:sz w:val="24"/>
          <w:szCs w:val="24"/>
        </w:rPr>
        <w:t>(In order of reference)</w:t>
      </w:r>
    </w:p>
    <w:p w:rsidR="005944FA" w:rsidRPr="005944FA" w:rsidRDefault="005944FA" w:rsidP="005944FA">
      <w:pPr>
        <w:spacing w:line="480" w:lineRule="auto"/>
        <w:jc w:val="center"/>
        <w:rPr>
          <w:rFonts w:ascii="Arial" w:hAnsi="Arial" w:cs="Arial"/>
          <w:sz w:val="24"/>
          <w:szCs w:val="24"/>
        </w:rPr>
      </w:pPr>
    </w:p>
    <w:p w:rsidR="00FB729F" w:rsidRPr="005944FA" w:rsidRDefault="005944FA" w:rsidP="005944FA">
      <w:pPr>
        <w:pStyle w:val="ListParagraph"/>
        <w:numPr>
          <w:ilvl w:val="0"/>
          <w:numId w:val="1"/>
        </w:numPr>
        <w:spacing w:line="480" w:lineRule="auto"/>
        <w:rPr>
          <w:rFonts w:ascii="Arial" w:hAnsi="Arial" w:cs="Arial"/>
          <w:sz w:val="24"/>
          <w:szCs w:val="24"/>
          <w:shd w:val="clear" w:color="auto" w:fill="FFFFFF"/>
        </w:rPr>
      </w:pPr>
      <w:r w:rsidRPr="005944FA">
        <w:rPr>
          <w:rFonts w:ascii="Arial" w:hAnsi="Arial" w:cs="Arial"/>
          <w:sz w:val="24"/>
          <w:szCs w:val="24"/>
          <w:shd w:val="clear" w:color="auto" w:fill="FFFFFF"/>
        </w:rPr>
        <w:t>Reiello, Giorgio, ‘</w:t>
      </w:r>
      <w:r w:rsidR="00FB729F" w:rsidRPr="005944FA">
        <w:rPr>
          <w:rFonts w:ascii="Arial" w:hAnsi="Arial" w:cs="Arial"/>
          <w:sz w:val="24"/>
          <w:szCs w:val="24"/>
          <w:shd w:val="clear" w:color="auto" w:fill="FFFFFF"/>
        </w:rPr>
        <w:t>Matarial Culture A</w:t>
      </w:r>
      <w:r w:rsidRPr="005944FA">
        <w:rPr>
          <w:rFonts w:ascii="Arial" w:hAnsi="Arial" w:cs="Arial"/>
          <w:sz w:val="24"/>
          <w:szCs w:val="24"/>
          <w:shd w:val="clear" w:color="auto" w:fill="FFFFFF"/>
        </w:rPr>
        <w:t>nd Historial Narratives’</w:t>
      </w:r>
      <w:r w:rsidR="00FB729F" w:rsidRPr="005944FA">
        <w:rPr>
          <w:rFonts w:ascii="Arial" w:hAnsi="Arial" w:cs="Arial"/>
          <w:sz w:val="24"/>
          <w:szCs w:val="24"/>
          <w:shd w:val="clear" w:color="auto" w:fill="FFFFFF"/>
        </w:rPr>
        <w:t>, in </w:t>
      </w:r>
      <w:r w:rsidRPr="005944FA">
        <w:rPr>
          <w:rFonts w:ascii="Arial" w:hAnsi="Arial" w:cs="Arial"/>
          <w:sz w:val="24"/>
          <w:szCs w:val="24"/>
          <w:shd w:val="clear" w:color="auto" w:fill="FFFFFF"/>
        </w:rPr>
        <w:t>‘</w:t>
      </w:r>
      <w:r w:rsidR="00FB729F" w:rsidRPr="005944FA">
        <w:rPr>
          <w:rFonts w:ascii="Arial" w:hAnsi="Arial" w:cs="Arial"/>
          <w:iCs/>
          <w:sz w:val="24"/>
          <w:szCs w:val="24"/>
          <w:shd w:val="clear" w:color="auto" w:fill="FFFFFF"/>
        </w:rPr>
        <w:t>History And Material Culture</w:t>
      </w:r>
      <w:r w:rsidRPr="005944FA">
        <w:rPr>
          <w:rFonts w:ascii="Arial" w:hAnsi="Arial" w:cs="Arial"/>
          <w:iCs/>
          <w:sz w:val="24"/>
          <w:szCs w:val="24"/>
          <w:shd w:val="clear" w:color="auto" w:fill="FFFFFF"/>
        </w:rPr>
        <w:t>’</w:t>
      </w:r>
      <w:r w:rsidR="00FB729F" w:rsidRPr="005944FA">
        <w:rPr>
          <w:rFonts w:ascii="Arial" w:hAnsi="Arial" w:cs="Arial"/>
          <w:sz w:val="24"/>
          <w:szCs w:val="24"/>
          <w:shd w:val="clear" w:color="auto" w:fill="FFFFFF"/>
        </w:rPr>
        <w:t> (Milton Park, Abingdon, Oxon: Routledge, 2017), p. 30</w:t>
      </w:r>
    </w:p>
    <w:p w:rsidR="005944FA" w:rsidRPr="005944FA" w:rsidRDefault="005944FA" w:rsidP="005944FA">
      <w:pPr>
        <w:pStyle w:val="ListParagraph"/>
        <w:spacing w:line="480" w:lineRule="auto"/>
        <w:rPr>
          <w:rFonts w:ascii="Arial" w:hAnsi="Arial" w:cs="Arial"/>
          <w:sz w:val="24"/>
          <w:szCs w:val="24"/>
          <w:shd w:val="clear" w:color="auto" w:fill="FFFFFF"/>
        </w:rPr>
      </w:pPr>
    </w:p>
    <w:p w:rsidR="00FB729F" w:rsidRPr="005944FA" w:rsidRDefault="00FB729F" w:rsidP="005944FA">
      <w:pPr>
        <w:pStyle w:val="ListParagraph"/>
        <w:numPr>
          <w:ilvl w:val="0"/>
          <w:numId w:val="1"/>
        </w:numPr>
        <w:spacing w:line="480" w:lineRule="auto"/>
        <w:rPr>
          <w:rFonts w:ascii="Arial" w:hAnsi="Arial" w:cs="Arial"/>
          <w:sz w:val="24"/>
          <w:szCs w:val="24"/>
          <w:shd w:val="clear" w:color="auto" w:fill="FFFFFF"/>
        </w:rPr>
      </w:pPr>
      <w:r w:rsidRPr="005944FA">
        <w:rPr>
          <w:rFonts w:ascii="Arial" w:hAnsi="Arial" w:cs="Arial"/>
          <w:sz w:val="24"/>
          <w:szCs w:val="24"/>
          <w:shd w:val="clear" w:color="auto" w:fill="FFFFFF"/>
        </w:rPr>
        <w:t>McGrath, Alister, </w:t>
      </w:r>
      <w:r w:rsidRPr="005944FA">
        <w:rPr>
          <w:rFonts w:ascii="Arial" w:hAnsi="Arial" w:cs="Arial"/>
          <w:iCs/>
          <w:sz w:val="24"/>
          <w:szCs w:val="24"/>
          <w:shd w:val="clear" w:color="auto" w:fill="FFFFFF"/>
        </w:rPr>
        <w:t>Historical Theology</w:t>
      </w:r>
      <w:r w:rsidR="005944FA" w:rsidRPr="005944FA">
        <w:rPr>
          <w:rFonts w:ascii="Arial" w:hAnsi="Arial" w:cs="Arial"/>
          <w:sz w:val="24"/>
          <w:szCs w:val="24"/>
          <w:shd w:val="clear" w:color="auto" w:fill="FFFFFF"/>
        </w:rPr>
        <w:t xml:space="preserve">, 2nd edn (Oxford, </w:t>
      </w:r>
      <w:r w:rsidRPr="005944FA">
        <w:rPr>
          <w:rFonts w:ascii="Arial" w:hAnsi="Arial" w:cs="Arial"/>
          <w:sz w:val="24"/>
          <w:szCs w:val="24"/>
          <w:shd w:val="clear" w:color="auto" w:fill="FFFFFF"/>
        </w:rPr>
        <w:t>Wiley-Blackwell, 2013), p. 87</w:t>
      </w:r>
    </w:p>
    <w:p w:rsidR="00FB729F" w:rsidRPr="005944FA" w:rsidRDefault="00FB729F" w:rsidP="005944FA">
      <w:pPr>
        <w:pStyle w:val="ListParagraph"/>
        <w:spacing w:line="480" w:lineRule="auto"/>
        <w:rPr>
          <w:rFonts w:ascii="Arial" w:hAnsi="Arial" w:cs="Arial"/>
          <w:sz w:val="24"/>
          <w:szCs w:val="24"/>
          <w:shd w:val="clear" w:color="auto" w:fill="FFFFFF"/>
        </w:rPr>
      </w:pPr>
    </w:p>
    <w:p w:rsidR="00FB729F" w:rsidRPr="005944FA" w:rsidRDefault="00FB729F" w:rsidP="005944FA">
      <w:pPr>
        <w:pStyle w:val="ListParagraph"/>
        <w:numPr>
          <w:ilvl w:val="0"/>
          <w:numId w:val="1"/>
        </w:numPr>
        <w:spacing w:line="480" w:lineRule="auto"/>
        <w:rPr>
          <w:rFonts w:ascii="Arial" w:hAnsi="Arial" w:cs="Arial"/>
          <w:sz w:val="24"/>
          <w:szCs w:val="24"/>
          <w:shd w:val="clear" w:color="auto" w:fill="FFFFFF"/>
        </w:rPr>
      </w:pPr>
      <w:r w:rsidRPr="005944FA">
        <w:rPr>
          <w:rFonts w:ascii="Arial" w:hAnsi="Arial" w:cs="Arial"/>
          <w:sz w:val="24"/>
          <w:szCs w:val="24"/>
          <w:shd w:val="clear" w:color="auto" w:fill="FFFFFF"/>
        </w:rPr>
        <w:t>Duffy, Eamon, </w:t>
      </w:r>
      <w:r w:rsidR="005944FA" w:rsidRPr="005944FA">
        <w:rPr>
          <w:rFonts w:ascii="Arial" w:hAnsi="Arial" w:cs="Arial"/>
          <w:iCs/>
          <w:sz w:val="24"/>
          <w:szCs w:val="24"/>
          <w:shd w:val="clear" w:color="auto" w:fill="FFFFFF"/>
        </w:rPr>
        <w:t>Traditional Religion i</w:t>
      </w:r>
      <w:r w:rsidRPr="005944FA">
        <w:rPr>
          <w:rFonts w:ascii="Arial" w:hAnsi="Arial" w:cs="Arial"/>
          <w:iCs/>
          <w:sz w:val="24"/>
          <w:szCs w:val="24"/>
          <w:shd w:val="clear" w:color="auto" w:fill="FFFFFF"/>
        </w:rPr>
        <w:t xml:space="preserve">n England, </w:t>
      </w:r>
      <w:r w:rsidR="005944FA" w:rsidRPr="005944FA">
        <w:rPr>
          <w:rFonts w:ascii="Arial" w:hAnsi="Arial" w:cs="Arial"/>
          <w:iCs/>
          <w:sz w:val="24"/>
          <w:szCs w:val="24"/>
          <w:shd w:val="clear" w:color="auto" w:fill="FFFFFF"/>
        </w:rPr>
        <w:t>c</w:t>
      </w:r>
      <w:r w:rsidRPr="005944FA">
        <w:rPr>
          <w:rFonts w:ascii="Arial" w:hAnsi="Arial" w:cs="Arial"/>
          <w:iCs/>
          <w:sz w:val="24"/>
          <w:szCs w:val="24"/>
          <w:shd w:val="clear" w:color="auto" w:fill="FFFFFF"/>
        </w:rPr>
        <w:t>.1400-C.1580</w:t>
      </w:r>
      <w:r w:rsidRPr="005944FA">
        <w:rPr>
          <w:rFonts w:ascii="Arial" w:hAnsi="Arial" w:cs="Arial"/>
          <w:sz w:val="24"/>
          <w:szCs w:val="24"/>
          <w:shd w:val="clear" w:color="auto" w:fill="FFFFFF"/>
        </w:rPr>
        <w:t>, 2nd edn (New York: Yale University Press, 2005), pp. 169-170</w:t>
      </w:r>
    </w:p>
    <w:p w:rsidR="00FB729F" w:rsidRPr="005944FA" w:rsidRDefault="00FB729F" w:rsidP="005944FA">
      <w:pPr>
        <w:pStyle w:val="ListParagraph"/>
        <w:spacing w:line="480" w:lineRule="auto"/>
        <w:rPr>
          <w:rFonts w:ascii="Arial" w:hAnsi="Arial" w:cs="Arial"/>
          <w:sz w:val="24"/>
          <w:szCs w:val="24"/>
          <w:shd w:val="clear" w:color="auto" w:fill="FFFFFF"/>
        </w:rPr>
      </w:pPr>
    </w:p>
    <w:p w:rsidR="00FB729F" w:rsidRPr="005944FA" w:rsidRDefault="005944FA" w:rsidP="005944FA">
      <w:pPr>
        <w:pStyle w:val="ListParagraph"/>
        <w:numPr>
          <w:ilvl w:val="0"/>
          <w:numId w:val="1"/>
        </w:numPr>
        <w:spacing w:line="480" w:lineRule="auto"/>
        <w:rPr>
          <w:rFonts w:ascii="Arial" w:hAnsi="Arial" w:cs="Arial"/>
          <w:sz w:val="24"/>
          <w:szCs w:val="24"/>
          <w:shd w:val="clear" w:color="auto" w:fill="FFFFFF"/>
        </w:rPr>
      </w:pPr>
      <w:r w:rsidRPr="005944FA">
        <w:rPr>
          <w:rFonts w:ascii="Arial" w:hAnsi="Arial" w:cs="Arial"/>
          <w:sz w:val="24"/>
          <w:szCs w:val="24"/>
          <w:shd w:val="clear" w:color="auto" w:fill="FFFFFF"/>
        </w:rPr>
        <w:t>Carlowe, "The Pickering Frescoes", </w:t>
      </w:r>
      <w:r w:rsidRPr="005944FA">
        <w:rPr>
          <w:rFonts w:ascii="Arial" w:hAnsi="Arial" w:cs="Arial"/>
          <w:iCs/>
          <w:sz w:val="24"/>
          <w:szCs w:val="24"/>
          <w:shd w:val="clear" w:color="auto" w:fill="FFFFFF"/>
        </w:rPr>
        <w:t>Bbc.Co.Uk</w:t>
      </w:r>
      <w:r w:rsidRPr="005944FA">
        <w:rPr>
          <w:rFonts w:ascii="Arial" w:hAnsi="Arial" w:cs="Arial"/>
          <w:sz w:val="24"/>
          <w:szCs w:val="24"/>
          <w:shd w:val="clear" w:color="auto" w:fill="FFFFFF"/>
        </w:rPr>
        <w:t xml:space="preserve">, 2020 </w:t>
      </w:r>
      <w:hyperlink r:id="rId10" w:history="1">
        <w:r w:rsidRPr="005944FA">
          <w:rPr>
            <w:rStyle w:val="Hyperlink"/>
            <w:rFonts w:ascii="Arial" w:hAnsi="Arial" w:cs="Arial"/>
            <w:color w:val="auto"/>
            <w:sz w:val="24"/>
            <w:szCs w:val="24"/>
            <w:shd w:val="clear" w:color="auto" w:fill="FFFFFF"/>
          </w:rPr>
          <w:t>http://www.bbc.co.uk/northyorkshire/content/articles/2006/01/16/pickering_church_paintings_feature.shtml</w:t>
        </w:r>
      </w:hyperlink>
      <w:r w:rsidRPr="005944FA">
        <w:rPr>
          <w:rFonts w:ascii="Arial" w:hAnsi="Arial" w:cs="Arial"/>
          <w:sz w:val="24"/>
          <w:szCs w:val="24"/>
          <w:shd w:val="clear" w:color="auto" w:fill="FFFFFF"/>
        </w:rPr>
        <w:t xml:space="preserve">  [Accessed 22 January 2020]</w:t>
      </w:r>
    </w:p>
    <w:p w:rsidR="005944FA" w:rsidRPr="005944FA" w:rsidRDefault="005944FA" w:rsidP="005944FA">
      <w:pPr>
        <w:pStyle w:val="ListParagraph"/>
        <w:spacing w:line="480" w:lineRule="auto"/>
        <w:rPr>
          <w:rFonts w:ascii="Arial" w:hAnsi="Arial" w:cs="Arial"/>
          <w:sz w:val="24"/>
          <w:szCs w:val="24"/>
          <w:shd w:val="clear" w:color="auto" w:fill="FFFFFF"/>
        </w:rPr>
      </w:pPr>
    </w:p>
    <w:p w:rsidR="005944FA" w:rsidRPr="005944FA" w:rsidRDefault="005944FA" w:rsidP="005944FA">
      <w:pPr>
        <w:pStyle w:val="ListParagraph"/>
        <w:numPr>
          <w:ilvl w:val="0"/>
          <w:numId w:val="1"/>
        </w:numPr>
        <w:spacing w:line="480" w:lineRule="auto"/>
        <w:rPr>
          <w:rFonts w:ascii="Arial" w:hAnsi="Arial" w:cs="Arial"/>
          <w:sz w:val="24"/>
          <w:szCs w:val="24"/>
          <w:shd w:val="clear" w:color="auto" w:fill="FFFFFF"/>
        </w:rPr>
      </w:pPr>
      <w:r w:rsidRPr="005944FA">
        <w:rPr>
          <w:rFonts w:ascii="Arial" w:hAnsi="Arial" w:cs="Arial"/>
          <w:sz w:val="24"/>
          <w:szCs w:val="24"/>
          <w:shd w:val="clear" w:color="auto" w:fill="FFFFFF"/>
        </w:rPr>
        <w:t>Rosewell, Roger, </w:t>
      </w:r>
      <w:r w:rsidRPr="005944FA">
        <w:rPr>
          <w:rFonts w:ascii="Arial" w:hAnsi="Arial" w:cs="Arial"/>
          <w:iCs/>
          <w:sz w:val="24"/>
          <w:szCs w:val="24"/>
          <w:shd w:val="clear" w:color="auto" w:fill="FFFFFF"/>
        </w:rPr>
        <w:t>Medieval Wall Paintings In English &amp; Welsh Churches</w:t>
      </w:r>
      <w:r w:rsidRPr="005944FA">
        <w:rPr>
          <w:rFonts w:ascii="Arial" w:hAnsi="Arial" w:cs="Arial"/>
          <w:sz w:val="24"/>
          <w:szCs w:val="24"/>
          <w:shd w:val="clear" w:color="auto" w:fill="FFFFFF"/>
        </w:rPr>
        <w:t> (Woodbridge: Boydell &amp; Brewer, 2011)</w:t>
      </w:r>
    </w:p>
    <w:p w:rsidR="005944FA" w:rsidRPr="005944FA" w:rsidRDefault="005944FA" w:rsidP="005944FA">
      <w:pPr>
        <w:pStyle w:val="ListParagraph"/>
        <w:spacing w:line="480" w:lineRule="auto"/>
        <w:rPr>
          <w:rFonts w:ascii="Arial" w:hAnsi="Arial" w:cs="Arial"/>
          <w:sz w:val="24"/>
          <w:szCs w:val="24"/>
          <w:shd w:val="clear" w:color="auto" w:fill="FFFFFF"/>
        </w:rPr>
      </w:pPr>
    </w:p>
    <w:p w:rsidR="005944FA" w:rsidRPr="005944FA" w:rsidRDefault="005944FA" w:rsidP="005944FA">
      <w:pPr>
        <w:pStyle w:val="ListParagraph"/>
        <w:numPr>
          <w:ilvl w:val="0"/>
          <w:numId w:val="1"/>
        </w:numPr>
        <w:spacing w:line="480" w:lineRule="auto"/>
        <w:rPr>
          <w:rFonts w:ascii="Arial" w:hAnsi="Arial" w:cs="Arial"/>
          <w:sz w:val="24"/>
          <w:szCs w:val="24"/>
          <w:shd w:val="clear" w:color="auto" w:fill="FFFFFF"/>
        </w:rPr>
      </w:pPr>
      <w:r w:rsidRPr="005944FA">
        <w:rPr>
          <w:rFonts w:ascii="Arial" w:hAnsi="Arial" w:cs="Arial"/>
          <w:sz w:val="24"/>
          <w:szCs w:val="24"/>
          <w:shd w:val="clear" w:color="auto" w:fill="FFFFFF"/>
        </w:rPr>
        <w:t>Doyle, Peter, and Alban Butler, </w:t>
      </w:r>
      <w:r w:rsidRPr="005944FA">
        <w:rPr>
          <w:rFonts w:ascii="Arial" w:hAnsi="Arial" w:cs="Arial"/>
          <w:iCs/>
          <w:sz w:val="24"/>
          <w:szCs w:val="24"/>
          <w:shd w:val="clear" w:color="auto" w:fill="FFFFFF"/>
        </w:rPr>
        <w:t>Butler's Lives Of The Saints</w:t>
      </w:r>
      <w:r w:rsidRPr="005944FA">
        <w:rPr>
          <w:rFonts w:ascii="Arial" w:hAnsi="Arial" w:cs="Arial"/>
          <w:sz w:val="24"/>
          <w:szCs w:val="24"/>
          <w:shd w:val="clear" w:color="auto" w:fill="FFFFFF"/>
        </w:rPr>
        <w:t> (Tunbridge Wells: Burns &amp; Oates, 2000)</w:t>
      </w:r>
    </w:p>
    <w:p w:rsidR="005944FA" w:rsidRPr="005944FA" w:rsidRDefault="005944FA" w:rsidP="005944FA">
      <w:pPr>
        <w:pStyle w:val="ListParagraph"/>
        <w:spacing w:line="480" w:lineRule="auto"/>
        <w:rPr>
          <w:rFonts w:ascii="Arial" w:hAnsi="Arial" w:cs="Arial"/>
          <w:sz w:val="24"/>
          <w:szCs w:val="24"/>
          <w:shd w:val="clear" w:color="auto" w:fill="FFFFFF"/>
        </w:rPr>
      </w:pPr>
    </w:p>
    <w:p w:rsidR="005944FA" w:rsidRPr="005944FA" w:rsidRDefault="005944FA" w:rsidP="005944FA">
      <w:pPr>
        <w:pStyle w:val="ListParagraph"/>
        <w:numPr>
          <w:ilvl w:val="0"/>
          <w:numId w:val="1"/>
        </w:numPr>
        <w:spacing w:line="480" w:lineRule="auto"/>
        <w:rPr>
          <w:rFonts w:ascii="Arial" w:hAnsi="Arial" w:cs="Arial"/>
          <w:sz w:val="24"/>
          <w:szCs w:val="24"/>
          <w:shd w:val="clear" w:color="auto" w:fill="FFFFFF"/>
        </w:rPr>
      </w:pPr>
      <w:r w:rsidRPr="005944FA">
        <w:rPr>
          <w:rFonts w:ascii="Arial" w:hAnsi="Arial" w:cs="Arial"/>
          <w:sz w:val="24"/>
          <w:szCs w:val="24"/>
          <w:shd w:val="clear" w:color="auto" w:fill="FFFFFF"/>
        </w:rPr>
        <w:t>Barber, Sarah, and Corinna M Peniston-Bird, </w:t>
      </w:r>
      <w:r w:rsidRPr="005944FA">
        <w:rPr>
          <w:rFonts w:ascii="Arial" w:hAnsi="Arial" w:cs="Arial"/>
          <w:iCs/>
          <w:sz w:val="24"/>
          <w:szCs w:val="24"/>
          <w:shd w:val="clear" w:color="auto" w:fill="FFFFFF"/>
        </w:rPr>
        <w:t>History Beyond The Text</w:t>
      </w:r>
      <w:r w:rsidRPr="005944FA">
        <w:rPr>
          <w:rFonts w:ascii="Arial" w:hAnsi="Arial" w:cs="Arial"/>
          <w:sz w:val="24"/>
          <w:szCs w:val="24"/>
          <w:shd w:val="clear" w:color="auto" w:fill="FFFFFF"/>
        </w:rPr>
        <w:t> (New York: Routledge, 2009), pp. 16-17</w:t>
      </w:r>
    </w:p>
    <w:p w:rsidR="00FB729F" w:rsidRPr="005944FA" w:rsidRDefault="00FB729F" w:rsidP="00FB729F">
      <w:pPr>
        <w:jc w:val="center"/>
        <w:rPr>
          <w:rFonts w:ascii="Open Sans" w:hAnsi="Open Sans"/>
          <w:sz w:val="17"/>
          <w:szCs w:val="17"/>
          <w:shd w:val="clear" w:color="auto" w:fill="FFFFFF"/>
        </w:rPr>
      </w:pPr>
    </w:p>
    <w:p w:rsidR="00FB729F" w:rsidRPr="005944FA" w:rsidRDefault="00FB729F" w:rsidP="00FB729F">
      <w:pPr>
        <w:jc w:val="center"/>
        <w:rPr>
          <w:rFonts w:ascii="Arial" w:hAnsi="Arial" w:cs="Arial"/>
          <w:sz w:val="24"/>
          <w:szCs w:val="24"/>
        </w:rPr>
      </w:pPr>
    </w:p>
    <w:p w:rsidR="00FB729F" w:rsidRPr="005944FA" w:rsidRDefault="00FB729F" w:rsidP="00FB729F">
      <w:pPr>
        <w:rPr>
          <w:rFonts w:ascii="Arial" w:hAnsi="Arial" w:cs="Arial"/>
          <w:sz w:val="24"/>
          <w:szCs w:val="24"/>
        </w:rPr>
      </w:pPr>
    </w:p>
    <w:p w:rsidR="00056DAC" w:rsidRPr="005944FA" w:rsidRDefault="00056DAC" w:rsidP="00056DAC">
      <w:pPr>
        <w:rPr>
          <w:rFonts w:ascii="Arial" w:hAnsi="Arial" w:cs="Arial"/>
          <w:sz w:val="24"/>
          <w:szCs w:val="24"/>
        </w:rPr>
      </w:pPr>
    </w:p>
    <w:p w:rsidR="00056DAC" w:rsidRPr="005944FA" w:rsidRDefault="00056DAC" w:rsidP="00056DAC">
      <w:pPr>
        <w:rPr>
          <w:rFonts w:ascii="Arial" w:hAnsi="Arial" w:cs="Arial"/>
          <w:sz w:val="24"/>
          <w:szCs w:val="24"/>
        </w:rPr>
      </w:pPr>
    </w:p>
    <w:p w:rsidR="00056DAC" w:rsidRPr="005944FA" w:rsidRDefault="00056DAC" w:rsidP="00056DAC">
      <w:pPr>
        <w:rPr>
          <w:rFonts w:ascii="Arial" w:hAnsi="Arial" w:cs="Arial"/>
          <w:sz w:val="24"/>
          <w:szCs w:val="24"/>
        </w:rPr>
      </w:pPr>
    </w:p>
    <w:p w:rsidR="00056DAC" w:rsidRPr="005944FA" w:rsidRDefault="00056DAC" w:rsidP="00056DAC">
      <w:pPr>
        <w:rPr>
          <w:rFonts w:ascii="Arial" w:hAnsi="Arial" w:cs="Arial"/>
          <w:sz w:val="24"/>
          <w:szCs w:val="24"/>
        </w:rPr>
      </w:pPr>
    </w:p>
    <w:p w:rsidR="00056DAC" w:rsidRPr="005944FA" w:rsidRDefault="00056DAC" w:rsidP="00056DAC">
      <w:pPr>
        <w:rPr>
          <w:rFonts w:ascii="Arial" w:hAnsi="Arial" w:cs="Arial"/>
          <w:sz w:val="24"/>
          <w:szCs w:val="24"/>
        </w:rPr>
      </w:pPr>
    </w:p>
    <w:p w:rsidR="00CF42E3" w:rsidRPr="005944FA" w:rsidRDefault="00CF42E3"/>
    <w:sectPr w:rsidR="00CF42E3" w:rsidRPr="005944FA">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F42E3" w:rsidRDefault="00CF42E3" w:rsidP="00056DAC">
      <w:pPr>
        <w:spacing w:after="0" w:line="240" w:lineRule="auto"/>
      </w:pPr>
      <w:r>
        <w:separator/>
      </w:r>
    </w:p>
  </w:endnote>
  <w:endnote w:type="continuationSeparator" w:id="1">
    <w:p w:rsidR="00CF42E3" w:rsidRDefault="00CF42E3" w:rsidP="00056DA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Open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F42E3" w:rsidRDefault="00CF42E3" w:rsidP="00056DAC">
      <w:pPr>
        <w:spacing w:after="0" w:line="240" w:lineRule="auto"/>
      </w:pPr>
      <w:r>
        <w:separator/>
      </w:r>
    </w:p>
  </w:footnote>
  <w:footnote w:type="continuationSeparator" w:id="1">
    <w:p w:rsidR="00CF42E3" w:rsidRDefault="00CF42E3" w:rsidP="00056DAC">
      <w:pPr>
        <w:spacing w:after="0" w:line="240" w:lineRule="auto"/>
      </w:pPr>
      <w:r>
        <w:continuationSeparator/>
      </w:r>
    </w:p>
  </w:footnote>
  <w:footnote w:id="2">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Style w:val="Strong"/>
          <w:color w:val="666666"/>
          <w:sz w:val="16"/>
          <w:szCs w:val="16"/>
          <w:shd w:val="clear" w:color="auto" w:fill="FFFFFF"/>
        </w:rPr>
        <w:t> </w:t>
      </w:r>
      <w:r>
        <w:rPr>
          <w:rStyle w:val="selectable"/>
          <w:rFonts w:ascii="Arial" w:hAnsi="Arial" w:cs="Arial"/>
          <w:color w:val="000000"/>
          <w:sz w:val="16"/>
          <w:szCs w:val="16"/>
          <w:shd w:val="clear" w:color="auto" w:fill="FFFFFF"/>
        </w:rPr>
        <w:t>Giorgio Reiello, "Matarial Culture AndHistorial Narratives", in </w:t>
      </w:r>
      <w:r>
        <w:rPr>
          <w:rStyle w:val="selectable"/>
          <w:rFonts w:ascii="Arial" w:hAnsi="Arial" w:cs="Arial"/>
          <w:iCs/>
          <w:color w:val="000000"/>
          <w:sz w:val="16"/>
          <w:szCs w:val="16"/>
          <w:shd w:val="clear" w:color="auto" w:fill="FFFFFF"/>
        </w:rPr>
        <w:t>History And Material Culture</w:t>
      </w:r>
      <w:r>
        <w:rPr>
          <w:rStyle w:val="selectable"/>
          <w:rFonts w:ascii="Arial" w:hAnsi="Arial" w:cs="Arial"/>
          <w:color w:val="000000"/>
          <w:sz w:val="16"/>
          <w:szCs w:val="16"/>
          <w:shd w:val="clear" w:color="auto" w:fill="FFFFFF"/>
        </w:rPr>
        <w:t> (Milton Park, Abingdon, Oxon: Routledge, 2017), p. 30.</w:t>
      </w:r>
    </w:p>
  </w:footnote>
  <w:footnote w:id="3">
    <w:p w:rsidR="00E33F4D" w:rsidRPr="00FC617D" w:rsidRDefault="00E33F4D">
      <w:pPr>
        <w:pStyle w:val="FootnoteText"/>
        <w:rPr>
          <w:rFonts w:ascii="Arial" w:hAnsi="Arial" w:cs="Arial"/>
          <w:sz w:val="16"/>
          <w:szCs w:val="16"/>
        </w:rPr>
      </w:pPr>
      <w:r w:rsidRPr="00FC617D">
        <w:rPr>
          <w:rStyle w:val="FootnoteReference"/>
          <w:rFonts w:ascii="Arial" w:hAnsi="Arial" w:cs="Arial"/>
          <w:sz w:val="16"/>
          <w:szCs w:val="16"/>
        </w:rPr>
        <w:footnoteRef/>
      </w:r>
      <w:r w:rsidRPr="00FC617D">
        <w:rPr>
          <w:rFonts w:ascii="Arial" w:hAnsi="Arial" w:cs="Arial"/>
          <w:sz w:val="16"/>
          <w:szCs w:val="16"/>
        </w:rPr>
        <w:t xml:space="preserve"> </w:t>
      </w:r>
      <w:r w:rsidR="00FC617D" w:rsidRPr="00FC617D">
        <w:rPr>
          <w:rFonts w:ascii="Arial" w:hAnsi="Arial" w:cs="Arial"/>
          <w:i/>
          <w:iCs/>
          <w:sz w:val="16"/>
          <w:szCs w:val="16"/>
          <w:shd w:val="clear" w:color="auto" w:fill="FFFFFF"/>
        </w:rPr>
        <w:t>(</w:t>
      </w:r>
      <w:hyperlink r:id="rId1" w:history="1">
        <w:r w:rsidR="00FC617D" w:rsidRPr="00FC617D">
          <w:rPr>
            <w:rStyle w:val="Hyperlink"/>
            <w:rFonts w:ascii="Arial" w:hAnsi="Arial" w:cs="Arial"/>
            <w:i/>
            <w:iCs/>
            <w:color w:val="auto"/>
            <w:sz w:val="16"/>
            <w:szCs w:val="16"/>
            <w:u w:val="none"/>
            <w:shd w:val="clear" w:color="auto" w:fill="FFFFFF"/>
          </w:rPr>
          <w:t>Leviticus 19:1-8</w:t>
        </w:r>
      </w:hyperlink>
      <w:r w:rsidR="00FC617D" w:rsidRPr="00FC617D">
        <w:rPr>
          <w:rFonts w:ascii="Arial" w:hAnsi="Arial" w:cs="Arial"/>
          <w:i/>
          <w:iCs/>
          <w:sz w:val="16"/>
          <w:szCs w:val="16"/>
          <w:shd w:val="clear" w:color="auto" w:fill="FFFFFF"/>
        </w:rPr>
        <w:t>; </w:t>
      </w:r>
      <w:hyperlink r:id="rId2" w:anchor="14" w:history="1">
        <w:r w:rsidR="00FC617D" w:rsidRPr="00FC617D">
          <w:rPr>
            <w:rStyle w:val="Hyperlink"/>
            <w:rFonts w:ascii="Arial" w:hAnsi="Arial" w:cs="Arial"/>
            <w:i/>
            <w:iCs/>
            <w:color w:val="auto"/>
            <w:sz w:val="16"/>
            <w:szCs w:val="16"/>
            <w:u w:val="none"/>
            <w:shd w:val="clear" w:color="auto" w:fill="FFFFFF"/>
          </w:rPr>
          <w:t>1 Corinthians 10:14-22</w:t>
        </w:r>
      </w:hyperlink>
      <w:r w:rsidR="00FC617D" w:rsidRPr="00FC617D">
        <w:rPr>
          <w:rFonts w:ascii="Arial" w:hAnsi="Arial" w:cs="Arial"/>
          <w:i/>
          <w:iCs/>
          <w:sz w:val="16"/>
          <w:szCs w:val="16"/>
          <w:shd w:val="clear" w:color="auto" w:fill="FFFFFF"/>
        </w:rPr>
        <w:t>)</w:t>
      </w:r>
    </w:p>
  </w:footnote>
  <w:footnote w:id="4">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color w:val="000000"/>
          <w:sz w:val="16"/>
          <w:szCs w:val="16"/>
          <w:shd w:val="clear" w:color="auto" w:fill="FFFFFF"/>
        </w:rPr>
        <w:t>Alister E McGrath, </w:t>
      </w:r>
      <w:r>
        <w:rPr>
          <w:rFonts w:ascii="Arial" w:hAnsi="Arial" w:cs="Arial"/>
          <w:iCs/>
          <w:color w:val="000000"/>
          <w:sz w:val="16"/>
          <w:szCs w:val="16"/>
          <w:shd w:val="clear" w:color="auto" w:fill="FFFFFF"/>
        </w:rPr>
        <w:t>Historical Theology</w:t>
      </w:r>
      <w:r>
        <w:rPr>
          <w:rFonts w:ascii="Arial" w:hAnsi="Arial" w:cs="Arial"/>
          <w:color w:val="000000"/>
          <w:sz w:val="16"/>
          <w:szCs w:val="16"/>
          <w:shd w:val="clear" w:color="auto" w:fill="FFFFFF"/>
        </w:rPr>
        <w:t>, 2nd edn (Oxford [etc.]: Wiley-Blackwell, 2013), p. 87.</w:t>
      </w:r>
    </w:p>
  </w:footnote>
  <w:footnote w:id="5">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color w:val="000000"/>
          <w:sz w:val="16"/>
          <w:szCs w:val="16"/>
          <w:shd w:val="clear" w:color="auto" w:fill="FFFFFF"/>
        </w:rPr>
        <w:t>Eamon Duffy, </w:t>
      </w:r>
      <w:r>
        <w:rPr>
          <w:rFonts w:ascii="Arial" w:hAnsi="Arial" w:cs="Arial"/>
          <w:iCs/>
          <w:color w:val="000000"/>
          <w:sz w:val="16"/>
          <w:szCs w:val="16"/>
          <w:shd w:val="clear" w:color="auto" w:fill="FFFFFF"/>
        </w:rPr>
        <w:t>Traditional Religion In England, C.1400-C.1580</w:t>
      </w:r>
      <w:r>
        <w:rPr>
          <w:rFonts w:ascii="Arial" w:hAnsi="Arial" w:cs="Arial"/>
          <w:color w:val="000000"/>
          <w:sz w:val="16"/>
          <w:szCs w:val="16"/>
          <w:shd w:val="clear" w:color="auto" w:fill="FFFFFF"/>
        </w:rPr>
        <w:t>, 2nd edn (New York: Yale University Press, 2005), pp. 169-170.</w:t>
      </w:r>
    </w:p>
  </w:footnote>
  <w:footnote w:id="6">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color w:val="000000"/>
          <w:sz w:val="16"/>
          <w:szCs w:val="16"/>
          <w:shd w:val="clear" w:color="auto" w:fill="FFFFFF"/>
        </w:rPr>
        <w:t>Carlowe, "The Pickering Frescoes", </w:t>
      </w:r>
      <w:r>
        <w:rPr>
          <w:rFonts w:ascii="Arial" w:hAnsi="Arial" w:cs="Arial"/>
          <w:iCs/>
          <w:color w:val="000000"/>
          <w:sz w:val="16"/>
          <w:szCs w:val="16"/>
          <w:shd w:val="clear" w:color="auto" w:fill="FFFFFF"/>
        </w:rPr>
        <w:t>Bbc.Co.Uk</w:t>
      </w:r>
      <w:r>
        <w:rPr>
          <w:rFonts w:ascii="Arial" w:hAnsi="Arial" w:cs="Arial"/>
          <w:color w:val="000000"/>
          <w:sz w:val="16"/>
          <w:szCs w:val="16"/>
          <w:shd w:val="clear" w:color="auto" w:fill="FFFFFF"/>
        </w:rPr>
        <w:t xml:space="preserve">, 2020 </w:t>
      </w:r>
    </w:p>
  </w:footnote>
  <w:footnote w:id="7">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color w:val="000000"/>
          <w:sz w:val="16"/>
          <w:szCs w:val="16"/>
          <w:shd w:val="clear" w:color="auto" w:fill="FFFFFF"/>
        </w:rPr>
        <w:t>Roger Rosewell, </w:t>
      </w:r>
      <w:r>
        <w:rPr>
          <w:rFonts w:ascii="Arial" w:hAnsi="Arial" w:cs="Arial"/>
          <w:iCs/>
          <w:color w:val="000000"/>
          <w:sz w:val="16"/>
          <w:szCs w:val="16"/>
          <w:shd w:val="clear" w:color="auto" w:fill="FFFFFF"/>
        </w:rPr>
        <w:t>Medieval Wall Paintings In English &amp; Welsh Churches</w:t>
      </w:r>
      <w:r>
        <w:rPr>
          <w:rFonts w:ascii="Arial" w:hAnsi="Arial" w:cs="Arial"/>
          <w:color w:val="000000"/>
          <w:sz w:val="16"/>
          <w:szCs w:val="16"/>
          <w:shd w:val="clear" w:color="auto" w:fill="FFFFFF"/>
        </w:rPr>
        <w:t> </w:t>
      </w:r>
    </w:p>
  </w:footnote>
  <w:footnote w:id="8">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Style w:val="Strong"/>
          <w:color w:val="666666"/>
          <w:sz w:val="16"/>
          <w:szCs w:val="16"/>
          <w:shd w:val="clear" w:color="auto" w:fill="FFFFFF"/>
        </w:rPr>
        <w:t> </w:t>
      </w:r>
      <w:r>
        <w:rPr>
          <w:rStyle w:val="selectable"/>
          <w:rFonts w:ascii="Arial" w:hAnsi="Arial" w:cs="Arial"/>
          <w:color w:val="000000"/>
          <w:sz w:val="16"/>
          <w:szCs w:val="16"/>
          <w:shd w:val="clear" w:color="auto" w:fill="FFFFFF"/>
        </w:rPr>
        <w:t>Peter Doyle and Alban Butler, </w:t>
      </w:r>
      <w:r>
        <w:rPr>
          <w:rStyle w:val="selectable"/>
          <w:rFonts w:ascii="Arial" w:hAnsi="Arial" w:cs="Arial"/>
          <w:iCs/>
          <w:color w:val="000000"/>
          <w:sz w:val="16"/>
          <w:szCs w:val="16"/>
          <w:shd w:val="clear" w:color="auto" w:fill="FFFFFF"/>
        </w:rPr>
        <w:t>Butler's Lives Of The Saints</w:t>
      </w:r>
      <w:r>
        <w:rPr>
          <w:rStyle w:val="selectable"/>
          <w:rFonts w:ascii="Arial" w:hAnsi="Arial" w:cs="Arial"/>
          <w:color w:val="000000"/>
          <w:sz w:val="16"/>
          <w:szCs w:val="16"/>
          <w:shd w:val="clear" w:color="auto" w:fill="FFFFFF"/>
        </w:rPr>
        <w:t> (Tunbridge Wells: Burns &amp; Oates, 2000).</w:t>
      </w:r>
    </w:p>
  </w:footnote>
  <w:footnote w:id="9">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color w:val="000000"/>
          <w:sz w:val="16"/>
          <w:szCs w:val="16"/>
          <w:shd w:val="clear" w:color="auto" w:fill="FFFFFF"/>
        </w:rPr>
        <w:t>Roger Rosewell, </w:t>
      </w:r>
      <w:r>
        <w:rPr>
          <w:rFonts w:ascii="Arial" w:hAnsi="Arial" w:cs="Arial"/>
          <w:iCs/>
          <w:color w:val="000000"/>
          <w:sz w:val="16"/>
          <w:szCs w:val="16"/>
          <w:shd w:val="clear" w:color="auto" w:fill="FFFFFF"/>
        </w:rPr>
        <w:t>Medieval Wall Paintings In English &amp; Welsh Churches</w:t>
      </w:r>
      <w:r>
        <w:rPr>
          <w:rFonts w:ascii="Arial" w:hAnsi="Arial" w:cs="Arial"/>
          <w:color w:val="000000"/>
          <w:sz w:val="16"/>
          <w:szCs w:val="16"/>
          <w:shd w:val="clear" w:color="auto" w:fill="FFFFFF"/>
        </w:rPr>
        <w:t> </w:t>
      </w:r>
    </w:p>
  </w:footnote>
  <w:footnote w:id="10">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color w:val="000000"/>
          <w:sz w:val="16"/>
          <w:szCs w:val="16"/>
          <w:shd w:val="clear" w:color="auto" w:fill="FFFFFF"/>
        </w:rPr>
        <w:t>Eamon Duffy, </w:t>
      </w:r>
      <w:r>
        <w:rPr>
          <w:rFonts w:ascii="Arial" w:hAnsi="Arial" w:cs="Arial"/>
          <w:iCs/>
          <w:color w:val="000000"/>
          <w:sz w:val="16"/>
          <w:szCs w:val="16"/>
          <w:shd w:val="clear" w:color="auto" w:fill="FFFFFF"/>
        </w:rPr>
        <w:t>Traditional Religion In England, C.1400-C.1580</w:t>
      </w:r>
      <w:r>
        <w:rPr>
          <w:rFonts w:ascii="Arial" w:hAnsi="Arial" w:cs="Arial"/>
          <w:color w:val="000000"/>
          <w:sz w:val="16"/>
          <w:szCs w:val="16"/>
          <w:shd w:val="clear" w:color="auto" w:fill="FFFFFF"/>
        </w:rPr>
        <w:t>,  (New York: Yale University Press, 2005),</w:t>
      </w:r>
    </w:p>
  </w:footnote>
  <w:footnote w:id="11">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color w:val="000000"/>
          <w:sz w:val="16"/>
          <w:szCs w:val="16"/>
          <w:shd w:val="clear" w:color="auto" w:fill="FFFFFF"/>
        </w:rPr>
        <w:t>Richard Stracke, "St. Christopher In Art", </w:t>
      </w:r>
      <w:r>
        <w:rPr>
          <w:rFonts w:ascii="Arial" w:hAnsi="Arial" w:cs="Arial"/>
          <w:iCs/>
          <w:color w:val="000000"/>
          <w:sz w:val="16"/>
          <w:szCs w:val="16"/>
          <w:shd w:val="clear" w:color="auto" w:fill="FFFFFF"/>
        </w:rPr>
        <w:t>Christianiconography.Info</w:t>
      </w:r>
      <w:r>
        <w:rPr>
          <w:rFonts w:ascii="Arial" w:hAnsi="Arial" w:cs="Arial"/>
          <w:color w:val="000000"/>
          <w:sz w:val="16"/>
          <w:szCs w:val="16"/>
          <w:shd w:val="clear" w:color="auto" w:fill="FFFFFF"/>
        </w:rPr>
        <w:t>, 2020</w:t>
      </w:r>
    </w:p>
  </w:footnote>
  <w:footnote w:id="12">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color w:val="000000"/>
          <w:sz w:val="16"/>
          <w:szCs w:val="16"/>
          <w:shd w:val="clear" w:color="auto" w:fill="FFFFFF"/>
        </w:rPr>
        <w:t>Carlowe, "The Pickering Frescoes", </w:t>
      </w:r>
      <w:r>
        <w:rPr>
          <w:rFonts w:ascii="Arial" w:hAnsi="Arial" w:cs="Arial"/>
          <w:iCs/>
          <w:color w:val="000000"/>
          <w:sz w:val="16"/>
          <w:szCs w:val="16"/>
          <w:shd w:val="clear" w:color="auto" w:fill="FFFFFF"/>
        </w:rPr>
        <w:t>Bbc.Co.Uk</w:t>
      </w:r>
      <w:r>
        <w:rPr>
          <w:rFonts w:ascii="Arial" w:hAnsi="Arial" w:cs="Arial"/>
          <w:color w:val="000000"/>
          <w:sz w:val="16"/>
          <w:szCs w:val="16"/>
          <w:shd w:val="clear" w:color="auto" w:fill="FFFFFF"/>
        </w:rPr>
        <w:t>, 2020</w:t>
      </w:r>
    </w:p>
  </w:footnote>
  <w:footnote w:id="13">
    <w:p w:rsidR="00704890" w:rsidRDefault="00704890" w:rsidP="00704890">
      <w:pPr>
        <w:pStyle w:val="FootnoteText"/>
        <w:jc w:val="both"/>
        <w:rPr>
          <w:rFonts w:ascii="Arial" w:hAnsi="Arial" w:cs="Arial"/>
          <w:sz w:val="16"/>
          <w:szCs w:val="16"/>
        </w:rPr>
      </w:pPr>
      <w:r>
        <w:rPr>
          <w:rStyle w:val="FootnoteReference"/>
          <w:rFonts w:ascii="Arial" w:hAnsi="Arial" w:cs="Arial"/>
          <w:sz w:val="16"/>
          <w:szCs w:val="16"/>
        </w:rPr>
        <w:footnoteRef/>
      </w:r>
      <w:r>
        <w:rPr>
          <w:rStyle w:val="Strong"/>
          <w:color w:val="666666"/>
          <w:sz w:val="16"/>
          <w:szCs w:val="16"/>
          <w:shd w:val="clear" w:color="auto" w:fill="FFFFFF"/>
        </w:rPr>
        <w:t> </w:t>
      </w:r>
      <w:r>
        <w:rPr>
          <w:rStyle w:val="selectable"/>
          <w:rFonts w:ascii="Arial" w:hAnsi="Arial" w:cs="Arial"/>
          <w:color w:val="000000"/>
          <w:sz w:val="16"/>
          <w:szCs w:val="16"/>
          <w:shd w:val="clear" w:color="auto" w:fill="FFFFFF"/>
        </w:rPr>
        <w:t>Sarah Barber and Corinna M Peniston-Bird, </w:t>
      </w:r>
      <w:r>
        <w:rPr>
          <w:rStyle w:val="selectable"/>
          <w:rFonts w:ascii="Arial" w:hAnsi="Arial" w:cs="Arial"/>
          <w:iCs/>
          <w:color w:val="000000"/>
          <w:sz w:val="16"/>
          <w:szCs w:val="16"/>
          <w:shd w:val="clear" w:color="auto" w:fill="FFFFFF"/>
        </w:rPr>
        <w:t>History Beyond The Text</w:t>
      </w:r>
      <w:r>
        <w:rPr>
          <w:rStyle w:val="selectable"/>
          <w:rFonts w:ascii="Arial" w:hAnsi="Arial" w:cs="Arial"/>
          <w:color w:val="000000"/>
          <w:sz w:val="16"/>
          <w:szCs w:val="16"/>
          <w:shd w:val="clear" w:color="auto" w:fill="FFFFFF"/>
        </w:rPr>
        <w:t> (New York: Routledge, 2009), pp. 16-17.</w:t>
      </w:r>
    </w:p>
  </w:footnote>
  <w:footnote w:id="14">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color w:val="000000"/>
          <w:sz w:val="16"/>
          <w:szCs w:val="16"/>
          <w:shd w:val="clear" w:color="auto" w:fill="FFFFFF"/>
        </w:rPr>
        <w:t>Eamon Duffy, </w:t>
      </w:r>
      <w:r>
        <w:rPr>
          <w:rFonts w:ascii="Arial" w:hAnsi="Arial" w:cs="Arial"/>
          <w:iCs/>
          <w:color w:val="000000"/>
          <w:sz w:val="16"/>
          <w:szCs w:val="16"/>
          <w:shd w:val="clear" w:color="auto" w:fill="FFFFFF"/>
        </w:rPr>
        <w:t>Traditional Religion In England, C.1400-C.1580</w:t>
      </w:r>
    </w:p>
  </w:footnote>
  <w:footnote w:id="15">
    <w:p w:rsidR="00056DAC" w:rsidRDefault="00056DAC" w:rsidP="00056DAC">
      <w:pPr>
        <w:pStyle w:val="FootnoteText"/>
        <w:jc w:val="both"/>
        <w:rPr>
          <w:rFonts w:ascii="Arial" w:hAnsi="Arial" w:cs="Arial"/>
          <w:sz w:val="16"/>
          <w:szCs w:val="16"/>
        </w:rPr>
      </w:pPr>
      <w:r>
        <w:rPr>
          <w:rStyle w:val="FootnoteReference"/>
          <w:rFonts w:ascii="Arial" w:hAnsi="Arial" w:cs="Arial"/>
          <w:sz w:val="16"/>
          <w:szCs w:val="16"/>
        </w:rPr>
        <w:footnoteRef/>
      </w:r>
      <w:r>
        <w:rPr>
          <w:rFonts w:ascii="Arial" w:hAnsi="Arial" w:cs="Arial"/>
          <w:color w:val="000000"/>
          <w:sz w:val="16"/>
          <w:szCs w:val="16"/>
          <w:shd w:val="clear" w:color="auto" w:fill="FFFFFF"/>
        </w:rPr>
        <w:t>Richard Stracke, "St. Christopher In Art", </w:t>
      </w:r>
      <w:r>
        <w:rPr>
          <w:rFonts w:ascii="Arial" w:hAnsi="Arial" w:cs="Arial"/>
          <w:iCs/>
          <w:color w:val="000000"/>
          <w:sz w:val="16"/>
          <w:szCs w:val="16"/>
          <w:shd w:val="clear" w:color="auto" w:fill="FFFFFF"/>
        </w:rPr>
        <w:t>Christianiconography.Info</w:t>
      </w:r>
      <w:r>
        <w:rPr>
          <w:rFonts w:ascii="Arial" w:hAnsi="Arial" w:cs="Arial"/>
          <w:color w:val="000000"/>
          <w:sz w:val="16"/>
          <w:szCs w:val="16"/>
          <w:shd w:val="clear" w:color="auto" w:fill="FFFFFF"/>
        </w:rPr>
        <w:t>, 2020</w:t>
      </w:r>
    </w:p>
  </w:footnote>
  <w:footnote w:id="16">
    <w:p w:rsidR="00056DAC" w:rsidRDefault="00056DAC" w:rsidP="00056DAC">
      <w:pPr>
        <w:pStyle w:val="FootnoteText"/>
        <w:jc w:val="both"/>
      </w:pPr>
      <w:r>
        <w:rPr>
          <w:rStyle w:val="FootnoteReference"/>
          <w:rFonts w:ascii="Arial" w:hAnsi="Arial" w:cs="Arial"/>
          <w:sz w:val="16"/>
          <w:szCs w:val="16"/>
        </w:rPr>
        <w:footnoteRef/>
      </w:r>
      <w:r>
        <w:rPr>
          <w:rFonts w:ascii="Arial" w:hAnsi="Arial" w:cs="Arial"/>
          <w:color w:val="000000"/>
          <w:sz w:val="16"/>
          <w:szCs w:val="16"/>
          <w:shd w:val="clear" w:color="auto" w:fill="FFFFFF"/>
        </w:rPr>
        <w:t>Roger Rosewell, </w:t>
      </w:r>
      <w:r>
        <w:rPr>
          <w:rFonts w:ascii="Arial" w:hAnsi="Arial" w:cs="Arial"/>
          <w:iCs/>
          <w:color w:val="000000"/>
          <w:sz w:val="16"/>
          <w:szCs w:val="16"/>
          <w:shd w:val="clear" w:color="auto" w:fill="FFFFFF"/>
        </w:rPr>
        <w:t>Medieval Wall Paintings In English &amp; Welsh Churches</w:t>
      </w:r>
      <w:r>
        <w:rPr>
          <w:rFonts w:ascii="Arial" w:hAnsi="Arial" w:cs="Arial"/>
          <w:color w:val="000000"/>
          <w:sz w:val="16"/>
          <w:szCs w:val="16"/>
          <w:shd w:val="clear" w:color="auto" w:fill="FFFFFF"/>
        </w:rPr>
        <w:t> (Woodbridge: Boydell &amp; Brewer, 2011).</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15B6F28"/>
    <w:multiLevelType w:val="hybridMultilevel"/>
    <w:tmpl w:val="D3760A34"/>
    <w:lvl w:ilvl="0" w:tplc="EBAE0D9E">
      <w:numFmt w:val="bullet"/>
      <w:lvlText w:val=""/>
      <w:lvlJc w:val="left"/>
      <w:pPr>
        <w:ind w:left="720" w:hanging="360"/>
      </w:pPr>
      <w:rPr>
        <w:rFonts w:ascii="Symbol" w:eastAsiaTheme="minorEastAsia"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defaultTabStop w:val="720"/>
  <w:characterSpacingControl w:val="doNotCompress"/>
  <w:footnotePr>
    <w:footnote w:id="0"/>
    <w:footnote w:id="1"/>
  </w:footnotePr>
  <w:endnotePr>
    <w:endnote w:id="0"/>
    <w:endnote w:id="1"/>
  </w:endnotePr>
  <w:compat>
    <w:useFELayout/>
  </w:compat>
  <w:rsids>
    <w:rsidRoot w:val="00056DAC"/>
    <w:rsid w:val="00056DAC"/>
    <w:rsid w:val="005944FA"/>
    <w:rsid w:val="00704890"/>
    <w:rsid w:val="00CD13E3"/>
    <w:rsid w:val="00CF42E3"/>
    <w:rsid w:val="00E33F4D"/>
    <w:rsid w:val="00FB729F"/>
    <w:rsid w:val="00FC617D"/>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qFormat/>
    <w:rsid w:val="00FB729F"/>
    <w:pPr>
      <w:keepNext/>
      <w:spacing w:before="240" w:after="60" w:line="240" w:lineRule="auto"/>
      <w:outlineLvl w:val="0"/>
    </w:pPr>
    <w:rPr>
      <w:rFonts w:ascii="Arial" w:eastAsia="SimSun" w:hAnsi="Arial" w:cs="Arial"/>
      <w:b/>
      <w:bCs/>
      <w:kern w:val="32"/>
      <w:sz w:val="32"/>
      <w:szCs w:val="32"/>
      <w:lang w:eastAsia="zh-CN"/>
    </w:rPr>
  </w:style>
  <w:style w:type="paragraph" w:styleId="Heading3">
    <w:name w:val="heading 3"/>
    <w:basedOn w:val="Normal"/>
    <w:link w:val="Heading3Char"/>
    <w:qFormat/>
    <w:rsid w:val="00FB729F"/>
    <w:pPr>
      <w:keepNext/>
      <w:spacing w:after="0" w:line="240" w:lineRule="auto"/>
      <w:ind w:left="720"/>
      <w:jc w:val="both"/>
      <w:outlineLvl w:val="2"/>
    </w:pPr>
    <w:rPr>
      <w:rFonts w:ascii="Tahoma" w:eastAsia="SimSun" w:hAnsi="Tahoma" w:cs="Tahoma"/>
      <w:b/>
      <w:bCs/>
      <w:sz w:val="20"/>
      <w:szCs w:val="20"/>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56DAC"/>
    <w:rPr>
      <w:color w:val="0000FF"/>
      <w:u w:val="single"/>
    </w:rPr>
  </w:style>
  <w:style w:type="paragraph" w:styleId="FootnoteText">
    <w:name w:val="footnote text"/>
    <w:basedOn w:val="Normal"/>
    <w:link w:val="FootnoteTextChar"/>
    <w:uiPriority w:val="99"/>
    <w:semiHidden/>
    <w:unhideWhenUsed/>
    <w:rsid w:val="00056DAC"/>
    <w:pPr>
      <w:spacing w:after="0" w:line="240" w:lineRule="auto"/>
    </w:pPr>
    <w:rPr>
      <w:rFonts w:eastAsiaTheme="minorHAnsi"/>
      <w:sz w:val="20"/>
      <w:szCs w:val="20"/>
      <w:lang w:eastAsia="en-US"/>
    </w:rPr>
  </w:style>
  <w:style w:type="character" w:customStyle="1" w:styleId="FootnoteTextChar">
    <w:name w:val="Footnote Text Char"/>
    <w:basedOn w:val="DefaultParagraphFont"/>
    <w:link w:val="FootnoteText"/>
    <w:uiPriority w:val="99"/>
    <w:semiHidden/>
    <w:rsid w:val="00056DAC"/>
    <w:rPr>
      <w:rFonts w:eastAsiaTheme="minorHAnsi"/>
      <w:sz w:val="20"/>
      <w:szCs w:val="20"/>
      <w:lang w:eastAsia="en-US"/>
    </w:rPr>
  </w:style>
  <w:style w:type="character" w:styleId="FootnoteReference">
    <w:name w:val="footnote reference"/>
    <w:basedOn w:val="DefaultParagraphFont"/>
    <w:uiPriority w:val="99"/>
    <w:semiHidden/>
    <w:unhideWhenUsed/>
    <w:rsid w:val="00056DAC"/>
    <w:rPr>
      <w:vertAlign w:val="superscript"/>
    </w:rPr>
  </w:style>
  <w:style w:type="character" w:customStyle="1" w:styleId="selectable">
    <w:name w:val="selectable"/>
    <w:basedOn w:val="DefaultParagraphFont"/>
    <w:rsid w:val="00056DAC"/>
  </w:style>
  <w:style w:type="character" w:styleId="Strong">
    <w:name w:val="Strong"/>
    <w:basedOn w:val="DefaultParagraphFont"/>
    <w:uiPriority w:val="22"/>
    <w:qFormat/>
    <w:rsid w:val="00056DAC"/>
    <w:rPr>
      <w:b/>
      <w:bCs/>
    </w:rPr>
  </w:style>
  <w:style w:type="character" w:customStyle="1" w:styleId="Heading1Char">
    <w:name w:val="Heading 1 Char"/>
    <w:basedOn w:val="DefaultParagraphFont"/>
    <w:link w:val="Heading1"/>
    <w:rsid w:val="00FB729F"/>
    <w:rPr>
      <w:rFonts w:ascii="Arial" w:eastAsia="SimSun" w:hAnsi="Arial" w:cs="Arial"/>
      <w:b/>
      <w:bCs/>
      <w:kern w:val="32"/>
      <w:sz w:val="32"/>
      <w:szCs w:val="32"/>
      <w:lang w:eastAsia="zh-CN"/>
    </w:rPr>
  </w:style>
  <w:style w:type="character" w:customStyle="1" w:styleId="Heading3Char">
    <w:name w:val="Heading 3 Char"/>
    <w:basedOn w:val="DefaultParagraphFont"/>
    <w:link w:val="Heading3"/>
    <w:rsid w:val="00FB729F"/>
    <w:rPr>
      <w:rFonts w:ascii="Tahoma" w:eastAsia="SimSun" w:hAnsi="Tahoma" w:cs="Tahoma"/>
      <w:b/>
      <w:bCs/>
      <w:sz w:val="20"/>
      <w:szCs w:val="20"/>
      <w:lang w:eastAsia="zh-CN"/>
    </w:rPr>
  </w:style>
  <w:style w:type="paragraph" w:styleId="NormalWeb">
    <w:name w:val="Normal (Web)"/>
    <w:basedOn w:val="Normal"/>
    <w:rsid w:val="00FB729F"/>
    <w:pPr>
      <w:spacing w:before="100" w:beforeAutospacing="1" w:after="100" w:afterAutospacing="1" w:line="240" w:lineRule="auto"/>
    </w:pPr>
    <w:rPr>
      <w:rFonts w:ascii="Georgia" w:eastAsia="SimSun" w:hAnsi="Georgia" w:cs="Times New Roman"/>
      <w:color w:val="000000"/>
      <w:sz w:val="21"/>
      <w:szCs w:val="21"/>
      <w:lang w:eastAsia="zh-CN"/>
    </w:rPr>
  </w:style>
  <w:style w:type="paragraph" w:styleId="BalloonText">
    <w:name w:val="Balloon Text"/>
    <w:basedOn w:val="Normal"/>
    <w:link w:val="BalloonTextChar"/>
    <w:uiPriority w:val="99"/>
    <w:semiHidden/>
    <w:unhideWhenUsed/>
    <w:rsid w:val="00FB72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729F"/>
    <w:rPr>
      <w:rFonts w:ascii="Tahoma" w:hAnsi="Tahoma" w:cs="Tahoma"/>
      <w:sz w:val="16"/>
      <w:szCs w:val="16"/>
    </w:rPr>
  </w:style>
  <w:style w:type="paragraph" w:styleId="ListParagraph">
    <w:name w:val="List Paragraph"/>
    <w:basedOn w:val="Normal"/>
    <w:uiPriority w:val="34"/>
    <w:qFormat/>
    <w:rsid w:val="00FB729F"/>
    <w:pPr>
      <w:ind w:left="720"/>
      <w:contextualSpacing/>
    </w:pPr>
  </w:style>
</w:styles>
</file>

<file path=word/webSettings.xml><?xml version="1.0" encoding="utf-8"?>
<w:webSettings xmlns:r="http://schemas.openxmlformats.org/officeDocument/2006/relationships" xmlns:w="http://schemas.openxmlformats.org/wordprocessingml/2006/main">
  <w:divs>
    <w:div w:id="890271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bbc.co.uk/northyorkshire/content/articles/2006/01/16/pickering_church_paintings_feature.shtml" TargetMode="External"/><Relationship Id="rId4" Type="http://schemas.openxmlformats.org/officeDocument/2006/relationships/settings" Target="settings.xml"/><Relationship Id="rId9" Type="http://schemas.openxmlformats.org/officeDocument/2006/relationships/hyperlink" Target="https://en.wikipedia.org/wiki/Salvator_Mundi"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biblehub.com/kjv/1_corinthians/10.htm" TargetMode="External"/><Relationship Id="rId1" Type="http://schemas.openxmlformats.org/officeDocument/2006/relationships/hyperlink" Target="https://www.biblehub.com/kjv/leviticus/19.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30CA2-BCA9-4A2A-B670-908BE4D06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1276</Words>
  <Characters>7274</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8533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thomas conlon</dc:creator>
  <cp:lastModifiedBy>thomas conlon</cp:lastModifiedBy>
  <cp:revision>2</cp:revision>
  <dcterms:created xsi:type="dcterms:W3CDTF">2020-01-24T11:59:00Z</dcterms:created>
  <dcterms:modified xsi:type="dcterms:W3CDTF">2020-01-24T11:59:00Z</dcterms:modified>
</cp:coreProperties>
</file>