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A20551" w14:textId="22524E50" w:rsidR="00670EC8" w:rsidRDefault="00670EC8">
      <w:pPr>
        <w:jc w:val="left"/>
      </w:pPr>
    </w:p>
    <w:p w14:paraId="70B2D741" w14:textId="77777777" w:rsidR="00670EC8" w:rsidRDefault="00670EC8">
      <w:pPr>
        <w:jc w:val="center"/>
      </w:pPr>
    </w:p>
    <w:p w14:paraId="17F8C8DC" w14:textId="77777777" w:rsidR="00670EC8" w:rsidRDefault="00670EC8">
      <w:pPr>
        <w:jc w:val="center"/>
      </w:pPr>
    </w:p>
    <w:p w14:paraId="3E3E574B" w14:textId="77777777" w:rsidR="00670EC8" w:rsidRDefault="00670EC8">
      <w:pPr>
        <w:jc w:val="center"/>
      </w:pPr>
    </w:p>
    <w:p w14:paraId="78A7BB00" w14:textId="77777777" w:rsidR="00670EC8" w:rsidRDefault="00670EC8">
      <w:pPr>
        <w:jc w:val="center"/>
      </w:pPr>
    </w:p>
    <w:p w14:paraId="55BDD846" w14:textId="77777777" w:rsidR="00670EC8" w:rsidRDefault="00670EC8">
      <w:pPr>
        <w:jc w:val="center"/>
      </w:pPr>
    </w:p>
    <w:p w14:paraId="0D330E08" w14:textId="6C9F3D39" w:rsidR="00670EC8" w:rsidRDefault="00000000">
      <w:pPr>
        <w:jc w:val="center"/>
        <w:rPr>
          <w:b/>
          <w:sz w:val="28"/>
          <w:szCs w:val="28"/>
        </w:rPr>
      </w:pPr>
      <w:r>
        <w:rPr>
          <w:b/>
          <w:sz w:val="28"/>
          <w:szCs w:val="28"/>
        </w:rPr>
        <w:t>BMSW5102</w:t>
      </w:r>
    </w:p>
    <w:p w14:paraId="7AAE1375" w14:textId="4FC71220" w:rsidR="00670EC8" w:rsidRPr="00075A82" w:rsidRDefault="00000000">
      <w:pPr>
        <w:jc w:val="center"/>
        <w:rPr>
          <w:b/>
          <w:bCs/>
        </w:rPr>
      </w:pPr>
      <w:r w:rsidRPr="00075A82">
        <w:rPr>
          <w:b/>
          <w:bCs/>
        </w:rPr>
        <w:t>Student Nam</w:t>
      </w:r>
      <w:r w:rsidR="00075A82" w:rsidRPr="00075A82">
        <w:rPr>
          <w:b/>
          <w:bCs/>
        </w:rPr>
        <w:t xml:space="preserve">e: Dan Dumitru </w:t>
      </w:r>
    </w:p>
    <w:p w14:paraId="032D6572" w14:textId="126B192B" w:rsidR="00670EC8" w:rsidRPr="00075A82" w:rsidRDefault="00000000">
      <w:pPr>
        <w:jc w:val="center"/>
        <w:rPr>
          <w:b/>
          <w:bCs/>
        </w:rPr>
      </w:pPr>
      <w:r w:rsidRPr="00075A82">
        <w:rPr>
          <w:b/>
          <w:bCs/>
        </w:rPr>
        <w:t>Student ID:</w:t>
      </w:r>
      <w:r w:rsidR="00075A82" w:rsidRPr="00075A82">
        <w:rPr>
          <w:b/>
          <w:bCs/>
        </w:rPr>
        <w:t xml:space="preserve"> 2025728</w:t>
      </w:r>
    </w:p>
    <w:p w14:paraId="3D5BF7B6" w14:textId="04A3FDF5" w:rsidR="00670EC8" w:rsidRDefault="00000000">
      <w:pPr>
        <w:jc w:val="center"/>
      </w:pPr>
      <w:r>
        <w:br w:type="page"/>
      </w:r>
    </w:p>
    <w:p w14:paraId="0C3AD138" w14:textId="77777777" w:rsidR="00670EC8" w:rsidRPr="008D6376" w:rsidRDefault="00000000">
      <w:pPr>
        <w:jc w:val="center"/>
        <w:rPr>
          <w:b/>
          <w:color w:val="000000" w:themeColor="text1"/>
          <w:sz w:val="28"/>
          <w:szCs w:val="28"/>
        </w:rPr>
      </w:pPr>
      <w:r w:rsidRPr="008D6376">
        <w:rPr>
          <w:b/>
          <w:color w:val="000000" w:themeColor="text1"/>
          <w:sz w:val="28"/>
          <w:szCs w:val="28"/>
        </w:rPr>
        <w:lastRenderedPageBreak/>
        <w:t>Abstract</w:t>
      </w:r>
    </w:p>
    <w:p w14:paraId="70EFC192" w14:textId="77777777" w:rsidR="00FB6BAC" w:rsidRDefault="00000000">
      <w:pPr>
        <w:rPr>
          <w:color w:val="000000" w:themeColor="text1"/>
        </w:rPr>
      </w:pPr>
      <w:r w:rsidRPr="008D6376">
        <w:rPr>
          <w:color w:val="000000" w:themeColor="text1"/>
        </w:rPr>
        <w:t>This report has highlighted the merger and acquisition of two countries including the US as well as China. Eventually, this study enlightened the main cultural and institutional differences between these two countries. Additionally, the social, political and economic aspects of IHRM practices also have been reflected. On the other hand, the role of IHRM in the application of merger and acquisition has been highlighted with special references from Chevron Corporation as well as China National Petroleum Corporation. Finally, it has reflected on the recommendations that can assist these organisations to adopt port-merger situations easily.</w:t>
      </w:r>
    </w:p>
    <w:p w14:paraId="2AAAC496" w14:textId="77777777" w:rsidR="00FB6BAC" w:rsidRDefault="00FB6BAC">
      <w:pPr>
        <w:rPr>
          <w:color w:val="000000" w:themeColor="text1"/>
        </w:rPr>
      </w:pPr>
      <w:r>
        <w:rPr>
          <w:color w:val="000000" w:themeColor="text1"/>
        </w:rPr>
        <w:br w:type="page"/>
      </w:r>
    </w:p>
    <w:sdt>
      <w:sdtPr>
        <w:rPr>
          <w:rFonts w:ascii="Times New Roman" w:eastAsia="Times New Roman" w:hAnsi="Times New Roman" w:cs="Times New Roman"/>
          <w:color w:val="auto"/>
          <w:sz w:val="24"/>
          <w:szCs w:val="24"/>
          <w:lang w:val="en-GB" w:eastAsia="en-IN"/>
        </w:rPr>
        <w:id w:val="455841561"/>
        <w:docPartObj>
          <w:docPartGallery w:val="Table of Contents"/>
          <w:docPartUnique/>
        </w:docPartObj>
      </w:sdtPr>
      <w:sdtEndPr>
        <w:rPr>
          <w:b/>
          <w:bCs/>
          <w:noProof/>
        </w:rPr>
      </w:sdtEndPr>
      <w:sdtContent>
        <w:p w14:paraId="74446B8E" w14:textId="6122C2BE" w:rsidR="00FB6BAC" w:rsidRDefault="00FB6BAC">
          <w:pPr>
            <w:pStyle w:val="TOCHeading"/>
          </w:pPr>
          <w:r>
            <w:t>Table of Contents</w:t>
          </w:r>
        </w:p>
        <w:p w14:paraId="1A93F64F" w14:textId="7C0E50C3" w:rsidR="00FB6BAC" w:rsidRDefault="00FB6BAC">
          <w:pPr>
            <w:pStyle w:val="TOC1"/>
            <w:tabs>
              <w:tab w:val="right" w:leader="dot" w:pos="9016"/>
            </w:tabs>
            <w:rPr>
              <w:noProof/>
            </w:rPr>
          </w:pPr>
          <w:r>
            <w:fldChar w:fldCharType="begin"/>
          </w:r>
          <w:r>
            <w:instrText xml:space="preserve"> TOC \o "1-3" \h \z \u </w:instrText>
          </w:r>
          <w:r>
            <w:fldChar w:fldCharType="separate"/>
          </w:r>
          <w:hyperlink w:anchor="_Toc129791749" w:history="1">
            <w:r w:rsidRPr="008E6F2C">
              <w:rPr>
                <w:rStyle w:val="Hyperlink"/>
                <w:noProof/>
              </w:rPr>
              <w:t>1. Introduction</w:t>
            </w:r>
            <w:r>
              <w:rPr>
                <w:noProof/>
                <w:webHidden/>
              </w:rPr>
              <w:tab/>
            </w:r>
            <w:r>
              <w:rPr>
                <w:noProof/>
                <w:webHidden/>
              </w:rPr>
              <w:fldChar w:fldCharType="begin"/>
            </w:r>
            <w:r>
              <w:rPr>
                <w:noProof/>
                <w:webHidden/>
              </w:rPr>
              <w:instrText xml:space="preserve"> PAGEREF _Toc129791749 \h </w:instrText>
            </w:r>
            <w:r>
              <w:rPr>
                <w:noProof/>
                <w:webHidden/>
              </w:rPr>
            </w:r>
            <w:r>
              <w:rPr>
                <w:noProof/>
                <w:webHidden/>
              </w:rPr>
              <w:fldChar w:fldCharType="separate"/>
            </w:r>
            <w:r w:rsidR="003C56D0">
              <w:rPr>
                <w:noProof/>
                <w:webHidden/>
              </w:rPr>
              <w:t>4</w:t>
            </w:r>
            <w:r>
              <w:rPr>
                <w:noProof/>
                <w:webHidden/>
              </w:rPr>
              <w:fldChar w:fldCharType="end"/>
            </w:r>
          </w:hyperlink>
        </w:p>
        <w:p w14:paraId="395CEEEB" w14:textId="00EFC4AA" w:rsidR="00FB6BAC" w:rsidRDefault="00000000">
          <w:pPr>
            <w:pStyle w:val="TOC1"/>
            <w:tabs>
              <w:tab w:val="right" w:leader="dot" w:pos="9016"/>
            </w:tabs>
            <w:rPr>
              <w:noProof/>
            </w:rPr>
          </w:pPr>
          <w:hyperlink w:anchor="_Toc129791750" w:history="1">
            <w:r w:rsidR="00FB6BAC" w:rsidRPr="008E6F2C">
              <w:rPr>
                <w:rStyle w:val="Hyperlink"/>
                <w:noProof/>
              </w:rPr>
              <w:t>2. Institutional and cultural analysis of the US and China</w:t>
            </w:r>
            <w:r w:rsidR="00FB6BAC">
              <w:rPr>
                <w:noProof/>
                <w:webHidden/>
              </w:rPr>
              <w:tab/>
            </w:r>
            <w:r w:rsidR="00FB6BAC">
              <w:rPr>
                <w:noProof/>
                <w:webHidden/>
              </w:rPr>
              <w:fldChar w:fldCharType="begin"/>
            </w:r>
            <w:r w:rsidR="00FB6BAC">
              <w:rPr>
                <w:noProof/>
                <w:webHidden/>
              </w:rPr>
              <w:instrText xml:space="preserve"> PAGEREF _Toc129791750 \h </w:instrText>
            </w:r>
            <w:r w:rsidR="00FB6BAC">
              <w:rPr>
                <w:noProof/>
                <w:webHidden/>
              </w:rPr>
            </w:r>
            <w:r w:rsidR="00FB6BAC">
              <w:rPr>
                <w:noProof/>
                <w:webHidden/>
              </w:rPr>
              <w:fldChar w:fldCharType="separate"/>
            </w:r>
            <w:r w:rsidR="003C56D0">
              <w:rPr>
                <w:noProof/>
                <w:webHidden/>
              </w:rPr>
              <w:t>4</w:t>
            </w:r>
            <w:r w:rsidR="00FB6BAC">
              <w:rPr>
                <w:noProof/>
                <w:webHidden/>
              </w:rPr>
              <w:fldChar w:fldCharType="end"/>
            </w:r>
          </w:hyperlink>
        </w:p>
        <w:p w14:paraId="3D468C61" w14:textId="51A602C5" w:rsidR="00FB6BAC" w:rsidRDefault="00000000">
          <w:pPr>
            <w:pStyle w:val="TOC2"/>
            <w:tabs>
              <w:tab w:val="right" w:leader="dot" w:pos="9016"/>
            </w:tabs>
            <w:rPr>
              <w:noProof/>
            </w:rPr>
          </w:pPr>
          <w:hyperlink w:anchor="_Toc129791751" w:history="1">
            <w:r w:rsidR="00FB6BAC" w:rsidRPr="008E6F2C">
              <w:rPr>
                <w:rStyle w:val="Hyperlink"/>
                <w:noProof/>
              </w:rPr>
              <w:t>2.1 Definition of culture and its impacts on organisational behaviour</w:t>
            </w:r>
            <w:r w:rsidR="00FB6BAC">
              <w:rPr>
                <w:noProof/>
                <w:webHidden/>
              </w:rPr>
              <w:tab/>
            </w:r>
            <w:r w:rsidR="00FB6BAC">
              <w:rPr>
                <w:noProof/>
                <w:webHidden/>
              </w:rPr>
              <w:fldChar w:fldCharType="begin"/>
            </w:r>
            <w:r w:rsidR="00FB6BAC">
              <w:rPr>
                <w:noProof/>
                <w:webHidden/>
              </w:rPr>
              <w:instrText xml:space="preserve"> PAGEREF _Toc129791751 \h </w:instrText>
            </w:r>
            <w:r w:rsidR="00FB6BAC">
              <w:rPr>
                <w:noProof/>
                <w:webHidden/>
              </w:rPr>
            </w:r>
            <w:r w:rsidR="00FB6BAC">
              <w:rPr>
                <w:noProof/>
                <w:webHidden/>
              </w:rPr>
              <w:fldChar w:fldCharType="separate"/>
            </w:r>
            <w:r w:rsidR="003C56D0">
              <w:rPr>
                <w:noProof/>
                <w:webHidden/>
              </w:rPr>
              <w:t>4</w:t>
            </w:r>
            <w:r w:rsidR="00FB6BAC">
              <w:rPr>
                <w:noProof/>
                <w:webHidden/>
              </w:rPr>
              <w:fldChar w:fldCharType="end"/>
            </w:r>
          </w:hyperlink>
        </w:p>
        <w:p w14:paraId="56844B5D" w14:textId="2C171B00" w:rsidR="00FB6BAC" w:rsidRDefault="00000000">
          <w:pPr>
            <w:pStyle w:val="TOC2"/>
            <w:tabs>
              <w:tab w:val="right" w:leader="dot" w:pos="9016"/>
            </w:tabs>
            <w:rPr>
              <w:noProof/>
            </w:rPr>
          </w:pPr>
          <w:hyperlink w:anchor="_Toc129791752" w:history="1">
            <w:r w:rsidR="00FB6BAC" w:rsidRPr="008E6F2C">
              <w:rPr>
                <w:rStyle w:val="Hyperlink"/>
                <w:noProof/>
              </w:rPr>
              <w:t>2.2 Institutional Analysis</w:t>
            </w:r>
            <w:r w:rsidR="00FB6BAC">
              <w:rPr>
                <w:noProof/>
                <w:webHidden/>
              </w:rPr>
              <w:tab/>
            </w:r>
            <w:r w:rsidR="00FB6BAC">
              <w:rPr>
                <w:noProof/>
                <w:webHidden/>
              </w:rPr>
              <w:fldChar w:fldCharType="begin"/>
            </w:r>
            <w:r w:rsidR="00FB6BAC">
              <w:rPr>
                <w:noProof/>
                <w:webHidden/>
              </w:rPr>
              <w:instrText xml:space="preserve"> PAGEREF _Toc129791752 \h </w:instrText>
            </w:r>
            <w:r w:rsidR="00FB6BAC">
              <w:rPr>
                <w:noProof/>
                <w:webHidden/>
              </w:rPr>
            </w:r>
            <w:r w:rsidR="00FB6BAC">
              <w:rPr>
                <w:noProof/>
                <w:webHidden/>
              </w:rPr>
              <w:fldChar w:fldCharType="separate"/>
            </w:r>
            <w:r w:rsidR="003C56D0">
              <w:rPr>
                <w:noProof/>
                <w:webHidden/>
              </w:rPr>
              <w:t>6</w:t>
            </w:r>
            <w:r w:rsidR="00FB6BAC">
              <w:rPr>
                <w:noProof/>
                <w:webHidden/>
              </w:rPr>
              <w:fldChar w:fldCharType="end"/>
            </w:r>
          </w:hyperlink>
        </w:p>
        <w:p w14:paraId="2C4C1EBB" w14:textId="6364FAEE" w:rsidR="00FB6BAC" w:rsidRDefault="00000000">
          <w:pPr>
            <w:pStyle w:val="TOC1"/>
            <w:tabs>
              <w:tab w:val="right" w:leader="dot" w:pos="9016"/>
            </w:tabs>
            <w:rPr>
              <w:noProof/>
            </w:rPr>
          </w:pPr>
          <w:hyperlink w:anchor="_Toc129791753" w:history="1">
            <w:r w:rsidR="00FB6BAC" w:rsidRPr="008E6F2C">
              <w:rPr>
                <w:rStyle w:val="Hyperlink"/>
                <w:noProof/>
              </w:rPr>
              <w:t>3. M&amp;A rationale and integration strategy</w:t>
            </w:r>
            <w:r w:rsidR="00FB6BAC">
              <w:rPr>
                <w:noProof/>
                <w:webHidden/>
              </w:rPr>
              <w:tab/>
            </w:r>
            <w:r w:rsidR="00FB6BAC">
              <w:rPr>
                <w:noProof/>
                <w:webHidden/>
              </w:rPr>
              <w:fldChar w:fldCharType="begin"/>
            </w:r>
            <w:r w:rsidR="00FB6BAC">
              <w:rPr>
                <w:noProof/>
                <w:webHidden/>
              </w:rPr>
              <w:instrText xml:space="preserve"> PAGEREF _Toc129791753 \h </w:instrText>
            </w:r>
            <w:r w:rsidR="00FB6BAC">
              <w:rPr>
                <w:noProof/>
                <w:webHidden/>
              </w:rPr>
            </w:r>
            <w:r w:rsidR="00FB6BAC">
              <w:rPr>
                <w:noProof/>
                <w:webHidden/>
              </w:rPr>
              <w:fldChar w:fldCharType="separate"/>
            </w:r>
            <w:r w:rsidR="003C56D0">
              <w:rPr>
                <w:noProof/>
                <w:webHidden/>
              </w:rPr>
              <w:t>9</w:t>
            </w:r>
            <w:r w:rsidR="00FB6BAC">
              <w:rPr>
                <w:noProof/>
                <w:webHidden/>
              </w:rPr>
              <w:fldChar w:fldCharType="end"/>
            </w:r>
          </w:hyperlink>
        </w:p>
        <w:p w14:paraId="7F43ADA4" w14:textId="768F29E3" w:rsidR="00FB6BAC" w:rsidRDefault="00000000">
          <w:pPr>
            <w:pStyle w:val="TOC1"/>
            <w:tabs>
              <w:tab w:val="right" w:leader="dot" w:pos="9016"/>
            </w:tabs>
            <w:rPr>
              <w:noProof/>
            </w:rPr>
          </w:pPr>
          <w:hyperlink w:anchor="_Toc129791754" w:history="1">
            <w:r w:rsidR="00FB6BAC" w:rsidRPr="008E6F2C">
              <w:rPr>
                <w:rStyle w:val="Hyperlink"/>
                <w:noProof/>
              </w:rPr>
              <w:t>4.Roles of IHRM in implementation of effective M&amp;A</w:t>
            </w:r>
            <w:r w:rsidR="00FB6BAC">
              <w:rPr>
                <w:noProof/>
                <w:webHidden/>
              </w:rPr>
              <w:tab/>
            </w:r>
            <w:r w:rsidR="00FB6BAC">
              <w:rPr>
                <w:noProof/>
                <w:webHidden/>
              </w:rPr>
              <w:fldChar w:fldCharType="begin"/>
            </w:r>
            <w:r w:rsidR="00FB6BAC">
              <w:rPr>
                <w:noProof/>
                <w:webHidden/>
              </w:rPr>
              <w:instrText xml:space="preserve"> PAGEREF _Toc129791754 \h </w:instrText>
            </w:r>
            <w:r w:rsidR="00FB6BAC">
              <w:rPr>
                <w:noProof/>
                <w:webHidden/>
              </w:rPr>
            </w:r>
            <w:r w:rsidR="00FB6BAC">
              <w:rPr>
                <w:noProof/>
                <w:webHidden/>
              </w:rPr>
              <w:fldChar w:fldCharType="separate"/>
            </w:r>
            <w:r w:rsidR="003C56D0">
              <w:rPr>
                <w:noProof/>
                <w:webHidden/>
              </w:rPr>
              <w:t>10</w:t>
            </w:r>
            <w:r w:rsidR="00FB6BAC">
              <w:rPr>
                <w:noProof/>
                <w:webHidden/>
              </w:rPr>
              <w:fldChar w:fldCharType="end"/>
            </w:r>
          </w:hyperlink>
        </w:p>
        <w:p w14:paraId="6269783E" w14:textId="152E6993" w:rsidR="00FB6BAC" w:rsidRDefault="00000000">
          <w:pPr>
            <w:pStyle w:val="TOC1"/>
            <w:tabs>
              <w:tab w:val="right" w:leader="dot" w:pos="9016"/>
            </w:tabs>
            <w:rPr>
              <w:noProof/>
            </w:rPr>
          </w:pPr>
          <w:hyperlink w:anchor="_Toc129791755" w:history="1">
            <w:r w:rsidR="00FB6BAC" w:rsidRPr="008E6F2C">
              <w:rPr>
                <w:rStyle w:val="Hyperlink"/>
                <w:noProof/>
              </w:rPr>
              <w:t>5.Conclusion</w:t>
            </w:r>
            <w:r w:rsidR="00FB6BAC">
              <w:rPr>
                <w:noProof/>
                <w:webHidden/>
              </w:rPr>
              <w:tab/>
            </w:r>
            <w:r w:rsidR="00FB6BAC">
              <w:rPr>
                <w:noProof/>
                <w:webHidden/>
              </w:rPr>
              <w:fldChar w:fldCharType="begin"/>
            </w:r>
            <w:r w:rsidR="00FB6BAC">
              <w:rPr>
                <w:noProof/>
                <w:webHidden/>
              </w:rPr>
              <w:instrText xml:space="preserve"> PAGEREF _Toc129791755 \h </w:instrText>
            </w:r>
            <w:r w:rsidR="00FB6BAC">
              <w:rPr>
                <w:noProof/>
                <w:webHidden/>
              </w:rPr>
            </w:r>
            <w:r w:rsidR="00FB6BAC">
              <w:rPr>
                <w:noProof/>
                <w:webHidden/>
              </w:rPr>
              <w:fldChar w:fldCharType="separate"/>
            </w:r>
            <w:r w:rsidR="003C56D0">
              <w:rPr>
                <w:noProof/>
                <w:webHidden/>
              </w:rPr>
              <w:t>11</w:t>
            </w:r>
            <w:r w:rsidR="00FB6BAC">
              <w:rPr>
                <w:noProof/>
                <w:webHidden/>
              </w:rPr>
              <w:fldChar w:fldCharType="end"/>
            </w:r>
          </w:hyperlink>
        </w:p>
        <w:p w14:paraId="0336D28C" w14:textId="30DDCABD" w:rsidR="00FB6BAC" w:rsidRDefault="00000000">
          <w:pPr>
            <w:pStyle w:val="TOC1"/>
            <w:tabs>
              <w:tab w:val="right" w:leader="dot" w:pos="9016"/>
            </w:tabs>
            <w:rPr>
              <w:noProof/>
            </w:rPr>
          </w:pPr>
          <w:hyperlink w:anchor="_Toc129791756" w:history="1">
            <w:r w:rsidR="00FB6BAC" w:rsidRPr="008E6F2C">
              <w:rPr>
                <w:rStyle w:val="Hyperlink"/>
                <w:noProof/>
              </w:rPr>
              <w:t>References</w:t>
            </w:r>
            <w:r w:rsidR="00FB6BAC">
              <w:rPr>
                <w:noProof/>
                <w:webHidden/>
              </w:rPr>
              <w:tab/>
            </w:r>
            <w:r w:rsidR="00FB6BAC">
              <w:rPr>
                <w:noProof/>
                <w:webHidden/>
              </w:rPr>
              <w:fldChar w:fldCharType="begin"/>
            </w:r>
            <w:r w:rsidR="00FB6BAC">
              <w:rPr>
                <w:noProof/>
                <w:webHidden/>
              </w:rPr>
              <w:instrText xml:space="preserve"> PAGEREF _Toc129791756 \h </w:instrText>
            </w:r>
            <w:r w:rsidR="00FB6BAC">
              <w:rPr>
                <w:noProof/>
                <w:webHidden/>
              </w:rPr>
            </w:r>
            <w:r w:rsidR="00FB6BAC">
              <w:rPr>
                <w:noProof/>
                <w:webHidden/>
              </w:rPr>
              <w:fldChar w:fldCharType="separate"/>
            </w:r>
            <w:r w:rsidR="003C56D0">
              <w:rPr>
                <w:noProof/>
                <w:webHidden/>
              </w:rPr>
              <w:t>13</w:t>
            </w:r>
            <w:r w:rsidR="00FB6BAC">
              <w:rPr>
                <w:noProof/>
                <w:webHidden/>
              </w:rPr>
              <w:fldChar w:fldCharType="end"/>
            </w:r>
          </w:hyperlink>
        </w:p>
        <w:p w14:paraId="7FDF2835" w14:textId="32116A2B" w:rsidR="00FB6BAC" w:rsidRDefault="00FB6BAC">
          <w:r>
            <w:rPr>
              <w:b/>
              <w:bCs/>
              <w:noProof/>
            </w:rPr>
            <w:fldChar w:fldCharType="end"/>
          </w:r>
        </w:p>
      </w:sdtContent>
    </w:sdt>
    <w:p w14:paraId="4FEF1B93" w14:textId="3E99BB14" w:rsidR="00FB6BAC" w:rsidRDefault="00FB6BAC">
      <w:pPr>
        <w:rPr>
          <w:color w:val="000000" w:themeColor="text1"/>
        </w:rPr>
      </w:pPr>
    </w:p>
    <w:p w14:paraId="47790B7D" w14:textId="38E1F7E0" w:rsidR="00670EC8" w:rsidRPr="008D6376" w:rsidRDefault="00000000">
      <w:pPr>
        <w:rPr>
          <w:color w:val="000000" w:themeColor="text1"/>
        </w:rPr>
      </w:pPr>
      <w:r w:rsidRPr="008D6376">
        <w:rPr>
          <w:color w:val="000000" w:themeColor="text1"/>
        </w:rPr>
        <w:br w:type="page"/>
      </w:r>
    </w:p>
    <w:p w14:paraId="09BA9274" w14:textId="77777777" w:rsidR="00670EC8" w:rsidRPr="008D6376" w:rsidRDefault="00000000">
      <w:pPr>
        <w:pStyle w:val="Heading1"/>
        <w:rPr>
          <w:color w:val="000000" w:themeColor="text1"/>
        </w:rPr>
      </w:pPr>
      <w:bookmarkStart w:id="0" w:name="_oymcseir963j" w:colFirst="0" w:colLast="0"/>
      <w:bookmarkStart w:id="1" w:name="_Toc129791749"/>
      <w:bookmarkEnd w:id="0"/>
      <w:r w:rsidRPr="008D6376">
        <w:rPr>
          <w:color w:val="000000" w:themeColor="text1"/>
        </w:rPr>
        <w:lastRenderedPageBreak/>
        <w:t>1. Introduction</w:t>
      </w:r>
      <w:bookmarkEnd w:id="1"/>
    </w:p>
    <w:p w14:paraId="55913006" w14:textId="77777777" w:rsidR="00670EC8" w:rsidRPr="008D6376" w:rsidRDefault="00000000">
      <w:pPr>
        <w:rPr>
          <w:color w:val="000000" w:themeColor="text1"/>
        </w:rPr>
      </w:pPr>
      <w:r w:rsidRPr="008D6376">
        <w:rPr>
          <w:color w:val="000000" w:themeColor="text1"/>
        </w:rPr>
        <w:t xml:space="preserve">This report will discuss cross-border acquisition and merger activities between the US as well as China with the special references from energy companies. According to GMI (2022), the global oil and gas industry captured about £521.26 billion in 2021. Chevron Corporation and China National Petroleum Corporation (CNPC) will be taken as the topic of this discussion based on component 1. Chevron Corporation is a US-based high-quality refined products </w:t>
      </w:r>
      <w:proofErr w:type="gramStart"/>
      <w:r w:rsidRPr="008D6376">
        <w:rPr>
          <w:color w:val="000000" w:themeColor="text1"/>
        </w:rPr>
        <w:t>manufacturer</w:t>
      </w:r>
      <w:proofErr w:type="gramEnd"/>
      <w:r w:rsidRPr="008D6376">
        <w:rPr>
          <w:color w:val="000000" w:themeColor="text1"/>
        </w:rPr>
        <w:t xml:space="preserve"> and it produces finished lubricants, premium base oil, diesel, gasoline, aviation fuels, marine fuels as well as fuel oil additives (Chevron, 2023). This organisation was serving over 180 countries with 43,846 employees in 2022 (Macrotrends, 2033). It can be found that Chevron Corporation has generated operating revenue of about £193.91 in 2022 (</w:t>
      </w:r>
      <w:proofErr w:type="spellStart"/>
      <w:r w:rsidRPr="008D6376">
        <w:rPr>
          <w:color w:val="000000" w:themeColor="text1"/>
        </w:rPr>
        <w:t>Aizarani</w:t>
      </w:r>
      <w:proofErr w:type="spellEnd"/>
      <w:r w:rsidRPr="008D6376">
        <w:rPr>
          <w:color w:val="000000" w:themeColor="text1"/>
        </w:rPr>
        <w:t>, 2023). It is one of the growing energy companies in the US and the revenue of this organisation is growing by 17.34% in recent years (CSI Market, 2023). On the other hand, CNPC is one of the largest integrated energy companies in the world and it is also one of the Fitch-rated largest oil companies in contemporary times (CNPC, 2021). According to World Benchmarking Alliance (2023), about 1,344,410 people were employed in CNPC during the year 2020. The cumulative work of chairman Zhang Jianhua, other executives and general employees has generated about £358.01 billion in 2021 (</w:t>
      </w:r>
      <w:proofErr w:type="spellStart"/>
      <w:r w:rsidRPr="008D6376">
        <w:rPr>
          <w:color w:val="000000" w:themeColor="text1"/>
        </w:rPr>
        <w:t>GlobalData</w:t>
      </w:r>
      <w:proofErr w:type="spellEnd"/>
      <w:r w:rsidRPr="008D6376">
        <w:rPr>
          <w:color w:val="000000" w:themeColor="text1"/>
        </w:rPr>
        <w:t xml:space="preserve"> Plc, 2023). It will also use multiple theories to explain all the aspects of this report in a proper manner.</w:t>
      </w:r>
    </w:p>
    <w:p w14:paraId="3DEC45C0" w14:textId="77777777" w:rsidR="00670EC8" w:rsidRPr="008D6376" w:rsidRDefault="00670EC8">
      <w:pPr>
        <w:jc w:val="center"/>
        <w:rPr>
          <w:color w:val="000000" w:themeColor="text1"/>
        </w:rPr>
      </w:pPr>
    </w:p>
    <w:p w14:paraId="2C3C9BFC" w14:textId="77777777" w:rsidR="00670EC8" w:rsidRPr="008D6376" w:rsidRDefault="00000000">
      <w:pPr>
        <w:pStyle w:val="Heading1"/>
        <w:rPr>
          <w:color w:val="000000" w:themeColor="text1"/>
        </w:rPr>
      </w:pPr>
      <w:bookmarkStart w:id="2" w:name="_bpdye0euqzkg" w:colFirst="0" w:colLast="0"/>
      <w:bookmarkStart w:id="3" w:name="_Toc129791750"/>
      <w:bookmarkEnd w:id="2"/>
      <w:r w:rsidRPr="008D6376">
        <w:rPr>
          <w:color w:val="000000" w:themeColor="text1"/>
        </w:rPr>
        <w:t>2. Institutional and cultural analysis of the US and China</w:t>
      </w:r>
      <w:bookmarkEnd w:id="3"/>
    </w:p>
    <w:p w14:paraId="2C38E618" w14:textId="77777777" w:rsidR="00670EC8" w:rsidRPr="008D6376" w:rsidRDefault="00000000">
      <w:pPr>
        <w:pStyle w:val="Heading2"/>
        <w:rPr>
          <w:color w:val="000000" w:themeColor="text1"/>
        </w:rPr>
      </w:pPr>
      <w:bookmarkStart w:id="4" w:name="_wgpco5j8cp5l" w:colFirst="0" w:colLast="0"/>
      <w:bookmarkStart w:id="5" w:name="_Toc129791751"/>
      <w:bookmarkEnd w:id="4"/>
      <w:r w:rsidRPr="008D6376">
        <w:rPr>
          <w:color w:val="000000" w:themeColor="text1"/>
        </w:rPr>
        <w:t>2.1 Definition of culture and its impacts on organisational behaviour</w:t>
      </w:r>
      <w:bookmarkEnd w:id="5"/>
    </w:p>
    <w:p w14:paraId="1DDFEE81" w14:textId="77777777" w:rsidR="00670EC8" w:rsidRPr="008D6376" w:rsidRDefault="00000000">
      <w:pPr>
        <w:rPr>
          <w:color w:val="000000" w:themeColor="text1"/>
        </w:rPr>
      </w:pPr>
      <w:r w:rsidRPr="008D6376">
        <w:rPr>
          <w:color w:val="000000" w:themeColor="text1"/>
        </w:rPr>
        <w:t xml:space="preserve">Culture of the combination of knowledge and characteristics of a specific community or group of people. Religion, language, values, behaviour, behaviour, cuisine and social habits are the </w:t>
      </w:r>
      <w:r w:rsidRPr="008D6376">
        <w:rPr>
          <w:color w:val="000000" w:themeColor="text1"/>
        </w:rPr>
        <w:lastRenderedPageBreak/>
        <w:t xml:space="preserve">main components of culture. It can be found that the culture of China and the US is quite different as they have their own styles of life (Pappas and </w:t>
      </w:r>
      <w:proofErr w:type="spellStart"/>
      <w:r w:rsidRPr="008D6376">
        <w:rPr>
          <w:color w:val="000000" w:themeColor="text1"/>
        </w:rPr>
        <w:t>McKelvie</w:t>
      </w:r>
      <w:proofErr w:type="spellEnd"/>
      <w:r w:rsidRPr="008D6376">
        <w:rPr>
          <w:color w:val="000000" w:themeColor="text1"/>
        </w:rPr>
        <w:t>, 2022).</w:t>
      </w:r>
    </w:p>
    <w:p w14:paraId="32CD7ECA" w14:textId="77777777" w:rsidR="00670EC8" w:rsidRPr="008D6376" w:rsidRDefault="00000000">
      <w:pPr>
        <w:rPr>
          <w:b/>
          <w:color w:val="000000" w:themeColor="text1"/>
        </w:rPr>
      </w:pPr>
      <w:r w:rsidRPr="008D6376">
        <w:rPr>
          <w:b/>
          <w:color w:val="000000" w:themeColor="text1"/>
        </w:rPr>
        <w:t>Impacts of culture organisational behaviour</w:t>
      </w:r>
    </w:p>
    <w:p w14:paraId="1085E081" w14:textId="77777777" w:rsidR="00670EC8" w:rsidRPr="008D6376" w:rsidRDefault="00000000">
      <w:pPr>
        <w:rPr>
          <w:color w:val="000000" w:themeColor="text1"/>
        </w:rPr>
      </w:pPr>
      <w:r w:rsidRPr="008D6376">
        <w:rPr>
          <w:b/>
          <w:i/>
          <w:color w:val="000000" w:themeColor="text1"/>
        </w:rPr>
        <w:t>Enhancement in productivity:</w:t>
      </w:r>
      <w:r w:rsidRPr="008D6376">
        <w:rPr>
          <w:color w:val="000000" w:themeColor="text1"/>
        </w:rPr>
        <w:t xml:space="preserve"> A good work environment is driven by a good </w:t>
      </w:r>
      <w:proofErr w:type="gramStart"/>
      <w:r w:rsidRPr="008D6376">
        <w:rPr>
          <w:color w:val="000000" w:themeColor="text1"/>
        </w:rPr>
        <w:t>culture</w:t>
      </w:r>
      <w:proofErr w:type="gramEnd"/>
      <w:r w:rsidRPr="008D6376">
        <w:rPr>
          <w:color w:val="000000" w:themeColor="text1"/>
        </w:rPr>
        <w:t xml:space="preserve"> and it can create encouragement among employees. It can be found that employees feel more engaged to work within an inclusive organisational culture. Due to this reason, they can provide more involvement in their respective work and improve the productivity of organisations (</w:t>
      </w:r>
      <w:proofErr w:type="spellStart"/>
      <w:r w:rsidRPr="008D6376">
        <w:rPr>
          <w:color w:val="000000" w:themeColor="text1"/>
        </w:rPr>
        <w:t>Alfra</w:t>
      </w:r>
      <w:proofErr w:type="spellEnd"/>
      <w:r w:rsidRPr="008D6376">
        <w:rPr>
          <w:color w:val="000000" w:themeColor="text1"/>
        </w:rPr>
        <w:t xml:space="preserve"> Consulting, 2022).</w:t>
      </w:r>
    </w:p>
    <w:p w14:paraId="7B027586" w14:textId="7277A27F" w:rsidR="00670EC8" w:rsidRPr="008D6376" w:rsidRDefault="00000000">
      <w:pPr>
        <w:rPr>
          <w:color w:val="000000" w:themeColor="text1"/>
        </w:rPr>
      </w:pPr>
      <w:r w:rsidRPr="008D6376">
        <w:rPr>
          <w:b/>
          <w:i/>
          <w:color w:val="000000" w:themeColor="text1"/>
        </w:rPr>
        <w:t>Decrease turnover:</w:t>
      </w:r>
      <w:r w:rsidRPr="008D6376">
        <w:rPr>
          <w:color w:val="000000" w:themeColor="text1"/>
        </w:rPr>
        <w:t xml:space="preserve"> </w:t>
      </w:r>
      <w:r w:rsidR="001902C5" w:rsidRPr="008D6376">
        <w:rPr>
          <w:color w:val="000000" w:themeColor="text1"/>
        </w:rPr>
        <w:t>The good</w:t>
      </w:r>
      <w:r w:rsidRPr="008D6376">
        <w:rPr>
          <w:color w:val="000000" w:themeColor="text1"/>
        </w:rPr>
        <w:t xml:space="preserve"> culture allows all the people within any company to show respect and give value to their colleagues. A positive culture within an organisation can support the development of employees and enhance employee satisfaction in a proper manner. Due to this reason, the employee turnover rate decreases within companies in an adequate manner (</w:t>
      </w:r>
      <w:proofErr w:type="spellStart"/>
      <w:r w:rsidRPr="008D6376">
        <w:rPr>
          <w:color w:val="000000" w:themeColor="text1"/>
        </w:rPr>
        <w:t>Alfra</w:t>
      </w:r>
      <w:proofErr w:type="spellEnd"/>
      <w:r w:rsidRPr="008D6376">
        <w:rPr>
          <w:color w:val="000000" w:themeColor="text1"/>
        </w:rPr>
        <w:t xml:space="preserve"> Consulting, 2022).</w:t>
      </w:r>
    </w:p>
    <w:p w14:paraId="28638C85" w14:textId="77777777" w:rsidR="00670EC8" w:rsidRPr="008D6376" w:rsidRDefault="00000000">
      <w:pPr>
        <w:rPr>
          <w:b/>
          <w:color w:val="000000" w:themeColor="text1"/>
        </w:rPr>
      </w:pPr>
      <w:r w:rsidRPr="008D6376">
        <w:rPr>
          <w:b/>
          <w:color w:val="000000" w:themeColor="text1"/>
        </w:rPr>
        <w:t>Evaluation of the cultural differences between the US and China</w:t>
      </w:r>
    </w:p>
    <w:p w14:paraId="0E128118" w14:textId="77777777" w:rsidR="00670EC8" w:rsidRPr="008D6376" w:rsidRDefault="00000000">
      <w:pPr>
        <w:rPr>
          <w:color w:val="000000" w:themeColor="text1"/>
        </w:rPr>
      </w:pPr>
      <w:r w:rsidRPr="008D6376">
        <w:rPr>
          <w:color w:val="000000" w:themeColor="text1"/>
        </w:rPr>
        <w:t xml:space="preserve">Geert Hofstede developed Hofstede’s Cultural Dimensions Theory in 1980 to highlight the cultural differences between two countries. It evaluates differences between countries based on 6 components including power distance, individualism, masculinity, uncertainty avoidance, indulgence and long-term orientation. </w:t>
      </w:r>
    </w:p>
    <w:p w14:paraId="76EF20B9" w14:textId="77777777" w:rsidR="00670EC8" w:rsidRPr="008D6376" w:rsidRDefault="00000000">
      <w:pPr>
        <w:jc w:val="center"/>
        <w:rPr>
          <w:color w:val="000000" w:themeColor="text1"/>
        </w:rPr>
      </w:pPr>
      <w:r w:rsidRPr="008D6376">
        <w:rPr>
          <w:noProof/>
          <w:color w:val="000000" w:themeColor="text1"/>
        </w:rPr>
        <w:drawing>
          <wp:inline distT="114300" distB="114300" distL="114300" distR="114300" wp14:anchorId="644A69C2" wp14:editId="15C82327">
            <wp:extent cx="3966633" cy="1932462"/>
            <wp:effectExtent l="12700" t="12700" r="12700" b="1270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3966633" cy="1932462"/>
                    </a:xfrm>
                    <a:prstGeom prst="rect">
                      <a:avLst/>
                    </a:prstGeom>
                    <a:ln w="12700">
                      <a:solidFill>
                        <a:srgbClr val="000000"/>
                      </a:solidFill>
                      <a:prstDash val="solid"/>
                    </a:ln>
                  </pic:spPr>
                </pic:pic>
              </a:graphicData>
            </a:graphic>
          </wp:inline>
        </w:drawing>
      </w:r>
    </w:p>
    <w:p w14:paraId="4EC76373" w14:textId="77777777" w:rsidR="00670EC8" w:rsidRPr="008D6376" w:rsidRDefault="00000000">
      <w:pPr>
        <w:jc w:val="center"/>
        <w:rPr>
          <w:b/>
          <w:color w:val="000000" w:themeColor="text1"/>
        </w:rPr>
      </w:pPr>
      <w:r w:rsidRPr="008D6376">
        <w:rPr>
          <w:b/>
          <w:color w:val="000000" w:themeColor="text1"/>
        </w:rPr>
        <w:t>Figure 1: Cultural Differences between China and the US</w:t>
      </w:r>
    </w:p>
    <w:p w14:paraId="523F1190" w14:textId="77777777" w:rsidR="00670EC8" w:rsidRPr="008D6376" w:rsidRDefault="00000000">
      <w:pPr>
        <w:jc w:val="center"/>
        <w:rPr>
          <w:color w:val="000000" w:themeColor="text1"/>
        </w:rPr>
      </w:pPr>
      <w:r w:rsidRPr="008D6376">
        <w:rPr>
          <w:color w:val="000000" w:themeColor="text1"/>
        </w:rPr>
        <w:lastRenderedPageBreak/>
        <w:t>(Source: Hofstede Insights, 2023)</w:t>
      </w:r>
    </w:p>
    <w:p w14:paraId="58919289" w14:textId="77777777" w:rsidR="00670EC8" w:rsidRPr="008D6376" w:rsidRDefault="00000000">
      <w:pPr>
        <w:rPr>
          <w:color w:val="000000" w:themeColor="text1"/>
        </w:rPr>
      </w:pPr>
      <w:r w:rsidRPr="008D6376">
        <w:rPr>
          <w:color w:val="000000" w:themeColor="text1"/>
        </w:rPr>
        <w:t>According to figure 1, the power distance between China and the US is 80 as well as 40 respectively (CFI, 2023). Due to this reason, all the decision-making and controlling power in China remain in the hands of the Chinese government. On the other hand, businesses and people can make decisions on their own in the US. On the other hand, rates of individualism in the US and China are about 91 as well as 20. A huge difference can be identified here as China does not entertain people for achieving their personal goals (Hofstede Insights, 2023). On the contrary, businesses and people can easily set and achieve their goals in the US. Due to this reason, businesses may face challenges in setting and achieving their own objectives in China. Additionally, points on masculinity in the US and China are 66 as well as 62. It can be stated that the contribution of females is wealth-building, material achievement and jobs are near to equal in these two nations. According to figure 1, China achieved 30 and the US scored 46 on the uncertainty avoidance index (Hofstede Insights, 2023). This refers to China being less tolerant in taking risks, ambiguity and uncertainty compared to the US. Further, it can be found that the long-term orientation rate is quite higher in China than in the US. According to Figure 1, China scored 87 and the US generated numbers about 26. It can be stated from the above analysis that businesses will get more success and growth in China compared to the US in the long term. Further, indulgence rates in China and the US are about 24 as well as 68 in recent times. Higher rates in this section allows people to enjoy freedom and get fun freely. The lower rate in China shows that people and business organisations do not have sufficient freedom as all activities are controlled by the Chinese government (CFI, 2023).</w:t>
      </w:r>
    </w:p>
    <w:p w14:paraId="63AF67B6" w14:textId="77777777" w:rsidR="00670EC8" w:rsidRPr="008D6376" w:rsidRDefault="00000000">
      <w:pPr>
        <w:pStyle w:val="Heading2"/>
        <w:rPr>
          <w:color w:val="000000" w:themeColor="text1"/>
        </w:rPr>
      </w:pPr>
      <w:bookmarkStart w:id="6" w:name="_wgb9kdx2i635" w:colFirst="0" w:colLast="0"/>
      <w:bookmarkStart w:id="7" w:name="_Toc129791752"/>
      <w:bookmarkEnd w:id="6"/>
      <w:r w:rsidRPr="008D6376">
        <w:rPr>
          <w:color w:val="000000" w:themeColor="text1"/>
        </w:rPr>
        <w:t>2.2 Institutional Analysis</w:t>
      </w:r>
      <w:bookmarkEnd w:id="7"/>
    </w:p>
    <w:p w14:paraId="5B2A9811" w14:textId="77777777" w:rsidR="00670EC8" w:rsidRPr="008D6376" w:rsidRDefault="00000000">
      <w:pPr>
        <w:rPr>
          <w:b/>
          <w:color w:val="000000" w:themeColor="text1"/>
        </w:rPr>
      </w:pPr>
      <w:r w:rsidRPr="008D6376">
        <w:rPr>
          <w:b/>
          <w:color w:val="000000" w:themeColor="text1"/>
        </w:rPr>
        <w:t>Definition of IHRM</w:t>
      </w:r>
    </w:p>
    <w:p w14:paraId="0C18B40C" w14:textId="77777777" w:rsidR="00670EC8" w:rsidRPr="008D6376" w:rsidRDefault="00000000">
      <w:pPr>
        <w:rPr>
          <w:color w:val="000000" w:themeColor="text1"/>
        </w:rPr>
      </w:pPr>
      <w:r w:rsidRPr="008D6376">
        <w:rPr>
          <w:color w:val="000000" w:themeColor="text1"/>
        </w:rPr>
        <w:lastRenderedPageBreak/>
        <w:t>International Human Resource Management (IHRM) is the execution of multiple human resource activities in international contexts. This department of organisations executes all the HR activities including hiring, staffing, payrolling and rewarding in the international branches of any specific company (PDF Education, 2021).</w:t>
      </w:r>
    </w:p>
    <w:p w14:paraId="2ABFEB1B" w14:textId="77777777" w:rsidR="00670EC8" w:rsidRPr="008D6376" w:rsidRDefault="00000000">
      <w:pPr>
        <w:rPr>
          <w:b/>
          <w:color w:val="000000" w:themeColor="text1"/>
        </w:rPr>
      </w:pPr>
      <w:r w:rsidRPr="008D6376">
        <w:rPr>
          <w:b/>
          <w:color w:val="000000" w:themeColor="text1"/>
        </w:rPr>
        <w:t>Impacts of political, social and economic institutions on IHRM practices</w:t>
      </w:r>
    </w:p>
    <w:p w14:paraId="1FAB2DDF" w14:textId="77777777" w:rsidR="00670EC8" w:rsidRPr="008D6376" w:rsidRDefault="00000000">
      <w:pPr>
        <w:rPr>
          <w:b/>
          <w:color w:val="000000" w:themeColor="text1"/>
        </w:rPr>
      </w:pPr>
      <w:r w:rsidRPr="008D6376">
        <w:rPr>
          <w:b/>
          <w:color w:val="000000" w:themeColor="text1"/>
        </w:rPr>
        <w:t>Political</w:t>
      </w:r>
    </w:p>
    <w:p w14:paraId="050B8D4C" w14:textId="77777777" w:rsidR="00670EC8" w:rsidRPr="008D6376" w:rsidRDefault="00000000">
      <w:pPr>
        <w:rPr>
          <w:b/>
          <w:color w:val="000000" w:themeColor="text1"/>
        </w:rPr>
      </w:pPr>
      <w:r w:rsidRPr="008D6376">
        <w:rPr>
          <w:color w:val="000000" w:themeColor="text1"/>
        </w:rPr>
        <w:t xml:space="preserve">Strong leadership is present in both the US and China in contemporary times. The leader of China is Xi </w:t>
      </w:r>
      <w:proofErr w:type="gramStart"/>
      <w:r w:rsidRPr="008D6376">
        <w:rPr>
          <w:color w:val="000000" w:themeColor="text1"/>
        </w:rPr>
        <w:t>Jinping</w:t>
      </w:r>
      <w:proofErr w:type="gramEnd"/>
      <w:r w:rsidRPr="008D6376">
        <w:rPr>
          <w:color w:val="000000" w:themeColor="text1"/>
        </w:rPr>
        <w:t xml:space="preserve"> and the president of the US is Joe Biden. These two leaders are popular and the most powerful people (Tutor2u, 2021). Due to these above reasons, merger and acquisition between these nations will be quite smooth. The political stability of China and the US were about -0.48 and 0 in 2021 respectively (The Global Economy, 2021). According to the Neo-institutional Theory of IHRM businesses will be highly influenced by the governments of the mentioned two countries in the coming years (</w:t>
      </w:r>
      <w:proofErr w:type="spellStart"/>
      <w:r w:rsidRPr="008D6376">
        <w:rPr>
          <w:color w:val="000000" w:themeColor="text1"/>
          <w:highlight w:val="white"/>
        </w:rPr>
        <w:t>Adham</w:t>
      </w:r>
      <w:proofErr w:type="spellEnd"/>
      <w:r w:rsidRPr="008D6376">
        <w:rPr>
          <w:color w:val="000000" w:themeColor="text1"/>
          <w:highlight w:val="white"/>
        </w:rPr>
        <w:t>, 2021).</w:t>
      </w:r>
      <w:r w:rsidRPr="008D6376">
        <w:rPr>
          <w:color w:val="000000" w:themeColor="text1"/>
        </w:rPr>
        <w:t xml:space="preserve"> It can be stated that the stability of these two countries is stable. Eventually, the merger and acquisition of these two countries will be flawless. On the other hand, political conflicts between China and the US are quite complex in nature. Due to this reason, IHRM may face political issues to get the best outcomes within any company in future (Tutor2u, 2021).</w:t>
      </w:r>
    </w:p>
    <w:p w14:paraId="27384273" w14:textId="77777777" w:rsidR="00670EC8" w:rsidRPr="008D6376" w:rsidRDefault="00000000">
      <w:pPr>
        <w:rPr>
          <w:b/>
          <w:color w:val="000000" w:themeColor="text1"/>
        </w:rPr>
      </w:pPr>
      <w:r w:rsidRPr="008D6376">
        <w:rPr>
          <w:b/>
          <w:color w:val="000000" w:themeColor="text1"/>
        </w:rPr>
        <w:t>Economic</w:t>
      </w:r>
    </w:p>
    <w:p w14:paraId="345A0534" w14:textId="77777777" w:rsidR="00670EC8" w:rsidRPr="008D6376" w:rsidRDefault="00000000">
      <w:pPr>
        <w:rPr>
          <w:color w:val="000000" w:themeColor="text1"/>
        </w:rPr>
      </w:pPr>
      <w:r w:rsidRPr="008D6376">
        <w:rPr>
          <w:color w:val="000000" w:themeColor="text1"/>
        </w:rPr>
        <w:t xml:space="preserve">China and the US are the two biggest global economies in the world in recent times. It can be found that the total GDP of China was about £14.59 trillion in 2021 (Macrotrends, 2023). On the other hand, the GDP of the US was about £19.18 trillion in 2021 (The World Bank, 2021). These huge amounts of GDP will assist the companies in both countries to generate more revenues after being merged and acquired. Inflation is a vital factor that affects merger and acquisition of these two countries both positively as well as negatively. As an example, the rate of inflation in the US was about 6.8% in January 2023 and this number was about 2.24% in </w:t>
      </w:r>
      <w:r w:rsidRPr="008D6376">
        <w:rPr>
          <w:color w:val="000000" w:themeColor="text1"/>
        </w:rPr>
        <w:lastRenderedPageBreak/>
        <w:t>China in the same year (</w:t>
      </w:r>
      <w:proofErr w:type="spellStart"/>
      <w:r w:rsidRPr="008D6376">
        <w:rPr>
          <w:color w:val="000000" w:themeColor="text1"/>
        </w:rPr>
        <w:t>Textor</w:t>
      </w:r>
      <w:proofErr w:type="spellEnd"/>
      <w:r w:rsidRPr="008D6376">
        <w:rPr>
          <w:color w:val="000000" w:themeColor="text1"/>
        </w:rPr>
        <w:t>, 2023). It can be started from the above analysis that the IHRM of Chinese companies will need to hire employees at higher salaries from the US after merger.</w:t>
      </w:r>
    </w:p>
    <w:p w14:paraId="7C86640B" w14:textId="77777777" w:rsidR="00670EC8" w:rsidRPr="008D6376" w:rsidRDefault="00000000">
      <w:pPr>
        <w:jc w:val="center"/>
        <w:rPr>
          <w:color w:val="000000" w:themeColor="text1"/>
        </w:rPr>
      </w:pPr>
      <w:r w:rsidRPr="008D6376">
        <w:rPr>
          <w:noProof/>
          <w:color w:val="000000" w:themeColor="text1"/>
        </w:rPr>
        <w:drawing>
          <wp:inline distT="114300" distB="114300" distL="114300" distR="114300" wp14:anchorId="39F94352" wp14:editId="2A986473">
            <wp:extent cx="3772455" cy="2490788"/>
            <wp:effectExtent l="12700" t="12700" r="12700" b="12700"/>
            <wp:docPr id="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8"/>
                    <a:srcRect/>
                    <a:stretch>
                      <a:fillRect/>
                    </a:stretch>
                  </pic:blipFill>
                  <pic:spPr>
                    <a:xfrm>
                      <a:off x="0" y="0"/>
                      <a:ext cx="3772455" cy="2490788"/>
                    </a:xfrm>
                    <a:prstGeom prst="rect">
                      <a:avLst/>
                    </a:prstGeom>
                    <a:ln w="12700">
                      <a:solidFill>
                        <a:srgbClr val="000000"/>
                      </a:solidFill>
                      <a:prstDash val="solid"/>
                    </a:ln>
                  </pic:spPr>
                </pic:pic>
              </a:graphicData>
            </a:graphic>
          </wp:inline>
        </w:drawing>
      </w:r>
    </w:p>
    <w:p w14:paraId="4AB8F720" w14:textId="77777777" w:rsidR="00670EC8" w:rsidRPr="008D6376" w:rsidRDefault="00000000">
      <w:pPr>
        <w:jc w:val="center"/>
        <w:rPr>
          <w:b/>
          <w:color w:val="000000" w:themeColor="text1"/>
        </w:rPr>
      </w:pPr>
      <w:r w:rsidRPr="008D6376">
        <w:rPr>
          <w:b/>
          <w:color w:val="000000" w:themeColor="text1"/>
        </w:rPr>
        <w:t>Figure 2: Inflation Rate in China from 2011 to 2027</w:t>
      </w:r>
    </w:p>
    <w:p w14:paraId="34ED6DA7" w14:textId="77777777" w:rsidR="00670EC8" w:rsidRPr="008D6376" w:rsidRDefault="00000000">
      <w:pPr>
        <w:jc w:val="center"/>
        <w:rPr>
          <w:color w:val="000000" w:themeColor="text1"/>
        </w:rPr>
      </w:pPr>
      <w:r w:rsidRPr="008D6376">
        <w:rPr>
          <w:color w:val="000000" w:themeColor="text1"/>
        </w:rPr>
        <w:t xml:space="preserve">(Source: </w:t>
      </w:r>
      <w:proofErr w:type="spellStart"/>
      <w:r w:rsidRPr="008D6376">
        <w:rPr>
          <w:color w:val="000000" w:themeColor="text1"/>
        </w:rPr>
        <w:t>Textor</w:t>
      </w:r>
      <w:proofErr w:type="spellEnd"/>
      <w:r w:rsidRPr="008D6376">
        <w:rPr>
          <w:color w:val="000000" w:themeColor="text1"/>
        </w:rPr>
        <w:t>, 2023)</w:t>
      </w:r>
    </w:p>
    <w:p w14:paraId="13947025" w14:textId="77777777" w:rsidR="00670EC8" w:rsidRPr="008D6376" w:rsidRDefault="00000000">
      <w:pPr>
        <w:rPr>
          <w:b/>
          <w:color w:val="000000" w:themeColor="text1"/>
        </w:rPr>
      </w:pPr>
      <w:r w:rsidRPr="008D6376">
        <w:rPr>
          <w:b/>
          <w:color w:val="000000" w:themeColor="text1"/>
        </w:rPr>
        <w:t>Social</w:t>
      </w:r>
    </w:p>
    <w:p w14:paraId="409EF210" w14:textId="77777777" w:rsidR="00670EC8" w:rsidRPr="008D6376" w:rsidRDefault="00000000">
      <w:pPr>
        <w:rPr>
          <w:color w:val="000000" w:themeColor="text1"/>
        </w:rPr>
      </w:pPr>
      <w:r w:rsidRPr="008D6376">
        <w:rPr>
          <w:color w:val="000000" w:themeColor="text1"/>
        </w:rPr>
        <w:t>Employment is one of the crucial social factors that can affect the merger and acquisition of two countries. Approximately 733.51 million people were working in different sectors in China in 2022 (</w:t>
      </w:r>
      <w:proofErr w:type="spellStart"/>
      <w:r w:rsidRPr="008D6376">
        <w:rPr>
          <w:color w:val="000000" w:themeColor="text1"/>
        </w:rPr>
        <w:t>Textor</w:t>
      </w:r>
      <w:proofErr w:type="spellEnd"/>
      <w:r w:rsidRPr="008D6376">
        <w:rPr>
          <w:color w:val="000000" w:themeColor="text1"/>
        </w:rPr>
        <w:t>, 2023). These huge numbers of employed people may assist the companies in the US to get a sufficient supply of workforce after the merger of the two countries. According to the Theory of Isomorphism, these huge people are working in China due to the positive steps of different governmental institutions of China towards the enhancement of the workforce (</w:t>
      </w:r>
      <w:r w:rsidRPr="008D6376">
        <w:rPr>
          <w:color w:val="000000" w:themeColor="text1"/>
          <w:highlight w:val="white"/>
        </w:rPr>
        <w:t>Blake, 2021).</w:t>
      </w:r>
      <w:r w:rsidRPr="008D6376">
        <w:rPr>
          <w:color w:val="000000" w:themeColor="text1"/>
        </w:rPr>
        <w:t xml:space="preserve"> On the other hand, the per capita income of China was about £15761.78 in 2021. People in the US generate income of about £57979.67 in 2021 (The World Bank, 2021). Eventually, the IHRM of the companies of these two countries needs to manage the payrolls of employees by using the latest technology to match them with contemporary trends properly.</w:t>
      </w:r>
    </w:p>
    <w:p w14:paraId="2CB9399D" w14:textId="77777777" w:rsidR="00670EC8" w:rsidRPr="008D6376" w:rsidRDefault="00000000">
      <w:pPr>
        <w:jc w:val="center"/>
        <w:rPr>
          <w:color w:val="000000" w:themeColor="text1"/>
        </w:rPr>
      </w:pPr>
      <w:r w:rsidRPr="008D6376">
        <w:rPr>
          <w:noProof/>
          <w:color w:val="000000" w:themeColor="text1"/>
        </w:rPr>
        <w:lastRenderedPageBreak/>
        <w:drawing>
          <wp:inline distT="114300" distB="114300" distL="114300" distR="114300" wp14:anchorId="33526A71" wp14:editId="7BCA42A5">
            <wp:extent cx="4024313" cy="2521645"/>
            <wp:effectExtent l="12700" t="12700" r="12700" b="1270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4024313" cy="2521645"/>
                    </a:xfrm>
                    <a:prstGeom prst="rect">
                      <a:avLst/>
                    </a:prstGeom>
                    <a:ln w="12700">
                      <a:solidFill>
                        <a:srgbClr val="000000"/>
                      </a:solidFill>
                      <a:prstDash val="solid"/>
                    </a:ln>
                  </pic:spPr>
                </pic:pic>
              </a:graphicData>
            </a:graphic>
          </wp:inline>
        </w:drawing>
      </w:r>
    </w:p>
    <w:p w14:paraId="58E401CB" w14:textId="77777777" w:rsidR="00670EC8" w:rsidRPr="008D6376" w:rsidRDefault="00000000">
      <w:pPr>
        <w:jc w:val="center"/>
        <w:rPr>
          <w:b/>
          <w:color w:val="000000" w:themeColor="text1"/>
        </w:rPr>
      </w:pPr>
      <w:r w:rsidRPr="008D6376">
        <w:rPr>
          <w:b/>
          <w:color w:val="000000" w:themeColor="text1"/>
        </w:rPr>
        <w:t>Figure 3: Total Employed People in China from 2012 to 2022</w:t>
      </w:r>
    </w:p>
    <w:p w14:paraId="3E25A6B5" w14:textId="77777777" w:rsidR="00670EC8" w:rsidRPr="008D6376" w:rsidRDefault="00000000">
      <w:pPr>
        <w:jc w:val="center"/>
        <w:rPr>
          <w:color w:val="000000" w:themeColor="text1"/>
          <w:highlight w:val="white"/>
        </w:rPr>
      </w:pPr>
      <w:r w:rsidRPr="008D6376">
        <w:rPr>
          <w:color w:val="000000" w:themeColor="text1"/>
        </w:rPr>
        <w:t>(Source: The World Bank, 2021)</w:t>
      </w:r>
    </w:p>
    <w:p w14:paraId="45793F0D" w14:textId="77777777" w:rsidR="00670EC8" w:rsidRPr="008D6376" w:rsidRDefault="00670EC8">
      <w:pPr>
        <w:rPr>
          <w:rFonts w:ascii="Arial" w:eastAsia="Arial" w:hAnsi="Arial" w:cs="Arial"/>
          <w:color w:val="000000" w:themeColor="text1"/>
          <w:sz w:val="20"/>
          <w:szCs w:val="20"/>
          <w:highlight w:val="white"/>
        </w:rPr>
      </w:pPr>
    </w:p>
    <w:p w14:paraId="5774B2A2" w14:textId="77777777" w:rsidR="00670EC8" w:rsidRPr="008D6376" w:rsidRDefault="00000000">
      <w:pPr>
        <w:pStyle w:val="Heading1"/>
        <w:rPr>
          <w:color w:val="000000" w:themeColor="text1"/>
        </w:rPr>
      </w:pPr>
      <w:bookmarkStart w:id="8" w:name="_mv9lszkfuhyi" w:colFirst="0" w:colLast="0"/>
      <w:bookmarkStart w:id="9" w:name="_Toc129791753"/>
      <w:bookmarkEnd w:id="8"/>
      <w:r w:rsidRPr="008D6376">
        <w:rPr>
          <w:color w:val="000000" w:themeColor="text1"/>
        </w:rPr>
        <w:t>3. M&amp;A rationale and integration strategy</w:t>
      </w:r>
      <w:bookmarkEnd w:id="9"/>
    </w:p>
    <w:p w14:paraId="32F5D3AF" w14:textId="77777777" w:rsidR="00670EC8" w:rsidRPr="008D6376" w:rsidRDefault="00000000">
      <w:pPr>
        <w:rPr>
          <w:b/>
          <w:color w:val="000000" w:themeColor="text1"/>
        </w:rPr>
      </w:pPr>
      <w:r w:rsidRPr="008D6376">
        <w:rPr>
          <w:b/>
          <w:color w:val="000000" w:themeColor="text1"/>
        </w:rPr>
        <w:t>Reasons for merger or acquisition of China National Petroleum Corporation (CNPC) and Chevron Corporation</w:t>
      </w:r>
    </w:p>
    <w:p w14:paraId="1BC6AA75" w14:textId="77777777" w:rsidR="00670EC8" w:rsidRPr="008D6376" w:rsidRDefault="00000000">
      <w:pPr>
        <w:rPr>
          <w:color w:val="000000" w:themeColor="text1"/>
        </w:rPr>
      </w:pPr>
      <w:r w:rsidRPr="008D6376">
        <w:rPr>
          <w:b/>
          <w:i/>
          <w:color w:val="000000" w:themeColor="text1"/>
        </w:rPr>
        <w:t xml:space="preserve">Enhancement in global efficiency: </w:t>
      </w:r>
      <w:r w:rsidRPr="008D6376">
        <w:rPr>
          <w:color w:val="000000" w:themeColor="text1"/>
        </w:rPr>
        <w:t>The merger of CNPC and Chevron Corporation is highly required for bringing enhancement in their efficiency as well as performance. Eventually, they will be able to dominate the global market of the oil and gas industry after being merged (Schooley, 2023).</w:t>
      </w:r>
    </w:p>
    <w:p w14:paraId="2F8601BA" w14:textId="77777777" w:rsidR="00670EC8" w:rsidRPr="008D6376" w:rsidRDefault="00000000">
      <w:pPr>
        <w:rPr>
          <w:color w:val="000000" w:themeColor="text1"/>
        </w:rPr>
      </w:pPr>
      <w:r w:rsidRPr="008D6376">
        <w:rPr>
          <w:b/>
          <w:i/>
          <w:color w:val="000000" w:themeColor="text1"/>
        </w:rPr>
        <w:t xml:space="preserve">Talent acquisition: </w:t>
      </w:r>
      <w:r w:rsidRPr="008D6376">
        <w:rPr>
          <w:color w:val="000000" w:themeColor="text1"/>
        </w:rPr>
        <w:t>It can be found talented and skilled employees are working in these two mentioned organisations. The merger of these two companies will assist them to improve talent acquisition and bring efficiency to their business activities.</w:t>
      </w:r>
    </w:p>
    <w:p w14:paraId="42FD1164" w14:textId="77777777" w:rsidR="00670EC8" w:rsidRPr="008D6376" w:rsidRDefault="00000000">
      <w:pPr>
        <w:rPr>
          <w:color w:val="000000" w:themeColor="text1"/>
        </w:rPr>
      </w:pPr>
      <w:r w:rsidRPr="008D6376">
        <w:rPr>
          <w:b/>
          <w:i/>
          <w:color w:val="000000" w:themeColor="text1"/>
        </w:rPr>
        <w:t xml:space="preserve">Acquisition of R&amp;D: </w:t>
      </w:r>
      <w:r w:rsidRPr="008D6376">
        <w:rPr>
          <w:color w:val="000000" w:themeColor="text1"/>
        </w:rPr>
        <w:t>The merger of CNPC and Chevron Corporation will assist them to bring R&amp;D together. They may innovate new products and strategies after the post-merger stage to improve their competitive advantage in a proper manner.</w:t>
      </w:r>
    </w:p>
    <w:p w14:paraId="0190F47C" w14:textId="77777777" w:rsidR="00670EC8" w:rsidRPr="008D6376" w:rsidRDefault="00000000">
      <w:pPr>
        <w:rPr>
          <w:b/>
          <w:color w:val="000000" w:themeColor="text1"/>
        </w:rPr>
      </w:pPr>
      <w:r w:rsidRPr="008D6376">
        <w:rPr>
          <w:b/>
          <w:color w:val="000000" w:themeColor="text1"/>
        </w:rPr>
        <w:t xml:space="preserve">Proposal for applying a merger </w:t>
      </w:r>
      <w:proofErr w:type="gramStart"/>
      <w:r w:rsidRPr="008D6376">
        <w:rPr>
          <w:b/>
          <w:color w:val="000000" w:themeColor="text1"/>
        </w:rPr>
        <w:t>strategy</w:t>
      </w:r>
      <w:proofErr w:type="gramEnd"/>
    </w:p>
    <w:p w14:paraId="30FFF3A4" w14:textId="77777777" w:rsidR="00670EC8" w:rsidRPr="008D6376" w:rsidRDefault="00000000">
      <w:pPr>
        <w:rPr>
          <w:color w:val="000000" w:themeColor="text1"/>
        </w:rPr>
      </w:pPr>
      <w:r w:rsidRPr="008D6376">
        <w:rPr>
          <w:color w:val="000000" w:themeColor="text1"/>
        </w:rPr>
        <w:lastRenderedPageBreak/>
        <w:t>A general merger strategy will be suitable for the merger of CNPC and Chevron Corporation. It will be suitable as the management of these two companies can merge these businesses easily by taking permission from shareholders. Additionally, they can merge all over the business without facing any complex legal guidelines if they use this merger strategy in a proper manner (Schooley, 2023).</w:t>
      </w:r>
    </w:p>
    <w:p w14:paraId="6632B611" w14:textId="77777777" w:rsidR="00670EC8" w:rsidRPr="008D6376" w:rsidRDefault="00000000">
      <w:pPr>
        <w:pStyle w:val="Heading1"/>
        <w:rPr>
          <w:color w:val="000000" w:themeColor="text1"/>
        </w:rPr>
      </w:pPr>
      <w:bookmarkStart w:id="10" w:name="_7nbsjcmzvk8j" w:colFirst="0" w:colLast="0"/>
      <w:bookmarkStart w:id="11" w:name="_Toc129791754"/>
      <w:bookmarkEnd w:id="10"/>
      <w:r w:rsidRPr="008D6376">
        <w:rPr>
          <w:color w:val="000000" w:themeColor="text1"/>
        </w:rPr>
        <w:t>4.Roles of IHRM in implementation of effective M&amp;A</w:t>
      </w:r>
      <w:bookmarkEnd w:id="11"/>
    </w:p>
    <w:p w14:paraId="427F8733" w14:textId="77777777" w:rsidR="00670EC8" w:rsidRPr="008D6376" w:rsidRDefault="00000000">
      <w:pPr>
        <w:rPr>
          <w:b/>
          <w:color w:val="000000" w:themeColor="text1"/>
        </w:rPr>
      </w:pPr>
      <w:r w:rsidRPr="008D6376">
        <w:rPr>
          <w:b/>
          <w:color w:val="000000" w:themeColor="text1"/>
        </w:rPr>
        <w:t xml:space="preserve">Challenges faced by HR during </w:t>
      </w:r>
      <w:proofErr w:type="gramStart"/>
      <w:r w:rsidRPr="008D6376">
        <w:rPr>
          <w:b/>
          <w:color w:val="000000" w:themeColor="text1"/>
        </w:rPr>
        <w:t>pre</w:t>
      </w:r>
      <w:proofErr w:type="gramEnd"/>
      <w:r w:rsidRPr="008D6376">
        <w:rPr>
          <w:b/>
          <w:color w:val="000000" w:themeColor="text1"/>
        </w:rPr>
        <w:t xml:space="preserve"> and post-merger stages</w:t>
      </w:r>
    </w:p>
    <w:p w14:paraId="31728998" w14:textId="77777777" w:rsidR="00670EC8" w:rsidRPr="008D6376" w:rsidRDefault="00000000">
      <w:pPr>
        <w:rPr>
          <w:b/>
          <w:color w:val="000000" w:themeColor="text1"/>
        </w:rPr>
      </w:pPr>
      <w:r w:rsidRPr="008D6376">
        <w:rPr>
          <w:b/>
          <w:color w:val="000000" w:themeColor="text1"/>
        </w:rPr>
        <w:t>Pre-merger stage</w:t>
      </w:r>
    </w:p>
    <w:p w14:paraId="12154C6F" w14:textId="77777777" w:rsidR="00670EC8" w:rsidRPr="008D6376" w:rsidRDefault="00000000">
      <w:pPr>
        <w:rPr>
          <w:color w:val="000000" w:themeColor="text1"/>
        </w:rPr>
      </w:pPr>
      <w:r w:rsidRPr="008D6376">
        <w:rPr>
          <w:b/>
          <w:i/>
          <w:color w:val="000000" w:themeColor="text1"/>
        </w:rPr>
        <w:t xml:space="preserve">Communication issues: </w:t>
      </w:r>
      <w:r w:rsidRPr="008D6376">
        <w:rPr>
          <w:color w:val="000000" w:themeColor="text1"/>
        </w:rPr>
        <w:t>According to Hall’s Theory of Cross-cultural Communication, IHRM will face challenges in communicating with the employees of CNPC because of having higher controls of the Chinese government on the freedom of speech. Eventually, this department of Chevron Corporation may not get accurate information about the culture of this Chinese company before the merger (</w:t>
      </w:r>
      <w:r w:rsidRPr="008D6376">
        <w:rPr>
          <w:color w:val="000000" w:themeColor="text1"/>
          <w:highlight w:val="white"/>
        </w:rPr>
        <w:t>Weber, 2019).</w:t>
      </w:r>
    </w:p>
    <w:p w14:paraId="56220B59" w14:textId="77777777" w:rsidR="00670EC8" w:rsidRPr="008D6376" w:rsidRDefault="00000000">
      <w:pPr>
        <w:rPr>
          <w:color w:val="000000" w:themeColor="text1"/>
        </w:rPr>
      </w:pPr>
      <w:r w:rsidRPr="008D6376">
        <w:rPr>
          <w:b/>
          <w:i/>
          <w:color w:val="000000" w:themeColor="text1"/>
        </w:rPr>
        <w:t xml:space="preserve">Assessment of growth: </w:t>
      </w:r>
      <w:r w:rsidRPr="008D6376">
        <w:rPr>
          <w:color w:val="000000" w:themeColor="text1"/>
        </w:rPr>
        <w:t>CNPC will not disclose its goals and achievements before Chevron Corporation because of the individuality rate. According to the Ethnocentric stage of Perlmutter’s model, the IHRM of CNPC needs to follow the rules and guidelines of China. It must be followed by this organisation as all activities of it are controlled by the Chinese government (</w:t>
      </w:r>
      <w:r w:rsidRPr="008D6376">
        <w:rPr>
          <w:color w:val="000000" w:themeColor="text1"/>
          <w:highlight w:val="white"/>
        </w:rPr>
        <w:t>Weber, 2019).</w:t>
      </w:r>
    </w:p>
    <w:p w14:paraId="731A4B0B" w14:textId="77777777" w:rsidR="00670EC8" w:rsidRPr="008D6376" w:rsidRDefault="00000000">
      <w:pPr>
        <w:rPr>
          <w:b/>
          <w:color w:val="000000" w:themeColor="text1"/>
        </w:rPr>
      </w:pPr>
      <w:r w:rsidRPr="008D6376">
        <w:rPr>
          <w:b/>
          <w:color w:val="000000" w:themeColor="text1"/>
        </w:rPr>
        <w:t>Post-merger stage</w:t>
      </w:r>
    </w:p>
    <w:p w14:paraId="52BDCC8C" w14:textId="77777777" w:rsidR="00670EC8" w:rsidRPr="008D6376" w:rsidRDefault="00000000">
      <w:pPr>
        <w:rPr>
          <w:color w:val="000000" w:themeColor="text1"/>
        </w:rPr>
      </w:pPr>
      <w:r w:rsidRPr="008D6376">
        <w:rPr>
          <w:b/>
          <w:i/>
          <w:color w:val="000000" w:themeColor="text1"/>
        </w:rPr>
        <w:t xml:space="preserve">Management of payrolls: </w:t>
      </w:r>
      <w:r w:rsidRPr="008D6376">
        <w:rPr>
          <w:color w:val="000000" w:themeColor="text1"/>
        </w:rPr>
        <w:t>Salaries with CNPC and Chevron Corporation are highly differentiable as the gap between the power difference in the two countries is quite high. Due to this reason, the IHRM of these two businesses needs to face challenges in setting proper payrolls after being merged (</w:t>
      </w:r>
      <w:r w:rsidRPr="008D6376">
        <w:rPr>
          <w:color w:val="000000" w:themeColor="text1"/>
          <w:highlight w:val="white"/>
        </w:rPr>
        <w:t>Oh and Johnston, 2021).</w:t>
      </w:r>
    </w:p>
    <w:p w14:paraId="565CF1E5" w14:textId="77777777" w:rsidR="00670EC8" w:rsidRPr="008D6376" w:rsidRDefault="00000000">
      <w:pPr>
        <w:rPr>
          <w:color w:val="000000" w:themeColor="text1"/>
        </w:rPr>
      </w:pPr>
      <w:r w:rsidRPr="008D6376">
        <w:rPr>
          <w:b/>
          <w:i/>
          <w:color w:val="000000" w:themeColor="text1"/>
        </w:rPr>
        <w:t xml:space="preserve">Selection of efficient workers: </w:t>
      </w:r>
      <w:r w:rsidRPr="008D6376">
        <w:rPr>
          <w:color w:val="000000" w:themeColor="text1"/>
        </w:rPr>
        <w:t xml:space="preserve">China has a huge </w:t>
      </w:r>
      <w:proofErr w:type="gramStart"/>
      <w:r w:rsidRPr="008D6376">
        <w:rPr>
          <w:color w:val="000000" w:themeColor="text1"/>
        </w:rPr>
        <w:t>workforce</w:t>
      </w:r>
      <w:proofErr w:type="gramEnd"/>
      <w:r w:rsidRPr="008D6376">
        <w:rPr>
          <w:color w:val="000000" w:themeColor="text1"/>
        </w:rPr>
        <w:t xml:space="preserve"> and it will assist these two businesses to enhance the size of their workforce. On the other hand, the IHRM of these two </w:t>
      </w:r>
      <w:r w:rsidRPr="008D6376">
        <w:rPr>
          <w:color w:val="000000" w:themeColor="text1"/>
        </w:rPr>
        <w:lastRenderedPageBreak/>
        <w:t>businesses may not hire efficient employees by following the Ethnocentric stage of Perlmutter’s model properly (</w:t>
      </w:r>
      <w:r w:rsidRPr="008D6376">
        <w:rPr>
          <w:color w:val="000000" w:themeColor="text1"/>
          <w:highlight w:val="white"/>
        </w:rPr>
        <w:t>Oh and Johnston, 2021).</w:t>
      </w:r>
    </w:p>
    <w:p w14:paraId="46B8D2A1" w14:textId="77777777" w:rsidR="00670EC8" w:rsidRPr="008D6376" w:rsidRDefault="00000000">
      <w:pPr>
        <w:rPr>
          <w:b/>
          <w:color w:val="000000" w:themeColor="text1"/>
        </w:rPr>
      </w:pPr>
      <w:r w:rsidRPr="008D6376">
        <w:rPr>
          <w:b/>
          <w:color w:val="000000" w:themeColor="text1"/>
        </w:rPr>
        <w:t>Role of HR in M&amp;A processes and strategies for improvement</w:t>
      </w:r>
    </w:p>
    <w:p w14:paraId="3B754EAB" w14:textId="77777777" w:rsidR="00670EC8" w:rsidRPr="008D6376" w:rsidRDefault="00000000">
      <w:pPr>
        <w:rPr>
          <w:b/>
          <w:color w:val="000000" w:themeColor="text1"/>
        </w:rPr>
      </w:pPr>
      <w:r w:rsidRPr="008D6376">
        <w:rPr>
          <w:b/>
          <w:color w:val="000000" w:themeColor="text1"/>
        </w:rPr>
        <w:t>Roles of HRM in M&amp;A processes</w:t>
      </w:r>
    </w:p>
    <w:p w14:paraId="1E57CA58" w14:textId="77777777" w:rsidR="00670EC8" w:rsidRPr="008D6376" w:rsidRDefault="00000000">
      <w:pPr>
        <w:rPr>
          <w:color w:val="000000" w:themeColor="text1"/>
        </w:rPr>
      </w:pPr>
      <w:r w:rsidRPr="008D6376">
        <w:rPr>
          <w:b/>
          <w:i/>
          <w:color w:val="000000" w:themeColor="text1"/>
        </w:rPr>
        <w:t xml:space="preserve">Providing advice to management: </w:t>
      </w:r>
      <w:r w:rsidRPr="008D6376">
        <w:rPr>
          <w:color w:val="000000" w:themeColor="text1"/>
        </w:rPr>
        <w:t>IHRM of CNPC and Chevron Corporation may advise the management of these businesses on the importance of talent management in the merger stage. Additionally, they also set strategies for managing talent in cross-border merger activities in future (</w:t>
      </w:r>
      <w:r w:rsidRPr="008D6376">
        <w:rPr>
          <w:color w:val="000000" w:themeColor="text1"/>
          <w:highlight w:val="white"/>
        </w:rPr>
        <w:t>Gomes, 2020).</w:t>
      </w:r>
    </w:p>
    <w:p w14:paraId="28FA4BBD" w14:textId="77777777" w:rsidR="00670EC8" w:rsidRPr="008D6376" w:rsidRDefault="00000000">
      <w:pPr>
        <w:rPr>
          <w:color w:val="000000" w:themeColor="text1"/>
        </w:rPr>
      </w:pPr>
      <w:r w:rsidRPr="008D6376">
        <w:rPr>
          <w:b/>
          <w:i/>
          <w:color w:val="000000" w:themeColor="text1"/>
        </w:rPr>
        <w:t xml:space="preserve">Maintenance of employee satisfaction: </w:t>
      </w:r>
      <w:r w:rsidRPr="008D6376">
        <w:rPr>
          <w:color w:val="000000" w:themeColor="text1"/>
        </w:rPr>
        <w:t>IHRM of these companies will work to boost employee satisfaction. They may offer rewards and compensation to employees of R&amp;D to improve their work satisfaction adequately (</w:t>
      </w:r>
      <w:r w:rsidRPr="008D6376">
        <w:rPr>
          <w:color w:val="000000" w:themeColor="text1"/>
          <w:highlight w:val="white"/>
        </w:rPr>
        <w:t>Gomes, 2020).</w:t>
      </w:r>
    </w:p>
    <w:p w14:paraId="25386D39" w14:textId="77777777" w:rsidR="00670EC8" w:rsidRPr="008D6376" w:rsidRDefault="00000000">
      <w:pPr>
        <w:rPr>
          <w:b/>
          <w:color w:val="000000" w:themeColor="text1"/>
        </w:rPr>
      </w:pPr>
      <w:r w:rsidRPr="008D6376">
        <w:rPr>
          <w:b/>
          <w:color w:val="000000" w:themeColor="text1"/>
        </w:rPr>
        <w:t>Strategies for improvement</w:t>
      </w:r>
    </w:p>
    <w:p w14:paraId="00C2FC34" w14:textId="77777777" w:rsidR="00670EC8" w:rsidRPr="008D6376" w:rsidRDefault="00000000">
      <w:pPr>
        <w:rPr>
          <w:color w:val="000000" w:themeColor="text1"/>
        </w:rPr>
      </w:pPr>
      <w:r w:rsidRPr="008D6376">
        <w:rPr>
          <w:b/>
          <w:i/>
          <w:color w:val="000000" w:themeColor="text1"/>
        </w:rPr>
        <w:t xml:space="preserve">The organisation of training: </w:t>
      </w:r>
      <w:r w:rsidRPr="008D6376">
        <w:rPr>
          <w:color w:val="000000" w:themeColor="text1"/>
        </w:rPr>
        <w:t>IHRM of these two companies may organise training programmes for their staff in the post-merger stage. It may assist these companies to make their employees capable of handling huge workloads during the post-merger stage.</w:t>
      </w:r>
    </w:p>
    <w:p w14:paraId="5351F7DC" w14:textId="77777777" w:rsidR="00670EC8" w:rsidRPr="008D6376" w:rsidRDefault="00000000">
      <w:pPr>
        <w:rPr>
          <w:color w:val="000000" w:themeColor="text1"/>
          <w:highlight w:val="white"/>
        </w:rPr>
      </w:pPr>
      <w:r w:rsidRPr="008D6376">
        <w:rPr>
          <w:b/>
          <w:i/>
          <w:color w:val="000000" w:themeColor="text1"/>
        </w:rPr>
        <w:t xml:space="preserve">Supporting employees: </w:t>
      </w:r>
      <w:r w:rsidRPr="008D6376">
        <w:rPr>
          <w:color w:val="000000" w:themeColor="text1"/>
        </w:rPr>
        <w:t>IHRM of CNPC and Chevron Corporation may support their staff to resolve work-related confusion easily. It will assist employees of these organisations to adopt the changes after M&amp;A easily (</w:t>
      </w:r>
      <w:r w:rsidRPr="008D6376">
        <w:rPr>
          <w:color w:val="000000" w:themeColor="text1"/>
          <w:highlight w:val="white"/>
        </w:rPr>
        <w:t>Oh and Johnston, 2021).</w:t>
      </w:r>
    </w:p>
    <w:p w14:paraId="0A9E89C5" w14:textId="77777777" w:rsidR="00670EC8" w:rsidRPr="008D6376" w:rsidRDefault="00000000">
      <w:pPr>
        <w:pStyle w:val="Heading1"/>
        <w:rPr>
          <w:color w:val="000000" w:themeColor="text1"/>
        </w:rPr>
      </w:pPr>
      <w:bookmarkStart w:id="12" w:name="_j347qbmqscsg" w:colFirst="0" w:colLast="0"/>
      <w:bookmarkStart w:id="13" w:name="_Toc129791755"/>
      <w:bookmarkEnd w:id="12"/>
      <w:r w:rsidRPr="008D6376">
        <w:rPr>
          <w:color w:val="000000" w:themeColor="text1"/>
        </w:rPr>
        <w:t>5.Conclusion</w:t>
      </w:r>
      <w:bookmarkEnd w:id="13"/>
    </w:p>
    <w:p w14:paraId="7F17F725" w14:textId="77777777" w:rsidR="00670EC8" w:rsidRPr="008D6376" w:rsidRDefault="00000000">
      <w:pPr>
        <w:rPr>
          <w:color w:val="000000" w:themeColor="text1"/>
        </w:rPr>
      </w:pPr>
      <w:r w:rsidRPr="008D6376">
        <w:rPr>
          <w:color w:val="000000" w:themeColor="text1"/>
        </w:rPr>
        <w:t>This report has described institutional and cultural analysis of China as well as the US to assess their impacts on IHRM. reasons for merger and acquisition also have been evaluated in this study to propose an integration strategy for the merger of CNPC as well as Chevron Corporation. The roles of IHRM in the implementation of proper merger and acquisition also have been presented. Finally, a few recommendations have been provided to facilitate a smooth transition of M&amp;A processes.</w:t>
      </w:r>
    </w:p>
    <w:p w14:paraId="55714991" w14:textId="77777777" w:rsidR="00670EC8" w:rsidRPr="008D6376" w:rsidRDefault="00000000">
      <w:pPr>
        <w:rPr>
          <w:color w:val="000000" w:themeColor="text1"/>
        </w:rPr>
      </w:pPr>
      <w:r w:rsidRPr="008D6376">
        <w:rPr>
          <w:b/>
          <w:i/>
          <w:color w:val="000000" w:themeColor="text1"/>
        </w:rPr>
        <w:lastRenderedPageBreak/>
        <w:t xml:space="preserve">Recommendation 1: Compliance with labour laws: </w:t>
      </w:r>
      <w:r w:rsidRPr="008D6376">
        <w:rPr>
          <w:color w:val="000000" w:themeColor="text1"/>
        </w:rPr>
        <w:t>It is recommended to CNPC to maintain all the restrictions and policies of labour laws under which it is operating currently. Maintenance of laws will help this company to maintain all human resource guidelines and face minimum legal consequences after the merger.</w:t>
      </w:r>
    </w:p>
    <w:p w14:paraId="762014B7" w14:textId="77777777" w:rsidR="00670EC8" w:rsidRDefault="00000000">
      <w:r w:rsidRPr="008D6376">
        <w:rPr>
          <w:b/>
          <w:i/>
          <w:color w:val="000000" w:themeColor="text1"/>
        </w:rPr>
        <w:t xml:space="preserve">Recommendation 2: Equal compensation structure: </w:t>
      </w:r>
      <w:r w:rsidRPr="008D6376">
        <w:rPr>
          <w:color w:val="000000" w:themeColor="text1"/>
        </w:rPr>
        <w:t>Chevron Corporation is recommended to maintain a similar reward and compensation structure. It may assist this organisation to provide compensation to employees based on their performance easily.</w:t>
      </w:r>
      <w:r>
        <w:br w:type="page"/>
      </w:r>
    </w:p>
    <w:p w14:paraId="47C7B6E7" w14:textId="77777777" w:rsidR="00670EC8" w:rsidRDefault="00000000">
      <w:pPr>
        <w:pStyle w:val="Heading1"/>
      </w:pPr>
      <w:bookmarkStart w:id="14" w:name="_mcyj65885yj2" w:colFirst="0" w:colLast="0"/>
      <w:bookmarkStart w:id="15" w:name="_Toc129791756"/>
      <w:bookmarkEnd w:id="14"/>
      <w:r>
        <w:lastRenderedPageBreak/>
        <w:t>References</w:t>
      </w:r>
      <w:bookmarkEnd w:id="15"/>
    </w:p>
    <w:p w14:paraId="53C090A9" w14:textId="77777777" w:rsidR="00670EC8" w:rsidRDefault="00000000">
      <w:pPr>
        <w:rPr>
          <w:highlight w:val="white"/>
        </w:rPr>
      </w:pPr>
      <w:proofErr w:type="spellStart"/>
      <w:r>
        <w:rPr>
          <w:highlight w:val="white"/>
        </w:rPr>
        <w:t>Adham</w:t>
      </w:r>
      <w:proofErr w:type="spellEnd"/>
      <w:r>
        <w:rPr>
          <w:highlight w:val="white"/>
        </w:rPr>
        <w:t xml:space="preserve">, A., (2021). Managing labour in multinational corporations in Saudi Arabia. </w:t>
      </w:r>
      <w:r>
        <w:rPr>
          <w:i/>
          <w:highlight w:val="white"/>
        </w:rPr>
        <w:t>International Journal of Advanced Research in Management and Social Sciences</w:t>
      </w:r>
      <w:r>
        <w:rPr>
          <w:highlight w:val="white"/>
        </w:rPr>
        <w:t xml:space="preserve">, </w:t>
      </w:r>
      <w:r>
        <w:rPr>
          <w:i/>
          <w:highlight w:val="white"/>
        </w:rPr>
        <w:t>10</w:t>
      </w:r>
      <w:r>
        <w:rPr>
          <w:highlight w:val="white"/>
        </w:rPr>
        <w:t>(8), pp.11-29.</w:t>
      </w:r>
    </w:p>
    <w:p w14:paraId="1D7A8DF2" w14:textId="77777777" w:rsidR="00670EC8" w:rsidRDefault="00000000">
      <w:proofErr w:type="spellStart"/>
      <w:r>
        <w:t>Aizarani</w:t>
      </w:r>
      <w:proofErr w:type="spellEnd"/>
      <w:r>
        <w:t xml:space="preserve">. J., (2023). </w:t>
      </w:r>
      <w:r>
        <w:rPr>
          <w:i/>
        </w:rPr>
        <w:t xml:space="preserve">Operating revenue of Chevron from 2010 to 2022. </w:t>
      </w:r>
      <w:r>
        <w:t xml:space="preserve">Available at </w:t>
      </w:r>
      <w:hyperlink r:id="rId10">
        <w:r>
          <w:rPr>
            <w:color w:val="1155CC"/>
            <w:u w:val="single"/>
          </w:rPr>
          <w:t>https://www.statista.com/statistics/269079/revenue-of-chevron/</w:t>
        </w:r>
      </w:hyperlink>
      <w:r>
        <w:t xml:space="preserve"> [Accessed 14 March 2023]</w:t>
      </w:r>
    </w:p>
    <w:p w14:paraId="01A43BA2" w14:textId="77777777" w:rsidR="00670EC8" w:rsidRDefault="00000000">
      <w:proofErr w:type="spellStart"/>
      <w:r>
        <w:t>Alfra</w:t>
      </w:r>
      <w:proofErr w:type="spellEnd"/>
      <w:r>
        <w:t xml:space="preserve"> Consulting, (2022). </w:t>
      </w:r>
      <w:r>
        <w:rPr>
          <w:i/>
        </w:rPr>
        <w:t xml:space="preserve">7 Benefits of a Strong and Healthy Organizational Culture. </w:t>
      </w:r>
      <w:r>
        <w:t xml:space="preserve">Available at </w:t>
      </w:r>
      <w:hyperlink r:id="rId11">
        <w:r>
          <w:rPr>
            <w:color w:val="1155CC"/>
            <w:u w:val="single"/>
          </w:rPr>
          <w:t>https://www.alfraconsulting.eu/benefits-of-organizational-culture/</w:t>
        </w:r>
      </w:hyperlink>
      <w:r>
        <w:t xml:space="preserve"> [Accessed 15 March 2023]</w:t>
      </w:r>
    </w:p>
    <w:p w14:paraId="14906A9B" w14:textId="77777777" w:rsidR="00670EC8" w:rsidRDefault="00000000">
      <w:pPr>
        <w:rPr>
          <w:highlight w:val="white"/>
        </w:rPr>
      </w:pPr>
      <w:r>
        <w:rPr>
          <w:highlight w:val="white"/>
        </w:rPr>
        <w:t xml:space="preserve">Blake, B.D., (2021). Internationalisation and emerging market organisations: toward a theory of HRM adaptation. </w:t>
      </w:r>
      <w:r>
        <w:rPr>
          <w:i/>
          <w:highlight w:val="white"/>
        </w:rPr>
        <w:t>International Journal of Globalisation and Small Business</w:t>
      </w:r>
      <w:r>
        <w:rPr>
          <w:highlight w:val="white"/>
        </w:rPr>
        <w:t xml:space="preserve">, </w:t>
      </w:r>
      <w:r>
        <w:rPr>
          <w:i/>
          <w:highlight w:val="white"/>
        </w:rPr>
        <w:t>12</w:t>
      </w:r>
      <w:r>
        <w:rPr>
          <w:highlight w:val="white"/>
        </w:rPr>
        <w:t>(4), pp.317-340.</w:t>
      </w:r>
    </w:p>
    <w:p w14:paraId="03566AFE" w14:textId="77777777" w:rsidR="00670EC8" w:rsidRDefault="00000000">
      <w:r>
        <w:t xml:space="preserve">CFI, (2023). </w:t>
      </w:r>
      <w:r>
        <w:rPr>
          <w:i/>
        </w:rPr>
        <w:t xml:space="preserve">Hofstede’s Cultural Dimensions Theory. </w:t>
      </w:r>
      <w:r>
        <w:t xml:space="preserve">Available at </w:t>
      </w:r>
      <w:hyperlink r:id="rId12">
        <w:r>
          <w:rPr>
            <w:color w:val="1155CC"/>
            <w:u w:val="single"/>
          </w:rPr>
          <w:t>https://corporatefinanceinstitute.com/resources/management/hofstedes-cultural-dimensions-theory/</w:t>
        </w:r>
      </w:hyperlink>
      <w:r>
        <w:t xml:space="preserve"> [Accessed 15 March 2023]</w:t>
      </w:r>
    </w:p>
    <w:p w14:paraId="25535779" w14:textId="77777777" w:rsidR="00670EC8" w:rsidRDefault="00000000">
      <w:r>
        <w:t xml:space="preserve">Chevron, (2023). </w:t>
      </w:r>
      <w:r>
        <w:rPr>
          <w:i/>
        </w:rPr>
        <w:t xml:space="preserve">United States. </w:t>
      </w:r>
      <w:r>
        <w:t xml:space="preserve">Available at </w:t>
      </w:r>
      <w:hyperlink r:id="rId13" w:anchor=":~:text=Chevron%20manufactures%20and%20sells%20a,and%20Texaco%C2%AE%20service%20stations">
        <w:r>
          <w:rPr>
            <w:color w:val="1155CC"/>
            <w:u w:val="single"/>
          </w:rPr>
          <w:t>https://www.chevron.com/worldwide/united-states#:~:text=Chevron%20manufactures%20and%20sells%20a,and%20Texaco%C2%AE%20service%20stations</w:t>
        </w:r>
      </w:hyperlink>
      <w:r>
        <w:t>. [Accessed 14 March 2023]</w:t>
      </w:r>
    </w:p>
    <w:p w14:paraId="094F79D7" w14:textId="77777777" w:rsidR="00670EC8" w:rsidRDefault="00000000">
      <w:r>
        <w:t xml:space="preserve">CNPC, (2021). </w:t>
      </w:r>
      <w:r>
        <w:rPr>
          <w:i/>
        </w:rPr>
        <w:t xml:space="preserve">Annual Report 2020. </w:t>
      </w:r>
      <w:r>
        <w:t xml:space="preserve">Available at </w:t>
      </w:r>
      <w:hyperlink r:id="rId14">
        <w:r>
          <w:rPr>
            <w:color w:val="1155CC"/>
            <w:u w:val="single"/>
          </w:rPr>
          <w:t>https://www.cnpc.com.cn/en/2020enbvfgrme/202107/fc4d937740b146ed9999fadcc26273b4/files/61c4314b3922431caa93dcf48f02ab20.pdf</w:t>
        </w:r>
      </w:hyperlink>
      <w:r>
        <w:t xml:space="preserve"> [Accessed 13 March 2023]</w:t>
      </w:r>
    </w:p>
    <w:p w14:paraId="4901E3C4" w14:textId="77777777" w:rsidR="00670EC8" w:rsidRDefault="00000000">
      <w:r>
        <w:t xml:space="preserve">CSI Market, (2023). </w:t>
      </w:r>
      <w:r>
        <w:rPr>
          <w:i/>
        </w:rPr>
        <w:t xml:space="preserve">Chevron Growth Comparisons. </w:t>
      </w:r>
      <w:r>
        <w:t xml:space="preserve">Available at </w:t>
      </w:r>
      <w:hyperlink r:id="rId15">
        <w:r>
          <w:rPr>
            <w:color w:val="1155CC"/>
            <w:u w:val="single"/>
          </w:rPr>
          <w:t>https://csimarket.com/stocks/growthrates.php?code=CVX</w:t>
        </w:r>
      </w:hyperlink>
      <w:r>
        <w:t xml:space="preserve"> [Accessed 14 March 2023]</w:t>
      </w:r>
    </w:p>
    <w:p w14:paraId="688BB04D" w14:textId="77777777" w:rsidR="00670EC8" w:rsidRDefault="00000000">
      <w:proofErr w:type="spellStart"/>
      <w:r>
        <w:t>GlobalData</w:t>
      </w:r>
      <w:proofErr w:type="spellEnd"/>
      <w:r>
        <w:t xml:space="preserve"> Plc, (2023). </w:t>
      </w:r>
      <w:r>
        <w:rPr>
          <w:i/>
        </w:rPr>
        <w:t xml:space="preserve">China National Petroleum Corp: Overview. </w:t>
      </w:r>
      <w:r>
        <w:t xml:space="preserve">Available at </w:t>
      </w:r>
      <w:hyperlink r:id="rId16" w:anchor=":~:text=China%20National%20Petroleum%20Corp%20">
        <w:r>
          <w:rPr>
            <w:color w:val="1155CC"/>
            <w:u w:val="single"/>
          </w:rPr>
          <w:t>https://www.globaldata.com/company-profile/china-national-petroleum-</w:t>
        </w:r>
        <w:r>
          <w:rPr>
            <w:color w:val="1155CC"/>
            <w:u w:val="single"/>
          </w:rPr>
          <w:lastRenderedPageBreak/>
          <w:t>corp/#:~:text=China%20National%20Petroleum%20Corp%20</w:t>
        </w:r>
      </w:hyperlink>
      <w:r>
        <w:t>(CNPC,and%20gas%20industry%20value%20chain. [Accessed 13 March 2023]</w:t>
      </w:r>
    </w:p>
    <w:p w14:paraId="51F77741" w14:textId="77777777" w:rsidR="00670EC8" w:rsidRDefault="00000000">
      <w:r>
        <w:t xml:space="preserve">GMI, (2022). </w:t>
      </w:r>
      <w:r>
        <w:rPr>
          <w:i/>
        </w:rPr>
        <w:t xml:space="preserve">Oil &amp; Gas Infrastructure Market. </w:t>
      </w:r>
      <w:r>
        <w:t xml:space="preserve">Available at </w:t>
      </w:r>
      <w:hyperlink r:id="rId17">
        <w:r>
          <w:rPr>
            <w:color w:val="1155CC"/>
            <w:u w:val="single"/>
          </w:rPr>
          <w:t>https://www.gminsights.com/industry-analysis/oil-and-gas-infrastructure-marketv</w:t>
        </w:r>
      </w:hyperlink>
      <w:r>
        <w:t xml:space="preserve"> [Accessed 15 March 2023]</w:t>
      </w:r>
    </w:p>
    <w:p w14:paraId="1DA6C711" w14:textId="77777777" w:rsidR="00670EC8" w:rsidRDefault="00000000">
      <w:r>
        <w:rPr>
          <w:highlight w:val="white"/>
        </w:rPr>
        <w:t xml:space="preserve">Gomes, E., (2020). Mergers, acquisitions, and strategic alliances as collaborative methods of strategic development and change. </w:t>
      </w:r>
      <w:r>
        <w:rPr>
          <w:i/>
          <w:highlight w:val="white"/>
        </w:rPr>
        <w:t>Strategic Change</w:t>
      </w:r>
      <w:r>
        <w:rPr>
          <w:highlight w:val="white"/>
        </w:rPr>
        <w:t xml:space="preserve">, </w:t>
      </w:r>
      <w:r>
        <w:rPr>
          <w:i/>
          <w:highlight w:val="white"/>
        </w:rPr>
        <w:t>29</w:t>
      </w:r>
      <w:r>
        <w:rPr>
          <w:highlight w:val="white"/>
        </w:rPr>
        <w:t>(2), pp.145-148.</w:t>
      </w:r>
    </w:p>
    <w:p w14:paraId="222F9179" w14:textId="77777777" w:rsidR="00670EC8" w:rsidRDefault="00000000">
      <w:r>
        <w:t xml:space="preserve">Hofstede Insights, (2023). </w:t>
      </w:r>
      <w:r>
        <w:rPr>
          <w:i/>
        </w:rPr>
        <w:t xml:space="preserve">Country Comparison. </w:t>
      </w:r>
      <w:r>
        <w:t xml:space="preserve">Available at </w:t>
      </w:r>
      <w:hyperlink r:id="rId18">
        <w:r>
          <w:rPr>
            <w:color w:val="1155CC"/>
            <w:u w:val="single"/>
          </w:rPr>
          <w:t>https://www.hofstede-insights.com/country-comparison/china,the-usa/</w:t>
        </w:r>
      </w:hyperlink>
      <w:r>
        <w:t xml:space="preserve"> [Accessed 15 March 2023]</w:t>
      </w:r>
    </w:p>
    <w:p w14:paraId="15EC8E93" w14:textId="77777777" w:rsidR="00670EC8" w:rsidRDefault="00000000">
      <w:r>
        <w:t xml:space="preserve">Macrotrends, (2023). </w:t>
      </w:r>
      <w:r>
        <w:rPr>
          <w:i/>
        </w:rPr>
        <w:t xml:space="preserve">China GDP 1960-2023. </w:t>
      </w:r>
      <w:r>
        <w:t xml:space="preserve">Available at </w:t>
      </w:r>
      <w:hyperlink r:id="rId19">
        <w:r>
          <w:rPr>
            <w:color w:val="1155CC"/>
            <w:u w:val="single"/>
          </w:rPr>
          <w:t>https://www.macrotrends.net/countries/CHN/china/gdp-gross-domestic-product</w:t>
        </w:r>
      </w:hyperlink>
      <w:r>
        <w:t xml:space="preserve"> [Accessed 11 March 2023]</w:t>
      </w:r>
    </w:p>
    <w:p w14:paraId="2F26590C" w14:textId="77777777" w:rsidR="00670EC8" w:rsidRDefault="00000000">
      <w:r>
        <w:t xml:space="preserve">Macrotrends, (2033). </w:t>
      </w:r>
      <w:r>
        <w:rPr>
          <w:i/>
        </w:rPr>
        <w:t xml:space="preserve">Chevron: Number of Employees 2010-2022 | CVX. </w:t>
      </w:r>
      <w:r>
        <w:t xml:space="preserve">Available at </w:t>
      </w:r>
      <w:hyperlink r:id="rId20">
        <w:r>
          <w:rPr>
            <w:color w:val="1155CC"/>
            <w:u w:val="single"/>
          </w:rPr>
          <w:t>https://www.macrotrends.net/stocks/charts/CVX/chevron/number-of-employees</w:t>
        </w:r>
      </w:hyperlink>
      <w:r>
        <w:t xml:space="preserve"> [Accessed 14 March 2023]</w:t>
      </w:r>
    </w:p>
    <w:p w14:paraId="6D32EB50" w14:textId="77777777" w:rsidR="00670EC8" w:rsidRDefault="00000000">
      <w:pPr>
        <w:rPr>
          <w:highlight w:val="white"/>
        </w:rPr>
      </w:pPr>
      <w:r>
        <w:rPr>
          <w:highlight w:val="white"/>
        </w:rPr>
        <w:t xml:space="preserve">Oh, J.H. and Johnston, W.J., (2021). </w:t>
      </w:r>
      <w:proofErr w:type="gramStart"/>
      <w:r>
        <w:rPr>
          <w:highlight w:val="white"/>
        </w:rPr>
        <w:t>How</w:t>
      </w:r>
      <w:proofErr w:type="gramEnd"/>
      <w:r>
        <w:rPr>
          <w:highlight w:val="white"/>
        </w:rPr>
        <w:t xml:space="preserve"> post-merger integration duration affects merger outcomes. </w:t>
      </w:r>
      <w:r>
        <w:rPr>
          <w:i/>
          <w:highlight w:val="white"/>
        </w:rPr>
        <w:t>Journal of Business &amp; Industrial Marketing</w:t>
      </w:r>
      <w:r>
        <w:rPr>
          <w:highlight w:val="white"/>
        </w:rPr>
        <w:t xml:space="preserve">, </w:t>
      </w:r>
      <w:r>
        <w:rPr>
          <w:i/>
          <w:highlight w:val="white"/>
        </w:rPr>
        <w:t>36</w:t>
      </w:r>
      <w:r>
        <w:rPr>
          <w:highlight w:val="white"/>
        </w:rPr>
        <w:t>(5), pp.807-820.</w:t>
      </w:r>
    </w:p>
    <w:p w14:paraId="557A409E" w14:textId="77777777" w:rsidR="00670EC8" w:rsidRDefault="00000000">
      <w:r>
        <w:t xml:space="preserve">Pappas. S and </w:t>
      </w:r>
      <w:proofErr w:type="spellStart"/>
      <w:r>
        <w:t>McKelvie</w:t>
      </w:r>
      <w:proofErr w:type="spellEnd"/>
      <w:r>
        <w:t xml:space="preserve">. C., (2022). </w:t>
      </w:r>
      <w:r>
        <w:rPr>
          <w:i/>
        </w:rPr>
        <w:t xml:space="preserve">What is culture? </w:t>
      </w:r>
      <w:r>
        <w:t xml:space="preserve">Available at </w:t>
      </w:r>
      <w:hyperlink r:id="rId21">
        <w:r>
          <w:rPr>
            <w:color w:val="1155CC"/>
            <w:u w:val="single"/>
          </w:rPr>
          <w:t>https://www.livescience.com/21478-what-is-culture-definition-of-culture.html</w:t>
        </w:r>
      </w:hyperlink>
      <w:r>
        <w:t xml:space="preserve"> [Accessed 15 March 2023]</w:t>
      </w:r>
    </w:p>
    <w:p w14:paraId="4E0DBE3F" w14:textId="77777777" w:rsidR="00670EC8" w:rsidRDefault="00000000">
      <w:r>
        <w:t xml:space="preserve">PDF Education, (2021). </w:t>
      </w:r>
      <w:r>
        <w:rPr>
          <w:i/>
        </w:rPr>
        <w:t xml:space="preserve">Characteristics of International Human Resource Management (IHRM). </w:t>
      </w:r>
      <w:r>
        <w:t xml:space="preserve">Available at </w:t>
      </w:r>
      <w:hyperlink r:id="rId22">
        <w:r>
          <w:rPr>
            <w:color w:val="1155CC"/>
            <w:u w:val="single"/>
          </w:rPr>
          <w:t>https://pdfeducation.com/characteristics-of-international-human-resource-management-ihrm/</w:t>
        </w:r>
      </w:hyperlink>
      <w:r>
        <w:t xml:space="preserve"> [Accessed 15 March 2023]</w:t>
      </w:r>
    </w:p>
    <w:p w14:paraId="0048505B" w14:textId="77777777" w:rsidR="00670EC8" w:rsidRDefault="00000000">
      <w:r>
        <w:lastRenderedPageBreak/>
        <w:t xml:space="preserve">Schooley. S., (2023). </w:t>
      </w:r>
      <w:r>
        <w:rPr>
          <w:i/>
        </w:rPr>
        <w:t xml:space="preserve">What You Should Know About Company Mergers? </w:t>
      </w:r>
      <w:r>
        <w:t xml:space="preserve">Available at </w:t>
      </w:r>
      <w:hyperlink r:id="rId23">
        <w:r>
          <w:rPr>
            <w:color w:val="1155CC"/>
            <w:u w:val="single"/>
          </w:rPr>
          <w:t>https://www.businessnewsdaily.com/15786-company-mergers.html</w:t>
        </w:r>
      </w:hyperlink>
      <w:r>
        <w:t xml:space="preserve"> [Accessed 15 March 2023]</w:t>
      </w:r>
    </w:p>
    <w:p w14:paraId="713F61E3" w14:textId="77777777" w:rsidR="00670EC8" w:rsidRDefault="00000000">
      <w:proofErr w:type="spellStart"/>
      <w:r>
        <w:t>Textor</w:t>
      </w:r>
      <w:proofErr w:type="spellEnd"/>
      <w:r>
        <w:t xml:space="preserve">. C., (2023). </w:t>
      </w:r>
      <w:r>
        <w:rPr>
          <w:i/>
        </w:rPr>
        <w:t xml:space="preserve">Inflation rate in China from 2011 to 2022 with forecasts until 2027. </w:t>
      </w:r>
      <w:r>
        <w:t xml:space="preserve">Available at </w:t>
      </w:r>
      <w:hyperlink r:id="rId24">
        <w:r>
          <w:rPr>
            <w:color w:val="1155CC"/>
            <w:u w:val="single"/>
          </w:rPr>
          <w:t>https://www.statista.com/statistics/270338/inflation-rate-in-china/</w:t>
        </w:r>
      </w:hyperlink>
      <w:r>
        <w:t xml:space="preserve"> [Accessed 11 March 2023]</w:t>
      </w:r>
    </w:p>
    <w:p w14:paraId="279B2F76" w14:textId="77777777" w:rsidR="00670EC8" w:rsidRDefault="00000000">
      <w:proofErr w:type="spellStart"/>
      <w:r>
        <w:t>Textor</w:t>
      </w:r>
      <w:proofErr w:type="spellEnd"/>
      <w:r>
        <w:t xml:space="preserve">. C., (2023). </w:t>
      </w:r>
      <w:r>
        <w:rPr>
          <w:i/>
        </w:rPr>
        <w:t xml:space="preserve">Number of employed people in China from 2012 to 2022. </w:t>
      </w:r>
      <w:r>
        <w:t xml:space="preserve">Available at </w:t>
      </w:r>
      <w:hyperlink r:id="rId25">
        <w:r>
          <w:rPr>
            <w:color w:val="1155CC"/>
            <w:u w:val="single"/>
          </w:rPr>
          <w:t>https://www.statista.com/statistics/251380/number-of-employed-persons-in-china/</w:t>
        </w:r>
      </w:hyperlink>
      <w:r>
        <w:t xml:space="preserve"> [Accessed 10 March 2023]</w:t>
      </w:r>
    </w:p>
    <w:p w14:paraId="07789C9C" w14:textId="77777777" w:rsidR="00670EC8" w:rsidRDefault="00000000">
      <w:r>
        <w:t xml:space="preserve">The Global Economy, (2021). </w:t>
      </w:r>
      <w:r>
        <w:rPr>
          <w:i/>
        </w:rPr>
        <w:t xml:space="preserve">USA: Political stability. </w:t>
      </w:r>
      <w:r>
        <w:t xml:space="preserve">Available at </w:t>
      </w:r>
      <w:hyperlink r:id="rId26">
        <w:r>
          <w:rPr>
            <w:color w:val="1155CC"/>
            <w:u w:val="single"/>
          </w:rPr>
          <w:t>https://www.theglobaleconomy.com/USA/wb_political_stability/</w:t>
        </w:r>
      </w:hyperlink>
      <w:r>
        <w:t xml:space="preserve"> [Accessed 12 March 2023]</w:t>
      </w:r>
    </w:p>
    <w:p w14:paraId="391CBEE0" w14:textId="77777777" w:rsidR="00670EC8" w:rsidRDefault="00000000">
      <w:r>
        <w:t xml:space="preserve">The World Bank, (2021). </w:t>
      </w:r>
      <w:r>
        <w:rPr>
          <w:i/>
        </w:rPr>
        <w:t xml:space="preserve">GDP (current US$) - United States. </w:t>
      </w:r>
      <w:r>
        <w:t xml:space="preserve">Available at </w:t>
      </w:r>
      <w:hyperlink r:id="rId27">
        <w:r>
          <w:rPr>
            <w:color w:val="1155CC"/>
            <w:u w:val="single"/>
          </w:rPr>
          <w:t>https://data.worldbank.org/indicator/NY.GDP.MKTP.CD</w:t>
        </w:r>
      </w:hyperlink>
      <w:r>
        <w:t xml:space="preserve"> [Accessed 11 March 2023]</w:t>
      </w:r>
    </w:p>
    <w:p w14:paraId="1ED365AD" w14:textId="77777777" w:rsidR="00670EC8" w:rsidRDefault="00000000">
      <w:r>
        <w:t xml:space="preserve">The World Bank, (2021). </w:t>
      </w:r>
      <w:r>
        <w:rPr>
          <w:i/>
        </w:rPr>
        <w:t xml:space="preserve">GDP per capita (current US$) - United States. </w:t>
      </w:r>
      <w:r>
        <w:t xml:space="preserve">Available at </w:t>
      </w:r>
      <w:hyperlink r:id="rId28">
        <w:r>
          <w:rPr>
            <w:color w:val="1155CC"/>
            <w:u w:val="single"/>
          </w:rPr>
          <w:t>https://data.worldbank.org/indicator/NY.GDP.PCAP.CD?locations=US</w:t>
        </w:r>
      </w:hyperlink>
      <w:r>
        <w:t xml:space="preserve"> [Accessed 10 March 2023]</w:t>
      </w:r>
    </w:p>
    <w:p w14:paraId="2EF07092" w14:textId="77777777" w:rsidR="00670EC8" w:rsidRDefault="00000000">
      <w:r>
        <w:t xml:space="preserve">Tutor2u, (2021). </w:t>
      </w:r>
      <w:r>
        <w:rPr>
          <w:i/>
        </w:rPr>
        <w:t xml:space="preserve">Factors Explaining the Rapid Economic Growth of China </w:t>
      </w:r>
      <w:proofErr w:type="gramStart"/>
      <w:r>
        <w:rPr>
          <w:i/>
        </w:rPr>
        <w:t>In</w:t>
      </w:r>
      <w:proofErr w:type="gramEnd"/>
      <w:r>
        <w:rPr>
          <w:i/>
        </w:rPr>
        <w:t xml:space="preserve"> Recent Decades. </w:t>
      </w:r>
      <w:r>
        <w:t xml:space="preserve">Available at </w:t>
      </w:r>
      <w:hyperlink r:id="rId29">
        <w:r>
          <w:rPr>
            <w:color w:val="1155CC"/>
            <w:u w:val="single"/>
          </w:rPr>
          <w:t>https://www.tutor2u.net/geography/reference/factors-explaining-the-rapid-economic-growth-of-china-in-recent-decades</w:t>
        </w:r>
      </w:hyperlink>
      <w:r>
        <w:t xml:space="preserve"> [Accessed 12 March 2023]</w:t>
      </w:r>
    </w:p>
    <w:p w14:paraId="591B58E5" w14:textId="77777777" w:rsidR="00670EC8" w:rsidRDefault="00000000">
      <w:pPr>
        <w:rPr>
          <w:highlight w:val="white"/>
        </w:rPr>
      </w:pPr>
      <w:r>
        <w:rPr>
          <w:highlight w:val="white"/>
        </w:rPr>
        <w:t xml:space="preserve">Weber, Y., (2019). The role of organizational identity in post-merger integration. </w:t>
      </w:r>
      <w:r>
        <w:rPr>
          <w:i/>
          <w:highlight w:val="white"/>
        </w:rPr>
        <w:t>The Synergy of Business Theory and Practice: Advancing the Practical Application of Scholarly Research</w:t>
      </w:r>
      <w:r>
        <w:rPr>
          <w:highlight w:val="white"/>
        </w:rPr>
        <w:t>, pp.91-107.</w:t>
      </w:r>
    </w:p>
    <w:p w14:paraId="092E2A74" w14:textId="77777777" w:rsidR="00670EC8" w:rsidRDefault="00000000">
      <w:r>
        <w:t xml:space="preserve">World Benchmarking Alliance, (2023). </w:t>
      </w:r>
      <w:r>
        <w:rPr>
          <w:i/>
        </w:rPr>
        <w:t xml:space="preserve">China National Petroleum Corporation (CNPC). </w:t>
      </w:r>
      <w:r>
        <w:t xml:space="preserve">Available at </w:t>
      </w:r>
      <w:hyperlink r:id="rId30">
        <w:r>
          <w:rPr>
            <w:color w:val="1155CC"/>
            <w:u w:val="single"/>
          </w:rPr>
          <w:t>https://www.worldbenchmarkingalliance.org/publication/oil-and-gas/companies/china-national-petroleum-corporation-cnpc/</w:t>
        </w:r>
      </w:hyperlink>
      <w:r>
        <w:t xml:space="preserve"> [Accessed 13 March 2023]</w:t>
      </w:r>
    </w:p>
    <w:p w14:paraId="4B1F4EC6" w14:textId="77777777" w:rsidR="00670EC8" w:rsidRDefault="00670EC8">
      <w:pPr>
        <w:widowControl w:val="0"/>
        <w:pBdr>
          <w:top w:val="nil"/>
          <w:left w:val="nil"/>
          <w:bottom w:val="nil"/>
          <w:right w:val="nil"/>
          <w:between w:val="nil"/>
        </w:pBdr>
        <w:spacing w:line="276" w:lineRule="auto"/>
        <w:jc w:val="left"/>
      </w:pPr>
    </w:p>
    <w:sectPr w:rsidR="00670EC8" w:rsidSect="00563F02">
      <w:headerReference w:type="even" r:id="rId31"/>
      <w:headerReference w:type="default" r:id="rId32"/>
      <w:footerReference w:type="even" r:id="rId33"/>
      <w:footerReference w:type="default" r:id="rId34"/>
      <w:headerReference w:type="first" r:id="rId35"/>
      <w:footerReference w:type="first" r:id="rId36"/>
      <w:pgSz w:w="11906" w:h="16838" w:code="9"/>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B403DC" w14:textId="77777777" w:rsidR="005508C9" w:rsidRDefault="005508C9" w:rsidP="00563F02">
      <w:pPr>
        <w:spacing w:line="240" w:lineRule="auto"/>
      </w:pPr>
      <w:r>
        <w:separator/>
      </w:r>
    </w:p>
  </w:endnote>
  <w:endnote w:type="continuationSeparator" w:id="0">
    <w:p w14:paraId="34E5DE99" w14:textId="77777777" w:rsidR="005508C9" w:rsidRDefault="005508C9" w:rsidP="00563F0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289E1C" w14:textId="77777777" w:rsidR="00075A82" w:rsidRDefault="00075A8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97379451"/>
      <w:docPartObj>
        <w:docPartGallery w:val="Page Numbers (Bottom of Page)"/>
        <w:docPartUnique/>
      </w:docPartObj>
    </w:sdtPr>
    <w:sdtContent>
      <w:sdt>
        <w:sdtPr>
          <w:id w:val="-1769616900"/>
          <w:docPartObj>
            <w:docPartGallery w:val="Page Numbers (Top of Page)"/>
            <w:docPartUnique/>
          </w:docPartObj>
        </w:sdtPr>
        <w:sdtContent>
          <w:p w14:paraId="373CEBE6" w14:textId="2F975980" w:rsidR="00563F02" w:rsidRDefault="00563F02">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34DFE933" w14:textId="77777777" w:rsidR="00563F02" w:rsidRDefault="00563F0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DFF558" w14:textId="77777777" w:rsidR="00075A82" w:rsidRDefault="00075A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6465F9" w14:textId="77777777" w:rsidR="005508C9" w:rsidRDefault="005508C9" w:rsidP="00563F02">
      <w:pPr>
        <w:spacing w:line="240" w:lineRule="auto"/>
      </w:pPr>
      <w:r>
        <w:separator/>
      </w:r>
    </w:p>
  </w:footnote>
  <w:footnote w:type="continuationSeparator" w:id="0">
    <w:p w14:paraId="0782575E" w14:textId="77777777" w:rsidR="005508C9" w:rsidRDefault="005508C9" w:rsidP="00563F02">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B89224" w14:textId="77777777" w:rsidR="00075A82" w:rsidRDefault="00075A8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7F451D" w14:textId="77777777" w:rsidR="00563F02" w:rsidRDefault="00563F0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1AD411" w14:textId="77777777" w:rsidR="00075A82" w:rsidRDefault="00075A8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70EC8"/>
    <w:rsid w:val="00075A82"/>
    <w:rsid w:val="001902C5"/>
    <w:rsid w:val="003C56D0"/>
    <w:rsid w:val="005508C9"/>
    <w:rsid w:val="00563F02"/>
    <w:rsid w:val="0064217B"/>
    <w:rsid w:val="00670EC8"/>
    <w:rsid w:val="008D6376"/>
    <w:rsid w:val="00AF4D24"/>
    <w:rsid w:val="00B933E5"/>
    <w:rsid w:val="00BD1741"/>
    <w:rsid w:val="00E96070"/>
    <w:rsid w:val="00FB6BAC"/>
  </w:rsids>
  <m:mathPr>
    <m:mathFont m:val="Cambria Math"/>
    <m:brkBin m:val="before"/>
    <m:brkBinSub m:val="--"/>
    <m:smallFrac m:val="0"/>
    <m:dispDef/>
    <m:lMargin m:val="0"/>
    <m:rMargin m:val="0"/>
    <m:defJc m:val="centerGroup"/>
    <m:wrapIndent m:val="1440"/>
    <m:intLim m:val="subSup"/>
    <m:naryLim m:val="undOvr"/>
  </m:mathPr>
  <w:themeFontLang w:val="en-IN" w:eastAsia="zh-C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BD0237"/>
  <w15:docId w15:val="{89CA3A14-C8E8-4849-9011-DBB22D3B13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IN"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unhideWhenUsed/>
    <w:qFormat/>
    <w:pPr>
      <w:keepNext/>
      <w:keepLines/>
      <w:spacing w:before="360" w:after="120"/>
      <w:outlineLvl w:val="1"/>
    </w:pPr>
    <w:rPr>
      <w:b/>
      <w:sz w:val="26"/>
      <w:szCs w:val="26"/>
    </w:rPr>
  </w:style>
  <w:style w:type="paragraph" w:styleId="Heading3">
    <w:name w:val="heading 3"/>
    <w:basedOn w:val="Normal"/>
    <w:next w:val="Normal"/>
    <w:uiPriority w:val="9"/>
    <w:semiHidden/>
    <w:unhideWhenUsed/>
    <w:qFormat/>
    <w:pPr>
      <w:keepNext/>
      <w:keepLines/>
      <w:spacing w:before="320" w:after="80"/>
      <w:outlineLvl w:val="2"/>
    </w:pPr>
    <w:rPr>
      <w:i/>
      <w:color w:val="434343"/>
      <w:u w:val="single"/>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Header">
    <w:name w:val="header"/>
    <w:basedOn w:val="Normal"/>
    <w:link w:val="HeaderChar"/>
    <w:uiPriority w:val="99"/>
    <w:unhideWhenUsed/>
    <w:rsid w:val="00563F02"/>
    <w:pPr>
      <w:tabs>
        <w:tab w:val="center" w:pos="4513"/>
        <w:tab w:val="right" w:pos="9026"/>
      </w:tabs>
      <w:spacing w:line="240" w:lineRule="auto"/>
    </w:pPr>
  </w:style>
  <w:style w:type="character" w:customStyle="1" w:styleId="HeaderChar">
    <w:name w:val="Header Char"/>
    <w:basedOn w:val="DefaultParagraphFont"/>
    <w:link w:val="Header"/>
    <w:uiPriority w:val="99"/>
    <w:rsid w:val="00563F02"/>
  </w:style>
  <w:style w:type="paragraph" w:styleId="Footer">
    <w:name w:val="footer"/>
    <w:basedOn w:val="Normal"/>
    <w:link w:val="FooterChar"/>
    <w:uiPriority w:val="99"/>
    <w:unhideWhenUsed/>
    <w:rsid w:val="00563F02"/>
    <w:pPr>
      <w:tabs>
        <w:tab w:val="center" w:pos="4513"/>
        <w:tab w:val="right" w:pos="9026"/>
      </w:tabs>
      <w:spacing w:line="240" w:lineRule="auto"/>
    </w:pPr>
  </w:style>
  <w:style w:type="character" w:customStyle="1" w:styleId="FooterChar">
    <w:name w:val="Footer Char"/>
    <w:basedOn w:val="DefaultParagraphFont"/>
    <w:link w:val="Footer"/>
    <w:uiPriority w:val="99"/>
    <w:rsid w:val="00563F02"/>
  </w:style>
  <w:style w:type="paragraph" w:styleId="TOCHeading">
    <w:name w:val="TOC Heading"/>
    <w:basedOn w:val="Heading1"/>
    <w:next w:val="Normal"/>
    <w:uiPriority w:val="39"/>
    <w:unhideWhenUsed/>
    <w:qFormat/>
    <w:rsid w:val="00FB6BAC"/>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FB6BAC"/>
    <w:pPr>
      <w:spacing w:after="100"/>
    </w:pPr>
  </w:style>
  <w:style w:type="paragraph" w:styleId="TOC2">
    <w:name w:val="toc 2"/>
    <w:basedOn w:val="Normal"/>
    <w:next w:val="Normal"/>
    <w:autoRedefine/>
    <w:uiPriority w:val="39"/>
    <w:unhideWhenUsed/>
    <w:rsid w:val="00FB6BAC"/>
    <w:pPr>
      <w:spacing w:after="100"/>
      <w:ind w:left="240"/>
    </w:pPr>
  </w:style>
  <w:style w:type="character" w:styleId="Hyperlink">
    <w:name w:val="Hyperlink"/>
    <w:basedOn w:val="DefaultParagraphFont"/>
    <w:uiPriority w:val="99"/>
    <w:unhideWhenUsed/>
    <w:rsid w:val="00FB6BAC"/>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chevron.com/worldwide/united-states" TargetMode="External"/><Relationship Id="rId18" Type="http://schemas.openxmlformats.org/officeDocument/2006/relationships/hyperlink" Target="https://www.hofstede-insights.com/country-comparison/china,the-usa/" TargetMode="External"/><Relationship Id="rId26" Type="http://schemas.openxmlformats.org/officeDocument/2006/relationships/hyperlink" Target="https://www.theglobaleconomy.com/USA/wb_political_stability/" TargetMode="External"/><Relationship Id="rId3" Type="http://schemas.openxmlformats.org/officeDocument/2006/relationships/settings" Target="settings.xml"/><Relationship Id="rId21" Type="http://schemas.openxmlformats.org/officeDocument/2006/relationships/hyperlink" Target="https://www.livescience.com/21478-what-is-culture-definition-of-culture.html" TargetMode="External"/><Relationship Id="rId34" Type="http://schemas.openxmlformats.org/officeDocument/2006/relationships/footer" Target="footer2.xml"/><Relationship Id="rId7" Type="http://schemas.openxmlformats.org/officeDocument/2006/relationships/image" Target="media/image1.png"/><Relationship Id="rId12" Type="http://schemas.openxmlformats.org/officeDocument/2006/relationships/hyperlink" Target="https://corporatefinanceinstitute.com/resources/management/hofstedes-cultural-dimensions-theory/" TargetMode="External"/><Relationship Id="rId17" Type="http://schemas.openxmlformats.org/officeDocument/2006/relationships/hyperlink" Target="https://www.gminsights.com/industry-analysis/oil-and-gas-infrastructure-marketv" TargetMode="External"/><Relationship Id="rId25" Type="http://schemas.openxmlformats.org/officeDocument/2006/relationships/hyperlink" Target="https://www.statista.com/statistics/251380/number-of-employed-persons-in-china/" TargetMode="External"/><Relationship Id="rId33" Type="http://schemas.openxmlformats.org/officeDocument/2006/relationships/footer" Target="footer1.xm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globaldata.com/company-profile/china-national-petroleum-corp/" TargetMode="External"/><Relationship Id="rId20" Type="http://schemas.openxmlformats.org/officeDocument/2006/relationships/hyperlink" Target="https://www.macrotrends.net/stocks/charts/CVX/chevron/number-of-employees" TargetMode="External"/><Relationship Id="rId29" Type="http://schemas.openxmlformats.org/officeDocument/2006/relationships/hyperlink" Target="https://www.tutor2u.net/geography/reference/factors-explaining-the-rapid-economic-growth-of-china-in-recent-decades"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alfraconsulting.eu/benefits-of-organizational-culture/" TargetMode="External"/><Relationship Id="rId24" Type="http://schemas.openxmlformats.org/officeDocument/2006/relationships/hyperlink" Target="https://www.statista.com/statistics/270338/inflation-rate-in-china/" TargetMode="External"/><Relationship Id="rId32" Type="http://schemas.openxmlformats.org/officeDocument/2006/relationships/header" Target="header2.xml"/><Relationship Id="rId37"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csimarket.com/stocks/growthrates.php?code=CVX" TargetMode="External"/><Relationship Id="rId23" Type="http://schemas.openxmlformats.org/officeDocument/2006/relationships/hyperlink" Target="https://www.businessnewsdaily.com/15786-company-mergers.html" TargetMode="External"/><Relationship Id="rId28" Type="http://schemas.openxmlformats.org/officeDocument/2006/relationships/hyperlink" Target="https://data.worldbank.org/indicator/NY.GDP.PCAP.CD?locations=US" TargetMode="External"/><Relationship Id="rId36" Type="http://schemas.openxmlformats.org/officeDocument/2006/relationships/footer" Target="footer3.xml"/><Relationship Id="rId10" Type="http://schemas.openxmlformats.org/officeDocument/2006/relationships/hyperlink" Target="https://www.statista.com/statistics/269079/revenue-of-chevron/" TargetMode="External"/><Relationship Id="rId19" Type="http://schemas.openxmlformats.org/officeDocument/2006/relationships/hyperlink" Target="https://www.macrotrends.net/countries/CHN/china/gdp-gross-domestic-product" TargetMode="External"/><Relationship Id="rId31"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cnpc.com.cn/en/2020enbvfgrme/202107/fc4d937740b146ed9999fadcc26273b4/files/61c4314b3922431caa93dcf48f02ab20.pdf" TargetMode="External"/><Relationship Id="rId22" Type="http://schemas.openxmlformats.org/officeDocument/2006/relationships/hyperlink" Target="https://pdfeducation.com/characteristics-of-international-human-resource-management-ihrm/" TargetMode="External"/><Relationship Id="rId27" Type="http://schemas.openxmlformats.org/officeDocument/2006/relationships/hyperlink" Target="https://data.worldbank.org/indicator/NY.GDP.MKTP.CD" TargetMode="External"/><Relationship Id="rId30" Type="http://schemas.openxmlformats.org/officeDocument/2006/relationships/hyperlink" Target="https://www.worldbenchmarkingalliance.org/publication/oil-and-gas/companies/china-national-petroleum-corporation-cnpc/" TargetMode="External"/><Relationship Id="rId35"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36CF66B-B234-4820-841F-1977D73BCF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16</Pages>
  <Words>3303</Words>
  <Characters>18832</Characters>
  <Application>Microsoft Office Word</Application>
  <DocSecurity>0</DocSecurity>
  <Lines>156</Lines>
  <Paragraphs>44</Paragraphs>
  <ScaleCrop>false</ScaleCrop>
  <Company/>
  <LinksUpToDate>false</LinksUpToDate>
  <CharactersWithSpaces>22091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Dan Aurelian Dumitru (2025728)</dc:creator>
  <cp:lastModifiedBy>Dan Aurelian Dumitru (2025728)</cp:lastModifiedBy>
  <cp:revision>2</cp:revision>
  <dcterms:created xsi:type="dcterms:W3CDTF">2023-04-02T08:58:00Z</dcterms:created>
  <dcterms:modified xsi:type="dcterms:W3CDTF">2023-04-02T08:58:00Z</dcterms:modified>
</cp:coreProperties>
</file>