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A0617D" w14:textId="77777777" w:rsidR="00264C56" w:rsidRPr="00264C56" w:rsidRDefault="00264C56" w:rsidP="00264C56">
      <w:pPr>
        <w:spacing w:line="360" w:lineRule="auto"/>
        <w:jc w:val="center"/>
        <w:rPr>
          <w:rFonts w:ascii="Arial" w:eastAsia="SimSun" w:hAnsi="Arial" w:cs="Times New Roman"/>
          <w:b/>
          <w:bCs/>
          <w:lang w:eastAsia="ja-JP"/>
        </w:rPr>
      </w:pPr>
      <w:r w:rsidRPr="00264C56">
        <w:rPr>
          <w:rFonts w:ascii="Arial" w:eastAsia="SimSun" w:hAnsi="Arial" w:cs="Times New Roman"/>
          <w:b/>
          <w:bCs/>
          <w:lang w:eastAsia="ja-JP"/>
        </w:rPr>
        <w:t xml:space="preserve">Programme: </w:t>
      </w:r>
      <w:r w:rsidRPr="00264C56">
        <w:rPr>
          <w:rFonts w:ascii="Arial" w:eastAsia="SimSun" w:hAnsi="Arial" w:cs="Times New Roman"/>
          <w:lang w:eastAsia="ja-JP"/>
        </w:rPr>
        <w:t>Certificate of Higher Education in Health and Social Care</w:t>
      </w:r>
    </w:p>
    <w:p w14:paraId="4EC8B314" w14:textId="77777777" w:rsidR="00264C56" w:rsidRPr="00264C56" w:rsidRDefault="00264C56" w:rsidP="00264C56">
      <w:pPr>
        <w:spacing w:line="360" w:lineRule="auto"/>
        <w:jc w:val="center"/>
        <w:rPr>
          <w:rFonts w:ascii="Arial" w:eastAsia="SimSun" w:hAnsi="Arial" w:cs="Times New Roman"/>
          <w:lang w:eastAsia="ja-JP"/>
        </w:rPr>
      </w:pPr>
      <w:r w:rsidRPr="00264C56">
        <w:rPr>
          <w:rFonts w:ascii="Arial" w:eastAsia="SimSun" w:hAnsi="Arial" w:cs="Times New Roman"/>
          <w:b/>
          <w:bCs/>
          <w:lang w:eastAsia="ja-JP"/>
        </w:rPr>
        <w:t>Student Name:</w:t>
      </w:r>
      <w:r w:rsidRPr="00264C56">
        <w:rPr>
          <w:rFonts w:ascii="Arial" w:eastAsia="SimSun" w:hAnsi="Arial" w:cs="Times New Roman"/>
          <w:lang w:eastAsia="ja-JP"/>
        </w:rPr>
        <w:t xml:space="preserve"> Ria O'Shaughnessy </w:t>
      </w:r>
    </w:p>
    <w:p w14:paraId="048AE8BA" w14:textId="77777777" w:rsidR="00264C56" w:rsidRPr="00264C56" w:rsidRDefault="00264C56" w:rsidP="00264C56">
      <w:pPr>
        <w:spacing w:line="360" w:lineRule="auto"/>
        <w:jc w:val="center"/>
        <w:rPr>
          <w:rFonts w:ascii="Arial" w:eastAsia="SimSun" w:hAnsi="Arial" w:cs="Times New Roman"/>
          <w:lang w:eastAsia="ja-JP"/>
        </w:rPr>
      </w:pPr>
      <w:r w:rsidRPr="00264C56">
        <w:rPr>
          <w:rFonts w:ascii="Arial" w:eastAsia="SimSun" w:hAnsi="Arial" w:cs="Times New Roman"/>
          <w:b/>
          <w:bCs/>
          <w:lang w:eastAsia="ja-JP"/>
        </w:rPr>
        <w:t xml:space="preserve">Student Number: </w:t>
      </w:r>
      <w:r w:rsidRPr="00264C56">
        <w:rPr>
          <w:rFonts w:ascii="Arial" w:eastAsia="SimSun" w:hAnsi="Arial" w:cs="Times New Roman"/>
          <w:lang w:eastAsia="ja-JP"/>
        </w:rPr>
        <w:t>2437847</w:t>
      </w:r>
    </w:p>
    <w:p w14:paraId="600ECE9B" w14:textId="77777777" w:rsidR="00264C56" w:rsidRPr="00264C56" w:rsidRDefault="00264C56" w:rsidP="00264C56">
      <w:pPr>
        <w:spacing w:line="360" w:lineRule="auto"/>
        <w:jc w:val="center"/>
        <w:rPr>
          <w:rFonts w:ascii="Arial" w:eastAsia="SimSun" w:hAnsi="Arial" w:cs="Times New Roman"/>
          <w:b/>
          <w:bCs/>
          <w:lang w:eastAsia="ja-JP"/>
        </w:rPr>
      </w:pPr>
      <w:r w:rsidRPr="00264C56">
        <w:rPr>
          <w:rFonts w:ascii="Arial" w:eastAsia="SimSun" w:hAnsi="Arial" w:cs="Times New Roman"/>
          <w:b/>
          <w:bCs/>
          <w:lang w:eastAsia="ja-JP"/>
        </w:rPr>
        <w:t xml:space="preserve">Module: </w:t>
      </w:r>
      <w:r w:rsidRPr="00264C56">
        <w:rPr>
          <w:rFonts w:ascii="Arial" w:eastAsia="SimSun" w:hAnsi="Arial" w:cs="Times New Roman"/>
          <w:lang w:eastAsia="ja-JP"/>
        </w:rPr>
        <w:t>Psychology in Health and Social Care</w:t>
      </w:r>
    </w:p>
    <w:p w14:paraId="33190280" w14:textId="77777777" w:rsidR="00264C56" w:rsidRPr="00264C56" w:rsidRDefault="00264C56" w:rsidP="00264C56">
      <w:pPr>
        <w:spacing w:line="360" w:lineRule="auto"/>
        <w:jc w:val="center"/>
        <w:rPr>
          <w:rFonts w:ascii="Arial" w:eastAsia="SimSun" w:hAnsi="Arial" w:cs="Times New Roman"/>
          <w:b/>
          <w:bCs/>
          <w:lang w:val="fr-FR" w:eastAsia="ja-JP"/>
        </w:rPr>
      </w:pPr>
      <w:r w:rsidRPr="00264C56">
        <w:rPr>
          <w:rFonts w:ascii="Arial" w:eastAsia="SimSun" w:hAnsi="Arial" w:cs="Times New Roman"/>
          <w:b/>
          <w:bCs/>
          <w:lang w:val="fr-FR" w:eastAsia="ja-JP"/>
        </w:rPr>
        <w:t xml:space="preserve">Module code: </w:t>
      </w:r>
      <w:r w:rsidRPr="00264C56">
        <w:rPr>
          <w:rFonts w:ascii="Arial" w:eastAsia="SimSun" w:hAnsi="Arial" w:cs="Times New Roman"/>
          <w:lang w:val="fr-FR" w:eastAsia="ja-JP"/>
        </w:rPr>
        <w:t>LCHS401</w:t>
      </w:r>
    </w:p>
    <w:p w14:paraId="6181BB72" w14:textId="77777777" w:rsidR="00264C56" w:rsidRPr="00264C56" w:rsidRDefault="00264C56" w:rsidP="00264C56">
      <w:pPr>
        <w:spacing w:line="360" w:lineRule="auto"/>
        <w:jc w:val="center"/>
        <w:rPr>
          <w:rFonts w:ascii="Arial" w:eastAsia="SimSun" w:hAnsi="Arial" w:cs="Times New Roman"/>
          <w:b/>
          <w:bCs/>
          <w:lang w:val="fr-FR" w:eastAsia="ja-JP"/>
        </w:rPr>
      </w:pPr>
      <w:proofErr w:type="spellStart"/>
      <w:r w:rsidRPr="00264C56">
        <w:rPr>
          <w:rFonts w:ascii="Arial" w:eastAsia="SimSun" w:hAnsi="Arial" w:cs="Times New Roman"/>
          <w:b/>
          <w:bCs/>
          <w:lang w:val="fr-FR" w:eastAsia="ja-JP"/>
        </w:rPr>
        <w:t>Lecturer</w:t>
      </w:r>
      <w:proofErr w:type="spellEnd"/>
      <w:r w:rsidRPr="00264C56">
        <w:rPr>
          <w:rFonts w:ascii="Arial" w:eastAsia="SimSun" w:hAnsi="Arial" w:cs="Times New Roman"/>
          <w:b/>
          <w:bCs/>
          <w:lang w:val="fr-FR" w:eastAsia="ja-JP"/>
        </w:rPr>
        <w:t xml:space="preserve">: </w:t>
      </w:r>
      <w:r w:rsidRPr="00264C56">
        <w:rPr>
          <w:rFonts w:ascii="Arial" w:eastAsia="SimSun" w:hAnsi="Arial" w:cs="Times New Roman"/>
          <w:lang w:val="fr-FR" w:eastAsia="ja-JP"/>
        </w:rPr>
        <w:t xml:space="preserve">Farah </w:t>
      </w:r>
      <w:proofErr w:type="spellStart"/>
      <w:r w:rsidRPr="00264C56">
        <w:rPr>
          <w:rFonts w:ascii="Arial" w:eastAsia="SimSun" w:hAnsi="Arial" w:cs="Times New Roman"/>
          <w:lang w:val="fr-FR" w:eastAsia="ja-JP"/>
        </w:rPr>
        <w:t>Wiita</w:t>
      </w:r>
      <w:proofErr w:type="spellEnd"/>
      <w:r w:rsidRPr="00264C56">
        <w:rPr>
          <w:rFonts w:ascii="Arial" w:eastAsia="SimSun" w:hAnsi="Arial" w:cs="Times New Roman"/>
          <w:b/>
          <w:bCs/>
          <w:lang w:val="fr-FR" w:eastAsia="ja-JP"/>
        </w:rPr>
        <w:t xml:space="preserve"> </w:t>
      </w:r>
    </w:p>
    <w:p w14:paraId="4900E12D" w14:textId="77777777" w:rsidR="00264C56" w:rsidRPr="00264C56" w:rsidRDefault="00264C56" w:rsidP="00264C56">
      <w:pPr>
        <w:spacing w:line="360" w:lineRule="auto"/>
        <w:jc w:val="center"/>
        <w:rPr>
          <w:rFonts w:ascii="Arial" w:eastAsia="SimSun" w:hAnsi="Arial" w:cs="Times New Roman"/>
          <w:b/>
          <w:bCs/>
          <w:lang w:eastAsia="ja-JP"/>
        </w:rPr>
      </w:pPr>
      <w:r w:rsidRPr="00264C56">
        <w:rPr>
          <w:rFonts w:ascii="Arial" w:eastAsia="SimSun" w:hAnsi="Arial" w:cs="Times New Roman"/>
          <w:b/>
          <w:bCs/>
          <w:lang w:eastAsia="ja-JP"/>
        </w:rPr>
        <w:t xml:space="preserve">Assessment 2: </w:t>
      </w:r>
      <w:r w:rsidRPr="00264C56">
        <w:rPr>
          <w:rFonts w:ascii="Arial" w:eastAsia="SimSun" w:hAnsi="Arial" w:cs="Times New Roman"/>
          <w:lang w:eastAsia="ja-JP"/>
        </w:rPr>
        <w:t>Bibliography &amp; report</w:t>
      </w:r>
    </w:p>
    <w:p w14:paraId="2F079C66" w14:textId="5207CA3F" w:rsidR="00264C56" w:rsidRDefault="00264C56" w:rsidP="00264C56">
      <w:pPr>
        <w:spacing w:line="360" w:lineRule="auto"/>
        <w:jc w:val="center"/>
        <w:rPr>
          <w:rFonts w:ascii="Arial" w:hAnsi="Arial" w:cs="Arial"/>
        </w:rPr>
      </w:pPr>
    </w:p>
    <w:p w14:paraId="0FE6C0E2" w14:textId="22826A75" w:rsidR="00264C56" w:rsidRDefault="00264C56" w:rsidP="00264C56">
      <w:pPr>
        <w:spacing w:line="360" w:lineRule="auto"/>
        <w:jc w:val="center"/>
        <w:rPr>
          <w:rFonts w:ascii="Arial" w:hAnsi="Arial" w:cs="Arial"/>
        </w:rPr>
      </w:pPr>
    </w:p>
    <w:p w14:paraId="003AC181" w14:textId="691E31C6" w:rsidR="00264C56" w:rsidRDefault="00264C56" w:rsidP="00264C56">
      <w:pPr>
        <w:spacing w:line="360" w:lineRule="auto"/>
        <w:jc w:val="center"/>
        <w:rPr>
          <w:rFonts w:ascii="Arial" w:hAnsi="Arial" w:cs="Arial"/>
        </w:rPr>
      </w:pPr>
    </w:p>
    <w:p w14:paraId="466876D0" w14:textId="30A2D16C" w:rsidR="00264C56" w:rsidRDefault="00264C56" w:rsidP="00264C56">
      <w:pPr>
        <w:spacing w:line="360" w:lineRule="auto"/>
        <w:jc w:val="center"/>
        <w:rPr>
          <w:rFonts w:ascii="Arial" w:hAnsi="Arial" w:cs="Arial"/>
        </w:rPr>
      </w:pPr>
    </w:p>
    <w:p w14:paraId="7148D720" w14:textId="1271DDFD" w:rsidR="00264C56" w:rsidRDefault="00264C56" w:rsidP="00264C56">
      <w:pPr>
        <w:spacing w:line="360" w:lineRule="auto"/>
        <w:jc w:val="center"/>
        <w:rPr>
          <w:rFonts w:ascii="Arial" w:hAnsi="Arial" w:cs="Arial"/>
        </w:rPr>
      </w:pPr>
    </w:p>
    <w:p w14:paraId="355DF406" w14:textId="70675E19" w:rsidR="00264C56" w:rsidRDefault="00264C56" w:rsidP="00264C56">
      <w:pPr>
        <w:spacing w:line="360" w:lineRule="auto"/>
        <w:jc w:val="center"/>
        <w:rPr>
          <w:rFonts w:ascii="Arial" w:hAnsi="Arial" w:cs="Arial"/>
        </w:rPr>
      </w:pPr>
    </w:p>
    <w:p w14:paraId="4891CFB4" w14:textId="1CDA1884" w:rsidR="00264C56" w:rsidRDefault="00264C56" w:rsidP="00264C56">
      <w:pPr>
        <w:spacing w:line="360" w:lineRule="auto"/>
        <w:jc w:val="center"/>
        <w:rPr>
          <w:rFonts w:ascii="Arial" w:hAnsi="Arial" w:cs="Arial"/>
        </w:rPr>
      </w:pPr>
    </w:p>
    <w:p w14:paraId="75EB378C" w14:textId="5BBEED85" w:rsidR="00264C56" w:rsidRDefault="00264C56" w:rsidP="00264C56">
      <w:pPr>
        <w:spacing w:line="360" w:lineRule="auto"/>
        <w:jc w:val="center"/>
        <w:rPr>
          <w:rFonts w:ascii="Arial" w:hAnsi="Arial" w:cs="Arial"/>
        </w:rPr>
      </w:pPr>
    </w:p>
    <w:p w14:paraId="46AAE44D" w14:textId="250547C6" w:rsidR="00264C56" w:rsidRDefault="00264C56" w:rsidP="00264C56">
      <w:pPr>
        <w:spacing w:line="360" w:lineRule="auto"/>
        <w:jc w:val="center"/>
        <w:rPr>
          <w:rFonts w:ascii="Arial" w:hAnsi="Arial" w:cs="Arial"/>
        </w:rPr>
      </w:pPr>
    </w:p>
    <w:p w14:paraId="569F3CB0" w14:textId="35E809E6" w:rsidR="00264C56" w:rsidRDefault="00264C56" w:rsidP="00264C56">
      <w:pPr>
        <w:spacing w:line="360" w:lineRule="auto"/>
        <w:jc w:val="center"/>
        <w:rPr>
          <w:rFonts w:ascii="Arial" w:hAnsi="Arial" w:cs="Arial"/>
        </w:rPr>
      </w:pPr>
    </w:p>
    <w:p w14:paraId="21D08DDB" w14:textId="58DEC11B" w:rsidR="00264C56" w:rsidRDefault="00264C56" w:rsidP="00264C56">
      <w:pPr>
        <w:spacing w:line="360" w:lineRule="auto"/>
        <w:jc w:val="center"/>
        <w:rPr>
          <w:rFonts w:ascii="Arial" w:hAnsi="Arial" w:cs="Arial"/>
        </w:rPr>
      </w:pPr>
    </w:p>
    <w:p w14:paraId="74A30BA3" w14:textId="2E025C75" w:rsidR="00264C56" w:rsidRDefault="00264C56" w:rsidP="00264C56">
      <w:pPr>
        <w:spacing w:line="360" w:lineRule="auto"/>
        <w:jc w:val="center"/>
        <w:rPr>
          <w:rFonts w:ascii="Arial" w:hAnsi="Arial" w:cs="Arial"/>
        </w:rPr>
      </w:pPr>
    </w:p>
    <w:p w14:paraId="2BA1D23E" w14:textId="7A0B50EA" w:rsidR="00264C56" w:rsidRDefault="00264C56" w:rsidP="00264C56">
      <w:pPr>
        <w:spacing w:line="360" w:lineRule="auto"/>
        <w:jc w:val="center"/>
        <w:rPr>
          <w:rFonts w:ascii="Arial" w:hAnsi="Arial" w:cs="Arial"/>
        </w:rPr>
      </w:pPr>
    </w:p>
    <w:p w14:paraId="1F2C0A49" w14:textId="77934DEF" w:rsidR="00264C56" w:rsidRDefault="00264C56" w:rsidP="00264C56">
      <w:pPr>
        <w:spacing w:line="360" w:lineRule="auto"/>
        <w:jc w:val="center"/>
        <w:rPr>
          <w:rFonts w:ascii="Arial" w:hAnsi="Arial" w:cs="Arial"/>
        </w:rPr>
      </w:pPr>
    </w:p>
    <w:p w14:paraId="3AA219D6" w14:textId="73C1FB18" w:rsidR="00264C56" w:rsidRDefault="00264C56" w:rsidP="00264C56">
      <w:pPr>
        <w:spacing w:line="360" w:lineRule="auto"/>
        <w:rPr>
          <w:rFonts w:ascii="Arial" w:hAnsi="Arial" w:cs="Arial"/>
        </w:rPr>
      </w:pPr>
    </w:p>
    <w:p w14:paraId="73CAC2C0" w14:textId="77777777" w:rsidR="00264C56" w:rsidRDefault="00264C56" w:rsidP="00264C56">
      <w:pPr>
        <w:spacing w:line="360" w:lineRule="auto"/>
        <w:rPr>
          <w:rFonts w:ascii="Arial" w:hAnsi="Arial" w:cs="Arial"/>
        </w:rPr>
      </w:pPr>
    </w:p>
    <w:p w14:paraId="03085AAF" w14:textId="728B9575" w:rsidR="00264C56" w:rsidRDefault="00264C56" w:rsidP="00264C56">
      <w:pPr>
        <w:spacing w:line="360" w:lineRule="auto"/>
        <w:jc w:val="center"/>
        <w:rPr>
          <w:rFonts w:ascii="Arial" w:hAnsi="Arial" w:cs="Arial"/>
        </w:rPr>
      </w:pPr>
    </w:p>
    <w:p w14:paraId="0C37345D" w14:textId="3CE07A99" w:rsidR="00264C56" w:rsidRDefault="00264C56" w:rsidP="00264C56">
      <w:pPr>
        <w:spacing w:line="360" w:lineRule="auto"/>
        <w:rPr>
          <w:rFonts w:ascii="Arial" w:hAnsi="Arial" w:cs="Arial"/>
        </w:rPr>
      </w:pPr>
    </w:p>
    <w:p w14:paraId="687098DA" w14:textId="77777777" w:rsidR="00264C56" w:rsidRPr="00264C56" w:rsidRDefault="00264C56" w:rsidP="00264C56">
      <w:pPr>
        <w:spacing w:line="360" w:lineRule="auto"/>
        <w:jc w:val="center"/>
        <w:rPr>
          <w:rFonts w:ascii="Arial" w:hAnsi="Arial" w:cs="Arial"/>
        </w:rPr>
      </w:pPr>
    </w:p>
    <w:p w14:paraId="3AE4F0D3" w14:textId="77777777" w:rsidR="00264C56" w:rsidRPr="00264C56" w:rsidRDefault="00264C56" w:rsidP="00264C56">
      <w:pPr>
        <w:spacing w:line="360" w:lineRule="auto"/>
        <w:rPr>
          <w:rFonts w:ascii="Arial" w:hAnsi="Arial" w:cs="Arial"/>
          <w:b/>
          <w:bCs/>
        </w:rPr>
      </w:pPr>
      <w:r w:rsidRPr="00264C56">
        <w:rPr>
          <w:rFonts w:ascii="Arial" w:hAnsi="Arial" w:cs="Arial"/>
          <w:b/>
          <w:bCs/>
        </w:rPr>
        <w:lastRenderedPageBreak/>
        <w:t>Part A: Annotated Bibliography</w:t>
      </w:r>
    </w:p>
    <w:p w14:paraId="7BF79B4D" w14:textId="77777777" w:rsidR="00264C56" w:rsidRPr="00264C56" w:rsidRDefault="00264C56" w:rsidP="00264C56">
      <w:pPr>
        <w:spacing w:line="360" w:lineRule="auto"/>
        <w:rPr>
          <w:rFonts w:ascii="Arial" w:hAnsi="Arial" w:cs="Arial"/>
        </w:rPr>
      </w:pPr>
      <w:r w:rsidRPr="00264C56">
        <w:rPr>
          <w:rFonts w:ascii="Arial" w:hAnsi="Arial" w:cs="Arial"/>
        </w:rPr>
        <w:t>Psychological theories are useful in health and social care because they help professionals understand the emotional and social needs of older adults. This annotated bibliography focuses on two theories from the module: Erikson’s psychosocial theory and Maslow’s hierarchy of needs. These were chosen because both are relevant to adult development and wellbeing, but they explain later life in different ways. Erikson’s theory helps explain reflection, identity and emotional adjustment in older age, while Maslow’s theory shows how different needs affect wellbeing in later life.</w:t>
      </w:r>
    </w:p>
    <w:p w14:paraId="650DD234" w14:textId="77777777" w:rsidR="00264C56" w:rsidRPr="00264C56" w:rsidRDefault="00264C56" w:rsidP="00264C56">
      <w:pPr>
        <w:spacing w:line="360" w:lineRule="auto"/>
        <w:rPr>
          <w:rFonts w:ascii="Arial" w:hAnsi="Arial" w:cs="Arial"/>
        </w:rPr>
      </w:pPr>
      <w:r w:rsidRPr="00264C56">
        <w:rPr>
          <w:rFonts w:ascii="Arial" w:hAnsi="Arial" w:cs="Arial"/>
          <w:b/>
          <w:bCs/>
        </w:rPr>
        <w:t xml:space="preserve">van der </w:t>
      </w:r>
      <w:proofErr w:type="spellStart"/>
      <w:r w:rsidRPr="00264C56">
        <w:rPr>
          <w:rFonts w:ascii="Arial" w:hAnsi="Arial" w:cs="Arial"/>
          <w:b/>
          <w:bCs/>
        </w:rPr>
        <w:t>Kaap-Deeder</w:t>
      </w:r>
      <w:proofErr w:type="spellEnd"/>
      <w:r w:rsidRPr="00264C56">
        <w:rPr>
          <w:rFonts w:ascii="Arial" w:hAnsi="Arial" w:cs="Arial"/>
          <w:b/>
          <w:bCs/>
        </w:rPr>
        <w:t xml:space="preserve">, J., </w:t>
      </w:r>
      <w:proofErr w:type="spellStart"/>
      <w:r w:rsidRPr="00264C56">
        <w:rPr>
          <w:rFonts w:ascii="Arial" w:hAnsi="Arial" w:cs="Arial"/>
          <w:b/>
          <w:bCs/>
        </w:rPr>
        <w:t>Vermote</w:t>
      </w:r>
      <w:proofErr w:type="spellEnd"/>
      <w:r w:rsidRPr="00264C56">
        <w:rPr>
          <w:rFonts w:ascii="Arial" w:hAnsi="Arial" w:cs="Arial"/>
          <w:b/>
          <w:bCs/>
        </w:rPr>
        <w:t xml:space="preserve">, B., </w:t>
      </w:r>
      <w:proofErr w:type="spellStart"/>
      <w:r w:rsidRPr="00264C56">
        <w:rPr>
          <w:rFonts w:ascii="Arial" w:hAnsi="Arial" w:cs="Arial"/>
          <w:b/>
          <w:bCs/>
        </w:rPr>
        <w:t>Waterschoot</w:t>
      </w:r>
      <w:proofErr w:type="spellEnd"/>
      <w:r w:rsidRPr="00264C56">
        <w:rPr>
          <w:rFonts w:ascii="Arial" w:hAnsi="Arial" w:cs="Arial"/>
          <w:b/>
          <w:bCs/>
        </w:rPr>
        <w:t xml:space="preserve">, J., </w:t>
      </w:r>
      <w:proofErr w:type="spellStart"/>
      <w:r w:rsidRPr="00264C56">
        <w:rPr>
          <w:rFonts w:ascii="Arial" w:hAnsi="Arial" w:cs="Arial"/>
          <w:b/>
          <w:bCs/>
        </w:rPr>
        <w:t>Soenens</w:t>
      </w:r>
      <w:proofErr w:type="spellEnd"/>
      <w:r w:rsidRPr="00264C56">
        <w:rPr>
          <w:rFonts w:ascii="Arial" w:hAnsi="Arial" w:cs="Arial"/>
          <w:b/>
          <w:bCs/>
        </w:rPr>
        <w:t xml:space="preserve">, B., </w:t>
      </w:r>
      <w:proofErr w:type="spellStart"/>
      <w:r w:rsidRPr="00264C56">
        <w:rPr>
          <w:rFonts w:ascii="Arial" w:hAnsi="Arial" w:cs="Arial"/>
          <w:b/>
          <w:bCs/>
        </w:rPr>
        <w:t>Morbée</w:t>
      </w:r>
      <w:proofErr w:type="spellEnd"/>
      <w:r w:rsidRPr="00264C56">
        <w:rPr>
          <w:rFonts w:ascii="Arial" w:hAnsi="Arial" w:cs="Arial"/>
          <w:b/>
          <w:bCs/>
        </w:rPr>
        <w:t xml:space="preserve">, S. and Vansteenkiste, M. (2022) ‘The role of ego integrity and despair in older adults’ well-being during the COVID-19 crisis: the mediating role of need-based experiences’, </w:t>
      </w:r>
      <w:r w:rsidRPr="00264C56">
        <w:rPr>
          <w:rFonts w:ascii="Arial" w:hAnsi="Arial" w:cs="Arial"/>
          <w:b/>
          <w:bCs/>
          <w:i/>
          <w:iCs/>
        </w:rPr>
        <w:t>European Journal of Ageing</w:t>
      </w:r>
      <w:r w:rsidRPr="00264C56">
        <w:rPr>
          <w:rFonts w:ascii="Arial" w:hAnsi="Arial" w:cs="Arial"/>
          <w:b/>
          <w:bCs/>
        </w:rPr>
        <w:t>, 19(1), pp. 117–129.</w:t>
      </w:r>
    </w:p>
    <w:p w14:paraId="5E461132" w14:textId="77777777" w:rsidR="00264C56" w:rsidRPr="00264C56" w:rsidRDefault="00264C56" w:rsidP="00264C56">
      <w:pPr>
        <w:spacing w:line="360" w:lineRule="auto"/>
        <w:rPr>
          <w:rFonts w:ascii="Arial" w:hAnsi="Arial" w:cs="Arial"/>
        </w:rPr>
      </w:pPr>
      <w:r w:rsidRPr="00264C56">
        <w:rPr>
          <w:rFonts w:ascii="Arial" w:hAnsi="Arial" w:cs="Arial"/>
          <w:lang w:val="nl-NL"/>
        </w:rPr>
        <w:t>van der Kaap-</w:t>
      </w:r>
      <w:proofErr w:type="spellStart"/>
      <w:r w:rsidRPr="00264C56">
        <w:rPr>
          <w:rFonts w:ascii="Arial" w:hAnsi="Arial" w:cs="Arial"/>
          <w:lang w:val="nl-NL"/>
        </w:rPr>
        <w:t>Deeder</w:t>
      </w:r>
      <w:proofErr w:type="spellEnd"/>
      <w:r w:rsidRPr="00264C56">
        <w:rPr>
          <w:rFonts w:ascii="Arial" w:hAnsi="Arial" w:cs="Arial"/>
          <w:lang w:val="nl-NL"/>
        </w:rPr>
        <w:t xml:space="preserve"> et al. </w:t>
      </w:r>
      <w:r w:rsidRPr="00264C56">
        <w:rPr>
          <w:rFonts w:ascii="Arial" w:hAnsi="Arial" w:cs="Arial"/>
        </w:rPr>
        <w:t>(2022) explore Erikson’s idea of ego integrity versus despair, which is the final stage of psychosocial development. The study found that older adults with a stronger sense of ego integrity reported better wellbeing, while despair was linked to greater distress and poorer mental health. The authors also suggested that when psychological needs are supported, older adults are more likely to cope positively in later life.</w:t>
      </w:r>
    </w:p>
    <w:p w14:paraId="410E921E" w14:textId="77777777" w:rsidR="00264C56" w:rsidRPr="00264C56" w:rsidRDefault="00264C56" w:rsidP="00264C56">
      <w:pPr>
        <w:spacing w:line="360" w:lineRule="auto"/>
        <w:rPr>
          <w:rFonts w:ascii="Arial" w:hAnsi="Arial" w:cs="Arial"/>
        </w:rPr>
      </w:pPr>
      <w:r w:rsidRPr="00264C56">
        <w:rPr>
          <w:rFonts w:ascii="Arial" w:hAnsi="Arial" w:cs="Arial"/>
        </w:rPr>
        <w:t xml:space="preserve">This source is relevant to health and social care because it shows that older adults need emotional support as well as physical care. In a care home, this could support approaches such as life story work and meaningful conversations. A limitation is that the research took place during the COVID-19 pandemic, so some findings may reflect that unusual period. Even so, van der </w:t>
      </w:r>
      <w:proofErr w:type="spellStart"/>
      <w:r w:rsidRPr="00264C56">
        <w:rPr>
          <w:rFonts w:ascii="Arial" w:hAnsi="Arial" w:cs="Arial"/>
        </w:rPr>
        <w:t>Kaap-Deeder</w:t>
      </w:r>
      <w:proofErr w:type="spellEnd"/>
      <w:r w:rsidRPr="00264C56">
        <w:rPr>
          <w:rFonts w:ascii="Arial" w:hAnsi="Arial" w:cs="Arial"/>
        </w:rPr>
        <w:t xml:space="preserve"> et al. (2022) still provide useful recent evidence for Erikson’s theory in later life. This is important because it suggests that helping older adults reflect positively on their lives may reduce distress and support better emotional wellbeing in residential care (van der </w:t>
      </w:r>
      <w:proofErr w:type="spellStart"/>
      <w:r w:rsidRPr="00264C56">
        <w:rPr>
          <w:rFonts w:ascii="Arial" w:hAnsi="Arial" w:cs="Arial"/>
        </w:rPr>
        <w:t>Kaap-Deeder</w:t>
      </w:r>
      <w:proofErr w:type="spellEnd"/>
      <w:r w:rsidRPr="00264C56">
        <w:rPr>
          <w:rFonts w:ascii="Arial" w:hAnsi="Arial" w:cs="Arial"/>
        </w:rPr>
        <w:t xml:space="preserve"> et al., 2022).</w:t>
      </w:r>
    </w:p>
    <w:p w14:paraId="67085267" w14:textId="77777777" w:rsidR="00264C56" w:rsidRPr="00264C56" w:rsidRDefault="00264C56" w:rsidP="00264C56">
      <w:pPr>
        <w:spacing w:line="360" w:lineRule="auto"/>
        <w:rPr>
          <w:rFonts w:ascii="Arial" w:hAnsi="Arial" w:cs="Arial"/>
        </w:rPr>
      </w:pPr>
      <w:proofErr w:type="spellStart"/>
      <w:r w:rsidRPr="00264C56">
        <w:rPr>
          <w:rFonts w:ascii="Arial" w:hAnsi="Arial" w:cs="Arial"/>
          <w:b/>
          <w:bCs/>
        </w:rPr>
        <w:t>Gilleard</w:t>
      </w:r>
      <w:proofErr w:type="spellEnd"/>
      <w:r w:rsidRPr="00264C56">
        <w:rPr>
          <w:rFonts w:ascii="Arial" w:hAnsi="Arial" w:cs="Arial"/>
          <w:b/>
          <w:bCs/>
        </w:rPr>
        <w:t xml:space="preserve">, C. (2020) ‘The final stage of human development? Erikson’s view of integrity and old age’, </w:t>
      </w:r>
      <w:r w:rsidRPr="00264C56">
        <w:rPr>
          <w:rFonts w:ascii="Arial" w:hAnsi="Arial" w:cs="Arial"/>
          <w:b/>
          <w:bCs/>
          <w:i/>
          <w:iCs/>
        </w:rPr>
        <w:t>International Journal of Ageing and Later Life</w:t>
      </w:r>
      <w:r w:rsidRPr="00264C56">
        <w:rPr>
          <w:rFonts w:ascii="Arial" w:hAnsi="Arial" w:cs="Arial"/>
          <w:b/>
          <w:bCs/>
        </w:rPr>
        <w:t>, 14(2), pp. 139–162.</w:t>
      </w:r>
    </w:p>
    <w:p w14:paraId="454E1A86" w14:textId="77777777" w:rsidR="00264C56" w:rsidRPr="00264C56" w:rsidRDefault="00264C56" w:rsidP="00264C56">
      <w:pPr>
        <w:spacing w:line="360" w:lineRule="auto"/>
        <w:rPr>
          <w:rFonts w:ascii="Arial" w:hAnsi="Arial" w:cs="Arial"/>
        </w:rPr>
      </w:pPr>
      <w:proofErr w:type="spellStart"/>
      <w:r w:rsidRPr="00264C56">
        <w:rPr>
          <w:rFonts w:ascii="Arial" w:hAnsi="Arial" w:cs="Arial"/>
        </w:rPr>
        <w:t>Gilleard</w:t>
      </w:r>
      <w:proofErr w:type="spellEnd"/>
      <w:r w:rsidRPr="00264C56">
        <w:rPr>
          <w:rFonts w:ascii="Arial" w:hAnsi="Arial" w:cs="Arial"/>
        </w:rPr>
        <w:t xml:space="preserve"> (2020) offers a more critical discussion of Erikson’s theory. The article explains that Erikson presents old age as a stage where people may gain integrity and wisdom, rather than viewing ageing only as decline or loss. However, </w:t>
      </w:r>
      <w:proofErr w:type="spellStart"/>
      <w:r w:rsidRPr="00264C56">
        <w:rPr>
          <w:rFonts w:ascii="Arial" w:hAnsi="Arial" w:cs="Arial"/>
        </w:rPr>
        <w:t>Gilleard</w:t>
      </w:r>
      <w:proofErr w:type="spellEnd"/>
      <w:r w:rsidRPr="00264C56">
        <w:rPr>
          <w:rFonts w:ascii="Arial" w:hAnsi="Arial" w:cs="Arial"/>
        </w:rPr>
        <w:t xml:space="preserve"> also questions whether integrity should be seen as the main goal for every older person, as people age differently depending on their life experiences and circumstances.</w:t>
      </w:r>
    </w:p>
    <w:p w14:paraId="605C701A" w14:textId="77777777" w:rsidR="00264C56" w:rsidRPr="00264C56" w:rsidRDefault="00264C56" w:rsidP="00264C56">
      <w:pPr>
        <w:spacing w:line="360" w:lineRule="auto"/>
        <w:rPr>
          <w:rFonts w:ascii="Arial" w:hAnsi="Arial" w:cs="Arial"/>
        </w:rPr>
      </w:pPr>
      <w:r w:rsidRPr="00264C56">
        <w:rPr>
          <w:rFonts w:ascii="Arial" w:hAnsi="Arial" w:cs="Arial"/>
        </w:rPr>
        <w:t xml:space="preserve">This source is useful because it gives a more balanced view of the theory. It shows that Erikson can help professionals understand emotional development in later life, but it should </w:t>
      </w:r>
      <w:r w:rsidRPr="00264C56">
        <w:rPr>
          <w:rFonts w:ascii="Arial" w:hAnsi="Arial" w:cs="Arial"/>
        </w:rPr>
        <w:lastRenderedPageBreak/>
        <w:t xml:space="preserve">not be applied too rigidly. This is important in health and social care because person-centred care means recognising that older adults have different experiences and needs. A weakness is that </w:t>
      </w:r>
      <w:proofErr w:type="spellStart"/>
      <w:r w:rsidRPr="00264C56">
        <w:rPr>
          <w:rFonts w:ascii="Arial" w:hAnsi="Arial" w:cs="Arial"/>
        </w:rPr>
        <w:t>Gilleard</w:t>
      </w:r>
      <w:proofErr w:type="spellEnd"/>
      <w:r w:rsidRPr="00264C56">
        <w:rPr>
          <w:rFonts w:ascii="Arial" w:hAnsi="Arial" w:cs="Arial"/>
        </w:rPr>
        <w:t xml:space="preserve"> (2020) is more theoretical than practical, though it is still valuable for critical discussion.</w:t>
      </w:r>
    </w:p>
    <w:p w14:paraId="55458516" w14:textId="77777777" w:rsidR="00264C56" w:rsidRPr="00264C56" w:rsidRDefault="00264C56" w:rsidP="00264C56">
      <w:pPr>
        <w:spacing w:line="360" w:lineRule="auto"/>
        <w:rPr>
          <w:rFonts w:ascii="Arial" w:hAnsi="Arial" w:cs="Arial"/>
        </w:rPr>
      </w:pPr>
      <w:r w:rsidRPr="00264C56">
        <w:rPr>
          <w:rFonts w:ascii="Arial" w:hAnsi="Arial" w:cs="Arial"/>
          <w:b/>
          <w:bCs/>
        </w:rPr>
        <w:t xml:space="preserve">Shen, J., Xiao, L.D., Liu, Y., Zhang, H. and Wu, L. (2021) ‘A phenomenological study on new care needs of Maslow’s need-hierarchy among disabled residents at nursing homes in modern Chinese society’, </w:t>
      </w:r>
      <w:r w:rsidRPr="00264C56">
        <w:rPr>
          <w:rFonts w:ascii="Arial" w:hAnsi="Arial" w:cs="Arial"/>
          <w:b/>
          <w:bCs/>
          <w:i/>
          <w:iCs/>
        </w:rPr>
        <w:t>Journal of Transcultural Nursing</w:t>
      </w:r>
      <w:r w:rsidRPr="00264C56">
        <w:rPr>
          <w:rFonts w:ascii="Arial" w:hAnsi="Arial" w:cs="Arial"/>
          <w:b/>
          <w:bCs/>
        </w:rPr>
        <w:t>, 32(5), pp. 501–507.</w:t>
      </w:r>
    </w:p>
    <w:p w14:paraId="670F8F8E" w14:textId="77777777" w:rsidR="00264C56" w:rsidRPr="00264C56" w:rsidRDefault="00264C56" w:rsidP="00264C56">
      <w:pPr>
        <w:spacing w:line="360" w:lineRule="auto"/>
        <w:rPr>
          <w:rFonts w:ascii="Arial" w:hAnsi="Arial" w:cs="Arial"/>
        </w:rPr>
      </w:pPr>
      <w:r w:rsidRPr="00264C56">
        <w:rPr>
          <w:rFonts w:ascii="Arial" w:hAnsi="Arial" w:cs="Arial"/>
        </w:rPr>
        <w:t>Shen et al. (2021) apply Maslow’s hierarchy of needs to disabled older adults living in nursing homes. Through interviews, the researchers found that residents needed more than basic physical care. They also valued privacy, dignity, autonomy, social connection and spiritual support. This suggests that wellbeing in later life depends on a wide range of needs being met, not just practical care tasks.</w:t>
      </w:r>
    </w:p>
    <w:p w14:paraId="5B03305F" w14:textId="77777777" w:rsidR="00264C56" w:rsidRPr="00264C56" w:rsidRDefault="00264C56" w:rsidP="00264C56">
      <w:pPr>
        <w:spacing w:line="360" w:lineRule="auto"/>
        <w:rPr>
          <w:rFonts w:ascii="Arial" w:hAnsi="Arial" w:cs="Arial"/>
        </w:rPr>
      </w:pPr>
      <w:r w:rsidRPr="00264C56">
        <w:rPr>
          <w:rFonts w:ascii="Arial" w:hAnsi="Arial" w:cs="Arial"/>
        </w:rPr>
        <w:t>This source is highly relevant because it links Maslow directly to residential care. It supports the idea that older adults should be treated as whole people with emotional and social needs as well as physical ones. This is important in care homes, where staff can sometimes become too focused on routines. A limitation is that the study was carried out in China, so cultural differences may affect how far the findings apply to UK care homes. Even so, Shen et al. (2021) highlight issues that are still clearly relevant to older adult care.</w:t>
      </w:r>
    </w:p>
    <w:p w14:paraId="24639B08" w14:textId="77777777" w:rsidR="00264C56" w:rsidRPr="00264C56" w:rsidRDefault="00264C56" w:rsidP="00264C56">
      <w:pPr>
        <w:spacing w:line="360" w:lineRule="auto"/>
        <w:rPr>
          <w:rFonts w:ascii="Arial" w:hAnsi="Arial" w:cs="Arial"/>
        </w:rPr>
      </w:pPr>
      <w:r w:rsidRPr="00264C56">
        <w:rPr>
          <w:rFonts w:ascii="Arial" w:hAnsi="Arial" w:cs="Arial"/>
          <w:b/>
          <w:bCs/>
        </w:rPr>
        <w:t>Majercsik, E. (2005) ‘</w:t>
      </w:r>
      <w:proofErr w:type="spellStart"/>
      <w:r w:rsidRPr="00264C56">
        <w:rPr>
          <w:rFonts w:ascii="Arial" w:hAnsi="Arial" w:cs="Arial"/>
          <w:b/>
          <w:bCs/>
        </w:rPr>
        <w:t>Hierachy</w:t>
      </w:r>
      <w:proofErr w:type="spellEnd"/>
      <w:r w:rsidRPr="00264C56">
        <w:rPr>
          <w:rFonts w:ascii="Arial" w:hAnsi="Arial" w:cs="Arial"/>
          <w:b/>
          <w:bCs/>
        </w:rPr>
        <w:t xml:space="preserve"> of needs of geriatric patients’, </w:t>
      </w:r>
      <w:r w:rsidRPr="00264C56">
        <w:rPr>
          <w:rFonts w:ascii="Arial" w:hAnsi="Arial" w:cs="Arial"/>
          <w:b/>
          <w:bCs/>
          <w:i/>
          <w:iCs/>
        </w:rPr>
        <w:t>Gerontology</w:t>
      </w:r>
      <w:r w:rsidRPr="00264C56">
        <w:rPr>
          <w:rFonts w:ascii="Arial" w:hAnsi="Arial" w:cs="Arial"/>
          <w:b/>
          <w:bCs/>
        </w:rPr>
        <w:t>, 51(3), pp. 170–173.</w:t>
      </w:r>
    </w:p>
    <w:p w14:paraId="1C3F58AD" w14:textId="77777777" w:rsidR="00264C56" w:rsidRPr="00264C56" w:rsidRDefault="00264C56" w:rsidP="00264C56">
      <w:pPr>
        <w:spacing w:line="360" w:lineRule="auto"/>
        <w:rPr>
          <w:rFonts w:ascii="Arial" w:hAnsi="Arial" w:cs="Arial"/>
        </w:rPr>
      </w:pPr>
      <w:r w:rsidRPr="00264C56">
        <w:rPr>
          <w:rFonts w:ascii="Arial" w:hAnsi="Arial" w:cs="Arial"/>
        </w:rPr>
        <w:t>Majercsik (2005) examines the needs of geriatric patients using Maslow’s theory as a framework. The article found that older adults’ needs do not always follow Maslow’s hierarchy in a fixed order. For example, some people may place strong value on dignity, emotional security or self-worth even when physical health problems are still present. This suggests that Maslow’s theory is useful, but it does not always reflect the complexity of real life.</w:t>
      </w:r>
    </w:p>
    <w:p w14:paraId="4F4263AF" w14:textId="710E6B97" w:rsidR="00264C56" w:rsidRDefault="00264C56" w:rsidP="00264C56">
      <w:pPr>
        <w:spacing w:line="360" w:lineRule="auto"/>
        <w:rPr>
          <w:rFonts w:ascii="Arial" w:hAnsi="Arial" w:cs="Arial"/>
        </w:rPr>
      </w:pPr>
      <w:r w:rsidRPr="00264C56">
        <w:rPr>
          <w:rFonts w:ascii="Arial" w:hAnsi="Arial" w:cs="Arial"/>
        </w:rPr>
        <w:t>This source is important because it shows both the strengths and limits of Maslow’s theory. It is useful as a guide, but professionals should not treat it as a strict checklist. In health and social care, this supports a more flexible and person-centred approach when working with older adults. A limitation is that Majercsik’s article is older and brief, so it does not provide as much depth as more recent studies. However, it remains useful because it reminds professionals that people’s needs are individual</w:t>
      </w:r>
      <w:r>
        <w:rPr>
          <w:rFonts w:ascii="Arial" w:hAnsi="Arial" w:cs="Arial"/>
        </w:rPr>
        <w:t>.</w:t>
      </w:r>
    </w:p>
    <w:p w14:paraId="514261F0" w14:textId="77777777" w:rsidR="00264C56" w:rsidRPr="00264C56" w:rsidRDefault="00264C56" w:rsidP="00264C56">
      <w:pPr>
        <w:spacing w:line="360" w:lineRule="auto"/>
        <w:rPr>
          <w:rFonts w:ascii="Arial" w:hAnsi="Arial" w:cs="Arial"/>
        </w:rPr>
      </w:pPr>
    </w:p>
    <w:p w14:paraId="4F89A352" w14:textId="75F19086" w:rsidR="00264C56" w:rsidRPr="00264C56" w:rsidRDefault="00264C56" w:rsidP="00264C56">
      <w:pPr>
        <w:spacing w:line="360" w:lineRule="auto"/>
        <w:rPr>
          <w:rFonts w:ascii="Arial" w:hAnsi="Arial" w:cs="Arial"/>
          <w:b/>
          <w:bCs/>
        </w:rPr>
      </w:pPr>
      <w:r w:rsidRPr="00264C56">
        <w:rPr>
          <w:rFonts w:ascii="Arial" w:hAnsi="Arial" w:cs="Arial"/>
          <w:b/>
          <w:bCs/>
        </w:rPr>
        <w:lastRenderedPageBreak/>
        <w:t>Part B: Short Report</w:t>
      </w:r>
    </w:p>
    <w:p w14:paraId="6E4B6604" w14:textId="77777777" w:rsidR="00264C56" w:rsidRPr="00264C56" w:rsidRDefault="00264C56" w:rsidP="00264C56">
      <w:pPr>
        <w:spacing w:line="360" w:lineRule="auto"/>
        <w:rPr>
          <w:rFonts w:ascii="Arial" w:hAnsi="Arial" w:cs="Arial"/>
        </w:rPr>
      </w:pPr>
      <w:r w:rsidRPr="00264C56">
        <w:rPr>
          <w:rFonts w:ascii="Arial" w:hAnsi="Arial" w:cs="Arial"/>
          <w:b/>
          <w:bCs/>
        </w:rPr>
        <w:t>Applying Maslow’s Hierarchy of Needs to Improve Psychological Wellbeing in Older Adults Living in Residential Care</w:t>
      </w:r>
    </w:p>
    <w:p w14:paraId="5D959080" w14:textId="77777777" w:rsidR="00264C56" w:rsidRPr="00264C56" w:rsidRDefault="00264C56" w:rsidP="00264C56">
      <w:pPr>
        <w:spacing w:line="360" w:lineRule="auto"/>
        <w:rPr>
          <w:rFonts w:ascii="Arial" w:hAnsi="Arial" w:cs="Arial"/>
        </w:rPr>
      </w:pPr>
      <w:r w:rsidRPr="00264C56">
        <w:rPr>
          <w:rFonts w:ascii="Arial" w:hAnsi="Arial" w:cs="Arial"/>
        </w:rPr>
        <w:t>Older adults living in residential care often need support with more than just their physical health. Many also experience loneliness, low mood, anxiety and loss of independence, especially when adjusting to a new environment, and Shen et al. (2021) show that emotional and social wellbeing remains very important in later life. For this reason, health and social care professionals need to think about psychological wellbeing as well as basic care needs. One theory that can be used to support this is Maslow’s hierarchy of needs. Maslow argued that people have different levels of need, beginning with physiological needs and moving through safety, belonging, esteem and self-actualisation, and Majercsik (2005) suggests that these needs do not always appear in a fixed order for older adults. Although the theory has limitations, it is still useful because it encourages staff to look at the whole person rather than only their illness or disability. As Majercsik (2005) suggests, older adults’ needs are complex, so theory should be used flexibly.</w:t>
      </w:r>
    </w:p>
    <w:p w14:paraId="4DD571D0" w14:textId="77777777" w:rsidR="00264C56" w:rsidRPr="00264C56" w:rsidRDefault="00264C56" w:rsidP="00264C56">
      <w:pPr>
        <w:spacing w:line="360" w:lineRule="auto"/>
        <w:rPr>
          <w:rFonts w:ascii="Arial" w:hAnsi="Arial" w:cs="Arial"/>
        </w:rPr>
      </w:pPr>
      <w:r w:rsidRPr="00264C56">
        <w:rPr>
          <w:rFonts w:ascii="Arial" w:hAnsi="Arial" w:cs="Arial"/>
        </w:rPr>
        <w:t>In a residential care home, Maslow’s theory helps staff understand that wellbeing depends on several needs being met together. The first level is physiological needs, such as food, drink, sleep, hygiene and comfort. The second is safety, which includes feeling secure, trusting staff and receiving consistent care. This is especially important for older adults who may feel vulnerable after leaving their home. Once these needs are met, staff should also focus on belonging, esteem and personal meaning. Shen et al. (2021) found that older adults in nursing homes valued dignity, privacy, autonomy and social connection as well as practical care. This shows that emotional and social wellbeing remains important in later life.</w:t>
      </w:r>
    </w:p>
    <w:p w14:paraId="107C274F" w14:textId="77777777" w:rsidR="00264C56" w:rsidRPr="00264C56" w:rsidRDefault="00264C56" w:rsidP="00264C56">
      <w:pPr>
        <w:spacing w:line="360" w:lineRule="auto"/>
        <w:rPr>
          <w:rFonts w:ascii="Arial" w:hAnsi="Arial" w:cs="Arial"/>
        </w:rPr>
      </w:pPr>
      <w:r w:rsidRPr="00264C56">
        <w:rPr>
          <w:rFonts w:ascii="Arial" w:hAnsi="Arial" w:cs="Arial"/>
        </w:rPr>
        <w:t>Maslow’s theory can be applied in practical ways to improve psychological wellbeing. Staff can support belonging by encouraging friendships, family contact and suitable social activities. They can support esteem by listening to residents’ views, respecting choices and helping them remain as independent as possible. Even small decisions, such as choosing clothes or meals, can help a person feel valued and in control. A sense of purpose can also be encouraged through hobbies, reminiscence work, faith practices or meaningful routines. As Shen et al. (2021) show, good care should go beyond tasks and support the whole person.</w:t>
      </w:r>
    </w:p>
    <w:p w14:paraId="05FCC703" w14:textId="77777777" w:rsidR="00264C56" w:rsidRPr="00264C56" w:rsidRDefault="00264C56" w:rsidP="00264C56">
      <w:pPr>
        <w:spacing w:line="360" w:lineRule="auto"/>
        <w:rPr>
          <w:rFonts w:ascii="Arial" w:hAnsi="Arial" w:cs="Arial"/>
        </w:rPr>
      </w:pPr>
      <w:r w:rsidRPr="00264C56">
        <w:rPr>
          <w:rFonts w:ascii="Arial" w:hAnsi="Arial" w:cs="Arial"/>
        </w:rPr>
        <w:t xml:space="preserve">A useful case scenario is Mrs Ahmed, an 82-year-old resident who moved into a care home after a fall. Since arriving, she has been eating less, staying in her room and avoiding activities. She says she misses her home and feels like a burden to her family. Using Maslow’s theory, staff could recognise that although her physical needs are being met, her </w:t>
      </w:r>
      <w:r w:rsidRPr="00264C56">
        <w:rPr>
          <w:rFonts w:ascii="Arial" w:hAnsi="Arial" w:cs="Arial"/>
        </w:rPr>
        <w:lastRenderedPageBreak/>
        <w:t>belonging and esteem needs are not being fully supported. To respond, staff could get to know her background and interests, arrange regular family contact, invite her to a small activity group and involve her in decisions about her daily routine. These actions could help her feel more connected, respected and settled, improving her psychological wellbeing over time, which reflects the importance of belonging and autonomy identified by Shen et al. (2021).</w:t>
      </w:r>
    </w:p>
    <w:p w14:paraId="4D6B723D" w14:textId="77777777" w:rsidR="00264C56" w:rsidRPr="00264C56" w:rsidRDefault="00264C56" w:rsidP="00264C56">
      <w:pPr>
        <w:spacing w:line="360" w:lineRule="auto"/>
        <w:rPr>
          <w:rFonts w:ascii="Arial" w:hAnsi="Arial" w:cs="Arial"/>
        </w:rPr>
      </w:pPr>
      <w:r w:rsidRPr="00264C56">
        <w:rPr>
          <w:rFonts w:ascii="Arial" w:hAnsi="Arial" w:cs="Arial"/>
        </w:rPr>
        <w:t>One challenge when applying Maslow’s theory is that care can become too task-focused. Staff are often busy with medication, washing, dressing, moving residents and recording notes. Because of this, emotional needs such as dignity, belonging and self-worth may receive less attention. Another issue is that Maslow’s theory can appear too fixed. Majercsik (2005) found that older adults may place strong value on dignity and emotional security even when physical needs are still present. This means the model should be treated as a guide, not a strict checklist.</w:t>
      </w:r>
    </w:p>
    <w:p w14:paraId="2E0A782F" w14:textId="77777777" w:rsidR="00264C56" w:rsidRPr="00264C56" w:rsidRDefault="00264C56" w:rsidP="00264C56">
      <w:pPr>
        <w:spacing w:line="360" w:lineRule="auto"/>
        <w:rPr>
          <w:rFonts w:ascii="Arial" w:hAnsi="Arial" w:cs="Arial"/>
        </w:rPr>
      </w:pPr>
      <w:r w:rsidRPr="00264C56">
        <w:rPr>
          <w:rFonts w:ascii="Arial" w:hAnsi="Arial" w:cs="Arial"/>
        </w:rPr>
        <w:t xml:space="preserve">A good way to overcome this challenge is through person-centred care planning. Staff should assess each resident as an individual and identify what matters most to them. For one resident, social contact may be the main issue affecting wellbeing, while for another it may be privacy, routine or spiritual support. Care plans should include emotional and social needs as well as physical ones, and staff should share this information during handovers. When residents feel listened to, respected and involved, they are more likely to feel secure and emotionally supported, which fits with Shen et al.’s (2021) finding that dignity, autonomy and social connection remain important needs for older adults in residential care. This also links with wider evidence from van der </w:t>
      </w:r>
      <w:proofErr w:type="spellStart"/>
      <w:r w:rsidRPr="00264C56">
        <w:rPr>
          <w:rFonts w:ascii="Arial" w:hAnsi="Arial" w:cs="Arial"/>
        </w:rPr>
        <w:t>Kaap-Deeder</w:t>
      </w:r>
      <w:proofErr w:type="spellEnd"/>
      <w:r w:rsidRPr="00264C56">
        <w:rPr>
          <w:rFonts w:ascii="Arial" w:hAnsi="Arial" w:cs="Arial"/>
        </w:rPr>
        <w:t xml:space="preserve"> et al. (2022), who show that older adults experience better wellbeing when important psychological needs are recognised and supported.</w:t>
      </w:r>
    </w:p>
    <w:p w14:paraId="62B17DBC" w14:textId="77777777" w:rsidR="00264C56" w:rsidRPr="00264C56" w:rsidRDefault="00264C56" w:rsidP="00264C56">
      <w:pPr>
        <w:spacing w:line="360" w:lineRule="auto"/>
        <w:rPr>
          <w:rFonts w:ascii="Arial" w:hAnsi="Arial" w:cs="Arial"/>
        </w:rPr>
      </w:pPr>
      <w:r w:rsidRPr="00264C56">
        <w:rPr>
          <w:rFonts w:ascii="Arial" w:hAnsi="Arial" w:cs="Arial"/>
        </w:rPr>
        <w:t>In conclusion, Maslow’s hierarchy of needs is a useful theory for professionals working with older adults in residential care. It shows that wellbeing depends on more than physical support alone. Older adults also need safety, belonging, dignity, respect and purpose. Although the theory should not be applied too rigidly, it can still help staff provide more person-centred care and improve psychological wellbeing. Overall, the findings discussed by Shen et al. (2021) support the view that care homes should recognise emotional and social needs as a core part of good care.</w:t>
      </w:r>
    </w:p>
    <w:p w14:paraId="2F23A488" w14:textId="77777777" w:rsidR="00264C56" w:rsidRDefault="00264C56" w:rsidP="00264C56">
      <w:pPr>
        <w:spacing w:line="360" w:lineRule="auto"/>
        <w:rPr>
          <w:rFonts w:ascii="Arial" w:hAnsi="Arial" w:cs="Arial"/>
          <w:b/>
          <w:bCs/>
        </w:rPr>
      </w:pPr>
    </w:p>
    <w:p w14:paraId="147BCFBE" w14:textId="77777777" w:rsidR="00264C56" w:rsidRDefault="00264C56" w:rsidP="00264C56">
      <w:pPr>
        <w:spacing w:line="360" w:lineRule="auto"/>
        <w:rPr>
          <w:rFonts w:ascii="Arial" w:hAnsi="Arial" w:cs="Arial"/>
          <w:b/>
          <w:bCs/>
        </w:rPr>
      </w:pPr>
    </w:p>
    <w:p w14:paraId="048898F6" w14:textId="77777777" w:rsidR="00264C56" w:rsidRDefault="00264C56" w:rsidP="00264C56">
      <w:pPr>
        <w:spacing w:line="360" w:lineRule="auto"/>
        <w:rPr>
          <w:rFonts w:ascii="Arial" w:hAnsi="Arial" w:cs="Arial"/>
          <w:b/>
          <w:bCs/>
        </w:rPr>
      </w:pPr>
    </w:p>
    <w:p w14:paraId="4E318D42" w14:textId="6CDD656B" w:rsidR="00264C56" w:rsidRPr="00264C56" w:rsidRDefault="00264C56" w:rsidP="00264C56">
      <w:pPr>
        <w:spacing w:line="360" w:lineRule="auto"/>
        <w:rPr>
          <w:rFonts w:ascii="Arial" w:hAnsi="Arial" w:cs="Arial"/>
          <w:b/>
          <w:bCs/>
        </w:rPr>
      </w:pPr>
      <w:r w:rsidRPr="00264C56">
        <w:rPr>
          <w:rFonts w:ascii="Arial" w:hAnsi="Arial" w:cs="Arial"/>
          <w:b/>
          <w:bCs/>
        </w:rPr>
        <w:lastRenderedPageBreak/>
        <w:t>Reference List</w:t>
      </w:r>
    </w:p>
    <w:p w14:paraId="5E04EF65" w14:textId="77777777" w:rsidR="00264C56" w:rsidRPr="00264C56" w:rsidRDefault="00264C56" w:rsidP="00264C56">
      <w:pPr>
        <w:spacing w:line="360" w:lineRule="auto"/>
        <w:rPr>
          <w:rFonts w:ascii="Arial" w:hAnsi="Arial" w:cs="Arial"/>
        </w:rPr>
      </w:pPr>
      <w:proofErr w:type="spellStart"/>
      <w:r w:rsidRPr="00264C56">
        <w:rPr>
          <w:rFonts w:ascii="Arial" w:hAnsi="Arial" w:cs="Arial"/>
        </w:rPr>
        <w:t>Gilleard</w:t>
      </w:r>
      <w:proofErr w:type="spellEnd"/>
      <w:r w:rsidRPr="00264C56">
        <w:rPr>
          <w:rFonts w:ascii="Arial" w:hAnsi="Arial" w:cs="Arial"/>
        </w:rPr>
        <w:t xml:space="preserve">, C. (2020) ‘The final stage of human development? Erikson’s view of integrity and old age’, </w:t>
      </w:r>
      <w:r w:rsidRPr="00264C56">
        <w:rPr>
          <w:rFonts w:ascii="Arial" w:hAnsi="Arial" w:cs="Arial"/>
          <w:i/>
          <w:iCs/>
        </w:rPr>
        <w:t>International Journal of Ageing and Later Life</w:t>
      </w:r>
      <w:r w:rsidRPr="00264C56">
        <w:rPr>
          <w:rFonts w:ascii="Arial" w:hAnsi="Arial" w:cs="Arial"/>
        </w:rPr>
        <w:t>, 14(2), pp. 139–162.</w:t>
      </w:r>
    </w:p>
    <w:p w14:paraId="7E60EE66" w14:textId="2D0792C7" w:rsidR="00264C56" w:rsidRPr="00264C56" w:rsidRDefault="00264C56" w:rsidP="00264C56">
      <w:pPr>
        <w:spacing w:line="360" w:lineRule="auto"/>
        <w:rPr>
          <w:rFonts w:ascii="Arial" w:hAnsi="Arial" w:cs="Arial"/>
        </w:rPr>
      </w:pPr>
      <w:r w:rsidRPr="00264C56">
        <w:rPr>
          <w:rFonts w:ascii="Arial" w:hAnsi="Arial" w:cs="Arial"/>
        </w:rPr>
        <w:t>Majercsik, E. (2005) ‘</w:t>
      </w:r>
      <w:proofErr w:type="spellStart"/>
      <w:r w:rsidRPr="00264C56">
        <w:rPr>
          <w:rFonts w:ascii="Arial" w:hAnsi="Arial" w:cs="Arial"/>
        </w:rPr>
        <w:t>Hierachy</w:t>
      </w:r>
      <w:proofErr w:type="spellEnd"/>
      <w:r w:rsidRPr="00264C56">
        <w:rPr>
          <w:rFonts w:ascii="Arial" w:hAnsi="Arial" w:cs="Arial"/>
        </w:rPr>
        <w:t xml:space="preserve"> of needs of geriatric patients’, </w:t>
      </w:r>
      <w:r w:rsidRPr="00264C56">
        <w:rPr>
          <w:rFonts w:ascii="Arial" w:hAnsi="Arial" w:cs="Arial"/>
          <w:i/>
          <w:iCs/>
        </w:rPr>
        <w:t>Gerontology</w:t>
      </w:r>
      <w:r w:rsidRPr="00264C56">
        <w:rPr>
          <w:rFonts w:ascii="Arial" w:hAnsi="Arial" w:cs="Arial"/>
        </w:rPr>
        <w:t>, 51(3), pp. 170–173.</w:t>
      </w:r>
    </w:p>
    <w:p w14:paraId="67A6B0CB" w14:textId="77777777" w:rsidR="00264C56" w:rsidRPr="00264C56" w:rsidRDefault="00264C56" w:rsidP="00264C56">
      <w:pPr>
        <w:spacing w:line="360" w:lineRule="auto"/>
        <w:rPr>
          <w:rFonts w:ascii="Arial" w:hAnsi="Arial" w:cs="Arial"/>
        </w:rPr>
      </w:pPr>
      <w:r w:rsidRPr="00264C56">
        <w:rPr>
          <w:rFonts w:ascii="Arial" w:hAnsi="Arial" w:cs="Arial"/>
        </w:rPr>
        <w:t xml:space="preserve">Shen, J., Xiao, L.D., Liu, Y., Zhang, H. and Wu, L. (2021) ‘A phenomenological study on new care needs of Maslow’s need-hierarchy among disabled residents at nursing homes in modern Chinese society’, </w:t>
      </w:r>
      <w:r w:rsidRPr="00264C56">
        <w:rPr>
          <w:rFonts w:ascii="Arial" w:hAnsi="Arial" w:cs="Arial"/>
          <w:i/>
          <w:iCs/>
        </w:rPr>
        <w:t>Journal of Transcultural Nursing</w:t>
      </w:r>
      <w:r w:rsidRPr="00264C56">
        <w:rPr>
          <w:rFonts w:ascii="Arial" w:hAnsi="Arial" w:cs="Arial"/>
        </w:rPr>
        <w:t>, 32(5), pp. 501–507.</w:t>
      </w:r>
    </w:p>
    <w:p w14:paraId="00D951C3" w14:textId="77777777" w:rsidR="00264C56" w:rsidRPr="00264C56" w:rsidRDefault="00264C56" w:rsidP="00264C56">
      <w:pPr>
        <w:spacing w:line="360" w:lineRule="auto"/>
        <w:rPr>
          <w:rFonts w:ascii="Arial" w:hAnsi="Arial" w:cs="Arial"/>
        </w:rPr>
      </w:pPr>
      <w:r w:rsidRPr="00264C56">
        <w:rPr>
          <w:rFonts w:ascii="Arial" w:hAnsi="Arial" w:cs="Arial"/>
        </w:rPr>
        <w:t xml:space="preserve">van der </w:t>
      </w:r>
      <w:proofErr w:type="spellStart"/>
      <w:r w:rsidRPr="00264C56">
        <w:rPr>
          <w:rFonts w:ascii="Arial" w:hAnsi="Arial" w:cs="Arial"/>
        </w:rPr>
        <w:t>Kaap-Deeder</w:t>
      </w:r>
      <w:proofErr w:type="spellEnd"/>
      <w:r w:rsidRPr="00264C56">
        <w:rPr>
          <w:rFonts w:ascii="Arial" w:hAnsi="Arial" w:cs="Arial"/>
        </w:rPr>
        <w:t xml:space="preserve">, J., </w:t>
      </w:r>
      <w:proofErr w:type="spellStart"/>
      <w:r w:rsidRPr="00264C56">
        <w:rPr>
          <w:rFonts w:ascii="Arial" w:hAnsi="Arial" w:cs="Arial"/>
        </w:rPr>
        <w:t>Vermote</w:t>
      </w:r>
      <w:proofErr w:type="spellEnd"/>
      <w:r w:rsidRPr="00264C56">
        <w:rPr>
          <w:rFonts w:ascii="Arial" w:hAnsi="Arial" w:cs="Arial"/>
        </w:rPr>
        <w:t xml:space="preserve">, B., </w:t>
      </w:r>
      <w:proofErr w:type="spellStart"/>
      <w:r w:rsidRPr="00264C56">
        <w:rPr>
          <w:rFonts w:ascii="Arial" w:hAnsi="Arial" w:cs="Arial"/>
        </w:rPr>
        <w:t>Waterschoot</w:t>
      </w:r>
      <w:proofErr w:type="spellEnd"/>
      <w:r w:rsidRPr="00264C56">
        <w:rPr>
          <w:rFonts w:ascii="Arial" w:hAnsi="Arial" w:cs="Arial"/>
        </w:rPr>
        <w:t xml:space="preserve">, J., </w:t>
      </w:r>
      <w:proofErr w:type="spellStart"/>
      <w:r w:rsidRPr="00264C56">
        <w:rPr>
          <w:rFonts w:ascii="Arial" w:hAnsi="Arial" w:cs="Arial"/>
        </w:rPr>
        <w:t>Soenens</w:t>
      </w:r>
      <w:proofErr w:type="spellEnd"/>
      <w:r w:rsidRPr="00264C56">
        <w:rPr>
          <w:rFonts w:ascii="Arial" w:hAnsi="Arial" w:cs="Arial"/>
        </w:rPr>
        <w:t xml:space="preserve">, B., </w:t>
      </w:r>
      <w:proofErr w:type="spellStart"/>
      <w:r w:rsidRPr="00264C56">
        <w:rPr>
          <w:rFonts w:ascii="Arial" w:hAnsi="Arial" w:cs="Arial"/>
        </w:rPr>
        <w:t>Morbée</w:t>
      </w:r>
      <w:proofErr w:type="spellEnd"/>
      <w:r w:rsidRPr="00264C56">
        <w:rPr>
          <w:rFonts w:ascii="Arial" w:hAnsi="Arial" w:cs="Arial"/>
        </w:rPr>
        <w:t xml:space="preserve">, S. and Vansteenkiste, M. (2022) ‘The role of ego integrity and despair in older adults’ well-being during the COVID-19 crisis: the mediating role of need-based experiences’, </w:t>
      </w:r>
      <w:r w:rsidRPr="00264C56">
        <w:rPr>
          <w:rFonts w:ascii="Arial" w:hAnsi="Arial" w:cs="Arial"/>
          <w:i/>
          <w:iCs/>
        </w:rPr>
        <w:t>European Journal of Ageing</w:t>
      </w:r>
      <w:r w:rsidRPr="00264C56">
        <w:rPr>
          <w:rFonts w:ascii="Arial" w:hAnsi="Arial" w:cs="Arial"/>
        </w:rPr>
        <w:t>, 19(1), pp. 117–129.</w:t>
      </w:r>
    </w:p>
    <w:p w14:paraId="7564BEEA" w14:textId="77777777" w:rsidR="00ED23E8" w:rsidRDefault="00ED23E8"/>
    <w:sectPr w:rsidR="00ED23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C56"/>
    <w:rsid w:val="00264C56"/>
    <w:rsid w:val="00ED2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816BA"/>
  <w15:chartTrackingRefBased/>
  <w15:docId w15:val="{B2191B7A-04FB-4819-B862-C2D209F0E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64C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4C5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9239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1774</Words>
  <Characters>10118</Characters>
  <Application>Microsoft Office Word</Application>
  <DocSecurity>0</DocSecurity>
  <Lines>84</Lines>
  <Paragraphs>23</Paragraphs>
  <ScaleCrop>false</ScaleCrop>
  <Company/>
  <LinksUpToDate>false</LinksUpToDate>
  <CharactersWithSpaces>11869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Wall (2511436)</dc:creator>
  <cp:keywords/>
  <dc:description/>
  <cp:lastModifiedBy>Kerry Wall (2511436)</cp:lastModifiedBy>
  <cp:revision>1</cp:revision>
  <dcterms:created xsi:type="dcterms:W3CDTF">2026-04-18T19:45:00Z</dcterms:created>
  <dcterms:modified xsi:type="dcterms:W3CDTF">2026-04-18T19:49:00Z</dcterms:modified>
</cp:coreProperties>
</file>