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7C2B8" w14:textId="10162DE8" w:rsidR="00A548B8" w:rsidRPr="00B34E7B" w:rsidRDefault="00A548B8" w:rsidP="00615B7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sz w:val="28"/>
          <w:szCs w:val="28"/>
        </w:rPr>
      </w:pPr>
      <w:r w:rsidRPr="00B34E7B">
        <w:rPr>
          <w:rFonts w:ascii="Arial" w:hAnsi="Arial" w:cs="Arial"/>
          <w:b/>
          <w:bCs/>
          <w:sz w:val="28"/>
          <w:szCs w:val="28"/>
        </w:rPr>
        <w:t>Writing Module: Master of Business Administration</w:t>
      </w:r>
    </w:p>
    <w:p w14:paraId="1055C112" w14:textId="77777777" w:rsidR="00A548B8" w:rsidRPr="00B34E7B" w:rsidRDefault="00A548B8" w:rsidP="00615B7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sz w:val="28"/>
          <w:szCs w:val="28"/>
        </w:rPr>
      </w:pPr>
      <w:r w:rsidRPr="00B34E7B">
        <w:rPr>
          <w:rFonts w:ascii="Arial" w:hAnsi="Arial" w:cs="Arial"/>
          <w:b/>
          <w:bCs/>
          <w:sz w:val="28"/>
          <w:szCs w:val="28"/>
        </w:rPr>
        <w:t xml:space="preserve">Student Name: Ioan Eusebiu Lacatus </w:t>
      </w:r>
    </w:p>
    <w:p w14:paraId="44DC9A2B" w14:textId="77777777" w:rsidR="00A548B8" w:rsidRPr="00B34E7B" w:rsidRDefault="00A548B8" w:rsidP="00615B7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sz w:val="28"/>
          <w:szCs w:val="28"/>
        </w:rPr>
      </w:pPr>
      <w:r w:rsidRPr="00B34E7B">
        <w:rPr>
          <w:rFonts w:ascii="Arial" w:hAnsi="Arial" w:cs="Arial"/>
          <w:b/>
          <w:bCs/>
          <w:sz w:val="28"/>
          <w:szCs w:val="28"/>
        </w:rPr>
        <w:t xml:space="preserve">Student ID:2232121 </w:t>
      </w:r>
    </w:p>
    <w:p w14:paraId="5E133A29" w14:textId="105F364A" w:rsidR="00A548B8" w:rsidRPr="00B34E7B" w:rsidRDefault="00A548B8" w:rsidP="00615B7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sz w:val="28"/>
          <w:szCs w:val="28"/>
        </w:rPr>
      </w:pPr>
      <w:r w:rsidRPr="00B34E7B">
        <w:rPr>
          <w:rFonts w:ascii="Arial" w:hAnsi="Arial" w:cs="Arial"/>
          <w:b/>
          <w:bCs/>
          <w:sz w:val="28"/>
          <w:szCs w:val="28"/>
        </w:rPr>
        <w:t>Module code: LC</w:t>
      </w:r>
      <w:r w:rsidR="00A634D6">
        <w:rPr>
          <w:rFonts w:ascii="Arial" w:hAnsi="Arial" w:cs="Arial"/>
          <w:b/>
          <w:bCs/>
          <w:sz w:val="28"/>
          <w:szCs w:val="28"/>
        </w:rPr>
        <w:t>MB</w:t>
      </w:r>
      <w:r w:rsidRPr="00B34E7B">
        <w:rPr>
          <w:rFonts w:ascii="Arial" w:hAnsi="Arial" w:cs="Arial"/>
          <w:b/>
          <w:bCs/>
          <w:sz w:val="28"/>
          <w:szCs w:val="28"/>
        </w:rPr>
        <w:t>7024</w:t>
      </w:r>
    </w:p>
    <w:p w14:paraId="22AB2F3B" w14:textId="51A5C747" w:rsidR="00A548B8" w:rsidRPr="00B34E7B" w:rsidRDefault="00A548B8" w:rsidP="00615B7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sz w:val="28"/>
          <w:szCs w:val="28"/>
        </w:rPr>
      </w:pPr>
      <w:r w:rsidRPr="00B34E7B">
        <w:rPr>
          <w:rFonts w:ascii="Arial" w:hAnsi="Arial" w:cs="Arial"/>
          <w:b/>
          <w:bCs/>
          <w:sz w:val="28"/>
          <w:szCs w:val="28"/>
        </w:rPr>
        <w:t>Assignment title: Marketing Management</w:t>
      </w:r>
    </w:p>
    <w:p w14:paraId="5C7445D6" w14:textId="1B3647D3" w:rsidR="00BE1B0E" w:rsidRPr="00B34E7B" w:rsidRDefault="00A548B8" w:rsidP="00615B78">
      <w:pPr>
        <w:spacing w:line="360" w:lineRule="auto"/>
        <w:jc w:val="both"/>
        <w:rPr>
          <w:rFonts w:ascii="Arial" w:hAnsi="Arial" w:cs="Arial"/>
          <w:b/>
          <w:bCs/>
          <w:sz w:val="28"/>
          <w:szCs w:val="28"/>
        </w:rPr>
      </w:pPr>
      <w:r w:rsidRPr="00B34E7B">
        <w:rPr>
          <w:rFonts w:ascii="Arial" w:hAnsi="Arial" w:cs="Arial"/>
          <w:b/>
          <w:bCs/>
          <w:sz w:val="28"/>
          <w:szCs w:val="28"/>
        </w:rPr>
        <w:t>Lecturer name: Taonga Kaonga Sobere-Snithers</w:t>
      </w:r>
    </w:p>
    <w:p w14:paraId="0C6E2DEA" w14:textId="77777777" w:rsidR="00BE1B0E" w:rsidRDefault="00BE1B0E" w:rsidP="00615B78">
      <w:pPr>
        <w:spacing w:line="360" w:lineRule="auto"/>
        <w:rPr>
          <w:rFonts w:ascii="Helvetica" w:hAnsi="Helvetica" w:cs="Helvetica"/>
          <w:b/>
          <w:bCs/>
          <w:sz w:val="28"/>
          <w:szCs w:val="28"/>
        </w:rPr>
      </w:pPr>
      <w:r>
        <w:rPr>
          <w:rFonts w:ascii="Helvetica" w:hAnsi="Helvetica" w:cs="Helvetica"/>
          <w:b/>
          <w:bCs/>
          <w:sz w:val="28"/>
          <w:szCs w:val="28"/>
        </w:rPr>
        <w:br w:type="page"/>
      </w:r>
    </w:p>
    <w:sdt>
      <w:sdtPr>
        <w:rPr>
          <w:rFonts w:asciiTheme="minorHAnsi" w:eastAsiaTheme="minorHAnsi" w:hAnsiTheme="minorHAnsi" w:cstheme="minorBidi"/>
          <w:b w:val="0"/>
          <w:bCs w:val="0"/>
          <w:color w:val="auto"/>
          <w:sz w:val="22"/>
          <w:szCs w:val="22"/>
          <w:lang w:val="en-GB"/>
        </w:rPr>
        <w:id w:val="1963540570"/>
        <w:docPartObj>
          <w:docPartGallery w:val="Table of Contents"/>
          <w:docPartUnique/>
        </w:docPartObj>
      </w:sdtPr>
      <w:sdtEndPr>
        <w:rPr>
          <w:noProof/>
        </w:rPr>
      </w:sdtEndPr>
      <w:sdtContent>
        <w:p w14:paraId="438344CD" w14:textId="0AD8CEE0" w:rsidR="00764055" w:rsidRDefault="00764055">
          <w:pPr>
            <w:pStyle w:val="TOCHeading"/>
          </w:pPr>
          <w:r>
            <w:t>Table of Contents</w:t>
          </w:r>
        </w:p>
        <w:p w14:paraId="0B08D268" w14:textId="463D8BB9" w:rsidR="00A21B27" w:rsidRDefault="00764055">
          <w:pPr>
            <w:pStyle w:val="TOC1"/>
            <w:tabs>
              <w:tab w:val="right" w:leader="dot" w:pos="9016"/>
            </w:tabs>
            <w:rPr>
              <w:rFonts w:eastAsiaTheme="minorEastAsia" w:cstheme="minorBidi"/>
              <w:b w:val="0"/>
              <w:bCs w:val="0"/>
              <w:i w:val="0"/>
              <w:iCs w:val="0"/>
              <w:noProof/>
              <w:kern w:val="2"/>
              <w:lang w:val="en-RO" w:eastAsia="en-GB"/>
              <w14:ligatures w14:val="standardContextual"/>
            </w:rPr>
          </w:pPr>
          <w:r>
            <w:rPr>
              <w:b w:val="0"/>
              <w:bCs w:val="0"/>
            </w:rPr>
            <w:fldChar w:fldCharType="begin"/>
          </w:r>
          <w:r>
            <w:instrText xml:space="preserve"> TOC \o "1-3" \h \z \u </w:instrText>
          </w:r>
          <w:r>
            <w:rPr>
              <w:b w:val="0"/>
              <w:bCs w:val="0"/>
            </w:rPr>
            <w:fldChar w:fldCharType="separate"/>
          </w:r>
          <w:hyperlink w:anchor="_Toc230113310" w:history="1">
            <w:r w:rsidR="00A21B27" w:rsidRPr="00AF70CF">
              <w:rPr>
                <w:rStyle w:val="Hyperlink"/>
                <w:noProof/>
                <w:lang w:val="en-RO"/>
              </w:rPr>
              <w:t>Marketing Environment Analysis</w:t>
            </w:r>
            <w:r w:rsidR="00A21B27">
              <w:rPr>
                <w:noProof/>
                <w:webHidden/>
              </w:rPr>
              <w:tab/>
            </w:r>
            <w:r w:rsidR="00A21B27">
              <w:rPr>
                <w:noProof/>
                <w:webHidden/>
              </w:rPr>
              <w:fldChar w:fldCharType="begin"/>
            </w:r>
            <w:r w:rsidR="00A21B27">
              <w:rPr>
                <w:noProof/>
                <w:webHidden/>
              </w:rPr>
              <w:instrText xml:space="preserve"> PAGEREF _Toc230113310 \h </w:instrText>
            </w:r>
            <w:r w:rsidR="00A21B27">
              <w:rPr>
                <w:noProof/>
                <w:webHidden/>
              </w:rPr>
            </w:r>
            <w:r w:rsidR="00A21B27">
              <w:rPr>
                <w:noProof/>
                <w:webHidden/>
              </w:rPr>
              <w:fldChar w:fldCharType="separate"/>
            </w:r>
            <w:r w:rsidR="00A21B27">
              <w:rPr>
                <w:noProof/>
                <w:webHidden/>
              </w:rPr>
              <w:t>3</w:t>
            </w:r>
            <w:r w:rsidR="00A21B27">
              <w:rPr>
                <w:noProof/>
                <w:webHidden/>
              </w:rPr>
              <w:fldChar w:fldCharType="end"/>
            </w:r>
          </w:hyperlink>
        </w:p>
        <w:p w14:paraId="6C7CA370" w14:textId="49CB8551" w:rsidR="00A21B27" w:rsidRDefault="00A21B27">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0113311" w:history="1">
            <w:r w:rsidRPr="00AF70CF">
              <w:rPr>
                <w:rStyle w:val="Hyperlink"/>
                <w:noProof/>
                <w:lang w:val="en-RO"/>
              </w:rPr>
              <w:t>Company: Tata Steel India</w:t>
            </w:r>
            <w:r>
              <w:rPr>
                <w:noProof/>
                <w:webHidden/>
              </w:rPr>
              <w:tab/>
            </w:r>
            <w:r>
              <w:rPr>
                <w:noProof/>
                <w:webHidden/>
              </w:rPr>
              <w:fldChar w:fldCharType="begin"/>
            </w:r>
            <w:r>
              <w:rPr>
                <w:noProof/>
                <w:webHidden/>
              </w:rPr>
              <w:instrText xml:space="preserve"> PAGEREF _Toc230113311 \h </w:instrText>
            </w:r>
            <w:r>
              <w:rPr>
                <w:noProof/>
                <w:webHidden/>
              </w:rPr>
            </w:r>
            <w:r>
              <w:rPr>
                <w:noProof/>
                <w:webHidden/>
              </w:rPr>
              <w:fldChar w:fldCharType="separate"/>
            </w:r>
            <w:r>
              <w:rPr>
                <w:noProof/>
                <w:webHidden/>
              </w:rPr>
              <w:t>3</w:t>
            </w:r>
            <w:r>
              <w:rPr>
                <w:noProof/>
                <w:webHidden/>
              </w:rPr>
              <w:fldChar w:fldCharType="end"/>
            </w:r>
          </w:hyperlink>
        </w:p>
        <w:p w14:paraId="049700B8" w14:textId="142B8A18" w:rsidR="00A21B27" w:rsidRDefault="00A21B27">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0113312" w:history="1">
            <w:r w:rsidRPr="00AF70CF">
              <w:rPr>
                <w:rStyle w:val="Hyperlink"/>
                <w:noProof/>
                <w:lang w:val="en-RO"/>
              </w:rPr>
              <w:t>External Actors: Natural Environment and Technological Environment</w:t>
            </w:r>
            <w:r>
              <w:rPr>
                <w:noProof/>
                <w:webHidden/>
              </w:rPr>
              <w:tab/>
            </w:r>
            <w:r>
              <w:rPr>
                <w:noProof/>
                <w:webHidden/>
              </w:rPr>
              <w:fldChar w:fldCharType="begin"/>
            </w:r>
            <w:r>
              <w:rPr>
                <w:noProof/>
                <w:webHidden/>
              </w:rPr>
              <w:instrText xml:space="preserve"> PAGEREF _Toc230113312 \h </w:instrText>
            </w:r>
            <w:r>
              <w:rPr>
                <w:noProof/>
                <w:webHidden/>
              </w:rPr>
            </w:r>
            <w:r>
              <w:rPr>
                <w:noProof/>
                <w:webHidden/>
              </w:rPr>
              <w:fldChar w:fldCharType="separate"/>
            </w:r>
            <w:r>
              <w:rPr>
                <w:noProof/>
                <w:webHidden/>
              </w:rPr>
              <w:t>3</w:t>
            </w:r>
            <w:r>
              <w:rPr>
                <w:noProof/>
                <w:webHidden/>
              </w:rPr>
              <w:fldChar w:fldCharType="end"/>
            </w:r>
          </w:hyperlink>
        </w:p>
        <w:p w14:paraId="30033E14" w14:textId="5066F726" w:rsidR="00A21B27" w:rsidRDefault="00A21B27">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230113313" w:history="1">
            <w:r w:rsidRPr="00AF70CF">
              <w:rPr>
                <w:rStyle w:val="Hyperlink"/>
                <w:noProof/>
                <w:lang w:val="en-RO"/>
              </w:rPr>
              <w:t>1. Natural Environment</w:t>
            </w:r>
            <w:r>
              <w:rPr>
                <w:noProof/>
                <w:webHidden/>
              </w:rPr>
              <w:tab/>
            </w:r>
            <w:r>
              <w:rPr>
                <w:noProof/>
                <w:webHidden/>
              </w:rPr>
              <w:fldChar w:fldCharType="begin"/>
            </w:r>
            <w:r>
              <w:rPr>
                <w:noProof/>
                <w:webHidden/>
              </w:rPr>
              <w:instrText xml:space="preserve"> PAGEREF _Toc230113313 \h </w:instrText>
            </w:r>
            <w:r>
              <w:rPr>
                <w:noProof/>
                <w:webHidden/>
              </w:rPr>
            </w:r>
            <w:r>
              <w:rPr>
                <w:noProof/>
                <w:webHidden/>
              </w:rPr>
              <w:fldChar w:fldCharType="separate"/>
            </w:r>
            <w:r>
              <w:rPr>
                <w:noProof/>
                <w:webHidden/>
              </w:rPr>
              <w:t>3</w:t>
            </w:r>
            <w:r>
              <w:rPr>
                <w:noProof/>
                <w:webHidden/>
              </w:rPr>
              <w:fldChar w:fldCharType="end"/>
            </w:r>
          </w:hyperlink>
        </w:p>
        <w:p w14:paraId="077157B1" w14:textId="20EA8BC7" w:rsidR="00A21B27" w:rsidRDefault="00A21B27">
          <w:pPr>
            <w:pStyle w:val="TOC3"/>
            <w:tabs>
              <w:tab w:val="right" w:leader="dot" w:pos="9016"/>
            </w:tabs>
            <w:rPr>
              <w:rFonts w:eastAsiaTheme="minorEastAsia" w:cstheme="minorBidi"/>
              <w:noProof/>
              <w:kern w:val="2"/>
              <w:sz w:val="24"/>
              <w:szCs w:val="24"/>
              <w:lang w:val="en-RO" w:eastAsia="en-GB"/>
              <w14:ligatures w14:val="standardContextual"/>
            </w:rPr>
          </w:pPr>
          <w:hyperlink w:anchor="_Toc230113314" w:history="1">
            <w:r w:rsidRPr="00AF70CF">
              <w:rPr>
                <w:rStyle w:val="Hyperlink"/>
                <w:noProof/>
                <w:lang w:val="en-RO"/>
              </w:rPr>
              <w:t>1.1 Climate Change and Emissions Pressure</w:t>
            </w:r>
            <w:r>
              <w:rPr>
                <w:noProof/>
                <w:webHidden/>
              </w:rPr>
              <w:tab/>
            </w:r>
            <w:r>
              <w:rPr>
                <w:noProof/>
                <w:webHidden/>
              </w:rPr>
              <w:fldChar w:fldCharType="begin"/>
            </w:r>
            <w:r>
              <w:rPr>
                <w:noProof/>
                <w:webHidden/>
              </w:rPr>
              <w:instrText xml:space="preserve"> PAGEREF _Toc230113314 \h </w:instrText>
            </w:r>
            <w:r>
              <w:rPr>
                <w:noProof/>
                <w:webHidden/>
              </w:rPr>
            </w:r>
            <w:r>
              <w:rPr>
                <w:noProof/>
                <w:webHidden/>
              </w:rPr>
              <w:fldChar w:fldCharType="separate"/>
            </w:r>
            <w:r>
              <w:rPr>
                <w:noProof/>
                <w:webHidden/>
              </w:rPr>
              <w:t>3</w:t>
            </w:r>
            <w:r>
              <w:rPr>
                <w:noProof/>
                <w:webHidden/>
              </w:rPr>
              <w:fldChar w:fldCharType="end"/>
            </w:r>
          </w:hyperlink>
        </w:p>
        <w:p w14:paraId="223DCD49" w14:textId="01F80A86" w:rsidR="00A21B27" w:rsidRDefault="00A21B27">
          <w:pPr>
            <w:pStyle w:val="TOC3"/>
            <w:tabs>
              <w:tab w:val="right" w:leader="dot" w:pos="9016"/>
            </w:tabs>
            <w:rPr>
              <w:rFonts w:eastAsiaTheme="minorEastAsia" w:cstheme="minorBidi"/>
              <w:noProof/>
              <w:kern w:val="2"/>
              <w:sz w:val="24"/>
              <w:szCs w:val="24"/>
              <w:lang w:val="en-RO" w:eastAsia="en-GB"/>
              <w14:ligatures w14:val="standardContextual"/>
            </w:rPr>
          </w:pPr>
          <w:hyperlink w:anchor="_Toc230113315" w:history="1">
            <w:r w:rsidRPr="00AF70CF">
              <w:rPr>
                <w:rStyle w:val="Hyperlink"/>
                <w:noProof/>
                <w:lang w:val="en-RO"/>
              </w:rPr>
              <w:t>1.2 Resource Scarcity and Circular Economy Expectations</w:t>
            </w:r>
            <w:r>
              <w:rPr>
                <w:noProof/>
                <w:webHidden/>
              </w:rPr>
              <w:tab/>
            </w:r>
            <w:r>
              <w:rPr>
                <w:noProof/>
                <w:webHidden/>
              </w:rPr>
              <w:fldChar w:fldCharType="begin"/>
            </w:r>
            <w:r>
              <w:rPr>
                <w:noProof/>
                <w:webHidden/>
              </w:rPr>
              <w:instrText xml:space="preserve"> PAGEREF _Toc230113315 \h </w:instrText>
            </w:r>
            <w:r>
              <w:rPr>
                <w:noProof/>
                <w:webHidden/>
              </w:rPr>
            </w:r>
            <w:r>
              <w:rPr>
                <w:noProof/>
                <w:webHidden/>
              </w:rPr>
              <w:fldChar w:fldCharType="separate"/>
            </w:r>
            <w:r>
              <w:rPr>
                <w:noProof/>
                <w:webHidden/>
              </w:rPr>
              <w:t>4</w:t>
            </w:r>
            <w:r>
              <w:rPr>
                <w:noProof/>
                <w:webHidden/>
              </w:rPr>
              <w:fldChar w:fldCharType="end"/>
            </w:r>
          </w:hyperlink>
        </w:p>
        <w:p w14:paraId="37F934E6" w14:textId="73B67EBF" w:rsidR="00A21B27" w:rsidRDefault="00A21B27">
          <w:pPr>
            <w:pStyle w:val="TOC3"/>
            <w:tabs>
              <w:tab w:val="right" w:leader="dot" w:pos="9016"/>
            </w:tabs>
            <w:rPr>
              <w:rFonts w:eastAsiaTheme="minorEastAsia" w:cstheme="minorBidi"/>
              <w:noProof/>
              <w:kern w:val="2"/>
              <w:sz w:val="24"/>
              <w:szCs w:val="24"/>
              <w:lang w:val="en-RO" w:eastAsia="en-GB"/>
              <w14:ligatures w14:val="standardContextual"/>
            </w:rPr>
          </w:pPr>
          <w:hyperlink w:anchor="_Toc230113316" w:history="1">
            <w:r w:rsidRPr="00AF70CF">
              <w:rPr>
                <w:rStyle w:val="Hyperlink"/>
                <w:noProof/>
                <w:lang w:val="en-RO"/>
              </w:rPr>
              <w:t>1.3 Renewable Energy and Environmental Efficiency</w:t>
            </w:r>
            <w:r>
              <w:rPr>
                <w:noProof/>
                <w:webHidden/>
              </w:rPr>
              <w:tab/>
            </w:r>
            <w:r>
              <w:rPr>
                <w:noProof/>
                <w:webHidden/>
              </w:rPr>
              <w:fldChar w:fldCharType="begin"/>
            </w:r>
            <w:r>
              <w:rPr>
                <w:noProof/>
                <w:webHidden/>
              </w:rPr>
              <w:instrText xml:space="preserve"> PAGEREF _Toc230113316 \h </w:instrText>
            </w:r>
            <w:r>
              <w:rPr>
                <w:noProof/>
                <w:webHidden/>
              </w:rPr>
            </w:r>
            <w:r>
              <w:rPr>
                <w:noProof/>
                <w:webHidden/>
              </w:rPr>
              <w:fldChar w:fldCharType="separate"/>
            </w:r>
            <w:r>
              <w:rPr>
                <w:noProof/>
                <w:webHidden/>
              </w:rPr>
              <w:t>4</w:t>
            </w:r>
            <w:r>
              <w:rPr>
                <w:noProof/>
                <w:webHidden/>
              </w:rPr>
              <w:fldChar w:fldCharType="end"/>
            </w:r>
          </w:hyperlink>
        </w:p>
        <w:p w14:paraId="6E6F2B0D" w14:textId="3E36A316" w:rsidR="00A21B27" w:rsidRDefault="00A21B27">
          <w:pPr>
            <w:pStyle w:val="TOC3"/>
            <w:tabs>
              <w:tab w:val="right" w:leader="dot" w:pos="9016"/>
            </w:tabs>
            <w:rPr>
              <w:rFonts w:eastAsiaTheme="minorEastAsia" w:cstheme="minorBidi"/>
              <w:noProof/>
              <w:kern w:val="2"/>
              <w:sz w:val="24"/>
              <w:szCs w:val="24"/>
              <w:lang w:val="en-RO" w:eastAsia="en-GB"/>
              <w14:ligatures w14:val="standardContextual"/>
            </w:rPr>
          </w:pPr>
          <w:hyperlink w:anchor="_Toc230113317" w:history="1">
            <w:r w:rsidRPr="00AF70CF">
              <w:rPr>
                <w:rStyle w:val="Hyperlink"/>
                <w:noProof/>
                <w:lang w:val="en-RO"/>
              </w:rPr>
              <w:t>1.4 Environmental Expectations from Stakeholders</w:t>
            </w:r>
            <w:r>
              <w:rPr>
                <w:noProof/>
                <w:webHidden/>
              </w:rPr>
              <w:tab/>
            </w:r>
            <w:r>
              <w:rPr>
                <w:noProof/>
                <w:webHidden/>
              </w:rPr>
              <w:fldChar w:fldCharType="begin"/>
            </w:r>
            <w:r>
              <w:rPr>
                <w:noProof/>
                <w:webHidden/>
              </w:rPr>
              <w:instrText xml:space="preserve"> PAGEREF _Toc230113317 \h </w:instrText>
            </w:r>
            <w:r>
              <w:rPr>
                <w:noProof/>
                <w:webHidden/>
              </w:rPr>
            </w:r>
            <w:r>
              <w:rPr>
                <w:noProof/>
                <w:webHidden/>
              </w:rPr>
              <w:fldChar w:fldCharType="separate"/>
            </w:r>
            <w:r>
              <w:rPr>
                <w:noProof/>
                <w:webHidden/>
              </w:rPr>
              <w:t>5</w:t>
            </w:r>
            <w:r>
              <w:rPr>
                <w:noProof/>
                <w:webHidden/>
              </w:rPr>
              <w:fldChar w:fldCharType="end"/>
            </w:r>
          </w:hyperlink>
        </w:p>
        <w:p w14:paraId="39D38736" w14:textId="2046DA41" w:rsidR="00A21B27" w:rsidRDefault="00A21B27">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230113318" w:history="1">
            <w:r w:rsidRPr="00AF70CF">
              <w:rPr>
                <w:rStyle w:val="Hyperlink"/>
                <w:noProof/>
                <w:lang w:val="en-RO"/>
              </w:rPr>
              <w:t>2. Technological Environment</w:t>
            </w:r>
            <w:r>
              <w:rPr>
                <w:noProof/>
                <w:webHidden/>
              </w:rPr>
              <w:tab/>
            </w:r>
            <w:r>
              <w:rPr>
                <w:noProof/>
                <w:webHidden/>
              </w:rPr>
              <w:fldChar w:fldCharType="begin"/>
            </w:r>
            <w:r>
              <w:rPr>
                <w:noProof/>
                <w:webHidden/>
              </w:rPr>
              <w:instrText xml:space="preserve"> PAGEREF _Toc230113318 \h </w:instrText>
            </w:r>
            <w:r>
              <w:rPr>
                <w:noProof/>
                <w:webHidden/>
              </w:rPr>
            </w:r>
            <w:r>
              <w:rPr>
                <w:noProof/>
                <w:webHidden/>
              </w:rPr>
              <w:fldChar w:fldCharType="separate"/>
            </w:r>
            <w:r>
              <w:rPr>
                <w:noProof/>
                <w:webHidden/>
              </w:rPr>
              <w:t>5</w:t>
            </w:r>
            <w:r>
              <w:rPr>
                <w:noProof/>
                <w:webHidden/>
              </w:rPr>
              <w:fldChar w:fldCharType="end"/>
            </w:r>
          </w:hyperlink>
        </w:p>
        <w:p w14:paraId="02F6F544" w14:textId="1525C8CC" w:rsidR="00A21B27" w:rsidRDefault="00A21B27">
          <w:pPr>
            <w:pStyle w:val="TOC3"/>
            <w:tabs>
              <w:tab w:val="right" w:leader="dot" w:pos="9016"/>
            </w:tabs>
            <w:rPr>
              <w:rFonts w:eastAsiaTheme="minorEastAsia" w:cstheme="minorBidi"/>
              <w:noProof/>
              <w:kern w:val="2"/>
              <w:sz w:val="24"/>
              <w:szCs w:val="24"/>
              <w:lang w:val="en-RO" w:eastAsia="en-GB"/>
              <w14:ligatures w14:val="standardContextual"/>
            </w:rPr>
          </w:pPr>
          <w:hyperlink w:anchor="_Toc230113319" w:history="1">
            <w:r w:rsidRPr="00AF70CF">
              <w:rPr>
                <w:rStyle w:val="Hyperlink"/>
                <w:noProof/>
                <w:lang w:val="en-RO"/>
              </w:rPr>
              <w:t>2.1 Adoption of Electric Arc Furnace (EAF) Technology</w:t>
            </w:r>
            <w:r>
              <w:rPr>
                <w:noProof/>
                <w:webHidden/>
              </w:rPr>
              <w:tab/>
            </w:r>
            <w:r>
              <w:rPr>
                <w:noProof/>
                <w:webHidden/>
              </w:rPr>
              <w:fldChar w:fldCharType="begin"/>
            </w:r>
            <w:r>
              <w:rPr>
                <w:noProof/>
                <w:webHidden/>
              </w:rPr>
              <w:instrText xml:space="preserve"> PAGEREF _Toc230113319 \h </w:instrText>
            </w:r>
            <w:r>
              <w:rPr>
                <w:noProof/>
                <w:webHidden/>
              </w:rPr>
            </w:r>
            <w:r>
              <w:rPr>
                <w:noProof/>
                <w:webHidden/>
              </w:rPr>
              <w:fldChar w:fldCharType="separate"/>
            </w:r>
            <w:r>
              <w:rPr>
                <w:noProof/>
                <w:webHidden/>
              </w:rPr>
              <w:t>5</w:t>
            </w:r>
            <w:r>
              <w:rPr>
                <w:noProof/>
                <w:webHidden/>
              </w:rPr>
              <w:fldChar w:fldCharType="end"/>
            </w:r>
          </w:hyperlink>
        </w:p>
        <w:p w14:paraId="572BF297" w14:textId="1C828FA4" w:rsidR="00A21B27" w:rsidRDefault="00A21B27">
          <w:pPr>
            <w:pStyle w:val="TOC3"/>
            <w:tabs>
              <w:tab w:val="right" w:leader="dot" w:pos="9016"/>
            </w:tabs>
            <w:rPr>
              <w:rFonts w:eastAsiaTheme="minorEastAsia" w:cstheme="minorBidi"/>
              <w:noProof/>
              <w:kern w:val="2"/>
              <w:sz w:val="24"/>
              <w:szCs w:val="24"/>
              <w:lang w:val="en-RO" w:eastAsia="en-GB"/>
              <w14:ligatures w14:val="standardContextual"/>
            </w:rPr>
          </w:pPr>
          <w:hyperlink w:anchor="_Toc230113320" w:history="1">
            <w:r w:rsidRPr="00AF70CF">
              <w:rPr>
                <w:rStyle w:val="Hyperlink"/>
                <w:noProof/>
                <w:lang w:val="en-RO"/>
              </w:rPr>
              <w:t>2.2 Renewable Energy Integration</w:t>
            </w:r>
            <w:r>
              <w:rPr>
                <w:noProof/>
                <w:webHidden/>
              </w:rPr>
              <w:tab/>
            </w:r>
            <w:r>
              <w:rPr>
                <w:noProof/>
                <w:webHidden/>
              </w:rPr>
              <w:fldChar w:fldCharType="begin"/>
            </w:r>
            <w:r>
              <w:rPr>
                <w:noProof/>
                <w:webHidden/>
              </w:rPr>
              <w:instrText xml:space="preserve"> PAGEREF _Toc230113320 \h </w:instrText>
            </w:r>
            <w:r>
              <w:rPr>
                <w:noProof/>
                <w:webHidden/>
              </w:rPr>
            </w:r>
            <w:r>
              <w:rPr>
                <w:noProof/>
                <w:webHidden/>
              </w:rPr>
              <w:fldChar w:fldCharType="separate"/>
            </w:r>
            <w:r>
              <w:rPr>
                <w:noProof/>
                <w:webHidden/>
              </w:rPr>
              <w:t>5</w:t>
            </w:r>
            <w:r>
              <w:rPr>
                <w:noProof/>
                <w:webHidden/>
              </w:rPr>
              <w:fldChar w:fldCharType="end"/>
            </w:r>
          </w:hyperlink>
        </w:p>
        <w:p w14:paraId="4C06703C" w14:textId="7B2FAF1A" w:rsidR="00A21B27" w:rsidRDefault="00A21B27">
          <w:pPr>
            <w:pStyle w:val="TOC3"/>
            <w:tabs>
              <w:tab w:val="right" w:leader="dot" w:pos="9016"/>
            </w:tabs>
            <w:rPr>
              <w:rFonts w:eastAsiaTheme="minorEastAsia" w:cstheme="minorBidi"/>
              <w:noProof/>
              <w:kern w:val="2"/>
              <w:sz w:val="24"/>
              <w:szCs w:val="24"/>
              <w:lang w:val="en-RO" w:eastAsia="en-GB"/>
              <w14:ligatures w14:val="standardContextual"/>
            </w:rPr>
          </w:pPr>
          <w:hyperlink w:anchor="_Toc230113321" w:history="1">
            <w:r w:rsidRPr="00AF70CF">
              <w:rPr>
                <w:rStyle w:val="Hyperlink"/>
                <w:noProof/>
                <w:lang w:val="en-RO"/>
              </w:rPr>
              <w:t>2.3 Industry</w:t>
            </w:r>
            <w:r w:rsidRPr="00AF70CF">
              <w:rPr>
                <w:rStyle w:val="Hyperlink"/>
                <w:noProof/>
                <w:lang w:val="en-RO"/>
              </w:rPr>
              <w:noBreakHyphen/>
              <w:t>Wide Technological Shifts</w:t>
            </w:r>
            <w:r>
              <w:rPr>
                <w:noProof/>
                <w:webHidden/>
              </w:rPr>
              <w:tab/>
            </w:r>
            <w:r>
              <w:rPr>
                <w:noProof/>
                <w:webHidden/>
              </w:rPr>
              <w:fldChar w:fldCharType="begin"/>
            </w:r>
            <w:r>
              <w:rPr>
                <w:noProof/>
                <w:webHidden/>
              </w:rPr>
              <w:instrText xml:space="preserve"> PAGEREF _Toc230113321 \h </w:instrText>
            </w:r>
            <w:r>
              <w:rPr>
                <w:noProof/>
                <w:webHidden/>
              </w:rPr>
            </w:r>
            <w:r>
              <w:rPr>
                <w:noProof/>
                <w:webHidden/>
              </w:rPr>
              <w:fldChar w:fldCharType="separate"/>
            </w:r>
            <w:r>
              <w:rPr>
                <w:noProof/>
                <w:webHidden/>
              </w:rPr>
              <w:t>6</w:t>
            </w:r>
            <w:r>
              <w:rPr>
                <w:noProof/>
                <w:webHidden/>
              </w:rPr>
              <w:fldChar w:fldCharType="end"/>
            </w:r>
          </w:hyperlink>
        </w:p>
        <w:p w14:paraId="2E0C956D" w14:textId="704EE573" w:rsidR="00A21B27" w:rsidRDefault="00A21B27">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0113322" w:history="1">
            <w:r w:rsidRPr="00AF70CF">
              <w:rPr>
                <w:rStyle w:val="Hyperlink"/>
                <w:noProof/>
                <w:lang w:val="en-RO"/>
              </w:rPr>
              <w:t>Strategic Growth and Competitive Positioning</w:t>
            </w:r>
            <w:r>
              <w:rPr>
                <w:noProof/>
                <w:webHidden/>
              </w:rPr>
              <w:tab/>
            </w:r>
            <w:r>
              <w:rPr>
                <w:noProof/>
                <w:webHidden/>
              </w:rPr>
              <w:fldChar w:fldCharType="begin"/>
            </w:r>
            <w:r>
              <w:rPr>
                <w:noProof/>
                <w:webHidden/>
              </w:rPr>
              <w:instrText xml:space="preserve"> PAGEREF _Toc230113322 \h </w:instrText>
            </w:r>
            <w:r>
              <w:rPr>
                <w:noProof/>
                <w:webHidden/>
              </w:rPr>
            </w:r>
            <w:r>
              <w:rPr>
                <w:noProof/>
                <w:webHidden/>
              </w:rPr>
              <w:fldChar w:fldCharType="separate"/>
            </w:r>
            <w:r>
              <w:rPr>
                <w:noProof/>
                <w:webHidden/>
              </w:rPr>
              <w:t>7</w:t>
            </w:r>
            <w:r>
              <w:rPr>
                <w:noProof/>
                <w:webHidden/>
              </w:rPr>
              <w:fldChar w:fldCharType="end"/>
            </w:r>
          </w:hyperlink>
        </w:p>
        <w:p w14:paraId="33CD3217" w14:textId="35861DE3" w:rsidR="00A21B27" w:rsidRDefault="00A21B27">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230113323" w:history="1">
            <w:r w:rsidRPr="00AF70CF">
              <w:rPr>
                <w:rStyle w:val="Hyperlink"/>
                <w:noProof/>
                <w:lang w:val="en-RO"/>
              </w:rPr>
              <w:t>Environmental Pressures and the Need for Growth</w:t>
            </w:r>
            <w:r>
              <w:rPr>
                <w:noProof/>
                <w:webHidden/>
              </w:rPr>
              <w:tab/>
            </w:r>
            <w:r>
              <w:rPr>
                <w:noProof/>
                <w:webHidden/>
              </w:rPr>
              <w:fldChar w:fldCharType="begin"/>
            </w:r>
            <w:r>
              <w:rPr>
                <w:noProof/>
                <w:webHidden/>
              </w:rPr>
              <w:instrText xml:space="preserve"> PAGEREF _Toc230113323 \h </w:instrText>
            </w:r>
            <w:r>
              <w:rPr>
                <w:noProof/>
                <w:webHidden/>
              </w:rPr>
            </w:r>
            <w:r>
              <w:rPr>
                <w:noProof/>
                <w:webHidden/>
              </w:rPr>
              <w:fldChar w:fldCharType="separate"/>
            </w:r>
            <w:r>
              <w:rPr>
                <w:noProof/>
                <w:webHidden/>
              </w:rPr>
              <w:t>7</w:t>
            </w:r>
            <w:r>
              <w:rPr>
                <w:noProof/>
                <w:webHidden/>
              </w:rPr>
              <w:fldChar w:fldCharType="end"/>
            </w:r>
          </w:hyperlink>
        </w:p>
        <w:p w14:paraId="62077EBC" w14:textId="19E06E81" w:rsidR="00A21B27" w:rsidRDefault="00A21B27">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0113324" w:history="1">
            <w:r w:rsidRPr="00AF70CF">
              <w:rPr>
                <w:rStyle w:val="Hyperlink"/>
                <w:noProof/>
                <w:lang w:val="en-RO"/>
              </w:rPr>
              <w:t>Evaluating Growth Options Using the Ansoff Matrix</w:t>
            </w:r>
            <w:r>
              <w:rPr>
                <w:noProof/>
                <w:webHidden/>
              </w:rPr>
              <w:tab/>
            </w:r>
            <w:r>
              <w:rPr>
                <w:noProof/>
                <w:webHidden/>
              </w:rPr>
              <w:fldChar w:fldCharType="begin"/>
            </w:r>
            <w:r>
              <w:rPr>
                <w:noProof/>
                <w:webHidden/>
              </w:rPr>
              <w:instrText xml:space="preserve"> PAGEREF _Toc230113324 \h </w:instrText>
            </w:r>
            <w:r>
              <w:rPr>
                <w:noProof/>
                <w:webHidden/>
              </w:rPr>
            </w:r>
            <w:r>
              <w:rPr>
                <w:noProof/>
                <w:webHidden/>
              </w:rPr>
              <w:fldChar w:fldCharType="separate"/>
            </w:r>
            <w:r>
              <w:rPr>
                <w:noProof/>
                <w:webHidden/>
              </w:rPr>
              <w:t>7</w:t>
            </w:r>
            <w:r>
              <w:rPr>
                <w:noProof/>
                <w:webHidden/>
              </w:rPr>
              <w:fldChar w:fldCharType="end"/>
            </w:r>
          </w:hyperlink>
        </w:p>
        <w:p w14:paraId="5495DF18" w14:textId="5004EB7A" w:rsidR="00A21B27" w:rsidRDefault="00A21B27">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230113325" w:history="1">
            <w:r w:rsidRPr="00AF70CF">
              <w:rPr>
                <w:rStyle w:val="Hyperlink"/>
                <w:noProof/>
                <w:lang w:val="en-RO"/>
              </w:rPr>
              <w:t>Market Penetration</w:t>
            </w:r>
            <w:r>
              <w:rPr>
                <w:noProof/>
                <w:webHidden/>
              </w:rPr>
              <w:tab/>
            </w:r>
            <w:r>
              <w:rPr>
                <w:noProof/>
                <w:webHidden/>
              </w:rPr>
              <w:fldChar w:fldCharType="begin"/>
            </w:r>
            <w:r>
              <w:rPr>
                <w:noProof/>
                <w:webHidden/>
              </w:rPr>
              <w:instrText xml:space="preserve"> PAGEREF _Toc230113325 \h </w:instrText>
            </w:r>
            <w:r>
              <w:rPr>
                <w:noProof/>
                <w:webHidden/>
              </w:rPr>
            </w:r>
            <w:r>
              <w:rPr>
                <w:noProof/>
                <w:webHidden/>
              </w:rPr>
              <w:fldChar w:fldCharType="separate"/>
            </w:r>
            <w:r>
              <w:rPr>
                <w:noProof/>
                <w:webHidden/>
              </w:rPr>
              <w:t>7</w:t>
            </w:r>
            <w:r>
              <w:rPr>
                <w:noProof/>
                <w:webHidden/>
              </w:rPr>
              <w:fldChar w:fldCharType="end"/>
            </w:r>
          </w:hyperlink>
        </w:p>
        <w:p w14:paraId="149C6BAC" w14:textId="60847FA6" w:rsidR="00A21B27" w:rsidRDefault="00A21B27">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230113326" w:history="1">
            <w:r w:rsidRPr="00AF70CF">
              <w:rPr>
                <w:rStyle w:val="Hyperlink"/>
                <w:noProof/>
                <w:lang w:val="en-RO"/>
              </w:rPr>
              <w:t>Market Development</w:t>
            </w:r>
            <w:r>
              <w:rPr>
                <w:noProof/>
                <w:webHidden/>
              </w:rPr>
              <w:tab/>
            </w:r>
            <w:r>
              <w:rPr>
                <w:noProof/>
                <w:webHidden/>
              </w:rPr>
              <w:fldChar w:fldCharType="begin"/>
            </w:r>
            <w:r>
              <w:rPr>
                <w:noProof/>
                <w:webHidden/>
              </w:rPr>
              <w:instrText xml:space="preserve"> PAGEREF _Toc230113326 \h </w:instrText>
            </w:r>
            <w:r>
              <w:rPr>
                <w:noProof/>
                <w:webHidden/>
              </w:rPr>
            </w:r>
            <w:r>
              <w:rPr>
                <w:noProof/>
                <w:webHidden/>
              </w:rPr>
              <w:fldChar w:fldCharType="separate"/>
            </w:r>
            <w:r>
              <w:rPr>
                <w:noProof/>
                <w:webHidden/>
              </w:rPr>
              <w:t>7</w:t>
            </w:r>
            <w:r>
              <w:rPr>
                <w:noProof/>
                <w:webHidden/>
              </w:rPr>
              <w:fldChar w:fldCharType="end"/>
            </w:r>
          </w:hyperlink>
        </w:p>
        <w:p w14:paraId="4FDB51B1" w14:textId="6EBD08A0" w:rsidR="00A21B27" w:rsidRDefault="00A21B27">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230113327" w:history="1">
            <w:r w:rsidRPr="00AF70CF">
              <w:rPr>
                <w:rStyle w:val="Hyperlink"/>
                <w:noProof/>
                <w:lang w:val="en-RO"/>
              </w:rPr>
              <w:t>Product Development</w:t>
            </w:r>
            <w:r>
              <w:rPr>
                <w:noProof/>
                <w:webHidden/>
              </w:rPr>
              <w:tab/>
            </w:r>
            <w:r>
              <w:rPr>
                <w:noProof/>
                <w:webHidden/>
              </w:rPr>
              <w:fldChar w:fldCharType="begin"/>
            </w:r>
            <w:r>
              <w:rPr>
                <w:noProof/>
                <w:webHidden/>
              </w:rPr>
              <w:instrText xml:space="preserve"> PAGEREF _Toc230113327 \h </w:instrText>
            </w:r>
            <w:r>
              <w:rPr>
                <w:noProof/>
                <w:webHidden/>
              </w:rPr>
            </w:r>
            <w:r>
              <w:rPr>
                <w:noProof/>
                <w:webHidden/>
              </w:rPr>
              <w:fldChar w:fldCharType="separate"/>
            </w:r>
            <w:r>
              <w:rPr>
                <w:noProof/>
                <w:webHidden/>
              </w:rPr>
              <w:t>8</w:t>
            </w:r>
            <w:r>
              <w:rPr>
                <w:noProof/>
                <w:webHidden/>
              </w:rPr>
              <w:fldChar w:fldCharType="end"/>
            </w:r>
          </w:hyperlink>
        </w:p>
        <w:p w14:paraId="2BD9D396" w14:textId="6B11E3A0" w:rsidR="00A21B27" w:rsidRDefault="00A21B27">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230113328" w:history="1">
            <w:r w:rsidRPr="00AF70CF">
              <w:rPr>
                <w:rStyle w:val="Hyperlink"/>
                <w:noProof/>
                <w:lang w:val="en-RO"/>
              </w:rPr>
              <w:t>Diversification</w:t>
            </w:r>
            <w:r>
              <w:rPr>
                <w:noProof/>
                <w:webHidden/>
              </w:rPr>
              <w:tab/>
            </w:r>
            <w:r>
              <w:rPr>
                <w:noProof/>
                <w:webHidden/>
              </w:rPr>
              <w:fldChar w:fldCharType="begin"/>
            </w:r>
            <w:r>
              <w:rPr>
                <w:noProof/>
                <w:webHidden/>
              </w:rPr>
              <w:instrText xml:space="preserve"> PAGEREF _Toc230113328 \h </w:instrText>
            </w:r>
            <w:r>
              <w:rPr>
                <w:noProof/>
                <w:webHidden/>
              </w:rPr>
            </w:r>
            <w:r>
              <w:rPr>
                <w:noProof/>
                <w:webHidden/>
              </w:rPr>
              <w:fldChar w:fldCharType="separate"/>
            </w:r>
            <w:r>
              <w:rPr>
                <w:noProof/>
                <w:webHidden/>
              </w:rPr>
              <w:t>8</w:t>
            </w:r>
            <w:r>
              <w:rPr>
                <w:noProof/>
                <w:webHidden/>
              </w:rPr>
              <w:fldChar w:fldCharType="end"/>
            </w:r>
          </w:hyperlink>
        </w:p>
        <w:p w14:paraId="5E96E4A0" w14:textId="169CDCD2" w:rsidR="00A21B27" w:rsidRDefault="00A21B27">
          <w:pPr>
            <w:pStyle w:val="TOC3"/>
            <w:tabs>
              <w:tab w:val="right" w:leader="dot" w:pos="9016"/>
            </w:tabs>
            <w:rPr>
              <w:rFonts w:eastAsiaTheme="minorEastAsia" w:cstheme="minorBidi"/>
              <w:noProof/>
              <w:kern w:val="2"/>
              <w:sz w:val="24"/>
              <w:szCs w:val="24"/>
              <w:lang w:val="en-RO" w:eastAsia="en-GB"/>
              <w14:ligatures w14:val="standardContextual"/>
            </w:rPr>
          </w:pPr>
          <w:hyperlink w:anchor="_Toc230113329" w:history="1">
            <w:r w:rsidRPr="00AF70CF">
              <w:rPr>
                <w:rStyle w:val="Hyperlink"/>
                <w:noProof/>
                <w:lang w:val="en-RO"/>
              </w:rPr>
              <w:t>Figure.2 Ansoff Matrix Applied</w:t>
            </w:r>
            <w:r>
              <w:rPr>
                <w:noProof/>
                <w:webHidden/>
              </w:rPr>
              <w:tab/>
            </w:r>
            <w:r>
              <w:rPr>
                <w:noProof/>
                <w:webHidden/>
              </w:rPr>
              <w:fldChar w:fldCharType="begin"/>
            </w:r>
            <w:r>
              <w:rPr>
                <w:noProof/>
                <w:webHidden/>
              </w:rPr>
              <w:instrText xml:space="preserve"> PAGEREF _Toc230113329 \h </w:instrText>
            </w:r>
            <w:r>
              <w:rPr>
                <w:noProof/>
                <w:webHidden/>
              </w:rPr>
            </w:r>
            <w:r>
              <w:rPr>
                <w:noProof/>
                <w:webHidden/>
              </w:rPr>
              <w:fldChar w:fldCharType="separate"/>
            </w:r>
            <w:r>
              <w:rPr>
                <w:noProof/>
                <w:webHidden/>
              </w:rPr>
              <w:t>9</w:t>
            </w:r>
            <w:r>
              <w:rPr>
                <w:noProof/>
                <w:webHidden/>
              </w:rPr>
              <w:fldChar w:fldCharType="end"/>
            </w:r>
          </w:hyperlink>
        </w:p>
        <w:p w14:paraId="5DCDC4BC" w14:textId="3E0C9647" w:rsidR="00A21B27" w:rsidRDefault="00A21B27">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0113330" w:history="1">
            <w:r w:rsidRPr="00AF70CF">
              <w:rPr>
                <w:rStyle w:val="Hyperlink"/>
                <w:noProof/>
                <w:lang w:val="en-RO"/>
              </w:rPr>
              <w:t>Recommended Strategy: Combined Product Development and Market Development</w:t>
            </w:r>
            <w:r>
              <w:rPr>
                <w:noProof/>
                <w:webHidden/>
              </w:rPr>
              <w:tab/>
            </w:r>
            <w:r>
              <w:rPr>
                <w:noProof/>
                <w:webHidden/>
              </w:rPr>
              <w:fldChar w:fldCharType="begin"/>
            </w:r>
            <w:r>
              <w:rPr>
                <w:noProof/>
                <w:webHidden/>
              </w:rPr>
              <w:instrText xml:space="preserve"> PAGEREF _Toc230113330 \h </w:instrText>
            </w:r>
            <w:r>
              <w:rPr>
                <w:noProof/>
                <w:webHidden/>
              </w:rPr>
            </w:r>
            <w:r>
              <w:rPr>
                <w:noProof/>
                <w:webHidden/>
              </w:rPr>
              <w:fldChar w:fldCharType="separate"/>
            </w:r>
            <w:r>
              <w:rPr>
                <w:noProof/>
                <w:webHidden/>
              </w:rPr>
              <w:t>9</w:t>
            </w:r>
            <w:r>
              <w:rPr>
                <w:noProof/>
                <w:webHidden/>
              </w:rPr>
              <w:fldChar w:fldCharType="end"/>
            </w:r>
          </w:hyperlink>
        </w:p>
        <w:p w14:paraId="3A014EBE" w14:textId="5C23244A" w:rsidR="00A21B27" w:rsidRDefault="00A21B27">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230113331" w:history="1">
            <w:r w:rsidRPr="00AF70CF">
              <w:rPr>
                <w:rStyle w:val="Hyperlink"/>
                <w:noProof/>
                <w:lang w:val="en-RO"/>
              </w:rPr>
              <w:t>Product Development Strategy</w:t>
            </w:r>
            <w:r>
              <w:rPr>
                <w:noProof/>
                <w:webHidden/>
              </w:rPr>
              <w:tab/>
            </w:r>
            <w:r>
              <w:rPr>
                <w:noProof/>
                <w:webHidden/>
              </w:rPr>
              <w:fldChar w:fldCharType="begin"/>
            </w:r>
            <w:r>
              <w:rPr>
                <w:noProof/>
                <w:webHidden/>
              </w:rPr>
              <w:instrText xml:space="preserve"> PAGEREF _Toc230113331 \h </w:instrText>
            </w:r>
            <w:r>
              <w:rPr>
                <w:noProof/>
                <w:webHidden/>
              </w:rPr>
            </w:r>
            <w:r>
              <w:rPr>
                <w:noProof/>
                <w:webHidden/>
              </w:rPr>
              <w:fldChar w:fldCharType="separate"/>
            </w:r>
            <w:r>
              <w:rPr>
                <w:noProof/>
                <w:webHidden/>
              </w:rPr>
              <w:t>9</w:t>
            </w:r>
            <w:r>
              <w:rPr>
                <w:noProof/>
                <w:webHidden/>
              </w:rPr>
              <w:fldChar w:fldCharType="end"/>
            </w:r>
          </w:hyperlink>
        </w:p>
        <w:p w14:paraId="5F369ED2" w14:textId="27638AD6" w:rsidR="00A21B27" w:rsidRDefault="00A21B27">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230113332" w:history="1">
            <w:r w:rsidRPr="00AF70CF">
              <w:rPr>
                <w:rStyle w:val="Hyperlink"/>
                <w:noProof/>
                <w:lang w:val="en-RO"/>
              </w:rPr>
              <w:t>Market Development Strategy</w:t>
            </w:r>
            <w:r>
              <w:rPr>
                <w:noProof/>
                <w:webHidden/>
              </w:rPr>
              <w:tab/>
            </w:r>
            <w:r>
              <w:rPr>
                <w:noProof/>
                <w:webHidden/>
              </w:rPr>
              <w:fldChar w:fldCharType="begin"/>
            </w:r>
            <w:r>
              <w:rPr>
                <w:noProof/>
                <w:webHidden/>
              </w:rPr>
              <w:instrText xml:space="preserve"> PAGEREF _Toc230113332 \h </w:instrText>
            </w:r>
            <w:r>
              <w:rPr>
                <w:noProof/>
                <w:webHidden/>
              </w:rPr>
            </w:r>
            <w:r>
              <w:rPr>
                <w:noProof/>
                <w:webHidden/>
              </w:rPr>
              <w:fldChar w:fldCharType="separate"/>
            </w:r>
            <w:r>
              <w:rPr>
                <w:noProof/>
                <w:webHidden/>
              </w:rPr>
              <w:t>10</w:t>
            </w:r>
            <w:r>
              <w:rPr>
                <w:noProof/>
                <w:webHidden/>
              </w:rPr>
              <w:fldChar w:fldCharType="end"/>
            </w:r>
          </w:hyperlink>
        </w:p>
        <w:p w14:paraId="4D77C949" w14:textId="01916AA5" w:rsidR="00A21B27" w:rsidRDefault="00A21B27">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230113333" w:history="1">
            <w:r w:rsidRPr="00AF70CF">
              <w:rPr>
                <w:rStyle w:val="Hyperlink"/>
                <w:noProof/>
                <w:lang w:val="en-RO"/>
              </w:rPr>
              <w:t>Emerging Cost Advantage</w:t>
            </w:r>
            <w:r>
              <w:rPr>
                <w:noProof/>
                <w:webHidden/>
              </w:rPr>
              <w:tab/>
            </w:r>
            <w:r>
              <w:rPr>
                <w:noProof/>
                <w:webHidden/>
              </w:rPr>
              <w:fldChar w:fldCharType="begin"/>
            </w:r>
            <w:r>
              <w:rPr>
                <w:noProof/>
                <w:webHidden/>
              </w:rPr>
              <w:instrText xml:space="preserve"> PAGEREF _Toc230113333 \h </w:instrText>
            </w:r>
            <w:r>
              <w:rPr>
                <w:noProof/>
                <w:webHidden/>
              </w:rPr>
            </w:r>
            <w:r>
              <w:rPr>
                <w:noProof/>
                <w:webHidden/>
              </w:rPr>
              <w:fldChar w:fldCharType="separate"/>
            </w:r>
            <w:r>
              <w:rPr>
                <w:noProof/>
                <w:webHidden/>
              </w:rPr>
              <w:t>11</w:t>
            </w:r>
            <w:r>
              <w:rPr>
                <w:noProof/>
                <w:webHidden/>
              </w:rPr>
              <w:fldChar w:fldCharType="end"/>
            </w:r>
          </w:hyperlink>
        </w:p>
        <w:p w14:paraId="0771DE0C" w14:textId="34A4B2C6" w:rsidR="00A21B27" w:rsidRDefault="00A21B27">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0113334" w:history="1">
            <w:r w:rsidRPr="00AF70CF">
              <w:rPr>
                <w:rStyle w:val="Hyperlink"/>
                <w:noProof/>
                <w:lang w:val="en-RO"/>
              </w:rPr>
              <w:t>Conclusion</w:t>
            </w:r>
            <w:r>
              <w:rPr>
                <w:noProof/>
                <w:webHidden/>
              </w:rPr>
              <w:tab/>
            </w:r>
            <w:r>
              <w:rPr>
                <w:noProof/>
                <w:webHidden/>
              </w:rPr>
              <w:fldChar w:fldCharType="begin"/>
            </w:r>
            <w:r>
              <w:rPr>
                <w:noProof/>
                <w:webHidden/>
              </w:rPr>
              <w:instrText xml:space="preserve"> PAGEREF _Toc230113334 \h </w:instrText>
            </w:r>
            <w:r>
              <w:rPr>
                <w:noProof/>
                <w:webHidden/>
              </w:rPr>
            </w:r>
            <w:r>
              <w:rPr>
                <w:noProof/>
                <w:webHidden/>
              </w:rPr>
              <w:fldChar w:fldCharType="separate"/>
            </w:r>
            <w:r>
              <w:rPr>
                <w:noProof/>
                <w:webHidden/>
              </w:rPr>
              <w:t>11</w:t>
            </w:r>
            <w:r>
              <w:rPr>
                <w:noProof/>
                <w:webHidden/>
              </w:rPr>
              <w:fldChar w:fldCharType="end"/>
            </w:r>
          </w:hyperlink>
        </w:p>
        <w:p w14:paraId="366034BF" w14:textId="045F26E1" w:rsidR="00A21B27" w:rsidRDefault="00A21B27">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0113335" w:history="1">
            <w:r w:rsidRPr="00AF70CF">
              <w:rPr>
                <w:rStyle w:val="Hyperlink"/>
                <w:noProof/>
              </w:rPr>
              <w:t>Critical Reflection on AI Usage</w:t>
            </w:r>
            <w:r>
              <w:rPr>
                <w:noProof/>
                <w:webHidden/>
              </w:rPr>
              <w:tab/>
            </w:r>
            <w:r>
              <w:rPr>
                <w:noProof/>
                <w:webHidden/>
              </w:rPr>
              <w:fldChar w:fldCharType="begin"/>
            </w:r>
            <w:r>
              <w:rPr>
                <w:noProof/>
                <w:webHidden/>
              </w:rPr>
              <w:instrText xml:space="preserve"> PAGEREF _Toc230113335 \h </w:instrText>
            </w:r>
            <w:r>
              <w:rPr>
                <w:noProof/>
                <w:webHidden/>
              </w:rPr>
            </w:r>
            <w:r>
              <w:rPr>
                <w:noProof/>
                <w:webHidden/>
              </w:rPr>
              <w:fldChar w:fldCharType="separate"/>
            </w:r>
            <w:r>
              <w:rPr>
                <w:noProof/>
                <w:webHidden/>
              </w:rPr>
              <w:t>12</w:t>
            </w:r>
            <w:r>
              <w:rPr>
                <w:noProof/>
                <w:webHidden/>
              </w:rPr>
              <w:fldChar w:fldCharType="end"/>
            </w:r>
          </w:hyperlink>
        </w:p>
        <w:p w14:paraId="23D45AAE" w14:textId="67B637B8" w:rsidR="00A21B27" w:rsidRDefault="00A21B27">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0113336" w:history="1">
            <w:r w:rsidRPr="00AF70CF">
              <w:rPr>
                <w:rStyle w:val="Hyperlink"/>
                <w:noProof/>
                <w:lang w:val="en-RO"/>
              </w:rPr>
              <w:t>References</w:t>
            </w:r>
            <w:r>
              <w:rPr>
                <w:noProof/>
                <w:webHidden/>
              </w:rPr>
              <w:tab/>
            </w:r>
            <w:r>
              <w:rPr>
                <w:noProof/>
                <w:webHidden/>
              </w:rPr>
              <w:fldChar w:fldCharType="begin"/>
            </w:r>
            <w:r>
              <w:rPr>
                <w:noProof/>
                <w:webHidden/>
              </w:rPr>
              <w:instrText xml:space="preserve"> PAGEREF _Toc230113336 \h </w:instrText>
            </w:r>
            <w:r>
              <w:rPr>
                <w:noProof/>
                <w:webHidden/>
              </w:rPr>
            </w:r>
            <w:r>
              <w:rPr>
                <w:noProof/>
                <w:webHidden/>
              </w:rPr>
              <w:fldChar w:fldCharType="separate"/>
            </w:r>
            <w:r>
              <w:rPr>
                <w:noProof/>
                <w:webHidden/>
              </w:rPr>
              <w:t>14</w:t>
            </w:r>
            <w:r>
              <w:rPr>
                <w:noProof/>
                <w:webHidden/>
              </w:rPr>
              <w:fldChar w:fldCharType="end"/>
            </w:r>
          </w:hyperlink>
        </w:p>
        <w:p w14:paraId="1DF33215" w14:textId="24A79024" w:rsidR="00764055" w:rsidRDefault="00764055">
          <w:r>
            <w:rPr>
              <w:b/>
              <w:bCs/>
              <w:noProof/>
            </w:rPr>
            <w:fldChar w:fldCharType="end"/>
          </w:r>
        </w:p>
      </w:sdtContent>
    </w:sdt>
    <w:p w14:paraId="33C15713" w14:textId="0C0EC2BE" w:rsidR="00BE1B0E" w:rsidRDefault="00BE1B0E" w:rsidP="00A548B8">
      <w:pPr>
        <w:spacing w:line="360" w:lineRule="auto"/>
        <w:jc w:val="both"/>
        <w:rPr>
          <w:rFonts w:ascii="Arial" w:hAnsi="Arial" w:cs="Arial"/>
        </w:rPr>
      </w:pPr>
    </w:p>
    <w:p w14:paraId="2D51B02B" w14:textId="77777777" w:rsidR="00BE1B0E" w:rsidRDefault="00BE1B0E">
      <w:pPr>
        <w:spacing w:line="278" w:lineRule="auto"/>
        <w:rPr>
          <w:rFonts w:ascii="Arial" w:hAnsi="Arial" w:cs="Arial"/>
        </w:rPr>
      </w:pPr>
      <w:r>
        <w:rPr>
          <w:rFonts w:ascii="Arial" w:hAnsi="Arial" w:cs="Arial"/>
        </w:rPr>
        <w:br w:type="page"/>
      </w:r>
    </w:p>
    <w:p w14:paraId="5DEBB3C6" w14:textId="77777777" w:rsidR="00B67D97" w:rsidRPr="00EE08F3" w:rsidRDefault="00B67D97" w:rsidP="0095153F">
      <w:pPr>
        <w:pStyle w:val="Heading1"/>
        <w:rPr>
          <w:lang w:val="en-RO"/>
        </w:rPr>
      </w:pPr>
      <w:bookmarkStart w:id="0" w:name="_Toc230113310"/>
      <w:r w:rsidRPr="00EE08F3">
        <w:rPr>
          <w:lang w:val="en-RO"/>
        </w:rPr>
        <w:lastRenderedPageBreak/>
        <w:t>Marketing Environment Analysis</w:t>
      </w:r>
      <w:bookmarkEnd w:id="0"/>
    </w:p>
    <w:p w14:paraId="41C16B45" w14:textId="55ACB6BF" w:rsidR="00B67D97" w:rsidRPr="00EE08F3" w:rsidRDefault="00B67D97" w:rsidP="0095153F">
      <w:pPr>
        <w:pStyle w:val="Heading1"/>
        <w:rPr>
          <w:lang w:val="en-RO"/>
        </w:rPr>
      </w:pPr>
      <w:bookmarkStart w:id="1" w:name="_Toc230113311"/>
      <w:r w:rsidRPr="00EE08F3">
        <w:rPr>
          <w:lang w:val="en-RO"/>
        </w:rPr>
        <w:t>Company: Tata Steel India</w:t>
      </w:r>
      <w:bookmarkEnd w:id="1"/>
    </w:p>
    <w:p w14:paraId="343D0F88" w14:textId="5DDB8DF5" w:rsidR="00B67D97" w:rsidRPr="00EE08F3" w:rsidRDefault="00B67D97" w:rsidP="0095153F">
      <w:pPr>
        <w:pStyle w:val="Heading1"/>
        <w:rPr>
          <w:lang w:val="en-RO"/>
        </w:rPr>
      </w:pPr>
      <w:bookmarkStart w:id="2" w:name="_Toc230113312"/>
      <w:r w:rsidRPr="00EE08F3">
        <w:rPr>
          <w:lang w:val="en-RO"/>
        </w:rPr>
        <w:t>External Actors: Natural Environment and Technological Environment</w:t>
      </w:r>
      <w:bookmarkEnd w:id="2"/>
      <w:r w:rsidRPr="00EE08F3">
        <w:rPr>
          <w:lang w:val="en-RO"/>
        </w:rPr>
        <w:t xml:space="preserve"> </w:t>
      </w:r>
    </w:p>
    <w:p w14:paraId="4206704B" w14:textId="77777777" w:rsidR="00A548B8" w:rsidRDefault="00A548B8" w:rsidP="00A548B8">
      <w:pPr>
        <w:spacing w:line="360" w:lineRule="auto"/>
        <w:jc w:val="both"/>
        <w:rPr>
          <w:rFonts w:ascii="Arial" w:hAnsi="Arial" w:cs="Arial"/>
          <w:sz w:val="24"/>
          <w:szCs w:val="24"/>
        </w:rPr>
      </w:pPr>
    </w:p>
    <w:p w14:paraId="6695279D" w14:textId="77777777" w:rsidR="00B67D97" w:rsidRDefault="00B67D97" w:rsidP="00B67D97">
      <w:pPr>
        <w:spacing w:line="360" w:lineRule="auto"/>
        <w:rPr>
          <w:rFonts w:ascii="Arial" w:hAnsi="Arial" w:cs="Arial"/>
          <w:sz w:val="24"/>
          <w:szCs w:val="24"/>
          <w:lang w:val="en-RO"/>
        </w:rPr>
      </w:pPr>
      <w:r w:rsidRPr="00B67D97">
        <w:rPr>
          <w:rFonts w:ascii="Arial" w:hAnsi="Arial" w:cs="Arial"/>
          <w:sz w:val="24"/>
          <w:szCs w:val="24"/>
          <w:lang w:val="en-RO"/>
        </w:rPr>
        <w:t>Understanding the external marketing environment is essential for organisations operating in complex and dynamic industries. According to Kotler et al. (2024), firms must continuously monitor macro</w:t>
      </w:r>
      <w:r w:rsidRPr="00B67D97">
        <w:rPr>
          <w:rFonts w:ascii="Arial" w:hAnsi="Arial" w:cs="Arial"/>
          <w:sz w:val="24"/>
          <w:szCs w:val="24"/>
          <w:lang w:val="en-RO"/>
        </w:rPr>
        <w:noBreakHyphen/>
        <w:t>environmental forces because these factors shape strategic decisions, influence competitiveness, and create both opportunities and constraints. This is particularly relevant in the metals and mining sector, where environmental pressures and technological developments are transforming traditional production models. Tata Steel India, one of the country’s largest steel producers, is undergoing a major transition toward lower</w:t>
      </w:r>
      <w:r w:rsidRPr="00B67D97">
        <w:rPr>
          <w:rFonts w:ascii="Arial" w:hAnsi="Arial" w:cs="Arial"/>
          <w:sz w:val="24"/>
          <w:szCs w:val="24"/>
          <w:lang w:val="en-RO"/>
        </w:rPr>
        <w:noBreakHyphen/>
        <w:t>carbon steelmaking. This analysis focuses on two external environment actors influencing this transition: the Natural Environment, which is the primary driver of change, and the Technological Environment, which provides the tools and innovations that enable Tata Steel to respond effectively.</w:t>
      </w:r>
    </w:p>
    <w:p w14:paraId="76D1F66F" w14:textId="77777777" w:rsidR="00B67D97" w:rsidRPr="00B67D97" w:rsidRDefault="00B67D97" w:rsidP="0095153F">
      <w:pPr>
        <w:pStyle w:val="Heading2"/>
        <w:rPr>
          <w:lang w:val="en-RO"/>
        </w:rPr>
      </w:pPr>
      <w:bookmarkStart w:id="3" w:name="_Toc230113313"/>
      <w:r w:rsidRPr="00B67D97">
        <w:rPr>
          <w:lang w:val="en-RO"/>
        </w:rPr>
        <w:t>1. Natural Environment</w:t>
      </w:r>
      <w:bookmarkEnd w:id="3"/>
    </w:p>
    <w:p w14:paraId="57ECCA4D" w14:textId="77777777" w:rsidR="00B67D97" w:rsidRPr="00B67D97" w:rsidRDefault="00B67D97" w:rsidP="00B67D97">
      <w:pPr>
        <w:spacing w:line="360" w:lineRule="auto"/>
        <w:rPr>
          <w:rFonts w:ascii="Arial" w:hAnsi="Arial" w:cs="Arial"/>
          <w:sz w:val="24"/>
          <w:szCs w:val="24"/>
          <w:lang w:val="en-RO"/>
        </w:rPr>
      </w:pPr>
      <w:r w:rsidRPr="00B67D97">
        <w:rPr>
          <w:rFonts w:ascii="Arial" w:hAnsi="Arial" w:cs="Arial"/>
          <w:sz w:val="24"/>
          <w:szCs w:val="24"/>
          <w:lang w:val="en-RO"/>
        </w:rPr>
        <w:t>The natural environment has become one of the most influential forces shaping business strategy in heavy industries. Kotler et al. (2024) argue that environmental concerns such as climate change, pollution, and resource depletion increasingly affect marketing decisions, especially in sectors with high ecological impact. For Tata Steel, the natural environment is not only a contextual factor but a direct driver of strategic transformation.</w:t>
      </w:r>
    </w:p>
    <w:p w14:paraId="5771AE9D" w14:textId="77777777" w:rsidR="00B67D97" w:rsidRPr="00B67D97" w:rsidRDefault="00B67D97" w:rsidP="0095153F">
      <w:pPr>
        <w:pStyle w:val="Heading3"/>
        <w:rPr>
          <w:lang w:val="en-RO"/>
        </w:rPr>
      </w:pPr>
      <w:bookmarkStart w:id="4" w:name="_Toc230113314"/>
      <w:r w:rsidRPr="00B67D97">
        <w:rPr>
          <w:lang w:val="en-RO"/>
        </w:rPr>
        <w:t>1.1 Climate Change and Emissions Pressure</w:t>
      </w:r>
      <w:bookmarkEnd w:id="4"/>
    </w:p>
    <w:p w14:paraId="53F1C44B" w14:textId="1A5C4F81" w:rsidR="00B67D97" w:rsidRDefault="00B67D97" w:rsidP="00B67D97">
      <w:pPr>
        <w:spacing w:line="360" w:lineRule="auto"/>
        <w:rPr>
          <w:rFonts w:ascii="Arial" w:hAnsi="Arial" w:cs="Arial"/>
          <w:sz w:val="24"/>
          <w:szCs w:val="24"/>
          <w:lang w:val="en-RO"/>
        </w:rPr>
      </w:pPr>
      <w:r w:rsidRPr="00B67D97">
        <w:rPr>
          <w:rFonts w:ascii="Arial" w:hAnsi="Arial" w:cs="Arial"/>
          <w:sz w:val="24"/>
          <w:szCs w:val="24"/>
          <w:lang w:val="en-RO"/>
        </w:rPr>
        <w:t>Steelmaking is traditionally carbon</w:t>
      </w:r>
      <w:r w:rsidRPr="00B67D97">
        <w:rPr>
          <w:rFonts w:ascii="Arial" w:hAnsi="Arial" w:cs="Arial"/>
          <w:sz w:val="24"/>
          <w:szCs w:val="24"/>
          <w:lang w:val="en-RO"/>
        </w:rPr>
        <w:noBreakHyphen/>
        <w:t>intensive, and the metals and mining sector contributes significantly to global greenhouse gas emissions. Tata Steel has publicly committed to achieving net</w:t>
      </w:r>
      <w:r w:rsidRPr="00B67D97">
        <w:rPr>
          <w:rFonts w:ascii="Arial" w:hAnsi="Arial" w:cs="Arial"/>
          <w:sz w:val="24"/>
          <w:szCs w:val="24"/>
          <w:lang w:val="en-RO"/>
        </w:rPr>
        <w:noBreakHyphen/>
        <w:t xml:space="preserve">zero emissions by 2045, reflecting the growing importance of environmental responsibility. The company’s shift toward cleaner </w:t>
      </w:r>
      <w:r w:rsidRPr="00B67D97">
        <w:rPr>
          <w:rFonts w:ascii="Arial" w:hAnsi="Arial" w:cs="Arial"/>
          <w:sz w:val="24"/>
          <w:szCs w:val="24"/>
          <w:lang w:val="en-RO"/>
        </w:rPr>
        <w:lastRenderedPageBreak/>
        <w:t>production is evident in the launch of its first scrap</w:t>
      </w:r>
      <w:r w:rsidRPr="00B67D97">
        <w:rPr>
          <w:rFonts w:ascii="Arial" w:hAnsi="Arial" w:cs="Arial"/>
          <w:sz w:val="24"/>
          <w:szCs w:val="24"/>
          <w:lang w:val="en-RO"/>
        </w:rPr>
        <w:noBreakHyphen/>
        <w:t>based Electric Arc Furnace (EAF) in Ludhiana, which produces steel with less than 0.3 tonnes of CO</w:t>
      </w:r>
      <w:r w:rsidRPr="00B67D97">
        <w:rPr>
          <w:rFonts w:ascii="Cambria Math" w:hAnsi="Cambria Math" w:cs="Cambria Math"/>
          <w:sz w:val="24"/>
          <w:szCs w:val="24"/>
          <w:lang w:val="en-RO"/>
        </w:rPr>
        <w:t>₂</w:t>
      </w:r>
      <w:r w:rsidRPr="00B67D97">
        <w:rPr>
          <w:rFonts w:ascii="Arial" w:hAnsi="Arial" w:cs="Arial"/>
          <w:sz w:val="24"/>
          <w:szCs w:val="24"/>
          <w:lang w:val="en-RO"/>
        </w:rPr>
        <w:t xml:space="preserve"> per tonne of steel, far lower than conventional blast furnace methods (Tata Steel, 2024: </w:t>
      </w:r>
      <w:hyperlink r:id="rId7" w:history="1">
        <w:r w:rsidRPr="005A7B27">
          <w:rPr>
            <w:rStyle w:val="Hyperlink"/>
            <w:rFonts w:ascii="Arial" w:hAnsi="Arial" w:cs="Arial"/>
            <w:sz w:val="24"/>
            <w:szCs w:val="24"/>
            <w:lang w:val="en-RO"/>
          </w:rPr>
          <w:t>https://www.tatasteel.com</w:t>
        </w:r>
      </w:hyperlink>
      <w:r w:rsidRPr="00B67D97">
        <w:rPr>
          <w:rFonts w:ascii="Arial" w:hAnsi="Arial" w:cs="Arial"/>
          <w:sz w:val="24"/>
          <w:szCs w:val="24"/>
          <w:lang w:val="en-RO"/>
        </w:rPr>
        <w:t>).</w:t>
      </w:r>
    </w:p>
    <w:p w14:paraId="46907335" w14:textId="40FEAA4E" w:rsidR="00B67D97" w:rsidRDefault="00B67D97" w:rsidP="00B67D97">
      <w:pPr>
        <w:spacing w:line="360" w:lineRule="auto"/>
        <w:rPr>
          <w:rFonts w:ascii="Arial" w:hAnsi="Arial" w:cs="Arial"/>
          <w:sz w:val="24"/>
          <w:szCs w:val="24"/>
          <w:lang w:val="en-RO"/>
        </w:rPr>
      </w:pPr>
      <w:r w:rsidRPr="00B67D97">
        <w:rPr>
          <w:rFonts w:ascii="Arial" w:hAnsi="Arial" w:cs="Arial"/>
          <w:sz w:val="24"/>
          <w:szCs w:val="24"/>
          <w:lang w:val="en-RO"/>
        </w:rPr>
        <w:t>Environmental pressures</w:t>
      </w:r>
      <w:r>
        <w:rPr>
          <w:rFonts w:ascii="Arial" w:hAnsi="Arial" w:cs="Arial"/>
          <w:sz w:val="24"/>
          <w:szCs w:val="24"/>
          <w:lang w:val="en-RO"/>
        </w:rPr>
        <w:t>,</w:t>
      </w:r>
      <w:r w:rsidRPr="00B67D97">
        <w:rPr>
          <w:rFonts w:ascii="Arial" w:hAnsi="Arial" w:cs="Arial"/>
          <w:sz w:val="24"/>
          <w:szCs w:val="24"/>
          <w:lang w:val="en-RO"/>
        </w:rPr>
        <w:t xml:space="preserve"> therefore</w:t>
      </w:r>
      <w:r>
        <w:rPr>
          <w:rFonts w:ascii="Arial" w:hAnsi="Arial" w:cs="Arial"/>
          <w:sz w:val="24"/>
          <w:szCs w:val="24"/>
          <w:lang w:val="en-RO"/>
        </w:rPr>
        <w:t>,</w:t>
      </w:r>
      <w:r w:rsidRPr="00B67D97">
        <w:rPr>
          <w:rFonts w:ascii="Arial" w:hAnsi="Arial" w:cs="Arial"/>
          <w:sz w:val="24"/>
          <w:szCs w:val="24"/>
          <w:lang w:val="en-RO"/>
        </w:rPr>
        <w:t xml:space="preserve"> act as a catalyst for operational change. As Saunders et al. (2019) note, external environmental forces often compel organisations to rethink their processes and adopt more sustainable practices. Tata Steel’s investment in low</w:t>
      </w:r>
      <w:r w:rsidRPr="00B67D97">
        <w:rPr>
          <w:rFonts w:ascii="Arial" w:hAnsi="Arial" w:cs="Arial"/>
          <w:sz w:val="24"/>
          <w:szCs w:val="24"/>
          <w:lang w:val="en-RO"/>
        </w:rPr>
        <w:noBreakHyphen/>
        <w:t>carbon steelmaking demonstrates how climate</w:t>
      </w:r>
      <w:r w:rsidRPr="00B67D97">
        <w:rPr>
          <w:rFonts w:ascii="Arial" w:hAnsi="Arial" w:cs="Arial"/>
          <w:sz w:val="24"/>
          <w:szCs w:val="24"/>
          <w:lang w:val="en-RO"/>
        </w:rPr>
        <w:noBreakHyphen/>
        <w:t>related pressures directly influence strategic decisions.</w:t>
      </w:r>
    </w:p>
    <w:p w14:paraId="591DD22F" w14:textId="77777777" w:rsidR="00497FD2" w:rsidRPr="00497FD2" w:rsidRDefault="00497FD2" w:rsidP="0095153F">
      <w:pPr>
        <w:pStyle w:val="Heading3"/>
        <w:rPr>
          <w:lang w:val="en-RO"/>
        </w:rPr>
      </w:pPr>
      <w:bookmarkStart w:id="5" w:name="_Toc230113315"/>
      <w:r w:rsidRPr="00497FD2">
        <w:rPr>
          <w:lang w:val="en-RO"/>
        </w:rPr>
        <w:t>1.2 Resource Scarcity and Circular Economy Expectations</w:t>
      </w:r>
      <w:bookmarkEnd w:id="5"/>
    </w:p>
    <w:p w14:paraId="6815362E" w14:textId="77777777" w:rsidR="00497FD2" w:rsidRPr="00497FD2" w:rsidRDefault="00497FD2" w:rsidP="00497FD2">
      <w:pPr>
        <w:spacing w:line="360" w:lineRule="auto"/>
        <w:rPr>
          <w:rFonts w:ascii="Arial" w:hAnsi="Arial" w:cs="Arial"/>
          <w:sz w:val="24"/>
          <w:szCs w:val="24"/>
          <w:lang w:val="en-RO"/>
        </w:rPr>
      </w:pPr>
      <w:r w:rsidRPr="00497FD2">
        <w:rPr>
          <w:rFonts w:ascii="Arial" w:hAnsi="Arial" w:cs="Arial"/>
          <w:sz w:val="24"/>
          <w:szCs w:val="24"/>
          <w:lang w:val="en-RO"/>
        </w:rPr>
        <w:t>Resource scarcity is another major environmental factor. Traditional steelmaking relies heavily on iron ore and coking coal, both of which have environmental and supply</w:t>
      </w:r>
      <w:r w:rsidRPr="00497FD2">
        <w:rPr>
          <w:rFonts w:ascii="Arial" w:hAnsi="Arial" w:cs="Arial"/>
          <w:sz w:val="24"/>
          <w:szCs w:val="24"/>
          <w:lang w:val="en-RO"/>
        </w:rPr>
        <w:noBreakHyphen/>
        <w:t xml:space="preserve">chain risks. The shift toward using 100% steel scrap in the new EAF facility supports a circular economy model and reduces the need for raw material extraction. The Economic Times (2024) reports that the Ludhiana plant uses only scrap metal as input, significantly lowering environmental impact (https://economictimes.indiatimes.com </w:t>
      </w:r>
      <w:hyperlink r:id="rId8" w:history="1">
        <w:r w:rsidRPr="00497FD2">
          <w:rPr>
            <w:rStyle w:val="Hyperlink"/>
            <w:rFonts w:ascii="Arial" w:hAnsi="Arial" w:cs="Arial"/>
            <w:sz w:val="24"/>
            <w:szCs w:val="24"/>
            <w:lang w:val="en-RO"/>
          </w:rPr>
          <w:t>(economictimes.indiatimes.com in Bing)</w:t>
        </w:r>
      </w:hyperlink>
      <w:r w:rsidRPr="00497FD2">
        <w:rPr>
          <w:rFonts w:ascii="Arial" w:hAnsi="Arial" w:cs="Arial"/>
          <w:sz w:val="24"/>
          <w:szCs w:val="24"/>
          <w:lang w:val="en-RO"/>
        </w:rPr>
        <w:t>).</w:t>
      </w:r>
    </w:p>
    <w:p w14:paraId="10CC6C23" w14:textId="77777777" w:rsidR="00497FD2" w:rsidRPr="00497FD2" w:rsidRDefault="00497FD2" w:rsidP="00497FD2">
      <w:pPr>
        <w:spacing w:line="360" w:lineRule="auto"/>
        <w:rPr>
          <w:rFonts w:ascii="Arial" w:hAnsi="Arial" w:cs="Arial"/>
          <w:sz w:val="24"/>
          <w:szCs w:val="24"/>
          <w:lang w:val="en-RO"/>
        </w:rPr>
      </w:pPr>
      <w:r w:rsidRPr="00497FD2">
        <w:rPr>
          <w:rFonts w:ascii="Arial" w:hAnsi="Arial" w:cs="Arial"/>
          <w:sz w:val="24"/>
          <w:szCs w:val="24"/>
          <w:lang w:val="en-RO"/>
        </w:rPr>
        <w:t>This aligns with Johnson et al.’s (2020) view that environmental pressures increasingly push firms toward resource</w:t>
      </w:r>
      <w:r w:rsidRPr="00497FD2">
        <w:rPr>
          <w:rFonts w:ascii="Arial" w:hAnsi="Arial" w:cs="Arial"/>
          <w:sz w:val="24"/>
          <w:szCs w:val="24"/>
          <w:lang w:val="en-RO"/>
        </w:rPr>
        <w:noBreakHyphen/>
        <w:t>efficient and circular production systems. By adopting scrap</w:t>
      </w:r>
      <w:r w:rsidRPr="00497FD2">
        <w:rPr>
          <w:rFonts w:ascii="Arial" w:hAnsi="Arial" w:cs="Arial"/>
          <w:sz w:val="24"/>
          <w:szCs w:val="24"/>
          <w:lang w:val="en-RO"/>
        </w:rPr>
        <w:noBreakHyphen/>
        <w:t>based steelmaking, Tata Steel is responding to both ecological concerns and market expectations for sustainable materials.</w:t>
      </w:r>
    </w:p>
    <w:p w14:paraId="6EFE0A40" w14:textId="77777777" w:rsidR="00497FD2" w:rsidRPr="00497FD2" w:rsidRDefault="00497FD2" w:rsidP="0095153F">
      <w:pPr>
        <w:pStyle w:val="Heading3"/>
        <w:rPr>
          <w:lang w:val="en-RO"/>
        </w:rPr>
      </w:pPr>
      <w:bookmarkStart w:id="6" w:name="_Toc230113316"/>
      <w:r w:rsidRPr="00497FD2">
        <w:rPr>
          <w:lang w:val="en-RO"/>
        </w:rPr>
        <w:t>1.3 Renewable Energy and Environmental Efficiency</w:t>
      </w:r>
      <w:bookmarkEnd w:id="6"/>
    </w:p>
    <w:p w14:paraId="22DC3A94" w14:textId="77777777" w:rsidR="00497FD2" w:rsidRPr="00497FD2" w:rsidRDefault="00497FD2" w:rsidP="00497FD2">
      <w:pPr>
        <w:spacing w:line="360" w:lineRule="auto"/>
        <w:rPr>
          <w:rFonts w:ascii="Arial" w:hAnsi="Arial" w:cs="Arial"/>
          <w:sz w:val="24"/>
          <w:szCs w:val="24"/>
          <w:lang w:val="en-RO"/>
        </w:rPr>
      </w:pPr>
      <w:r w:rsidRPr="00497FD2">
        <w:rPr>
          <w:rFonts w:ascii="Arial" w:hAnsi="Arial" w:cs="Arial"/>
          <w:sz w:val="24"/>
          <w:szCs w:val="24"/>
          <w:lang w:val="en-RO"/>
        </w:rPr>
        <w:t>Energy consumption is one of the largest contributors to emissions in steelmaking. Tata Steel’s new EAF facility is designed to operate using around 50% renewable energy, which further reduces its environmental footprint. Business Standard (2024) highlights that renewable energy integration is central to the plant’s low</w:t>
      </w:r>
      <w:r w:rsidRPr="00497FD2">
        <w:rPr>
          <w:rFonts w:ascii="Arial" w:hAnsi="Arial" w:cs="Arial"/>
          <w:sz w:val="24"/>
          <w:szCs w:val="24"/>
          <w:lang w:val="en-RO"/>
        </w:rPr>
        <w:noBreakHyphen/>
        <w:t>carbon design (</w:t>
      </w:r>
      <w:hyperlink r:id="rId9" w:history="1">
        <w:r w:rsidRPr="00497FD2">
          <w:rPr>
            <w:rStyle w:val="Hyperlink"/>
            <w:rFonts w:ascii="Arial" w:hAnsi="Arial" w:cs="Arial"/>
            <w:sz w:val="24"/>
            <w:szCs w:val="24"/>
            <w:lang w:val="en-RO"/>
          </w:rPr>
          <w:t>https://www.business-standard.com</w:t>
        </w:r>
      </w:hyperlink>
      <w:r w:rsidRPr="00497FD2">
        <w:rPr>
          <w:rFonts w:ascii="Arial" w:hAnsi="Arial" w:cs="Arial"/>
          <w:sz w:val="24"/>
          <w:szCs w:val="24"/>
          <w:lang w:val="en-RO"/>
        </w:rPr>
        <w:t>).</w:t>
      </w:r>
    </w:p>
    <w:p w14:paraId="75C01482" w14:textId="77777777" w:rsidR="00497FD2" w:rsidRDefault="00497FD2" w:rsidP="00497FD2">
      <w:pPr>
        <w:spacing w:line="360" w:lineRule="auto"/>
        <w:rPr>
          <w:rFonts w:ascii="Arial" w:hAnsi="Arial" w:cs="Arial"/>
          <w:sz w:val="24"/>
          <w:szCs w:val="24"/>
          <w:lang w:val="en-RO"/>
        </w:rPr>
      </w:pPr>
      <w:r w:rsidRPr="00497FD2">
        <w:rPr>
          <w:rFonts w:ascii="Arial" w:hAnsi="Arial" w:cs="Arial"/>
          <w:sz w:val="24"/>
          <w:szCs w:val="24"/>
          <w:lang w:val="en-RO"/>
        </w:rPr>
        <w:t>This demonstrates how environmental pressures encourage firms to adopt cleaner energy sources. Kotler et al. (2024) emphasise that the natural environment increasingly shapes technological and operational decisions, especially in industries where energy use is a major cost and sustainability concern.</w:t>
      </w:r>
    </w:p>
    <w:p w14:paraId="19AD7F5B" w14:textId="77777777" w:rsidR="00497FD2" w:rsidRDefault="00497FD2" w:rsidP="00497FD2">
      <w:pPr>
        <w:spacing w:line="360" w:lineRule="auto"/>
        <w:rPr>
          <w:rFonts w:ascii="Arial" w:hAnsi="Arial" w:cs="Arial"/>
          <w:b/>
          <w:bCs/>
          <w:sz w:val="24"/>
          <w:szCs w:val="24"/>
          <w:lang w:val="en-RO"/>
        </w:rPr>
      </w:pPr>
    </w:p>
    <w:p w14:paraId="639448DE" w14:textId="3D2398E6" w:rsidR="00497FD2" w:rsidRPr="00497FD2" w:rsidRDefault="00497FD2" w:rsidP="0095153F">
      <w:pPr>
        <w:pStyle w:val="Heading3"/>
        <w:rPr>
          <w:lang w:val="en-RO"/>
        </w:rPr>
      </w:pPr>
      <w:bookmarkStart w:id="7" w:name="_Toc230113317"/>
      <w:r w:rsidRPr="00497FD2">
        <w:rPr>
          <w:lang w:val="en-RO"/>
        </w:rPr>
        <w:t>1.4 Environmental Expectations from Stakeholders</w:t>
      </w:r>
      <w:bookmarkEnd w:id="7"/>
    </w:p>
    <w:p w14:paraId="4ABC59F8" w14:textId="77777777" w:rsidR="00497FD2" w:rsidRPr="00497FD2" w:rsidRDefault="00497FD2" w:rsidP="00497FD2">
      <w:pPr>
        <w:spacing w:line="360" w:lineRule="auto"/>
        <w:rPr>
          <w:rFonts w:ascii="Arial" w:hAnsi="Arial" w:cs="Arial"/>
          <w:sz w:val="24"/>
          <w:szCs w:val="24"/>
          <w:lang w:val="en-RO"/>
        </w:rPr>
      </w:pPr>
      <w:r w:rsidRPr="00497FD2">
        <w:rPr>
          <w:rFonts w:ascii="Arial" w:hAnsi="Arial" w:cs="Arial"/>
          <w:sz w:val="24"/>
          <w:szCs w:val="24"/>
          <w:lang w:val="en-RO"/>
        </w:rPr>
        <w:t>Environmental concerns also influence stakeholder expectations. Customers, investors, and governments increasingly demand cleaner production methods. IBEF (2024) notes that Tata Steel’s EAF project is seen as a major milestone in India’s transition toward sustainable steel production (</w:t>
      </w:r>
      <w:hyperlink r:id="rId10" w:history="1">
        <w:r w:rsidRPr="00497FD2">
          <w:rPr>
            <w:rStyle w:val="Hyperlink"/>
            <w:rFonts w:ascii="Arial" w:hAnsi="Arial" w:cs="Arial"/>
            <w:sz w:val="24"/>
            <w:szCs w:val="24"/>
            <w:lang w:val="en-RO"/>
          </w:rPr>
          <w:t>https://www.ibef.org</w:t>
        </w:r>
      </w:hyperlink>
      <w:r w:rsidRPr="00497FD2">
        <w:rPr>
          <w:rFonts w:ascii="Arial" w:hAnsi="Arial" w:cs="Arial"/>
          <w:sz w:val="24"/>
          <w:szCs w:val="24"/>
          <w:lang w:val="en-RO"/>
        </w:rPr>
        <w:t>).</w:t>
      </w:r>
    </w:p>
    <w:p w14:paraId="36D45975" w14:textId="77777777" w:rsidR="00497FD2" w:rsidRDefault="00497FD2" w:rsidP="00497FD2">
      <w:pPr>
        <w:spacing w:line="360" w:lineRule="auto"/>
        <w:rPr>
          <w:rFonts w:ascii="Arial" w:hAnsi="Arial" w:cs="Arial"/>
          <w:sz w:val="24"/>
          <w:szCs w:val="24"/>
          <w:lang w:val="en-RO"/>
        </w:rPr>
      </w:pPr>
      <w:r w:rsidRPr="00497FD2">
        <w:rPr>
          <w:rFonts w:ascii="Arial" w:hAnsi="Arial" w:cs="Arial"/>
          <w:sz w:val="24"/>
          <w:szCs w:val="24"/>
          <w:lang w:val="en-RO"/>
        </w:rPr>
        <w:t>This creates new market opportunities for Tata Steel, particularly in sectors such as automotive and construction, where demand for “green steel” is rising. As Saunders et al. (2019) explain, stakeholder expectations are a key part of the external environment and can significantly shape organisational strategy.</w:t>
      </w:r>
    </w:p>
    <w:p w14:paraId="6B08DD32" w14:textId="757E69C0" w:rsidR="00497FD2" w:rsidRPr="00EE08F3" w:rsidRDefault="00497FD2" w:rsidP="00764055">
      <w:pPr>
        <w:pStyle w:val="Heading2"/>
        <w:rPr>
          <w:lang w:val="en-RO"/>
        </w:rPr>
      </w:pPr>
      <w:bookmarkStart w:id="8" w:name="_Toc230113318"/>
      <w:r w:rsidRPr="00EE08F3">
        <w:rPr>
          <w:lang w:val="en-RO"/>
        </w:rPr>
        <w:t>2. Technological Environment</w:t>
      </w:r>
      <w:bookmarkEnd w:id="8"/>
      <w:r w:rsidRPr="00EE08F3">
        <w:rPr>
          <w:lang w:val="en-RO"/>
        </w:rPr>
        <w:t xml:space="preserve"> </w:t>
      </w:r>
    </w:p>
    <w:p w14:paraId="4E1AB1F0" w14:textId="77777777" w:rsidR="00497FD2" w:rsidRDefault="00497FD2" w:rsidP="00497FD2">
      <w:pPr>
        <w:spacing w:line="360" w:lineRule="auto"/>
        <w:rPr>
          <w:rFonts w:ascii="Arial" w:hAnsi="Arial" w:cs="Arial"/>
          <w:sz w:val="24"/>
          <w:szCs w:val="24"/>
          <w:lang w:val="en-RO"/>
        </w:rPr>
      </w:pPr>
      <w:r w:rsidRPr="00497FD2">
        <w:rPr>
          <w:rFonts w:ascii="Arial" w:hAnsi="Arial" w:cs="Arial"/>
          <w:sz w:val="24"/>
          <w:szCs w:val="24"/>
          <w:lang w:val="en-RO"/>
        </w:rPr>
        <w:t>While the natural environment creates the need for change, the technological environment determines how Tata Steel can respond. Technological developments in steelmaking are essential for reducing emissions and meeting sustainability goals.</w:t>
      </w:r>
    </w:p>
    <w:p w14:paraId="4713377C" w14:textId="77777777" w:rsidR="00497FD2" w:rsidRPr="00497FD2" w:rsidRDefault="00497FD2" w:rsidP="00764055">
      <w:pPr>
        <w:pStyle w:val="Heading3"/>
        <w:rPr>
          <w:lang w:val="en-RO"/>
        </w:rPr>
      </w:pPr>
      <w:bookmarkStart w:id="9" w:name="_Toc230113319"/>
      <w:r w:rsidRPr="00497FD2">
        <w:rPr>
          <w:lang w:val="en-RO"/>
        </w:rPr>
        <w:t>2.1 Adoption of Electric Arc Furnace (EAF) Technology</w:t>
      </w:r>
      <w:bookmarkEnd w:id="9"/>
    </w:p>
    <w:p w14:paraId="47446324" w14:textId="77777777" w:rsidR="00497FD2" w:rsidRPr="00497FD2" w:rsidRDefault="00497FD2" w:rsidP="00497FD2">
      <w:pPr>
        <w:spacing w:line="360" w:lineRule="auto"/>
        <w:rPr>
          <w:rFonts w:ascii="Arial" w:hAnsi="Arial" w:cs="Arial"/>
          <w:sz w:val="24"/>
          <w:szCs w:val="24"/>
          <w:lang w:val="en-RO"/>
        </w:rPr>
      </w:pPr>
      <w:r w:rsidRPr="00497FD2">
        <w:rPr>
          <w:rFonts w:ascii="Arial" w:hAnsi="Arial" w:cs="Arial"/>
          <w:sz w:val="24"/>
          <w:szCs w:val="24"/>
          <w:lang w:val="en-RO"/>
        </w:rPr>
        <w:t>The most significant technological development for Tata Steel is the adoption of scrap</w:t>
      </w:r>
      <w:r w:rsidRPr="00497FD2">
        <w:rPr>
          <w:rFonts w:ascii="Arial" w:hAnsi="Arial" w:cs="Arial"/>
          <w:sz w:val="24"/>
          <w:szCs w:val="24"/>
          <w:lang w:val="en-RO"/>
        </w:rPr>
        <w:noBreakHyphen/>
        <w:t>based EAF technology. This method uses electricity instead of coal to melt scrap metal, resulting in much lower emissions. The Ludhiana EAF facility was built with an investment of ₹3,200 crore and has a production capacity of 0.75 million tonnes per annum (The Economic Times, 2024).</w:t>
      </w:r>
    </w:p>
    <w:p w14:paraId="259C46C7" w14:textId="77777777" w:rsidR="00497FD2" w:rsidRDefault="00497FD2" w:rsidP="00497FD2">
      <w:pPr>
        <w:spacing w:line="360" w:lineRule="auto"/>
        <w:rPr>
          <w:rFonts w:ascii="Arial" w:hAnsi="Arial" w:cs="Arial"/>
          <w:sz w:val="24"/>
          <w:szCs w:val="24"/>
          <w:lang w:val="en-RO"/>
        </w:rPr>
      </w:pPr>
      <w:r w:rsidRPr="00497FD2">
        <w:rPr>
          <w:rFonts w:ascii="Arial" w:hAnsi="Arial" w:cs="Arial"/>
          <w:sz w:val="24"/>
          <w:szCs w:val="24"/>
          <w:lang w:val="en-RO"/>
        </w:rPr>
        <w:t>This shift reflects what Johnson et al. (2020) describe as technological drivers of change, where new production methods reshape industry structures and competitive dynamics. EAF technology positions Tata Steel as a leader in India’s transition toward low</w:t>
      </w:r>
      <w:r w:rsidRPr="00497FD2">
        <w:rPr>
          <w:rFonts w:ascii="Arial" w:hAnsi="Arial" w:cs="Arial"/>
          <w:sz w:val="24"/>
          <w:szCs w:val="24"/>
          <w:lang w:val="en-RO"/>
        </w:rPr>
        <w:noBreakHyphen/>
        <w:t>carbon steelmaking.</w:t>
      </w:r>
    </w:p>
    <w:p w14:paraId="2CD99630" w14:textId="77777777" w:rsidR="00497FD2" w:rsidRPr="00497FD2" w:rsidRDefault="00497FD2" w:rsidP="00764055">
      <w:pPr>
        <w:pStyle w:val="Heading3"/>
        <w:rPr>
          <w:lang w:val="en-RO"/>
        </w:rPr>
      </w:pPr>
      <w:bookmarkStart w:id="10" w:name="_Toc230113320"/>
      <w:r w:rsidRPr="00497FD2">
        <w:rPr>
          <w:lang w:val="en-RO"/>
        </w:rPr>
        <w:t>2.2 Renewable Energy Integration</w:t>
      </w:r>
      <w:bookmarkEnd w:id="10"/>
    </w:p>
    <w:p w14:paraId="326376FF" w14:textId="77777777" w:rsidR="00497FD2" w:rsidRPr="00497FD2" w:rsidRDefault="00497FD2" w:rsidP="00497FD2">
      <w:pPr>
        <w:spacing w:line="360" w:lineRule="auto"/>
        <w:rPr>
          <w:rFonts w:ascii="Arial" w:hAnsi="Arial" w:cs="Arial"/>
          <w:sz w:val="24"/>
          <w:szCs w:val="24"/>
          <w:lang w:val="en-RO"/>
        </w:rPr>
      </w:pPr>
      <w:r w:rsidRPr="00497FD2">
        <w:rPr>
          <w:rFonts w:ascii="Arial" w:hAnsi="Arial" w:cs="Arial"/>
          <w:sz w:val="24"/>
          <w:szCs w:val="24"/>
          <w:lang w:val="en-RO"/>
        </w:rPr>
        <w:t>Technological progress in renewable energy integration is also shaping Tata Steel’s sustainability transition. The EAF plant is designed to operate with around 50% renewable energy, made possible by improvements in solar and wind power systems. Business Standard (2024) confirms that renewable energy integration is central to the plant’s low</w:t>
      </w:r>
      <w:r w:rsidRPr="00497FD2">
        <w:rPr>
          <w:rFonts w:ascii="Arial" w:hAnsi="Arial" w:cs="Arial"/>
          <w:sz w:val="24"/>
          <w:szCs w:val="24"/>
          <w:lang w:val="en-RO"/>
        </w:rPr>
        <w:noBreakHyphen/>
        <w:t>carbon design.</w:t>
      </w:r>
    </w:p>
    <w:p w14:paraId="2CD8DA06" w14:textId="77777777" w:rsidR="00497FD2" w:rsidRDefault="00497FD2" w:rsidP="00497FD2">
      <w:pPr>
        <w:spacing w:line="360" w:lineRule="auto"/>
        <w:rPr>
          <w:rFonts w:ascii="Arial" w:hAnsi="Arial" w:cs="Arial"/>
          <w:sz w:val="24"/>
          <w:szCs w:val="24"/>
          <w:lang w:val="en-RO"/>
        </w:rPr>
      </w:pPr>
      <w:r w:rsidRPr="00497FD2">
        <w:rPr>
          <w:rFonts w:ascii="Arial" w:hAnsi="Arial" w:cs="Arial"/>
          <w:sz w:val="24"/>
          <w:szCs w:val="24"/>
          <w:lang w:val="en-RO"/>
        </w:rPr>
        <w:lastRenderedPageBreak/>
        <w:t>This demonstrates how technological and environmental factors interact: cleaner energy technologies support lower</w:t>
      </w:r>
      <w:r w:rsidRPr="00497FD2">
        <w:rPr>
          <w:rFonts w:ascii="Arial" w:hAnsi="Arial" w:cs="Arial"/>
          <w:sz w:val="24"/>
          <w:szCs w:val="24"/>
          <w:lang w:val="en-RO"/>
        </w:rPr>
        <w:noBreakHyphen/>
        <w:t>carbon steelmaking, helping Tata Steel meet environmental expectations.</w:t>
      </w:r>
    </w:p>
    <w:p w14:paraId="04EF6CCC" w14:textId="77777777" w:rsidR="00497FD2" w:rsidRPr="00497FD2" w:rsidRDefault="00497FD2" w:rsidP="00764055">
      <w:pPr>
        <w:pStyle w:val="Heading3"/>
        <w:rPr>
          <w:lang w:val="en-RO"/>
        </w:rPr>
      </w:pPr>
      <w:bookmarkStart w:id="11" w:name="_Toc230113321"/>
      <w:r w:rsidRPr="00497FD2">
        <w:rPr>
          <w:lang w:val="en-RO"/>
        </w:rPr>
        <w:t>2.3 Industry</w:t>
      </w:r>
      <w:r w:rsidRPr="00497FD2">
        <w:rPr>
          <w:lang w:val="en-RO"/>
        </w:rPr>
        <w:noBreakHyphen/>
        <w:t>Wide Technological Shifts</w:t>
      </w:r>
      <w:bookmarkEnd w:id="11"/>
    </w:p>
    <w:p w14:paraId="702D7811" w14:textId="77777777" w:rsidR="00497FD2" w:rsidRPr="00497FD2" w:rsidRDefault="00497FD2" w:rsidP="00497FD2">
      <w:pPr>
        <w:spacing w:line="360" w:lineRule="auto"/>
        <w:rPr>
          <w:rFonts w:ascii="Arial" w:hAnsi="Arial" w:cs="Arial"/>
          <w:sz w:val="24"/>
          <w:szCs w:val="24"/>
          <w:lang w:val="en-RO"/>
        </w:rPr>
      </w:pPr>
      <w:r w:rsidRPr="00497FD2">
        <w:rPr>
          <w:rFonts w:ascii="Arial" w:hAnsi="Arial" w:cs="Arial"/>
          <w:sz w:val="24"/>
          <w:szCs w:val="24"/>
          <w:lang w:val="en-RO"/>
        </w:rPr>
        <w:t>The global steel industry is rapidly adopting new technologies such as hydrogen</w:t>
      </w:r>
      <w:r w:rsidRPr="00497FD2">
        <w:rPr>
          <w:rFonts w:ascii="Arial" w:hAnsi="Arial" w:cs="Arial"/>
          <w:sz w:val="24"/>
          <w:szCs w:val="24"/>
          <w:lang w:val="en-RO"/>
        </w:rPr>
        <w:noBreakHyphen/>
        <w:t>based steelmaking, carbon capture, and advanced recycling systems. SteelMath (2024) notes that Tata Steel’s EAF facility represents a “fundamental shift” in how India will produce steel over the next two decades (</w:t>
      </w:r>
      <w:hyperlink r:id="rId11" w:history="1">
        <w:r w:rsidRPr="00497FD2">
          <w:rPr>
            <w:rStyle w:val="Hyperlink"/>
            <w:rFonts w:ascii="Arial" w:hAnsi="Arial" w:cs="Arial"/>
            <w:sz w:val="24"/>
            <w:szCs w:val="24"/>
            <w:lang w:val="en-RO"/>
          </w:rPr>
          <w:t>https://www.steelmath.com</w:t>
        </w:r>
      </w:hyperlink>
      <w:r w:rsidRPr="00497FD2">
        <w:rPr>
          <w:rFonts w:ascii="Arial" w:hAnsi="Arial" w:cs="Arial"/>
          <w:sz w:val="24"/>
          <w:szCs w:val="24"/>
          <w:lang w:val="en-RO"/>
        </w:rPr>
        <w:t>).</w:t>
      </w:r>
    </w:p>
    <w:p w14:paraId="75F517EB" w14:textId="48973C78" w:rsidR="00B02489" w:rsidRDefault="00497FD2" w:rsidP="00497FD2">
      <w:pPr>
        <w:spacing w:line="360" w:lineRule="auto"/>
        <w:rPr>
          <w:rFonts w:ascii="Arial" w:hAnsi="Arial" w:cs="Arial"/>
          <w:sz w:val="24"/>
          <w:szCs w:val="24"/>
          <w:lang w:val="en-RO"/>
        </w:rPr>
      </w:pPr>
      <w:r w:rsidRPr="00497FD2">
        <w:rPr>
          <w:rFonts w:ascii="Arial" w:hAnsi="Arial" w:cs="Arial"/>
          <w:sz w:val="24"/>
          <w:szCs w:val="24"/>
          <w:lang w:val="en-RO"/>
        </w:rPr>
        <w:t>This means Tata Steel must continue investing in new technologies to remain competitive in a rapidly evolving global market. As Kotler et al. (2024) argue, technological forces can reshape entire industries and create new strategic opportunities.</w:t>
      </w:r>
    </w:p>
    <w:p w14:paraId="1296F16D" w14:textId="77777777" w:rsidR="0029259A" w:rsidRDefault="0029259A">
      <w:pPr>
        <w:spacing w:line="278" w:lineRule="auto"/>
        <w:rPr>
          <w:rFonts w:ascii="Arial" w:hAnsi="Arial" w:cs="Arial"/>
          <w:sz w:val="24"/>
          <w:szCs w:val="24"/>
          <w:lang w:val="en-RO"/>
        </w:rPr>
      </w:pPr>
    </w:p>
    <w:tbl>
      <w:tblPr>
        <w:tblStyle w:val="GridTable4-Accent1"/>
        <w:tblW w:w="0" w:type="auto"/>
        <w:tblLook w:val="04A0" w:firstRow="1" w:lastRow="0" w:firstColumn="1" w:lastColumn="0" w:noHBand="0" w:noVBand="1"/>
      </w:tblPr>
      <w:tblGrid>
        <w:gridCol w:w="3005"/>
        <w:gridCol w:w="3005"/>
        <w:gridCol w:w="3006"/>
      </w:tblGrid>
      <w:tr w:rsidR="00D54B01" w14:paraId="3F098A50" w14:textId="77777777" w:rsidTr="00715C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1443FDE" w14:textId="2622B0CB" w:rsidR="00D54B01" w:rsidRPr="00D54B01" w:rsidRDefault="00D54B01" w:rsidP="00D54B01">
            <w:pPr>
              <w:spacing w:line="278" w:lineRule="auto"/>
              <w:jc w:val="center"/>
              <w:rPr>
                <w:rFonts w:ascii="Arial" w:hAnsi="Arial" w:cs="Arial"/>
                <w:sz w:val="24"/>
                <w:szCs w:val="24"/>
                <w:lang w:val="en-RO"/>
              </w:rPr>
            </w:pPr>
            <w:r w:rsidRPr="00D54B01">
              <w:rPr>
                <w:rFonts w:ascii="Arial" w:hAnsi="Arial" w:cs="Arial"/>
                <w:sz w:val="24"/>
                <w:szCs w:val="24"/>
              </w:rPr>
              <w:t>NATURAL ENVIRONMENT</w:t>
            </w:r>
          </w:p>
        </w:tc>
        <w:tc>
          <w:tcPr>
            <w:tcW w:w="3005" w:type="dxa"/>
          </w:tcPr>
          <w:p w14:paraId="3252DCA0" w14:textId="6773F38D" w:rsidR="00D54B01" w:rsidRPr="00D54B01" w:rsidRDefault="00D54B01" w:rsidP="00D54B01">
            <w:pPr>
              <w:spacing w:line="278"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RO"/>
              </w:rPr>
            </w:pPr>
            <w:r w:rsidRPr="00D54B01">
              <w:rPr>
                <w:rFonts w:ascii="Arial" w:hAnsi="Arial" w:cs="Arial"/>
                <w:sz w:val="24"/>
                <w:szCs w:val="24"/>
              </w:rPr>
              <w:t>TECHNOLOGICAL ENVIRONMENT</w:t>
            </w:r>
          </w:p>
        </w:tc>
        <w:tc>
          <w:tcPr>
            <w:tcW w:w="3006" w:type="dxa"/>
          </w:tcPr>
          <w:p w14:paraId="2FE6A9B6" w14:textId="0301A123" w:rsidR="00D54B01" w:rsidRPr="00D54B01" w:rsidRDefault="00D54B01" w:rsidP="00D54B01">
            <w:pPr>
              <w:spacing w:line="278"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RO"/>
              </w:rPr>
            </w:pPr>
            <w:r w:rsidRPr="00D54B01">
              <w:rPr>
                <w:rFonts w:ascii="Arial" w:hAnsi="Arial" w:cs="Arial"/>
                <w:sz w:val="24"/>
                <w:szCs w:val="24"/>
              </w:rPr>
              <w:t>TRANSITION TOWARD LOWER</w:t>
            </w:r>
            <w:r w:rsidRPr="00D54B01">
              <w:rPr>
                <w:rFonts w:ascii="Cambria Math" w:hAnsi="Cambria Math" w:cs="Cambria Math"/>
                <w:sz w:val="24"/>
                <w:szCs w:val="24"/>
              </w:rPr>
              <w:t>‑</w:t>
            </w:r>
            <w:r w:rsidRPr="00D54B01">
              <w:rPr>
                <w:rFonts w:ascii="Arial" w:hAnsi="Arial" w:cs="Arial"/>
                <w:sz w:val="24"/>
                <w:szCs w:val="24"/>
              </w:rPr>
              <w:t>CARBON STEEL</w:t>
            </w:r>
          </w:p>
        </w:tc>
      </w:tr>
      <w:tr w:rsidR="00D54B01" w14:paraId="0DCAA96C" w14:textId="77777777" w:rsidTr="00715C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5687944" w14:textId="7A7A78A6" w:rsidR="00D54B01" w:rsidRPr="00D54B01" w:rsidRDefault="00D54B01" w:rsidP="00D54B01">
            <w:pPr>
              <w:spacing w:line="360" w:lineRule="auto"/>
              <w:rPr>
                <w:rFonts w:ascii="Arial" w:hAnsi="Arial" w:cs="Arial"/>
                <w:b w:val="0"/>
                <w:bCs w:val="0"/>
                <w:sz w:val="24"/>
                <w:szCs w:val="24"/>
              </w:rPr>
            </w:pPr>
            <w:r w:rsidRPr="00D54B01">
              <w:rPr>
                <w:rFonts w:ascii="Arial" w:hAnsi="Arial" w:cs="Arial"/>
                <w:b w:val="0"/>
                <w:bCs w:val="0"/>
                <w:sz w:val="24"/>
                <w:szCs w:val="24"/>
              </w:rPr>
              <w:t xml:space="preserve">• Climate change pressures                   </w:t>
            </w:r>
          </w:p>
          <w:p w14:paraId="74010EC0" w14:textId="1706C9DA" w:rsidR="00D54B01" w:rsidRPr="00D54B01" w:rsidRDefault="00D54B01" w:rsidP="00D54B01">
            <w:pPr>
              <w:spacing w:line="360" w:lineRule="auto"/>
              <w:rPr>
                <w:rFonts w:ascii="Arial" w:hAnsi="Arial" w:cs="Arial"/>
                <w:b w:val="0"/>
                <w:bCs w:val="0"/>
                <w:sz w:val="24"/>
                <w:szCs w:val="24"/>
              </w:rPr>
            </w:pPr>
            <w:r w:rsidRPr="00D54B01">
              <w:rPr>
                <w:rFonts w:ascii="Arial" w:hAnsi="Arial" w:cs="Arial"/>
                <w:b w:val="0"/>
                <w:bCs w:val="0"/>
                <w:sz w:val="24"/>
                <w:szCs w:val="24"/>
              </w:rPr>
              <w:t>• High CO</w:t>
            </w:r>
            <w:r w:rsidRPr="00D54B01">
              <w:rPr>
                <w:rFonts w:ascii="Cambria Math" w:hAnsi="Cambria Math" w:cs="Cambria Math"/>
                <w:b w:val="0"/>
                <w:bCs w:val="0"/>
                <w:sz w:val="24"/>
                <w:szCs w:val="24"/>
              </w:rPr>
              <w:t>₂</w:t>
            </w:r>
            <w:r w:rsidRPr="00D54B01">
              <w:rPr>
                <w:rFonts w:ascii="Arial" w:hAnsi="Arial" w:cs="Arial"/>
                <w:b w:val="0"/>
                <w:bCs w:val="0"/>
                <w:sz w:val="24"/>
                <w:szCs w:val="24"/>
              </w:rPr>
              <w:t xml:space="preserve"> emissions from steelmaking       </w:t>
            </w:r>
          </w:p>
          <w:p w14:paraId="679FCEEA" w14:textId="5DFE1B82" w:rsidR="00D54B01" w:rsidRPr="00D54B01" w:rsidRDefault="00D54B01" w:rsidP="00D54B01">
            <w:pPr>
              <w:spacing w:line="360" w:lineRule="auto"/>
              <w:rPr>
                <w:rFonts w:ascii="Arial" w:hAnsi="Arial" w:cs="Arial"/>
                <w:b w:val="0"/>
                <w:bCs w:val="0"/>
                <w:sz w:val="24"/>
                <w:szCs w:val="24"/>
              </w:rPr>
            </w:pPr>
            <w:r w:rsidRPr="00D54B01">
              <w:rPr>
                <w:rFonts w:ascii="Arial" w:hAnsi="Arial" w:cs="Arial"/>
                <w:b w:val="0"/>
                <w:bCs w:val="0"/>
                <w:sz w:val="24"/>
                <w:szCs w:val="24"/>
              </w:rPr>
              <w:t xml:space="preserve">• Resource scarcity (iron ore, coal) </w:t>
            </w:r>
          </w:p>
          <w:p w14:paraId="78D1C7E3" w14:textId="6CFA8E6C" w:rsidR="00D54B01" w:rsidRPr="00D54B01" w:rsidRDefault="00D54B01" w:rsidP="00D54B01">
            <w:pPr>
              <w:spacing w:line="360" w:lineRule="auto"/>
              <w:rPr>
                <w:rFonts w:ascii="Arial" w:hAnsi="Arial" w:cs="Arial"/>
                <w:b w:val="0"/>
                <w:bCs w:val="0"/>
                <w:sz w:val="24"/>
                <w:szCs w:val="24"/>
              </w:rPr>
            </w:pPr>
            <w:r w:rsidRPr="00D54B01">
              <w:rPr>
                <w:rFonts w:ascii="Arial" w:hAnsi="Arial" w:cs="Arial"/>
                <w:b w:val="0"/>
                <w:bCs w:val="0"/>
                <w:sz w:val="24"/>
                <w:szCs w:val="24"/>
              </w:rPr>
              <w:t xml:space="preserve">• Circular economy expectations              </w:t>
            </w:r>
          </w:p>
          <w:p w14:paraId="6C0C036D" w14:textId="67C4338D" w:rsidR="00D54B01" w:rsidRPr="00D54B01" w:rsidRDefault="00D54B01" w:rsidP="00D54B01">
            <w:pPr>
              <w:spacing w:line="360" w:lineRule="auto"/>
              <w:rPr>
                <w:rFonts w:ascii="Arial" w:hAnsi="Arial" w:cs="Arial"/>
                <w:sz w:val="24"/>
                <w:szCs w:val="24"/>
                <w:lang w:val="en-RO"/>
              </w:rPr>
            </w:pPr>
            <w:r w:rsidRPr="00D54B01">
              <w:rPr>
                <w:rFonts w:ascii="Arial" w:hAnsi="Arial" w:cs="Arial"/>
                <w:b w:val="0"/>
                <w:bCs w:val="0"/>
                <w:sz w:val="24"/>
                <w:szCs w:val="24"/>
              </w:rPr>
              <w:t>• Stakeholder demand for green steel</w:t>
            </w:r>
          </w:p>
        </w:tc>
        <w:tc>
          <w:tcPr>
            <w:tcW w:w="3005" w:type="dxa"/>
          </w:tcPr>
          <w:p w14:paraId="01436127" w14:textId="45DCBB78" w:rsidR="00D54B01" w:rsidRPr="00D54B01" w:rsidRDefault="00D54B01" w:rsidP="00D54B0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54B01">
              <w:rPr>
                <w:rFonts w:ascii="Arial" w:hAnsi="Arial" w:cs="Arial"/>
                <w:sz w:val="24"/>
                <w:szCs w:val="24"/>
              </w:rPr>
              <w:t xml:space="preserve">• Electric Arc Furnace (EAF) technology     </w:t>
            </w:r>
          </w:p>
          <w:p w14:paraId="10F2BE3B" w14:textId="00C08C78" w:rsidR="00D54B01" w:rsidRPr="00D54B01" w:rsidRDefault="00D54B01" w:rsidP="00D54B0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54B01">
              <w:rPr>
                <w:rFonts w:ascii="Arial" w:hAnsi="Arial" w:cs="Arial"/>
                <w:sz w:val="24"/>
                <w:szCs w:val="24"/>
              </w:rPr>
              <w:t>• 100% scrap</w:t>
            </w:r>
            <w:r w:rsidRPr="00D54B01">
              <w:rPr>
                <w:rFonts w:ascii="Cambria Math" w:hAnsi="Cambria Math" w:cs="Cambria Math"/>
                <w:sz w:val="24"/>
                <w:szCs w:val="24"/>
              </w:rPr>
              <w:t>‑</w:t>
            </w:r>
            <w:r w:rsidRPr="00D54B01">
              <w:rPr>
                <w:rFonts w:ascii="Arial" w:hAnsi="Arial" w:cs="Arial"/>
                <w:sz w:val="24"/>
                <w:szCs w:val="24"/>
              </w:rPr>
              <w:t xml:space="preserve">based steelmaking              </w:t>
            </w:r>
          </w:p>
          <w:p w14:paraId="6E75741F" w14:textId="49E139A9" w:rsidR="00D54B01" w:rsidRPr="00D54B01" w:rsidRDefault="00D54B01" w:rsidP="00D54B0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54B01">
              <w:rPr>
                <w:rFonts w:ascii="Arial" w:hAnsi="Arial" w:cs="Arial"/>
                <w:sz w:val="24"/>
                <w:szCs w:val="24"/>
              </w:rPr>
              <w:t>• ~50% renewable energy integration          •Low</w:t>
            </w:r>
            <w:r w:rsidRPr="00D54B01">
              <w:rPr>
                <w:rFonts w:ascii="Cambria Math" w:hAnsi="Cambria Math" w:cs="Cambria Math"/>
                <w:sz w:val="24"/>
                <w:szCs w:val="24"/>
              </w:rPr>
              <w:t>‑</w:t>
            </w:r>
            <w:r w:rsidRPr="00D54B01">
              <w:rPr>
                <w:rFonts w:ascii="Arial" w:hAnsi="Arial" w:cs="Arial"/>
                <w:sz w:val="24"/>
                <w:szCs w:val="24"/>
              </w:rPr>
              <w:t xml:space="preserve">carbon production innovations          </w:t>
            </w:r>
          </w:p>
          <w:p w14:paraId="23EC6576" w14:textId="648B2A43" w:rsidR="00D54B01" w:rsidRPr="00D54B01" w:rsidRDefault="00D54B01" w:rsidP="00D54B0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RO"/>
              </w:rPr>
            </w:pPr>
            <w:r w:rsidRPr="00D54B01">
              <w:rPr>
                <w:rFonts w:ascii="Arial" w:hAnsi="Arial" w:cs="Arial"/>
                <w:sz w:val="24"/>
                <w:szCs w:val="24"/>
              </w:rPr>
              <w:t>• Industry shift to sustainable technologies</w:t>
            </w:r>
          </w:p>
        </w:tc>
        <w:tc>
          <w:tcPr>
            <w:tcW w:w="3006" w:type="dxa"/>
          </w:tcPr>
          <w:p w14:paraId="032F8F33" w14:textId="46629AC4" w:rsidR="00D54B01" w:rsidRPr="00D54B01" w:rsidRDefault="00D54B01" w:rsidP="00D54B0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54B01">
              <w:rPr>
                <w:rFonts w:ascii="Arial" w:hAnsi="Arial" w:cs="Arial"/>
                <w:sz w:val="24"/>
                <w:szCs w:val="24"/>
              </w:rPr>
              <w:t>• Lower emissions (&lt;0.3 tCO</w:t>
            </w:r>
            <w:r w:rsidRPr="00D54B01">
              <w:rPr>
                <w:rFonts w:ascii="Cambria Math" w:hAnsi="Cambria Math" w:cs="Cambria Math"/>
                <w:sz w:val="24"/>
                <w:szCs w:val="24"/>
              </w:rPr>
              <w:t>₂</w:t>
            </w:r>
            <w:r w:rsidRPr="00D54B01">
              <w:rPr>
                <w:rFonts w:ascii="Arial" w:hAnsi="Arial" w:cs="Arial"/>
                <w:sz w:val="24"/>
                <w:szCs w:val="24"/>
              </w:rPr>
              <w:t xml:space="preserve"> per tonne) </w:t>
            </w:r>
          </w:p>
          <w:p w14:paraId="52955C50" w14:textId="04E55E87" w:rsidR="00D54B01" w:rsidRPr="00D54B01" w:rsidRDefault="00D54B01" w:rsidP="00D54B0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54B01">
              <w:rPr>
                <w:rFonts w:ascii="Arial" w:hAnsi="Arial" w:cs="Arial"/>
                <w:sz w:val="24"/>
                <w:szCs w:val="24"/>
              </w:rPr>
              <w:t xml:space="preserve"> • Cleaner, circular production model      </w:t>
            </w:r>
          </w:p>
          <w:p w14:paraId="2AE061DC" w14:textId="77777777" w:rsidR="00D54B01" w:rsidRDefault="00D54B01" w:rsidP="00D54B0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54B01">
              <w:rPr>
                <w:rFonts w:ascii="Arial" w:hAnsi="Arial" w:cs="Arial"/>
                <w:sz w:val="24"/>
                <w:szCs w:val="24"/>
              </w:rPr>
              <w:t xml:space="preserve">• Stronger competitive position </w:t>
            </w:r>
          </w:p>
          <w:p w14:paraId="3EFD12E5" w14:textId="6EFAE998" w:rsidR="00D54B01" w:rsidRPr="00D54B01" w:rsidRDefault="00D54B01" w:rsidP="00D54B0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54B01">
              <w:rPr>
                <w:rFonts w:ascii="Arial" w:hAnsi="Arial" w:cs="Arial"/>
                <w:sz w:val="24"/>
                <w:szCs w:val="24"/>
              </w:rPr>
              <w:t xml:space="preserve"> • Alignment with sustainability expectations</w:t>
            </w:r>
          </w:p>
        </w:tc>
      </w:tr>
    </w:tbl>
    <w:p w14:paraId="1A2316EF" w14:textId="77777777" w:rsidR="0029259A" w:rsidRDefault="0029259A">
      <w:pPr>
        <w:spacing w:line="278" w:lineRule="auto"/>
        <w:rPr>
          <w:rFonts w:ascii="Arial" w:hAnsi="Arial" w:cs="Arial"/>
          <w:sz w:val="24"/>
          <w:szCs w:val="24"/>
          <w:lang w:val="en-RO"/>
        </w:rPr>
      </w:pPr>
    </w:p>
    <w:p w14:paraId="67185F7F" w14:textId="5D3E9A99" w:rsidR="0029259A" w:rsidRPr="00D54B01" w:rsidRDefault="00D54B01" w:rsidP="00764055">
      <w:pPr>
        <w:pStyle w:val="Heading4"/>
        <w:rPr>
          <w:lang w:val="en-RO"/>
        </w:rPr>
      </w:pPr>
      <w:r w:rsidRPr="00D54B01">
        <w:rPr>
          <w:lang w:val="en-RO"/>
        </w:rPr>
        <w:t>Figure</w:t>
      </w:r>
      <w:r>
        <w:rPr>
          <w:lang w:val="en-RO"/>
        </w:rPr>
        <w:t xml:space="preserve"> </w:t>
      </w:r>
      <w:r w:rsidRPr="00D54B01">
        <w:rPr>
          <w:lang w:val="en-RO"/>
        </w:rPr>
        <w:t>1: Flow Chart: Interaction between Natural and Technological Enviro</w:t>
      </w:r>
      <w:r>
        <w:rPr>
          <w:lang w:val="en-RO"/>
        </w:rPr>
        <w:t>n</w:t>
      </w:r>
      <w:r w:rsidRPr="00D54B01">
        <w:rPr>
          <w:lang w:val="en-RO"/>
        </w:rPr>
        <w:t>ment</w:t>
      </w:r>
    </w:p>
    <w:p w14:paraId="7CD57AE8" w14:textId="77777777" w:rsidR="00687A52" w:rsidRDefault="00687A52">
      <w:pPr>
        <w:spacing w:line="278" w:lineRule="auto"/>
        <w:rPr>
          <w:rFonts w:ascii="Arial" w:hAnsi="Arial" w:cs="Arial"/>
          <w:sz w:val="24"/>
          <w:szCs w:val="24"/>
          <w:lang w:val="en-RO"/>
        </w:rPr>
      </w:pPr>
    </w:p>
    <w:p w14:paraId="7BDB30D6" w14:textId="77777777" w:rsidR="005311C3" w:rsidRDefault="005311C3" w:rsidP="00EE08F3">
      <w:pPr>
        <w:spacing w:line="360" w:lineRule="auto"/>
        <w:rPr>
          <w:rFonts w:ascii="Arial" w:hAnsi="Arial" w:cs="Arial"/>
          <w:b/>
          <w:bCs/>
          <w:sz w:val="28"/>
          <w:szCs w:val="28"/>
          <w:lang w:val="en-RO"/>
        </w:rPr>
      </w:pPr>
    </w:p>
    <w:p w14:paraId="2A65F261" w14:textId="77777777" w:rsidR="00764055" w:rsidRDefault="00764055" w:rsidP="00EE08F3">
      <w:pPr>
        <w:spacing w:line="360" w:lineRule="auto"/>
        <w:rPr>
          <w:rFonts w:ascii="Arial" w:hAnsi="Arial" w:cs="Arial"/>
          <w:b/>
          <w:bCs/>
          <w:sz w:val="28"/>
          <w:szCs w:val="28"/>
          <w:lang w:val="en-RO"/>
        </w:rPr>
      </w:pPr>
    </w:p>
    <w:p w14:paraId="359432D5" w14:textId="564EDC4A" w:rsidR="00EE08F3" w:rsidRDefault="00EE08F3" w:rsidP="00764055">
      <w:pPr>
        <w:pStyle w:val="Heading1"/>
        <w:rPr>
          <w:lang w:val="en-RO"/>
        </w:rPr>
      </w:pPr>
      <w:bookmarkStart w:id="12" w:name="_Toc230113322"/>
      <w:r w:rsidRPr="00EE08F3">
        <w:rPr>
          <w:lang w:val="en-RO"/>
        </w:rPr>
        <w:lastRenderedPageBreak/>
        <w:t>Strategic Growth and Competitive Positioning</w:t>
      </w:r>
      <w:bookmarkEnd w:id="12"/>
    </w:p>
    <w:p w14:paraId="4F3F0ED1" w14:textId="77777777" w:rsidR="00764055" w:rsidRPr="00764055" w:rsidRDefault="00764055" w:rsidP="00764055">
      <w:pPr>
        <w:rPr>
          <w:lang w:val="en-RO"/>
        </w:rPr>
      </w:pPr>
    </w:p>
    <w:p w14:paraId="7EAEA0D5" w14:textId="433032C5" w:rsidR="00EE08F3" w:rsidRDefault="00EE08F3" w:rsidP="00764055">
      <w:pPr>
        <w:pStyle w:val="Heading2"/>
        <w:rPr>
          <w:lang w:val="en-RO"/>
        </w:rPr>
      </w:pPr>
      <w:bookmarkStart w:id="13" w:name="_Toc230113323"/>
      <w:r w:rsidRPr="00EE08F3">
        <w:rPr>
          <w:lang w:val="en-RO"/>
        </w:rPr>
        <w:t>Environmental Pressures and the Need for Growth</w:t>
      </w:r>
      <w:bookmarkEnd w:id="13"/>
    </w:p>
    <w:p w14:paraId="6ED53C36" w14:textId="52551911" w:rsid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 xml:space="preserve">Tata Steel </w:t>
      </w:r>
      <w:r w:rsidR="00A21B27">
        <w:rPr>
          <w:rFonts w:ascii="Arial" w:hAnsi="Arial" w:cs="Arial"/>
          <w:sz w:val="24"/>
          <w:szCs w:val="24"/>
          <w:lang w:val="en-RO"/>
        </w:rPr>
        <w:t>India</w:t>
      </w:r>
      <w:r w:rsidRPr="00EE08F3">
        <w:rPr>
          <w:rFonts w:ascii="Arial" w:hAnsi="Arial" w:cs="Arial"/>
          <w:sz w:val="24"/>
          <w:szCs w:val="24"/>
          <w:lang w:val="en-RO"/>
        </w:rPr>
        <w:t xml:space="preserve"> is undergoing a major strategic transformation driven by environmental regulation, market expectations and technological change. The company’s decision to transition from traditional blast furnace operations to Electric Arc Furnace (EAF) technology at Port Talbot represents a structural shift in its business model. This transition is expected to reduce emissions by up to 90%, aligning the organisation with UK and EU decarbonisation policies and strengthening its long</w:t>
      </w:r>
      <w:r w:rsidRPr="00EE08F3">
        <w:rPr>
          <w:rFonts w:ascii="Arial" w:hAnsi="Arial" w:cs="Arial"/>
          <w:sz w:val="24"/>
          <w:szCs w:val="24"/>
          <w:lang w:val="en-RO"/>
        </w:rPr>
        <w:noBreakHyphen/>
        <w:t>term competitiveness (Tata Steel, 2024). The regulatory environment reinforces this need for strategic repositioning. Mechanisms such as the UK Emissions Trading Scheme and the EU Carbon Border Adjustment Mechanism (CBAM) increase the cost of carbon</w:t>
      </w:r>
      <w:r w:rsidRPr="00EE08F3">
        <w:rPr>
          <w:rFonts w:ascii="Arial" w:hAnsi="Arial" w:cs="Arial"/>
          <w:sz w:val="24"/>
          <w:szCs w:val="24"/>
          <w:lang w:val="en-RO"/>
        </w:rPr>
        <w:noBreakHyphen/>
        <w:t>intensive steel and reward producers with lower embedded emissions (European Commission, 2023). This creates a growing market for low</w:t>
      </w:r>
      <w:r w:rsidRPr="00EE08F3">
        <w:rPr>
          <w:rFonts w:ascii="Arial" w:hAnsi="Arial" w:cs="Arial"/>
          <w:sz w:val="24"/>
          <w:szCs w:val="24"/>
          <w:lang w:val="en-RO"/>
        </w:rPr>
        <w:noBreakHyphen/>
        <w:t>carbon steel products, positioning Tata Steel’s EAF transition as both an environmental necessity and a strategic opportunity. The Ansoff Matrix provides a structured framework to evaluate how the company can pursue growth while transitioning to a lower</w:t>
      </w:r>
      <w:r w:rsidRPr="00EE08F3">
        <w:rPr>
          <w:rFonts w:ascii="Arial" w:hAnsi="Arial" w:cs="Arial"/>
          <w:sz w:val="24"/>
          <w:szCs w:val="24"/>
          <w:lang w:val="en-RO"/>
        </w:rPr>
        <w:noBreakHyphen/>
        <w:t>carbon business model (Ansoff, 1957).</w:t>
      </w:r>
    </w:p>
    <w:p w14:paraId="51D19CDA" w14:textId="77777777" w:rsidR="00EE08F3" w:rsidRDefault="00EE08F3" w:rsidP="00764055">
      <w:pPr>
        <w:pStyle w:val="Heading1"/>
        <w:rPr>
          <w:lang w:val="en-RO"/>
        </w:rPr>
      </w:pPr>
      <w:bookmarkStart w:id="14" w:name="_Toc230113324"/>
      <w:r w:rsidRPr="00EE08F3">
        <w:rPr>
          <w:lang w:val="en-RO"/>
        </w:rPr>
        <w:t>Evaluating Growth Options Using the Ansoff Matrix</w:t>
      </w:r>
      <w:bookmarkEnd w:id="14"/>
    </w:p>
    <w:p w14:paraId="4D8F61A8" w14:textId="77777777" w:rsidR="00764055" w:rsidRPr="00764055" w:rsidRDefault="00764055" w:rsidP="00764055">
      <w:pPr>
        <w:rPr>
          <w:lang w:val="en-RO"/>
        </w:rPr>
      </w:pPr>
    </w:p>
    <w:p w14:paraId="7B897404" w14:textId="77777777" w:rsidR="00EE08F3" w:rsidRPr="00EE08F3" w:rsidRDefault="00EE08F3" w:rsidP="00764055">
      <w:pPr>
        <w:pStyle w:val="Heading2"/>
        <w:rPr>
          <w:lang w:val="en-RO"/>
        </w:rPr>
      </w:pPr>
      <w:bookmarkStart w:id="15" w:name="_Toc230113325"/>
      <w:r w:rsidRPr="00EE08F3">
        <w:rPr>
          <w:lang w:val="en-RO"/>
        </w:rPr>
        <w:t>Market Penetration</w:t>
      </w:r>
      <w:bookmarkEnd w:id="15"/>
    </w:p>
    <w:p w14:paraId="6334B004" w14:textId="2AED42DB" w:rsidR="00EE08F3" w:rsidRP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 xml:space="preserve">Market penetration involves increasing sales of existing products in existing markets. For Tata Steel, this would mean selling more conventional steel to current </w:t>
      </w:r>
      <w:r w:rsidR="00A21B27">
        <w:rPr>
          <w:rFonts w:ascii="Arial" w:hAnsi="Arial" w:cs="Arial"/>
          <w:sz w:val="24"/>
          <w:szCs w:val="24"/>
          <w:lang w:val="en-RO"/>
        </w:rPr>
        <w:t>India</w:t>
      </w:r>
      <w:r w:rsidRPr="00EE08F3">
        <w:rPr>
          <w:rFonts w:ascii="Arial" w:hAnsi="Arial" w:cs="Arial"/>
          <w:sz w:val="24"/>
          <w:szCs w:val="24"/>
          <w:lang w:val="en-RO"/>
        </w:rPr>
        <w:t xml:space="preserve"> and EU customers. However, demand for traditional high</w:t>
      </w:r>
      <w:r w:rsidRPr="00EE08F3">
        <w:rPr>
          <w:rFonts w:ascii="Arial" w:hAnsi="Arial" w:cs="Arial"/>
          <w:sz w:val="24"/>
          <w:szCs w:val="24"/>
          <w:lang w:val="en-RO"/>
        </w:rPr>
        <w:noBreakHyphen/>
        <w:t>carbon steel is stagnating, and customers increasingly prefer low</w:t>
      </w:r>
      <w:r w:rsidRPr="00EE08F3">
        <w:rPr>
          <w:rFonts w:ascii="Arial" w:hAnsi="Arial" w:cs="Arial"/>
          <w:sz w:val="24"/>
          <w:szCs w:val="24"/>
          <w:lang w:val="en-RO"/>
        </w:rPr>
        <w:noBreakHyphen/>
        <w:t>carbon alternatives. Competitors adopting EAF technology or importing low</w:t>
      </w:r>
      <w:r w:rsidRPr="00EE08F3">
        <w:rPr>
          <w:rFonts w:ascii="Arial" w:hAnsi="Arial" w:cs="Arial"/>
          <w:sz w:val="24"/>
          <w:szCs w:val="24"/>
          <w:lang w:val="en-RO"/>
        </w:rPr>
        <w:noBreakHyphen/>
        <w:t>carbon steel from abroad further limit the potential of this strategy. While market penetration may support short</w:t>
      </w:r>
      <w:r w:rsidRPr="00EE08F3">
        <w:rPr>
          <w:rFonts w:ascii="Arial" w:hAnsi="Arial" w:cs="Arial"/>
          <w:sz w:val="24"/>
          <w:szCs w:val="24"/>
          <w:lang w:val="en-RO"/>
        </w:rPr>
        <w:noBreakHyphen/>
        <w:t>term stability, it does not align with long</w:t>
      </w:r>
      <w:r w:rsidRPr="00EE08F3">
        <w:rPr>
          <w:rFonts w:ascii="Arial" w:hAnsi="Arial" w:cs="Arial"/>
          <w:sz w:val="24"/>
          <w:szCs w:val="24"/>
          <w:lang w:val="en-RO"/>
        </w:rPr>
        <w:noBreakHyphen/>
        <w:t>term environmental or competitive requirements.</w:t>
      </w:r>
    </w:p>
    <w:p w14:paraId="77517F50" w14:textId="77777777" w:rsidR="00EE08F3" w:rsidRPr="00EE08F3" w:rsidRDefault="00EE08F3" w:rsidP="00764055">
      <w:pPr>
        <w:pStyle w:val="Heading2"/>
        <w:rPr>
          <w:lang w:val="en-RO"/>
        </w:rPr>
      </w:pPr>
      <w:bookmarkStart w:id="16" w:name="_Toc230113326"/>
      <w:r w:rsidRPr="00EE08F3">
        <w:rPr>
          <w:lang w:val="en-RO"/>
        </w:rPr>
        <w:t>Market Development</w:t>
      </w:r>
      <w:bookmarkEnd w:id="16"/>
    </w:p>
    <w:p w14:paraId="0C8E158E" w14:textId="77777777" w:rsidR="00EE08F3" w:rsidRP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 xml:space="preserve">Market development involves entering new markets with existing products. Tata Steel’s transition to EAF technology enables access to new customer segments that </w:t>
      </w:r>
      <w:r w:rsidRPr="00EE08F3">
        <w:rPr>
          <w:rFonts w:ascii="Arial" w:hAnsi="Arial" w:cs="Arial"/>
          <w:sz w:val="24"/>
          <w:szCs w:val="24"/>
          <w:lang w:val="en-RO"/>
        </w:rPr>
        <w:lastRenderedPageBreak/>
        <w:t>prioritise sustainability, such as electric vehicle manufacturers, renewable energy developers and infrastructure projects with green procurement requirements. The EU’s CBAM also creates opportunities for low</w:t>
      </w:r>
      <w:r w:rsidRPr="00EE08F3">
        <w:rPr>
          <w:rFonts w:ascii="Arial" w:hAnsi="Arial" w:cs="Arial"/>
          <w:sz w:val="24"/>
          <w:szCs w:val="24"/>
          <w:lang w:val="en-RO"/>
        </w:rPr>
        <w:noBreakHyphen/>
        <w:t>carbon steel producers to gain market share in Europe, where environmental standards are stricter (European Commission, 2023). Market development therefore aligns strongly with the company’s decarbonisation strategy by leveraging the environmental benefits of EAF production to access new demand pools.</w:t>
      </w:r>
    </w:p>
    <w:p w14:paraId="41DD94DE" w14:textId="77777777" w:rsidR="00EE08F3" w:rsidRPr="00EE08F3" w:rsidRDefault="00EE08F3" w:rsidP="00764055">
      <w:pPr>
        <w:pStyle w:val="Heading2"/>
        <w:rPr>
          <w:lang w:val="en-RO"/>
        </w:rPr>
      </w:pPr>
      <w:bookmarkStart w:id="17" w:name="_Toc230113327"/>
      <w:r w:rsidRPr="00EE08F3">
        <w:rPr>
          <w:lang w:val="en-RO"/>
        </w:rPr>
        <w:t>Product Development</w:t>
      </w:r>
      <w:bookmarkEnd w:id="17"/>
    </w:p>
    <w:p w14:paraId="6CA4EFE6" w14:textId="77777777" w:rsidR="00EE08F3" w:rsidRP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Product development focuses on creating new or improved products for existing markets. This option is highly relevant to Tata Steel’s transition. EAF technology enables the production of new steel grades with lower emissions, higher recycled content and improved traceability. Customers in automotive, construction and engineering sectors increasingly require materials with certified carbon footprints. Developing a portfolio of “green steel” products allows Tata Steel to differentiate itself and meet emerging customer expectations. Product development also supports long</w:t>
      </w:r>
      <w:r w:rsidRPr="00EE08F3">
        <w:rPr>
          <w:rFonts w:ascii="Arial" w:hAnsi="Arial" w:cs="Arial"/>
          <w:sz w:val="24"/>
          <w:szCs w:val="24"/>
          <w:lang w:val="en-RO"/>
        </w:rPr>
        <w:noBreakHyphen/>
        <w:t>term competitiveness by embedding innovation into the company’s strategic capabilities (Porter, 1985).</w:t>
      </w:r>
    </w:p>
    <w:p w14:paraId="0E942FF0" w14:textId="77777777" w:rsidR="00EE08F3" w:rsidRPr="00EE08F3" w:rsidRDefault="00EE08F3" w:rsidP="00764055">
      <w:pPr>
        <w:pStyle w:val="Heading2"/>
        <w:rPr>
          <w:lang w:val="en-RO"/>
        </w:rPr>
      </w:pPr>
      <w:bookmarkStart w:id="18" w:name="_Toc230113328"/>
      <w:r w:rsidRPr="00EE08F3">
        <w:rPr>
          <w:lang w:val="en-RO"/>
        </w:rPr>
        <w:t>Diversification</w:t>
      </w:r>
      <w:bookmarkEnd w:id="18"/>
    </w:p>
    <w:p w14:paraId="65FFB485" w14:textId="77777777" w:rsid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Diversification involves entering new markets with new products and carries the highest risk (Ansoff, 1957). For Tata Steel, unrelated diversification into areas such as renewable energy equipment manufacturing or carbon capture technologies would require capabilities outside its core competencies. Although related diversification—such as recycling services or digital traceability platforms—could complement the transition, full diversification is not the most suitable primary strategy during a major operational transformation. The company must first stabilise its core steelmaking operations under the new EAF model before pursuing broader diversification.</w:t>
      </w:r>
    </w:p>
    <w:p w14:paraId="1FB1CDB4" w14:textId="032D4890" w:rsidR="00BB4942" w:rsidRDefault="00BB4942" w:rsidP="00EE08F3">
      <w:pPr>
        <w:spacing w:line="360" w:lineRule="auto"/>
        <w:rPr>
          <w:rFonts w:ascii="Arial" w:hAnsi="Arial" w:cs="Arial"/>
          <w:sz w:val="24"/>
          <w:szCs w:val="24"/>
          <w:lang w:val="en-RO"/>
        </w:rPr>
      </w:pPr>
      <w:r>
        <w:rPr>
          <w:rFonts w:ascii="Arial" w:hAnsi="Arial" w:cs="Arial"/>
          <w:noProof/>
          <w:sz w:val="24"/>
          <w:szCs w:val="24"/>
          <w:lang w:val="en-RO"/>
          <w14:ligatures w14:val="standardContextual"/>
        </w:rPr>
        <w:lastRenderedPageBreak/>
        <w:drawing>
          <wp:inline distT="0" distB="0" distL="0" distR="0" wp14:anchorId="7B456B70" wp14:editId="3137B18F">
            <wp:extent cx="5486400" cy="3200400"/>
            <wp:effectExtent l="0" t="0" r="0" b="12700"/>
            <wp:docPr id="17819639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BB773E9" w14:textId="77777777" w:rsidR="00BB4942" w:rsidRPr="00260A3A" w:rsidRDefault="00BB4942" w:rsidP="00BB4942">
      <w:pPr>
        <w:pStyle w:val="Heading3"/>
        <w:rPr>
          <w:lang w:val="en-RO"/>
        </w:rPr>
      </w:pPr>
      <w:bookmarkStart w:id="19" w:name="_Toc230113329"/>
      <w:r w:rsidRPr="00260A3A">
        <w:rPr>
          <w:lang w:val="en-RO"/>
        </w:rPr>
        <w:t>Figure.2 Ansoff Matrix Applied</w:t>
      </w:r>
      <w:bookmarkEnd w:id="19"/>
      <w:r w:rsidRPr="00260A3A">
        <w:rPr>
          <w:lang w:val="en-RO"/>
        </w:rPr>
        <w:t> </w:t>
      </w:r>
    </w:p>
    <w:p w14:paraId="1A450862" w14:textId="77777777" w:rsidR="00BB4942" w:rsidRDefault="00BB4942" w:rsidP="00EE08F3">
      <w:pPr>
        <w:spacing w:line="360" w:lineRule="auto"/>
        <w:rPr>
          <w:rFonts w:ascii="Arial" w:hAnsi="Arial" w:cs="Arial"/>
          <w:sz w:val="24"/>
          <w:szCs w:val="24"/>
          <w:lang w:val="en-RO"/>
        </w:rPr>
      </w:pPr>
    </w:p>
    <w:p w14:paraId="1F98D27A" w14:textId="77777777" w:rsidR="00EE08F3" w:rsidRDefault="00EE08F3" w:rsidP="00764055">
      <w:pPr>
        <w:pStyle w:val="Heading1"/>
        <w:rPr>
          <w:lang w:val="en-RO"/>
        </w:rPr>
      </w:pPr>
      <w:bookmarkStart w:id="20" w:name="_Toc230113330"/>
      <w:r w:rsidRPr="00EE08F3">
        <w:rPr>
          <w:lang w:val="en-RO"/>
        </w:rPr>
        <w:t>Recommended Strategy: Combined Product Development and Market Development</w:t>
      </w:r>
      <w:bookmarkEnd w:id="20"/>
    </w:p>
    <w:p w14:paraId="0346D1FE" w14:textId="77777777" w:rsidR="00EE08F3" w:rsidRP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A dual strategy of Product Development and Market Development offers the strongest alignment with Tata Steel’s environmental transition and competitive ambitions. This combined approach enables the company to leverage its new EAF capabilities while expanding into markets that value sustainability.</w:t>
      </w:r>
    </w:p>
    <w:p w14:paraId="47CAE678" w14:textId="77777777" w:rsidR="00EE08F3" w:rsidRPr="00EE08F3" w:rsidRDefault="00EE08F3" w:rsidP="00764055">
      <w:pPr>
        <w:pStyle w:val="Heading2"/>
        <w:rPr>
          <w:lang w:val="en-RO"/>
        </w:rPr>
      </w:pPr>
      <w:bookmarkStart w:id="21" w:name="_Toc230113331"/>
      <w:r w:rsidRPr="00EE08F3">
        <w:rPr>
          <w:lang w:val="en-RO"/>
        </w:rPr>
        <w:t>Product Development Strategy</w:t>
      </w:r>
      <w:bookmarkEnd w:id="21"/>
    </w:p>
    <w:p w14:paraId="4DF85EB7" w14:textId="38566B85" w:rsidR="00EE08F3" w:rsidRP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The shift to EAF technology provides a platform for Tata Steel to develop a new generation of low</w:t>
      </w:r>
      <w:r w:rsidRPr="00EE08F3">
        <w:rPr>
          <w:rFonts w:ascii="Arial" w:hAnsi="Arial" w:cs="Arial"/>
          <w:sz w:val="24"/>
          <w:szCs w:val="24"/>
          <w:lang w:val="en-RO"/>
        </w:rPr>
        <w:noBreakHyphen/>
        <w:t>carbon steel products. These products can be differentiated through</w:t>
      </w:r>
      <w:r>
        <w:rPr>
          <w:rFonts w:ascii="Arial" w:hAnsi="Arial" w:cs="Arial"/>
          <w:sz w:val="24"/>
          <w:szCs w:val="24"/>
          <w:lang w:val="en-RO"/>
        </w:rPr>
        <w:t>:</w:t>
      </w:r>
    </w:p>
    <w:p w14:paraId="4C565E9B" w14:textId="77777777" w:rsidR="00EE08F3" w:rsidRPr="00EE08F3" w:rsidRDefault="00EE08F3" w:rsidP="00EE08F3">
      <w:pPr>
        <w:numPr>
          <w:ilvl w:val="0"/>
          <w:numId w:val="1"/>
        </w:numPr>
        <w:spacing w:line="360" w:lineRule="auto"/>
        <w:rPr>
          <w:rFonts w:ascii="Arial" w:hAnsi="Arial" w:cs="Arial"/>
          <w:sz w:val="24"/>
          <w:szCs w:val="24"/>
          <w:lang w:val="en-RO"/>
        </w:rPr>
      </w:pPr>
      <w:r w:rsidRPr="00EE08F3">
        <w:rPr>
          <w:rFonts w:ascii="Arial" w:hAnsi="Arial" w:cs="Arial"/>
          <w:sz w:val="24"/>
          <w:szCs w:val="24"/>
          <w:lang w:val="en-RO"/>
        </w:rPr>
        <w:t>Lower carbon intensity: EAF steel emits significantly less CO</w:t>
      </w:r>
      <w:r w:rsidRPr="00EE08F3">
        <w:rPr>
          <w:rFonts w:ascii="Cambria Math" w:hAnsi="Cambria Math" w:cs="Cambria Math"/>
          <w:sz w:val="24"/>
          <w:szCs w:val="24"/>
          <w:lang w:val="en-RO"/>
        </w:rPr>
        <w:t>₂</w:t>
      </w:r>
      <w:r w:rsidRPr="00EE08F3">
        <w:rPr>
          <w:rFonts w:ascii="Arial" w:hAnsi="Arial" w:cs="Arial"/>
          <w:sz w:val="24"/>
          <w:szCs w:val="24"/>
          <w:lang w:val="en-RO"/>
        </w:rPr>
        <w:t xml:space="preserve"> per tonne compared to blast furnace steel, enabling the creation of certified low</w:t>
      </w:r>
      <w:r w:rsidRPr="00EE08F3">
        <w:rPr>
          <w:rFonts w:ascii="Arial" w:hAnsi="Arial" w:cs="Arial"/>
          <w:sz w:val="24"/>
          <w:szCs w:val="24"/>
          <w:lang w:val="en-RO"/>
        </w:rPr>
        <w:noBreakHyphen/>
        <w:t>carbon product lines (Tata Steel, 2024).</w:t>
      </w:r>
    </w:p>
    <w:p w14:paraId="28784F21" w14:textId="77777777" w:rsidR="00EE08F3" w:rsidRPr="00EE08F3" w:rsidRDefault="00EE08F3" w:rsidP="00EE08F3">
      <w:pPr>
        <w:numPr>
          <w:ilvl w:val="0"/>
          <w:numId w:val="1"/>
        </w:numPr>
        <w:spacing w:line="360" w:lineRule="auto"/>
        <w:rPr>
          <w:rFonts w:ascii="Arial" w:hAnsi="Arial" w:cs="Arial"/>
          <w:sz w:val="24"/>
          <w:szCs w:val="24"/>
          <w:lang w:val="en-RO"/>
        </w:rPr>
      </w:pPr>
      <w:r w:rsidRPr="00EE08F3">
        <w:rPr>
          <w:rFonts w:ascii="Arial" w:hAnsi="Arial" w:cs="Arial"/>
          <w:sz w:val="24"/>
          <w:szCs w:val="24"/>
          <w:lang w:val="en-RO"/>
        </w:rPr>
        <w:t>Higher recycled content: Scrap</w:t>
      </w:r>
      <w:r w:rsidRPr="00EE08F3">
        <w:rPr>
          <w:rFonts w:ascii="Arial" w:hAnsi="Arial" w:cs="Arial"/>
          <w:sz w:val="24"/>
          <w:szCs w:val="24"/>
          <w:lang w:val="en-RO"/>
        </w:rPr>
        <w:noBreakHyphen/>
        <w:t>based production supports circular economy principles and appeals to environmentally conscious customers.</w:t>
      </w:r>
    </w:p>
    <w:p w14:paraId="2A807144" w14:textId="77777777" w:rsidR="00EE08F3" w:rsidRPr="00EE08F3" w:rsidRDefault="00EE08F3" w:rsidP="00EE08F3">
      <w:pPr>
        <w:numPr>
          <w:ilvl w:val="0"/>
          <w:numId w:val="1"/>
        </w:numPr>
        <w:spacing w:line="360" w:lineRule="auto"/>
        <w:rPr>
          <w:rFonts w:ascii="Arial" w:hAnsi="Arial" w:cs="Arial"/>
          <w:sz w:val="24"/>
          <w:szCs w:val="24"/>
          <w:lang w:val="en-RO"/>
        </w:rPr>
      </w:pPr>
      <w:r w:rsidRPr="00EE08F3">
        <w:rPr>
          <w:rFonts w:ascii="Arial" w:hAnsi="Arial" w:cs="Arial"/>
          <w:sz w:val="24"/>
          <w:szCs w:val="24"/>
          <w:lang w:val="en-RO"/>
        </w:rPr>
        <w:lastRenderedPageBreak/>
        <w:t>Enhanced material properties: Investment in R&amp;D can produce high</w:t>
      </w:r>
      <w:r w:rsidRPr="00EE08F3">
        <w:rPr>
          <w:rFonts w:ascii="Arial" w:hAnsi="Arial" w:cs="Arial"/>
          <w:sz w:val="24"/>
          <w:szCs w:val="24"/>
          <w:lang w:val="en-RO"/>
        </w:rPr>
        <w:noBreakHyphen/>
        <w:t>strength, lightweight and corrosion</w:t>
      </w:r>
      <w:r w:rsidRPr="00EE08F3">
        <w:rPr>
          <w:rFonts w:ascii="Arial" w:hAnsi="Arial" w:cs="Arial"/>
          <w:sz w:val="24"/>
          <w:szCs w:val="24"/>
          <w:lang w:val="en-RO"/>
        </w:rPr>
        <w:noBreakHyphen/>
        <w:t>resistant steel grades suitable for electric vehicles, wind turbines and modern construction.</w:t>
      </w:r>
    </w:p>
    <w:p w14:paraId="1C861419" w14:textId="77777777" w:rsidR="00EE08F3" w:rsidRPr="00EE08F3" w:rsidRDefault="00EE08F3" w:rsidP="00EE08F3">
      <w:pPr>
        <w:numPr>
          <w:ilvl w:val="0"/>
          <w:numId w:val="1"/>
        </w:numPr>
        <w:spacing w:line="360" w:lineRule="auto"/>
        <w:rPr>
          <w:rFonts w:ascii="Arial" w:hAnsi="Arial" w:cs="Arial"/>
          <w:sz w:val="24"/>
          <w:szCs w:val="24"/>
          <w:lang w:val="en-RO"/>
        </w:rPr>
      </w:pPr>
      <w:r w:rsidRPr="00EE08F3">
        <w:rPr>
          <w:rFonts w:ascii="Arial" w:hAnsi="Arial" w:cs="Arial"/>
          <w:sz w:val="24"/>
          <w:szCs w:val="24"/>
          <w:lang w:val="en-RO"/>
        </w:rPr>
        <w:t>Digital traceability: Technologies such as blockchain can provide customers with transparent carbon footprint data, strengthening trust and compliance with ESG reporting requirements (Porter and Kramer, 2011).</w:t>
      </w:r>
    </w:p>
    <w:p w14:paraId="5EBDC71E" w14:textId="77777777" w:rsid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Product development not only meets emerging customer needs but also positions Tata Steel as a leader in sustainable steel innovation. This differentiation is essential for securing long</w:t>
      </w:r>
      <w:r w:rsidRPr="00EE08F3">
        <w:rPr>
          <w:rFonts w:ascii="Arial" w:hAnsi="Arial" w:cs="Arial"/>
          <w:sz w:val="24"/>
          <w:szCs w:val="24"/>
          <w:lang w:val="en-RO"/>
        </w:rPr>
        <w:noBreakHyphen/>
        <w:t>term contracts with automotive OEMs, infrastructure developers and renewable energy companies.</w:t>
      </w:r>
    </w:p>
    <w:p w14:paraId="04819EB1" w14:textId="77777777" w:rsidR="00EE08F3" w:rsidRDefault="00EE08F3" w:rsidP="00EE08F3">
      <w:pPr>
        <w:spacing w:line="360" w:lineRule="auto"/>
        <w:rPr>
          <w:rFonts w:ascii="Arial" w:hAnsi="Arial" w:cs="Arial"/>
          <w:b/>
          <w:bCs/>
          <w:sz w:val="24"/>
          <w:szCs w:val="24"/>
          <w:lang w:val="en-RO"/>
        </w:rPr>
      </w:pPr>
    </w:p>
    <w:p w14:paraId="67C44D0B" w14:textId="77777777" w:rsidR="00EE08F3" w:rsidRDefault="00EE08F3" w:rsidP="00EE08F3">
      <w:pPr>
        <w:spacing w:line="360" w:lineRule="auto"/>
        <w:rPr>
          <w:rFonts w:ascii="Arial" w:hAnsi="Arial" w:cs="Arial"/>
          <w:b/>
          <w:bCs/>
          <w:sz w:val="24"/>
          <w:szCs w:val="24"/>
          <w:lang w:val="en-RO"/>
        </w:rPr>
      </w:pPr>
    </w:p>
    <w:p w14:paraId="4DB02741" w14:textId="7BB19C40" w:rsidR="00EE08F3" w:rsidRDefault="00EE08F3" w:rsidP="00764055">
      <w:pPr>
        <w:pStyle w:val="Heading2"/>
        <w:rPr>
          <w:lang w:val="en-RO"/>
        </w:rPr>
      </w:pPr>
      <w:bookmarkStart w:id="22" w:name="_Toc230113332"/>
      <w:r w:rsidRPr="00EE08F3">
        <w:rPr>
          <w:lang w:val="en-RO"/>
        </w:rPr>
        <w:t>Market Development Strategy</w:t>
      </w:r>
      <w:bookmarkEnd w:id="22"/>
    </w:p>
    <w:p w14:paraId="0DDD37C1" w14:textId="77777777" w:rsidR="00EE08F3" w:rsidRP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Market development complements product innovation by expanding Tata Steel’s reach into new customer segments and geographic markets. Key opportunities include:</w:t>
      </w:r>
    </w:p>
    <w:p w14:paraId="7AB09292" w14:textId="77777777" w:rsidR="00EE08F3" w:rsidRPr="00EE08F3" w:rsidRDefault="00EE08F3" w:rsidP="00EE08F3">
      <w:pPr>
        <w:numPr>
          <w:ilvl w:val="0"/>
          <w:numId w:val="2"/>
        </w:numPr>
        <w:spacing w:line="360" w:lineRule="auto"/>
        <w:rPr>
          <w:rFonts w:ascii="Arial" w:hAnsi="Arial" w:cs="Arial"/>
          <w:sz w:val="24"/>
          <w:szCs w:val="24"/>
          <w:lang w:val="en-RO"/>
        </w:rPr>
      </w:pPr>
      <w:r w:rsidRPr="00EE08F3">
        <w:rPr>
          <w:rFonts w:ascii="Arial" w:hAnsi="Arial" w:cs="Arial"/>
          <w:sz w:val="24"/>
          <w:szCs w:val="24"/>
          <w:lang w:val="en-RO"/>
        </w:rPr>
        <w:t>Electric vehicles: EV manufacturers require lightweight, low</w:t>
      </w:r>
      <w:r w:rsidRPr="00EE08F3">
        <w:rPr>
          <w:rFonts w:ascii="Arial" w:hAnsi="Arial" w:cs="Arial"/>
          <w:sz w:val="24"/>
          <w:szCs w:val="24"/>
          <w:lang w:val="en-RO"/>
        </w:rPr>
        <w:noBreakHyphen/>
        <w:t>carbon steel to meet emissions and efficiency targets.</w:t>
      </w:r>
    </w:p>
    <w:p w14:paraId="62F3D25D" w14:textId="77777777" w:rsidR="00EE08F3" w:rsidRPr="00EE08F3" w:rsidRDefault="00EE08F3" w:rsidP="00EE08F3">
      <w:pPr>
        <w:numPr>
          <w:ilvl w:val="0"/>
          <w:numId w:val="2"/>
        </w:numPr>
        <w:spacing w:line="360" w:lineRule="auto"/>
        <w:rPr>
          <w:rFonts w:ascii="Arial" w:hAnsi="Arial" w:cs="Arial"/>
          <w:sz w:val="24"/>
          <w:szCs w:val="24"/>
          <w:lang w:val="en-RO"/>
        </w:rPr>
      </w:pPr>
      <w:r w:rsidRPr="00EE08F3">
        <w:rPr>
          <w:rFonts w:ascii="Arial" w:hAnsi="Arial" w:cs="Arial"/>
          <w:sz w:val="24"/>
          <w:szCs w:val="24"/>
          <w:lang w:val="en-RO"/>
        </w:rPr>
        <w:t>Renewable energy: Wind turbine towers, solar panel frames and hydrogen infrastructure require sustainable steel inputs.</w:t>
      </w:r>
    </w:p>
    <w:p w14:paraId="3EDA2635" w14:textId="77777777" w:rsidR="00EE08F3" w:rsidRPr="00EE08F3" w:rsidRDefault="00EE08F3" w:rsidP="00EE08F3">
      <w:pPr>
        <w:numPr>
          <w:ilvl w:val="0"/>
          <w:numId w:val="2"/>
        </w:numPr>
        <w:spacing w:line="360" w:lineRule="auto"/>
        <w:rPr>
          <w:rFonts w:ascii="Arial" w:hAnsi="Arial" w:cs="Arial"/>
          <w:sz w:val="24"/>
          <w:szCs w:val="24"/>
          <w:lang w:val="en-RO"/>
        </w:rPr>
      </w:pPr>
      <w:r w:rsidRPr="00EE08F3">
        <w:rPr>
          <w:rFonts w:ascii="Arial" w:hAnsi="Arial" w:cs="Arial"/>
          <w:sz w:val="24"/>
          <w:szCs w:val="24"/>
          <w:lang w:val="en-RO"/>
        </w:rPr>
        <w:t>Construction and infrastructure: Governments and developers increasingly specify low</w:t>
      </w:r>
      <w:r w:rsidRPr="00EE08F3">
        <w:rPr>
          <w:rFonts w:ascii="Arial" w:hAnsi="Arial" w:cs="Arial"/>
          <w:sz w:val="24"/>
          <w:szCs w:val="24"/>
          <w:lang w:val="en-RO"/>
        </w:rPr>
        <w:noBreakHyphen/>
        <w:t>carbon materials in procurement frameworks.</w:t>
      </w:r>
    </w:p>
    <w:p w14:paraId="51F892B9" w14:textId="77777777" w:rsidR="00EE08F3" w:rsidRPr="00EE08F3" w:rsidRDefault="00EE08F3" w:rsidP="00EE08F3">
      <w:pPr>
        <w:numPr>
          <w:ilvl w:val="0"/>
          <w:numId w:val="2"/>
        </w:numPr>
        <w:spacing w:line="360" w:lineRule="auto"/>
        <w:rPr>
          <w:rFonts w:ascii="Arial" w:hAnsi="Arial" w:cs="Arial"/>
          <w:sz w:val="24"/>
          <w:szCs w:val="24"/>
          <w:lang w:val="en-RO"/>
        </w:rPr>
      </w:pPr>
      <w:r w:rsidRPr="00EE08F3">
        <w:rPr>
          <w:rFonts w:ascii="Arial" w:hAnsi="Arial" w:cs="Arial"/>
          <w:sz w:val="24"/>
          <w:szCs w:val="24"/>
          <w:lang w:val="en-RO"/>
        </w:rPr>
        <w:t>European markets: The EU’s strict carbon regulations create demand for certified low</w:t>
      </w:r>
      <w:r w:rsidRPr="00EE08F3">
        <w:rPr>
          <w:rFonts w:ascii="Arial" w:hAnsi="Arial" w:cs="Arial"/>
          <w:sz w:val="24"/>
          <w:szCs w:val="24"/>
          <w:lang w:val="en-RO"/>
        </w:rPr>
        <w:noBreakHyphen/>
        <w:t>carbon steel, giving Tata Steel a competitive advantage over high</w:t>
      </w:r>
      <w:r w:rsidRPr="00EE08F3">
        <w:rPr>
          <w:rFonts w:ascii="Arial" w:hAnsi="Arial" w:cs="Arial"/>
          <w:sz w:val="24"/>
          <w:szCs w:val="24"/>
          <w:lang w:val="en-RO"/>
        </w:rPr>
        <w:noBreakHyphen/>
        <w:t>emission imports.</w:t>
      </w:r>
    </w:p>
    <w:p w14:paraId="4821AA62" w14:textId="77777777" w:rsidR="00EE08F3" w:rsidRP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By targeting these markets, Tata Steel can capture premium pricing opportunities and secure long</w:t>
      </w:r>
      <w:r w:rsidRPr="00EE08F3">
        <w:rPr>
          <w:rFonts w:ascii="Arial" w:hAnsi="Arial" w:cs="Arial"/>
          <w:sz w:val="24"/>
          <w:szCs w:val="24"/>
          <w:lang w:val="en-RO"/>
        </w:rPr>
        <w:noBreakHyphen/>
        <w:t>term demand for its low</w:t>
      </w:r>
      <w:r w:rsidRPr="00EE08F3">
        <w:rPr>
          <w:rFonts w:ascii="Arial" w:hAnsi="Arial" w:cs="Arial"/>
          <w:sz w:val="24"/>
          <w:szCs w:val="24"/>
          <w:lang w:val="en-RO"/>
        </w:rPr>
        <w:noBreakHyphen/>
        <w:t>carbon products.</w:t>
      </w:r>
    </w:p>
    <w:p w14:paraId="7F913B91" w14:textId="77777777" w:rsidR="00EE08F3" w:rsidRP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Achieving Competitive Advantage During the Transition</w:t>
      </w:r>
    </w:p>
    <w:p w14:paraId="01A71341" w14:textId="77777777" w:rsidR="00EE08F3" w:rsidRP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lastRenderedPageBreak/>
        <w:t>Tata Steel can achieve competitive advantage through a combination of differentiation and cost leadership, supported by its sustainability transition.</w:t>
      </w:r>
    </w:p>
    <w:p w14:paraId="019A558C" w14:textId="77777777" w:rsidR="00EE08F3" w:rsidRP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Differentiation Advantage</w:t>
      </w:r>
    </w:p>
    <w:p w14:paraId="18D0806E" w14:textId="77777777" w:rsidR="00EE08F3" w:rsidRP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Differentiation is achieved by offering unique value that competitors cannot easily replicate. Tata Steel’s EAF</w:t>
      </w:r>
      <w:r w:rsidRPr="00EE08F3">
        <w:rPr>
          <w:rFonts w:ascii="Arial" w:hAnsi="Arial" w:cs="Arial"/>
          <w:sz w:val="24"/>
          <w:szCs w:val="24"/>
          <w:lang w:val="en-RO"/>
        </w:rPr>
        <w:noBreakHyphen/>
        <w:t>based low</w:t>
      </w:r>
      <w:r w:rsidRPr="00EE08F3">
        <w:rPr>
          <w:rFonts w:ascii="Arial" w:hAnsi="Arial" w:cs="Arial"/>
          <w:sz w:val="24"/>
          <w:szCs w:val="24"/>
          <w:lang w:val="en-RO"/>
        </w:rPr>
        <w:noBreakHyphen/>
        <w:t>carbon steel provides:</w:t>
      </w:r>
    </w:p>
    <w:p w14:paraId="11DBAD27" w14:textId="77777777" w:rsidR="00EE08F3" w:rsidRPr="00EE08F3" w:rsidRDefault="00EE08F3" w:rsidP="00EE08F3">
      <w:pPr>
        <w:numPr>
          <w:ilvl w:val="0"/>
          <w:numId w:val="3"/>
        </w:numPr>
        <w:spacing w:line="360" w:lineRule="auto"/>
        <w:rPr>
          <w:rFonts w:ascii="Arial" w:hAnsi="Arial" w:cs="Arial"/>
          <w:sz w:val="24"/>
          <w:szCs w:val="24"/>
          <w:lang w:val="en-RO"/>
        </w:rPr>
      </w:pPr>
      <w:r w:rsidRPr="00EE08F3">
        <w:rPr>
          <w:rFonts w:ascii="Arial" w:hAnsi="Arial" w:cs="Arial"/>
          <w:sz w:val="24"/>
          <w:szCs w:val="24"/>
          <w:lang w:val="en-RO"/>
        </w:rPr>
        <w:t>demonstrably lower emissions</w:t>
      </w:r>
    </w:p>
    <w:p w14:paraId="338E6A4D" w14:textId="77777777" w:rsidR="00EE08F3" w:rsidRPr="00EE08F3" w:rsidRDefault="00EE08F3" w:rsidP="00EE08F3">
      <w:pPr>
        <w:numPr>
          <w:ilvl w:val="0"/>
          <w:numId w:val="3"/>
        </w:numPr>
        <w:spacing w:line="360" w:lineRule="auto"/>
        <w:rPr>
          <w:rFonts w:ascii="Arial" w:hAnsi="Arial" w:cs="Arial"/>
          <w:sz w:val="24"/>
          <w:szCs w:val="24"/>
          <w:lang w:val="en-RO"/>
        </w:rPr>
      </w:pPr>
      <w:r w:rsidRPr="00EE08F3">
        <w:rPr>
          <w:rFonts w:ascii="Arial" w:hAnsi="Arial" w:cs="Arial"/>
          <w:sz w:val="24"/>
          <w:szCs w:val="24"/>
          <w:lang w:val="en-RO"/>
        </w:rPr>
        <w:t>certified environmental performance</w:t>
      </w:r>
    </w:p>
    <w:p w14:paraId="7990E5D9" w14:textId="77777777" w:rsidR="00EE08F3" w:rsidRPr="00EE08F3" w:rsidRDefault="00EE08F3" w:rsidP="00EE08F3">
      <w:pPr>
        <w:numPr>
          <w:ilvl w:val="0"/>
          <w:numId w:val="3"/>
        </w:numPr>
        <w:spacing w:line="360" w:lineRule="auto"/>
        <w:rPr>
          <w:rFonts w:ascii="Arial" w:hAnsi="Arial" w:cs="Arial"/>
          <w:sz w:val="24"/>
          <w:szCs w:val="24"/>
          <w:lang w:val="en-RO"/>
        </w:rPr>
      </w:pPr>
      <w:r w:rsidRPr="00EE08F3">
        <w:rPr>
          <w:rFonts w:ascii="Arial" w:hAnsi="Arial" w:cs="Arial"/>
          <w:sz w:val="24"/>
          <w:szCs w:val="24"/>
          <w:lang w:val="en-RO"/>
        </w:rPr>
        <w:t>high recycled content</w:t>
      </w:r>
    </w:p>
    <w:p w14:paraId="46CE9E2B" w14:textId="77777777" w:rsidR="00EE08F3" w:rsidRPr="00EE08F3" w:rsidRDefault="00EE08F3" w:rsidP="00EE08F3">
      <w:pPr>
        <w:numPr>
          <w:ilvl w:val="0"/>
          <w:numId w:val="3"/>
        </w:numPr>
        <w:spacing w:line="360" w:lineRule="auto"/>
        <w:rPr>
          <w:rFonts w:ascii="Arial" w:hAnsi="Arial" w:cs="Arial"/>
          <w:sz w:val="24"/>
          <w:szCs w:val="24"/>
          <w:lang w:val="en-RO"/>
        </w:rPr>
      </w:pPr>
      <w:r w:rsidRPr="00EE08F3">
        <w:rPr>
          <w:rFonts w:ascii="Arial" w:hAnsi="Arial" w:cs="Arial"/>
          <w:sz w:val="24"/>
          <w:szCs w:val="24"/>
          <w:lang w:val="en-RO"/>
        </w:rPr>
        <w:t>transparent traceability</w:t>
      </w:r>
    </w:p>
    <w:p w14:paraId="1800C711" w14:textId="78CE7D2A" w:rsidR="00260A3A" w:rsidRP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This differentiation is difficult for competitors with legacy blast furnace assets to match quickly.</w:t>
      </w:r>
    </w:p>
    <w:p w14:paraId="55A0F0D4" w14:textId="77777777" w:rsidR="00EE08F3" w:rsidRDefault="00EE08F3" w:rsidP="00764055">
      <w:pPr>
        <w:pStyle w:val="Heading2"/>
        <w:rPr>
          <w:lang w:val="en-RO"/>
        </w:rPr>
      </w:pPr>
      <w:bookmarkStart w:id="23" w:name="_Toc230113333"/>
      <w:r w:rsidRPr="00EE08F3">
        <w:rPr>
          <w:lang w:val="en-RO"/>
        </w:rPr>
        <w:t>Emerging Cost Advantage</w:t>
      </w:r>
      <w:bookmarkEnd w:id="23"/>
    </w:p>
    <w:p w14:paraId="7025AD6E" w14:textId="77777777" w:rsidR="00EE08F3" w:rsidRDefault="00EE08F3" w:rsidP="00EE08F3">
      <w:pPr>
        <w:spacing w:line="360" w:lineRule="auto"/>
        <w:rPr>
          <w:rFonts w:ascii="Arial" w:hAnsi="Arial" w:cs="Arial"/>
          <w:sz w:val="24"/>
          <w:szCs w:val="24"/>
          <w:lang w:val="en-RO"/>
        </w:rPr>
      </w:pPr>
      <w:r w:rsidRPr="00EE08F3">
        <w:rPr>
          <w:rFonts w:ascii="Arial" w:hAnsi="Arial" w:cs="Arial"/>
          <w:sz w:val="24"/>
          <w:szCs w:val="24"/>
          <w:lang w:val="en-RO"/>
        </w:rPr>
        <w:t>Although EAF investments are capital</w:t>
      </w:r>
      <w:r w:rsidRPr="00EE08F3">
        <w:rPr>
          <w:rFonts w:ascii="Arial" w:hAnsi="Arial" w:cs="Arial"/>
          <w:sz w:val="24"/>
          <w:szCs w:val="24"/>
          <w:lang w:val="en-RO"/>
        </w:rPr>
        <w:noBreakHyphen/>
        <w:t>intensive, over time they can support elements of cost leadership. EAFs rely heavily on scrap rather than imported iron ore and coking coal, reducing exposure to volatile raw</w:t>
      </w:r>
      <w:r w:rsidRPr="00EE08F3">
        <w:rPr>
          <w:rFonts w:ascii="Arial" w:hAnsi="Arial" w:cs="Arial"/>
          <w:sz w:val="24"/>
          <w:szCs w:val="24"/>
          <w:lang w:val="en-RO"/>
        </w:rPr>
        <w:noBreakHyphen/>
        <w:t>material prices. Lower emissions also reduce the burden of carbon pricing and compliance costs. As carbon constraints tighten, high</w:t>
      </w:r>
      <w:r w:rsidRPr="00EE08F3">
        <w:rPr>
          <w:rFonts w:ascii="Arial" w:hAnsi="Arial" w:cs="Arial"/>
          <w:sz w:val="24"/>
          <w:szCs w:val="24"/>
          <w:lang w:val="en-RO"/>
        </w:rPr>
        <w:noBreakHyphen/>
        <w:t>emission producers may face escalating costs, while Tata Steel benefits from a structurally lower carbon cost base.</w:t>
      </w:r>
    </w:p>
    <w:p w14:paraId="041727CA" w14:textId="322A7E49" w:rsidR="00AA4AE9" w:rsidRPr="00AA4AE9" w:rsidRDefault="00AA4AE9" w:rsidP="00764055">
      <w:pPr>
        <w:pStyle w:val="Heading1"/>
        <w:rPr>
          <w:lang w:val="en-RO"/>
        </w:rPr>
      </w:pPr>
      <w:bookmarkStart w:id="24" w:name="_Toc230113334"/>
      <w:r w:rsidRPr="00AA4AE9">
        <w:rPr>
          <w:lang w:val="en-RO"/>
        </w:rPr>
        <w:t>Conclusion</w:t>
      </w:r>
      <w:bookmarkEnd w:id="24"/>
      <w:r w:rsidRPr="00AA4AE9">
        <w:rPr>
          <w:lang w:val="en-RO"/>
        </w:rPr>
        <w:t xml:space="preserve"> </w:t>
      </w:r>
    </w:p>
    <w:p w14:paraId="4D871BD2" w14:textId="77777777" w:rsidR="00AA4AE9" w:rsidRPr="00AA4AE9" w:rsidRDefault="00AA4AE9" w:rsidP="00AA4AE9">
      <w:pPr>
        <w:spacing w:line="360" w:lineRule="auto"/>
        <w:rPr>
          <w:rFonts w:ascii="Arial" w:hAnsi="Arial" w:cs="Arial"/>
          <w:sz w:val="24"/>
          <w:szCs w:val="24"/>
          <w:lang w:val="en-RO"/>
        </w:rPr>
      </w:pPr>
      <w:r w:rsidRPr="00AA4AE9">
        <w:rPr>
          <w:rFonts w:ascii="Arial" w:hAnsi="Arial" w:cs="Arial"/>
          <w:sz w:val="24"/>
          <w:szCs w:val="24"/>
          <w:lang w:val="en-RO"/>
        </w:rPr>
        <w:t>The earlier environmental analysis showed that Tata Steel operates in a challenging external environment shaped by climate change, resource pressures, new regulations and the growing need for circular production. These factors make it clear that the company must change how it produces steel if it wants to remain competitive in the future. The move toward Electric Arc Furnace technology supports this need by lowering emissions, improving efficiency and helping the company meet rising expectations from customers, governments and investors.</w:t>
      </w:r>
    </w:p>
    <w:p w14:paraId="5343270C" w14:textId="77777777" w:rsidR="00AA4AE9" w:rsidRPr="00AA4AE9" w:rsidRDefault="00AA4AE9" w:rsidP="00AA4AE9">
      <w:pPr>
        <w:spacing w:line="360" w:lineRule="auto"/>
        <w:rPr>
          <w:rFonts w:ascii="Arial" w:hAnsi="Arial" w:cs="Arial"/>
          <w:sz w:val="24"/>
          <w:szCs w:val="24"/>
          <w:lang w:val="en-RO"/>
        </w:rPr>
      </w:pPr>
      <w:r w:rsidRPr="00AA4AE9">
        <w:rPr>
          <w:rFonts w:ascii="Arial" w:hAnsi="Arial" w:cs="Arial"/>
          <w:sz w:val="24"/>
          <w:szCs w:val="24"/>
          <w:lang w:val="en-RO"/>
        </w:rPr>
        <w:t>Building on this, the strategic growth analysis demonstrated that the most suitable direction for Tata Steel is a combination of product development and market development. Creating new low</w:t>
      </w:r>
      <w:r w:rsidRPr="00AA4AE9">
        <w:rPr>
          <w:rFonts w:ascii="Arial" w:hAnsi="Arial" w:cs="Arial"/>
          <w:sz w:val="24"/>
          <w:szCs w:val="24"/>
          <w:lang w:val="en-RO"/>
        </w:rPr>
        <w:noBreakHyphen/>
        <w:t xml:space="preserve">carbon steel products, supported by higher recycled </w:t>
      </w:r>
      <w:r w:rsidRPr="00AA4AE9">
        <w:rPr>
          <w:rFonts w:ascii="Arial" w:hAnsi="Arial" w:cs="Arial"/>
          <w:sz w:val="24"/>
          <w:szCs w:val="24"/>
          <w:lang w:val="en-RO"/>
        </w:rPr>
        <w:lastRenderedPageBreak/>
        <w:t>content and stronger traceability, allows the company to offer something that customers increasingly value. At the same time, expanding into sectors such as electric vehicles, renewable energy and green infrastructure gives Tata Steel access to markets where demand for sustainable materials is growing quickly.</w:t>
      </w:r>
    </w:p>
    <w:p w14:paraId="5EDAF38F" w14:textId="4EF68BA5" w:rsidR="00AA4AE9" w:rsidRDefault="00AA4AE9" w:rsidP="00260A3A">
      <w:pPr>
        <w:spacing w:line="360" w:lineRule="auto"/>
        <w:rPr>
          <w:rFonts w:ascii="Arial" w:hAnsi="Arial" w:cs="Arial"/>
          <w:sz w:val="24"/>
          <w:szCs w:val="24"/>
          <w:lang w:val="en-RO"/>
        </w:rPr>
      </w:pPr>
      <w:r w:rsidRPr="00AA4AE9">
        <w:rPr>
          <w:rFonts w:ascii="Arial" w:hAnsi="Arial" w:cs="Arial"/>
          <w:sz w:val="24"/>
          <w:szCs w:val="24"/>
          <w:lang w:val="en-RO"/>
        </w:rPr>
        <w:t>Together, the environmental assessment and the strategic growth evaluation show that sustainability is now a central part of business success. By aligning its operational changes with a clear growth strategy, Tata Steel can strengthen its competitive position, respond to external pressures and build a more resilient future in a low</w:t>
      </w:r>
      <w:r w:rsidRPr="00AA4AE9">
        <w:rPr>
          <w:rFonts w:ascii="Arial" w:hAnsi="Arial" w:cs="Arial"/>
          <w:sz w:val="24"/>
          <w:szCs w:val="24"/>
          <w:lang w:val="en-RO"/>
        </w:rPr>
        <w:noBreakHyphen/>
        <w:t>carbon economy.</w:t>
      </w:r>
    </w:p>
    <w:p w14:paraId="087D408C" w14:textId="77777777" w:rsidR="00886D35" w:rsidRPr="00886D35" w:rsidRDefault="00886D35" w:rsidP="00886D35">
      <w:pPr>
        <w:pStyle w:val="Heading1"/>
      </w:pPr>
      <w:bookmarkStart w:id="25" w:name="_Toc230113335"/>
      <w:r w:rsidRPr="00886D35">
        <w:t>Critical Reflection on AI Usage</w:t>
      </w:r>
      <w:bookmarkEnd w:id="25"/>
    </w:p>
    <w:p w14:paraId="1FBDCC0F" w14:textId="77777777" w:rsidR="00886D35" w:rsidRPr="00886D35" w:rsidRDefault="00886D35" w:rsidP="00886D35">
      <w:pPr>
        <w:spacing w:line="360" w:lineRule="auto"/>
        <w:rPr>
          <w:rFonts w:ascii="Arial" w:hAnsi="Arial" w:cs="Arial"/>
          <w:sz w:val="24"/>
          <w:szCs w:val="24"/>
          <w:lang w:val="en-RO"/>
        </w:rPr>
      </w:pPr>
      <w:r w:rsidRPr="00886D35">
        <w:rPr>
          <w:rFonts w:ascii="Arial" w:hAnsi="Arial" w:cs="Arial"/>
          <w:sz w:val="24"/>
          <w:szCs w:val="24"/>
          <w:lang w:val="en-RO"/>
        </w:rPr>
        <w:t>Artificial Intelligence (AI) was used in a very limited and supportive way during the early stages of developing this report. The main tool used was Microsoft Copilot, which helped me generate initial ideas when I was starting the assignment. I used AI mainly to overcome the difficulty of beginning the work and to understand possible directions I could take. After that initial support, the structure, organisation and full development of the report were created independently by me. AI did not design the structure, write the analysis or produce the final content. Its role was closer to offering a starting point rather than shaping the assignment itself.</w:t>
      </w:r>
    </w:p>
    <w:p w14:paraId="4F4A1D76" w14:textId="77777777" w:rsidR="00886D35" w:rsidRPr="00886D35" w:rsidRDefault="00886D35" w:rsidP="00886D35">
      <w:pPr>
        <w:spacing w:line="360" w:lineRule="auto"/>
        <w:rPr>
          <w:rFonts w:ascii="Arial" w:hAnsi="Arial" w:cs="Arial"/>
          <w:sz w:val="24"/>
          <w:szCs w:val="24"/>
          <w:lang w:val="en-RO"/>
        </w:rPr>
      </w:pPr>
      <w:r w:rsidRPr="00886D35">
        <w:rPr>
          <w:rFonts w:ascii="Arial" w:hAnsi="Arial" w:cs="Arial"/>
          <w:sz w:val="24"/>
          <w:szCs w:val="24"/>
          <w:lang w:val="en-RO"/>
        </w:rPr>
        <w:t>Because AI tools can sometimes produce information that is inaccurate or too general, I made sure to check any suggestions carefully before deciding whether to use them. When AI provided examples or explanations, I verified them using academic sources, company reports and reliable industry publications. This was especially important for factual content, such as Tata Steel’s decarbonisation plans or the details of strategic frameworks. If any AI-generated content appeared unclear, unsupported or inconsistent with credible sources, I removed it. This ensured that the final report was based on accurate information and my own understanding, rather than relying on unverified AI output.</w:t>
      </w:r>
    </w:p>
    <w:p w14:paraId="695912AE" w14:textId="77777777" w:rsidR="00886D35" w:rsidRPr="00886D35" w:rsidRDefault="00886D35" w:rsidP="00886D35">
      <w:pPr>
        <w:spacing w:line="360" w:lineRule="auto"/>
        <w:rPr>
          <w:rFonts w:ascii="Arial" w:hAnsi="Arial" w:cs="Arial"/>
          <w:sz w:val="24"/>
          <w:szCs w:val="24"/>
          <w:lang w:val="en-RO"/>
        </w:rPr>
      </w:pPr>
      <w:r w:rsidRPr="00886D35">
        <w:rPr>
          <w:rFonts w:ascii="Arial" w:hAnsi="Arial" w:cs="Arial"/>
          <w:sz w:val="24"/>
          <w:szCs w:val="24"/>
          <w:lang w:val="en-RO"/>
        </w:rPr>
        <w:t xml:space="preserve">It was also important to distinguish clearly between the small amount of support provided by AI and my own original work. AI helped me only at the very beginning by giving me a sense of direction when approaching the tasks. However, the full structure of the report, the environmental analysis, the strategic evaluation and the </w:t>
      </w:r>
      <w:r w:rsidRPr="00886D35">
        <w:rPr>
          <w:rFonts w:ascii="Arial" w:hAnsi="Arial" w:cs="Arial"/>
          <w:sz w:val="24"/>
          <w:szCs w:val="24"/>
          <w:lang w:val="en-RO"/>
        </w:rPr>
        <w:lastRenderedPageBreak/>
        <w:t>final conclusions were developed entirely through my own critical thinking. The arguments, reasoning and interpretations presented in the report reflect my own understanding of the subject. AI did not make decisions, select frameworks or form conclusions. Its contribution was minimal and limited to helping me get started.</w:t>
      </w:r>
    </w:p>
    <w:p w14:paraId="192E7CBF" w14:textId="2F94C0B9" w:rsidR="00886D35" w:rsidRPr="00886D35" w:rsidRDefault="00886D35" w:rsidP="00886D35">
      <w:pPr>
        <w:spacing w:line="360" w:lineRule="auto"/>
        <w:rPr>
          <w:rFonts w:ascii="Arial" w:hAnsi="Arial" w:cs="Arial"/>
          <w:sz w:val="24"/>
          <w:szCs w:val="24"/>
          <w:lang w:val="en-RO"/>
        </w:rPr>
      </w:pPr>
      <w:r w:rsidRPr="00886D35">
        <w:rPr>
          <w:rFonts w:ascii="Arial" w:hAnsi="Arial" w:cs="Arial"/>
          <w:sz w:val="24"/>
          <w:szCs w:val="24"/>
          <w:lang w:val="en-RO"/>
        </w:rPr>
        <w:t>Using AI in academic work also raises important ethical and professional considerations. While AI can be helpful for generating ideas or improving clarity, it is essential that it does not replace genuine academic effort. Ethical use requires transparency, which is why this reflection explains how AI was used and the limits of its involvement.. By verifying all content and ensuring that the analysis was my own, I aimed to use AI responsibly and professionally.</w:t>
      </w:r>
    </w:p>
    <w:p w14:paraId="0D713FCA" w14:textId="77777777" w:rsidR="00886D35" w:rsidRPr="00886D35" w:rsidRDefault="00886D35" w:rsidP="00886D35">
      <w:pPr>
        <w:rPr>
          <w:lang w:val="en-RO"/>
        </w:rPr>
      </w:pPr>
    </w:p>
    <w:p w14:paraId="74821274" w14:textId="77777777" w:rsidR="00886D35" w:rsidRDefault="00886D35" w:rsidP="00886D35">
      <w:pPr>
        <w:rPr>
          <w:lang w:val="en-RO"/>
        </w:rPr>
      </w:pPr>
    </w:p>
    <w:p w14:paraId="66FCFF02" w14:textId="77777777" w:rsidR="00886D35" w:rsidRPr="00886D35" w:rsidRDefault="00886D35" w:rsidP="00886D35">
      <w:pPr>
        <w:rPr>
          <w:lang w:val="en-RO"/>
        </w:rPr>
      </w:pPr>
    </w:p>
    <w:p w14:paraId="18D4396A" w14:textId="77777777" w:rsidR="005D6E40" w:rsidRDefault="005D6E40" w:rsidP="00260A3A">
      <w:pPr>
        <w:spacing w:line="360" w:lineRule="auto"/>
        <w:rPr>
          <w:rFonts w:ascii="Arial" w:hAnsi="Arial" w:cs="Arial"/>
          <w:sz w:val="24"/>
          <w:szCs w:val="24"/>
          <w:lang w:val="en-RO"/>
        </w:rPr>
      </w:pPr>
    </w:p>
    <w:p w14:paraId="454E0EE5" w14:textId="77777777" w:rsidR="00260A3A" w:rsidRDefault="00260A3A" w:rsidP="00260A3A">
      <w:pPr>
        <w:spacing w:line="360" w:lineRule="auto"/>
        <w:rPr>
          <w:rFonts w:ascii="Arial" w:hAnsi="Arial" w:cs="Arial"/>
          <w:sz w:val="24"/>
          <w:szCs w:val="24"/>
          <w:lang w:val="en-RO"/>
        </w:rPr>
      </w:pPr>
    </w:p>
    <w:p w14:paraId="7AEF0205" w14:textId="77777777" w:rsidR="00260A3A" w:rsidRDefault="00260A3A" w:rsidP="00260A3A">
      <w:pPr>
        <w:spacing w:line="360" w:lineRule="auto"/>
        <w:rPr>
          <w:rFonts w:ascii="Arial" w:hAnsi="Arial" w:cs="Arial"/>
          <w:sz w:val="24"/>
          <w:szCs w:val="24"/>
          <w:lang w:val="en-RO"/>
        </w:rPr>
      </w:pPr>
    </w:p>
    <w:p w14:paraId="7067324E" w14:textId="77777777" w:rsidR="00260A3A" w:rsidRDefault="00260A3A" w:rsidP="00260A3A">
      <w:pPr>
        <w:spacing w:line="360" w:lineRule="auto"/>
        <w:rPr>
          <w:rFonts w:ascii="Arial" w:hAnsi="Arial" w:cs="Arial"/>
          <w:sz w:val="24"/>
          <w:szCs w:val="24"/>
          <w:lang w:val="en-RO"/>
        </w:rPr>
      </w:pPr>
    </w:p>
    <w:p w14:paraId="58CE3879" w14:textId="77777777" w:rsidR="00260A3A" w:rsidRDefault="00260A3A" w:rsidP="00260A3A">
      <w:pPr>
        <w:spacing w:line="360" w:lineRule="auto"/>
        <w:rPr>
          <w:rFonts w:ascii="Arial" w:hAnsi="Arial" w:cs="Arial"/>
          <w:sz w:val="24"/>
          <w:szCs w:val="24"/>
          <w:lang w:val="en-RO"/>
        </w:rPr>
      </w:pPr>
    </w:p>
    <w:p w14:paraId="161A7D0C" w14:textId="77777777" w:rsidR="00EF28C8" w:rsidRDefault="00EF28C8" w:rsidP="00764055">
      <w:pPr>
        <w:pStyle w:val="Heading1"/>
        <w:rPr>
          <w:lang w:val="en-RO"/>
        </w:rPr>
      </w:pPr>
      <w:bookmarkStart w:id="26" w:name="_Toc230113336"/>
    </w:p>
    <w:p w14:paraId="42DBC5DA" w14:textId="77777777" w:rsidR="00EF28C8" w:rsidRDefault="00EF28C8" w:rsidP="00EF28C8">
      <w:pPr>
        <w:rPr>
          <w:lang w:val="en-RO"/>
        </w:rPr>
      </w:pPr>
    </w:p>
    <w:p w14:paraId="7873707F" w14:textId="77777777" w:rsidR="00EF28C8" w:rsidRDefault="00EF28C8" w:rsidP="00EF28C8">
      <w:pPr>
        <w:rPr>
          <w:lang w:val="en-RO"/>
        </w:rPr>
      </w:pPr>
    </w:p>
    <w:p w14:paraId="1170E81A" w14:textId="77777777" w:rsidR="00EF28C8" w:rsidRDefault="00EF28C8" w:rsidP="00EF28C8">
      <w:pPr>
        <w:rPr>
          <w:lang w:val="en-RO"/>
        </w:rPr>
      </w:pPr>
    </w:p>
    <w:p w14:paraId="0D593C87" w14:textId="77777777" w:rsidR="00EF28C8" w:rsidRDefault="00EF28C8" w:rsidP="00EF28C8">
      <w:pPr>
        <w:rPr>
          <w:lang w:val="en-RO"/>
        </w:rPr>
      </w:pPr>
    </w:p>
    <w:p w14:paraId="7B87BDCF" w14:textId="77777777" w:rsidR="00EF28C8" w:rsidRDefault="00EF28C8" w:rsidP="00EF28C8">
      <w:pPr>
        <w:rPr>
          <w:lang w:val="en-RO"/>
        </w:rPr>
      </w:pPr>
    </w:p>
    <w:p w14:paraId="3B47A7E8" w14:textId="77777777" w:rsidR="00EF28C8" w:rsidRDefault="00EF28C8" w:rsidP="00EF28C8">
      <w:pPr>
        <w:rPr>
          <w:lang w:val="en-RO"/>
        </w:rPr>
      </w:pPr>
    </w:p>
    <w:p w14:paraId="14767D6F" w14:textId="77777777" w:rsidR="00EF28C8" w:rsidRPr="00EF28C8" w:rsidRDefault="00EF28C8" w:rsidP="00EF28C8">
      <w:pPr>
        <w:rPr>
          <w:lang w:val="en-RO"/>
        </w:rPr>
      </w:pPr>
    </w:p>
    <w:p w14:paraId="130D45E3" w14:textId="378C22A9" w:rsidR="00497FD2" w:rsidRDefault="00497FD2" w:rsidP="00764055">
      <w:pPr>
        <w:pStyle w:val="Heading1"/>
        <w:rPr>
          <w:lang w:val="en-RO"/>
        </w:rPr>
      </w:pPr>
      <w:r w:rsidRPr="00497FD2">
        <w:rPr>
          <w:lang w:val="en-RO"/>
        </w:rPr>
        <w:lastRenderedPageBreak/>
        <w:t>References</w:t>
      </w:r>
      <w:bookmarkEnd w:id="26"/>
      <w:r>
        <w:rPr>
          <w:lang w:val="en-RO"/>
        </w:rPr>
        <w:t xml:space="preserve"> </w:t>
      </w:r>
    </w:p>
    <w:p w14:paraId="41B036AA" w14:textId="77777777" w:rsidR="00EE08F3" w:rsidRDefault="00EE08F3" w:rsidP="00EE08F3">
      <w:pPr>
        <w:spacing w:line="276" w:lineRule="auto"/>
        <w:rPr>
          <w:rFonts w:ascii="Arial" w:hAnsi="Arial" w:cs="Arial"/>
          <w:sz w:val="24"/>
          <w:szCs w:val="24"/>
          <w:lang w:val="en-RO"/>
        </w:rPr>
      </w:pPr>
      <w:r w:rsidRPr="00EE08F3">
        <w:rPr>
          <w:rFonts w:ascii="Arial" w:hAnsi="Arial" w:cs="Arial"/>
          <w:sz w:val="24"/>
          <w:szCs w:val="24"/>
          <w:lang w:val="en-RO"/>
        </w:rPr>
        <w:t>Ansoff, H.I. (1957) ‘Strategies for diversification’, Harvard Business Review, 35(5), pp. 113–124.</w:t>
      </w:r>
    </w:p>
    <w:p w14:paraId="2D310C92" w14:textId="438ADF95" w:rsidR="00EE08F3" w:rsidRPr="00497FD2" w:rsidRDefault="00EE08F3" w:rsidP="00EE08F3">
      <w:pPr>
        <w:spacing w:line="276" w:lineRule="auto"/>
        <w:rPr>
          <w:rFonts w:ascii="Arial" w:hAnsi="Arial" w:cs="Arial"/>
          <w:sz w:val="24"/>
          <w:szCs w:val="24"/>
          <w:lang w:val="en-RO"/>
        </w:rPr>
      </w:pPr>
      <w:r w:rsidRPr="00497FD2">
        <w:rPr>
          <w:rFonts w:ascii="Arial" w:hAnsi="Arial" w:cs="Arial"/>
          <w:sz w:val="24"/>
          <w:szCs w:val="24"/>
          <w:lang w:val="en-RO"/>
        </w:rPr>
        <w:t>Business Standard (2024) Tata Steel inaugurates scrap</w:t>
      </w:r>
      <w:r w:rsidRPr="00497FD2">
        <w:rPr>
          <w:rFonts w:ascii="Arial" w:hAnsi="Arial" w:cs="Arial"/>
          <w:sz w:val="24"/>
          <w:szCs w:val="24"/>
          <w:lang w:val="en-RO"/>
        </w:rPr>
        <w:noBreakHyphen/>
        <w:t>based e</w:t>
      </w:r>
      <w:r w:rsidRPr="00497FD2">
        <w:rPr>
          <w:rFonts w:ascii="Arial" w:hAnsi="Arial" w:cs="Arial"/>
          <w:sz w:val="24"/>
          <w:szCs w:val="24"/>
          <w:lang w:val="en-RO"/>
        </w:rPr>
        <w:noBreakHyphen/>
        <w:t xml:space="preserve">furnace for sustainable steelmaking. Available at: </w:t>
      </w:r>
      <w:hyperlink r:id="rId17" w:history="1">
        <w:r w:rsidRPr="00497FD2">
          <w:rPr>
            <w:rStyle w:val="Hyperlink"/>
            <w:rFonts w:ascii="Arial" w:hAnsi="Arial" w:cs="Arial"/>
            <w:sz w:val="24"/>
            <w:szCs w:val="24"/>
            <w:lang w:val="en-RO"/>
          </w:rPr>
          <w:t>https://www.business-standard.com</w:t>
        </w:r>
      </w:hyperlink>
    </w:p>
    <w:p w14:paraId="4DBC0EEF" w14:textId="77777777" w:rsidR="00EE08F3" w:rsidRPr="00EE08F3" w:rsidRDefault="00EE08F3" w:rsidP="00EE08F3">
      <w:pPr>
        <w:spacing w:line="276" w:lineRule="auto"/>
        <w:rPr>
          <w:rFonts w:ascii="Arial" w:hAnsi="Arial" w:cs="Arial"/>
          <w:sz w:val="24"/>
          <w:szCs w:val="24"/>
          <w:lang w:val="en-RO"/>
        </w:rPr>
      </w:pPr>
      <w:r w:rsidRPr="00EE08F3">
        <w:rPr>
          <w:rFonts w:ascii="Arial" w:hAnsi="Arial" w:cs="Arial"/>
          <w:sz w:val="24"/>
          <w:szCs w:val="24"/>
          <w:lang w:val="en-RO"/>
        </w:rPr>
        <w:t>European Commission (2023) Carbon Border Adjustment Mechanism (CBAM). Brussels: European Commission.</w:t>
      </w:r>
    </w:p>
    <w:p w14:paraId="4295D51E" w14:textId="77777777" w:rsidR="00EE08F3" w:rsidRPr="00497FD2" w:rsidRDefault="00EE08F3" w:rsidP="00EE08F3">
      <w:pPr>
        <w:spacing w:line="276" w:lineRule="auto"/>
        <w:rPr>
          <w:rFonts w:ascii="Arial" w:hAnsi="Arial" w:cs="Arial"/>
          <w:sz w:val="24"/>
          <w:szCs w:val="24"/>
          <w:lang w:val="en-RO"/>
        </w:rPr>
      </w:pPr>
      <w:r w:rsidRPr="00497FD2">
        <w:rPr>
          <w:rFonts w:ascii="Arial" w:hAnsi="Arial" w:cs="Arial"/>
          <w:sz w:val="24"/>
          <w:szCs w:val="24"/>
          <w:lang w:val="en-RO"/>
        </w:rPr>
        <w:t>IBEF (2024) Tata Steel inaugurates first scrap</w:t>
      </w:r>
      <w:r w:rsidRPr="00497FD2">
        <w:rPr>
          <w:rFonts w:ascii="Arial" w:hAnsi="Arial" w:cs="Arial"/>
          <w:sz w:val="24"/>
          <w:szCs w:val="24"/>
          <w:lang w:val="en-RO"/>
        </w:rPr>
        <w:noBreakHyphen/>
        <w:t xml:space="preserve">based Electric Arc Furnace with Rs. 3,200 crore investment. Available at: </w:t>
      </w:r>
      <w:hyperlink r:id="rId18" w:history="1">
        <w:r w:rsidRPr="00497FD2">
          <w:rPr>
            <w:rStyle w:val="Hyperlink"/>
            <w:rFonts w:ascii="Arial" w:hAnsi="Arial" w:cs="Arial"/>
            <w:sz w:val="24"/>
            <w:szCs w:val="24"/>
            <w:lang w:val="en-RO"/>
          </w:rPr>
          <w:t>https://www.ibef.org</w:t>
        </w:r>
      </w:hyperlink>
    </w:p>
    <w:p w14:paraId="091DC821" w14:textId="77777777" w:rsidR="00EE08F3" w:rsidRPr="00497FD2" w:rsidRDefault="00EE08F3" w:rsidP="00EE08F3">
      <w:pPr>
        <w:spacing w:line="276" w:lineRule="auto"/>
        <w:rPr>
          <w:rFonts w:ascii="Arial" w:hAnsi="Arial" w:cs="Arial"/>
          <w:sz w:val="24"/>
          <w:szCs w:val="24"/>
          <w:lang w:val="en-RO"/>
        </w:rPr>
      </w:pPr>
      <w:r w:rsidRPr="00497FD2">
        <w:rPr>
          <w:rFonts w:ascii="Arial" w:hAnsi="Arial" w:cs="Arial"/>
          <w:sz w:val="24"/>
          <w:szCs w:val="24"/>
          <w:lang w:val="en-RO"/>
        </w:rPr>
        <w:t>Johnson, G., Whittington, R. and Scholes, K. (2020)</w:t>
      </w:r>
      <w:r>
        <w:rPr>
          <w:rFonts w:ascii="Arial" w:hAnsi="Arial" w:cs="Arial"/>
          <w:sz w:val="24"/>
          <w:szCs w:val="24"/>
          <w:lang w:val="en-RO"/>
        </w:rPr>
        <w:t>.</w:t>
      </w:r>
      <w:r w:rsidRPr="00497FD2">
        <w:rPr>
          <w:rFonts w:ascii="Arial" w:hAnsi="Arial" w:cs="Arial"/>
          <w:sz w:val="24"/>
          <w:szCs w:val="24"/>
          <w:lang w:val="en-RO"/>
        </w:rPr>
        <w:t xml:space="preserve"> Exploring Strategy. 12th edn. Harlow: Pearson.</w:t>
      </w:r>
    </w:p>
    <w:p w14:paraId="56934080" w14:textId="77777777" w:rsidR="00EE08F3" w:rsidRPr="00497FD2" w:rsidRDefault="00EE08F3" w:rsidP="00EE08F3">
      <w:pPr>
        <w:spacing w:line="276" w:lineRule="auto"/>
        <w:rPr>
          <w:rFonts w:ascii="Arial" w:hAnsi="Arial" w:cs="Arial"/>
          <w:sz w:val="24"/>
          <w:szCs w:val="24"/>
          <w:lang w:val="en-RO"/>
        </w:rPr>
      </w:pPr>
      <w:r w:rsidRPr="00497FD2">
        <w:rPr>
          <w:rFonts w:ascii="Arial" w:hAnsi="Arial" w:cs="Arial"/>
          <w:sz w:val="24"/>
          <w:szCs w:val="24"/>
          <w:lang w:val="en-RO"/>
        </w:rPr>
        <w:t>Kotler, P., Armstrong, G., Harris, L. and He, H. (2024)</w:t>
      </w:r>
      <w:r>
        <w:rPr>
          <w:rFonts w:ascii="Arial" w:hAnsi="Arial" w:cs="Arial"/>
          <w:sz w:val="24"/>
          <w:szCs w:val="24"/>
          <w:lang w:val="en-RO"/>
        </w:rPr>
        <w:t>.</w:t>
      </w:r>
      <w:r w:rsidRPr="00497FD2">
        <w:rPr>
          <w:rFonts w:ascii="Arial" w:hAnsi="Arial" w:cs="Arial"/>
          <w:sz w:val="24"/>
          <w:szCs w:val="24"/>
          <w:lang w:val="en-RO"/>
        </w:rPr>
        <w:t xml:space="preserve"> Principles of Marketing. 19th edn. Harlow: Pearson.</w:t>
      </w:r>
    </w:p>
    <w:p w14:paraId="6A1E5646" w14:textId="77777777" w:rsidR="00EE08F3" w:rsidRPr="00EE08F3" w:rsidRDefault="00EE08F3" w:rsidP="00EE08F3">
      <w:pPr>
        <w:spacing w:line="276" w:lineRule="auto"/>
        <w:rPr>
          <w:rFonts w:ascii="Arial" w:hAnsi="Arial" w:cs="Arial"/>
          <w:sz w:val="24"/>
          <w:szCs w:val="24"/>
          <w:lang w:val="en-RO"/>
        </w:rPr>
      </w:pPr>
      <w:r w:rsidRPr="00EE08F3">
        <w:rPr>
          <w:rFonts w:ascii="Arial" w:hAnsi="Arial" w:cs="Arial"/>
          <w:sz w:val="24"/>
          <w:szCs w:val="24"/>
          <w:lang w:val="en-RO"/>
        </w:rPr>
        <w:t>Porter, M.E. (1985) Competitive Advantage: Creating and Sustaining Superior Performance. New York: Free Press.</w:t>
      </w:r>
    </w:p>
    <w:p w14:paraId="28E0AB39" w14:textId="77777777" w:rsidR="00EE08F3" w:rsidRPr="00EE08F3" w:rsidRDefault="00EE08F3" w:rsidP="00EE08F3">
      <w:pPr>
        <w:spacing w:line="276" w:lineRule="auto"/>
        <w:rPr>
          <w:rFonts w:ascii="Arial" w:hAnsi="Arial" w:cs="Arial"/>
          <w:sz w:val="24"/>
          <w:szCs w:val="24"/>
          <w:lang w:val="en-RO"/>
        </w:rPr>
      </w:pPr>
      <w:r w:rsidRPr="00EE08F3">
        <w:rPr>
          <w:rFonts w:ascii="Arial" w:hAnsi="Arial" w:cs="Arial"/>
          <w:sz w:val="24"/>
          <w:szCs w:val="24"/>
          <w:lang w:val="en-RO"/>
        </w:rPr>
        <w:t>Porter, M.E. and Kramer, M.R. (2011) ‘Creating shared value’, Harvard Business Review, 89(1–2), pp. 62–77.</w:t>
      </w:r>
    </w:p>
    <w:p w14:paraId="4E1583D8" w14:textId="77777777" w:rsidR="00EE08F3" w:rsidRPr="00497FD2" w:rsidRDefault="00EE08F3" w:rsidP="00EE08F3">
      <w:pPr>
        <w:spacing w:line="276" w:lineRule="auto"/>
        <w:rPr>
          <w:rFonts w:ascii="Arial" w:hAnsi="Arial" w:cs="Arial"/>
          <w:sz w:val="24"/>
          <w:szCs w:val="24"/>
          <w:lang w:val="en-RO"/>
        </w:rPr>
      </w:pPr>
      <w:r w:rsidRPr="00497FD2">
        <w:rPr>
          <w:rFonts w:ascii="Arial" w:hAnsi="Arial" w:cs="Arial"/>
          <w:sz w:val="24"/>
          <w:szCs w:val="24"/>
          <w:lang w:val="en-RO"/>
        </w:rPr>
        <w:t>Saunders, M., Lewis, P. and Thornhill, A. (2019) Research Methods for Business Students. 8th edn. Harlow: Pearson.</w:t>
      </w:r>
    </w:p>
    <w:p w14:paraId="2A6FE304" w14:textId="77777777" w:rsidR="00EE08F3" w:rsidRPr="00497FD2" w:rsidRDefault="00EE08F3" w:rsidP="00EE08F3">
      <w:pPr>
        <w:spacing w:line="276" w:lineRule="auto"/>
        <w:rPr>
          <w:rFonts w:ascii="Arial" w:hAnsi="Arial" w:cs="Arial"/>
          <w:sz w:val="24"/>
          <w:szCs w:val="24"/>
          <w:lang w:val="en-RO"/>
        </w:rPr>
      </w:pPr>
      <w:r w:rsidRPr="00497FD2">
        <w:rPr>
          <w:rFonts w:ascii="Arial" w:hAnsi="Arial" w:cs="Arial"/>
          <w:sz w:val="24"/>
          <w:szCs w:val="24"/>
          <w:lang w:val="en-RO"/>
        </w:rPr>
        <w:t>SteelMath (2024) Tata Steel commissions India’s first scrap</w:t>
      </w:r>
      <w:r w:rsidRPr="00497FD2">
        <w:rPr>
          <w:rFonts w:ascii="Arial" w:hAnsi="Arial" w:cs="Arial"/>
          <w:sz w:val="24"/>
          <w:szCs w:val="24"/>
          <w:lang w:val="en-RO"/>
        </w:rPr>
        <w:noBreakHyphen/>
        <w:t xml:space="preserve">based Electric Arc Furnace. Available at: </w:t>
      </w:r>
      <w:hyperlink r:id="rId19" w:history="1">
        <w:r w:rsidRPr="00497FD2">
          <w:rPr>
            <w:rStyle w:val="Hyperlink"/>
            <w:rFonts w:ascii="Arial" w:hAnsi="Arial" w:cs="Arial"/>
            <w:sz w:val="24"/>
            <w:szCs w:val="24"/>
            <w:lang w:val="en-RO"/>
          </w:rPr>
          <w:t>https://www.steelmath.com</w:t>
        </w:r>
      </w:hyperlink>
    </w:p>
    <w:p w14:paraId="2164D95C" w14:textId="77777777" w:rsidR="00EE08F3" w:rsidRPr="00EE08F3" w:rsidRDefault="00EE08F3" w:rsidP="00EE08F3">
      <w:pPr>
        <w:spacing w:line="276" w:lineRule="auto"/>
        <w:rPr>
          <w:rFonts w:ascii="Arial" w:hAnsi="Arial" w:cs="Arial"/>
          <w:sz w:val="24"/>
          <w:szCs w:val="24"/>
          <w:lang w:val="en-RO"/>
        </w:rPr>
      </w:pPr>
      <w:r w:rsidRPr="00EE08F3">
        <w:rPr>
          <w:rFonts w:ascii="Arial" w:hAnsi="Arial" w:cs="Arial"/>
          <w:sz w:val="24"/>
          <w:szCs w:val="24"/>
          <w:lang w:val="en-RO"/>
        </w:rPr>
        <w:t>Tata Steel (2024) Tata Steel signs £500 million Grant Funding Agreement with UK Government for £1.25 billion green steel project in Port Talbot.</w:t>
      </w:r>
    </w:p>
    <w:p w14:paraId="34F36E26" w14:textId="77777777" w:rsidR="00EE08F3" w:rsidRPr="00497FD2" w:rsidRDefault="00EE08F3" w:rsidP="00EE08F3">
      <w:pPr>
        <w:spacing w:line="276" w:lineRule="auto"/>
        <w:rPr>
          <w:rFonts w:ascii="Arial" w:hAnsi="Arial" w:cs="Arial"/>
          <w:sz w:val="24"/>
          <w:szCs w:val="24"/>
          <w:lang w:val="en-RO"/>
        </w:rPr>
      </w:pPr>
      <w:r w:rsidRPr="00497FD2">
        <w:rPr>
          <w:rFonts w:ascii="Arial" w:hAnsi="Arial" w:cs="Arial"/>
          <w:sz w:val="24"/>
          <w:szCs w:val="24"/>
          <w:lang w:val="en-RO"/>
        </w:rPr>
        <w:t>Tata Steel (2024)</w:t>
      </w:r>
      <w:r>
        <w:rPr>
          <w:rFonts w:ascii="Arial" w:hAnsi="Arial" w:cs="Arial"/>
          <w:sz w:val="24"/>
          <w:szCs w:val="24"/>
          <w:lang w:val="en-RO"/>
        </w:rPr>
        <w:t>.</w:t>
      </w:r>
      <w:r w:rsidRPr="00497FD2">
        <w:rPr>
          <w:rFonts w:ascii="Arial" w:hAnsi="Arial" w:cs="Arial"/>
          <w:sz w:val="24"/>
          <w:szCs w:val="24"/>
          <w:lang w:val="en-RO"/>
        </w:rPr>
        <w:t xml:space="preserve"> Tata Steel inaugurates its first scrap</w:t>
      </w:r>
      <w:r w:rsidRPr="00497FD2">
        <w:rPr>
          <w:rFonts w:ascii="Arial" w:hAnsi="Arial" w:cs="Arial"/>
          <w:sz w:val="24"/>
          <w:szCs w:val="24"/>
          <w:lang w:val="en-RO"/>
        </w:rPr>
        <w:noBreakHyphen/>
        <w:t xml:space="preserve">based Electric Arc Furnace in India. Available at: </w:t>
      </w:r>
      <w:hyperlink r:id="rId20" w:history="1">
        <w:r w:rsidRPr="00497FD2">
          <w:rPr>
            <w:rStyle w:val="Hyperlink"/>
            <w:rFonts w:ascii="Arial" w:hAnsi="Arial" w:cs="Arial"/>
            <w:sz w:val="24"/>
            <w:szCs w:val="24"/>
            <w:lang w:val="en-RO"/>
          </w:rPr>
          <w:t>https://www.tatasteel.com</w:t>
        </w:r>
      </w:hyperlink>
    </w:p>
    <w:p w14:paraId="79D56578" w14:textId="77777777" w:rsidR="00EE08F3" w:rsidRPr="00EE08F3" w:rsidRDefault="00EE08F3" w:rsidP="00EE08F3">
      <w:pPr>
        <w:spacing w:line="276" w:lineRule="auto"/>
        <w:rPr>
          <w:rFonts w:ascii="Arial" w:hAnsi="Arial" w:cs="Arial"/>
          <w:sz w:val="24"/>
          <w:szCs w:val="24"/>
          <w:lang w:val="en-RO"/>
        </w:rPr>
      </w:pPr>
      <w:r w:rsidRPr="00EE08F3">
        <w:rPr>
          <w:rFonts w:ascii="Arial" w:hAnsi="Arial" w:cs="Arial"/>
          <w:sz w:val="24"/>
          <w:szCs w:val="24"/>
          <w:lang w:val="en-RO"/>
        </w:rPr>
        <w:t>Tata Steel UK (2025) Plans approved for Electric Arc Furnace.</w:t>
      </w:r>
    </w:p>
    <w:p w14:paraId="2239D0E0" w14:textId="1DCBEC9C" w:rsidR="00B67D97" w:rsidRPr="00C672B6" w:rsidRDefault="00EE08F3" w:rsidP="00C672B6">
      <w:pPr>
        <w:spacing w:line="276" w:lineRule="auto"/>
        <w:rPr>
          <w:rFonts w:ascii="Arial" w:hAnsi="Arial" w:cs="Arial"/>
          <w:sz w:val="24"/>
          <w:szCs w:val="24"/>
          <w:lang w:val="en-RO"/>
        </w:rPr>
      </w:pPr>
      <w:r w:rsidRPr="00497FD2">
        <w:rPr>
          <w:rFonts w:ascii="Arial" w:hAnsi="Arial" w:cs="Arial"/>
          <w:sz w:val="24"/>
          <w:szCs w:val="24"/>
          <w:lang w:val="en-RO"/>
        </w:rPr>
        <w:t>The Economic Times (2024) Tata Steel launches first scrap</w:t>
      </w:r>
      <w:r w:rsidRPr="00497FD2">
        <w:rPr>
          <w:rFonts w:ascii="Arial" w:hAnsi="Arial" w:cs="Arial"/>
          <w:sz w:val="24"/>
          <w:szCs w:val="24"/>
          <w:lang w:val="en-RO"/>
        </w:rPr>
        <w:noBreakHyphen/>
        <w:t xml:space="preserve">based furnace, eyes lower emissions. Available at: https://economictimes.indiatimes.com </w:t>
      </w:r>
      <w:hyperlink r:id="rId21" w:history="1">
        <w:r w:rsidRPr="00497FD2">
          <w:rPr>
            <w:rStyle w:val="Hyperlink"/>
            <w:rFonts w:ascii="Arial" w:hAnsi="Arial" w:cs="Arial"/>
            <w:sz w:val="24"/>
            <w:szCs w:val="24"/>
            <w:lang w:val="en-RO"/>
          </w:rPr>
          <w:t>(economictimes.indiatimes.com in Bing)</w:t>
        </w:r>
      </w:hyperlink>
    </w:p>
    <w:sectPr w:rsidR="00B67D97" w:rsidRPr="00C672B6">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678CA" w14:textId="77777777" w:rsidR="00FA3EBD" w:rsidRDefault="00FA3EBD" w:rsidP="00A548B8">
      <w:pPr>
        <w:spacing w:after="0" w:line="240" w:lineRule="auto"/>
      </w:pPr>
      <w:r>
        <w:separator/>
      </w:r>
    </w:p>
  </w:endnote>
  <w:endnote w:type="continuationSeparator" w:id="0">
    <w:p w14:paraId="30A6C3E9" w14:textId="77777777" w:rsidR="00FA3EBD" w:rsidRDefault="00FA3EBD" w:rsidP="00A5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43909498"/>
      <w:docPartObj>
        <w:docPartGallery w:val="Page Numbers (Bottom of Page)"/>
        <w:docPartUnique/>
      </w:docPartObj>
    </w:sdtPr>
    <w:sdtContent>
      <w:p w14:paraId="3727AF31" w14:textId="1D16AE00" w:rsidR="00A548B8" w:rsidRDefault="00A548B8" w:rsidP="005A7B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E13581A" w14:textId="77777777" w:rsidR="00A548B8" w:rsidRDefault="00A548B8" w:rsidP="00A548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3208371"/>
      <w:docPartObj>
        <w:docPartGallery w:val="Page Numbers (Bottom of Page)"/>
        <w:docPartUnique/>
      </w:docPartObj>
    </w:sdtPr>
    <w:sdtContent>
      <w:p w14:paraId="5F72E564" w14:textId="5B993D76" w:rsidR="00A548B8" w:rsidRDefault="00A548B8" w:rsidP="005A7B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302E73" w14:textId="77777777" w:rsidR="00A548B8" w:rsidRDefault="00A548B8" w:rsidP="00A548B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C3F1A" w14:textId="77777777" w:rsidR="00FA3EBD" w:rsidRDefault="00FA3EBD" w:rsidP="00A548B8">
      <w:pPr>
        <w:spacing w:after="0" w:line="240" w:lineRule="auto"/>
      </w:pPr>
      <w:r>
        <w:separator/>
      </w:r>
    </w:p>
  </w:footnote>
  <w:footnote w:type="continuationSeparator" w:id="0">
    <w:p w14:paraId="17DE1A87" w14:textId="77777777" w:rsidR="00FA3EBD" w:rsidRDefault="00FA3EBD" w:rsidP="00A54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473C2"/>
    <w:multiLevelType w:val="multilevel"/>
    <w:tmpl w:val="506E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7B57227"/>
    <w:multiLevelType w:val="multilevel"/>
    <w:tmpl w:val="32A43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91A551C"/>
    <w:multiLevelType w:val="multilevel"/>
    <w:tmpl w:val="9D9CE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57900870">
    <w:abstractNumId w:val="2"/>
  </w:num>
  <w:num w:numId="2" w16cid:durableId="610628199">
    <w:abstractNumId w:val="0"/>
  </w:num>
  <w:num w:numId="3" w16cid:durableId="2010209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8B8"/>
    <w:rsid w:val="001127AB"/>
    <w:rsid w:val="001E3369"/>
    <w:rsid w:val="00257D1C"/>
    <w:rsid w:val="00260A3A"/>
    <w:rsid w:val="0029259A"/>
    <w:rsid w:val="0045592C"/>
    <w:rsid w:val="004950E3"/>
    <w:rsid w:val="00497FD2"/>
    <w:rsid w:val="005311C3"/>
    <w:rsid w:val="005D6E40"/>
    <w:rsid w:val="00615B78"/>
    <w:rsid w:val="00687A52"/>
    <w:rsid w:val="00715C7C"/>
    <w:rsid w:val="00764055"/>
    <w:rsid w:val="007D20BF"/>
    <w:rsid w:val="00886D35"/>
    <w:rsid w:val="008D4574"/>
    <w:rsid w:val="0095153F"/>
    <w:rsid w:val="00985E9F"/>
    <w:rsid w:val="009952AC"/>
    <w:rsid w:val="009C48BC"/>
    <w:rsid w:val="009D181B"/>
    <w:rsid w:val="009D32C8"/>
    <w:rsid w:val="009F12AD"/>
    <w:rsid w:val="00A21B27"/>
    <w:rsid w:val="00A548B8"/>
    <w:rsid w:val="00A634D6"/>
    <w:rsid w:val="00AA4AE9"/>
    <w:rsid w:val="00B02489"/>
    <w:rsid w:val="00B34E7B"/>
    <w:rsid w:val="00B67D97"/>
    <w:rsid w:val="00BB4942"/>
    <w:rsid w:val="00BB5EC2"/>
    <w:rsid w:val="00BE1B0E"/>
    <w:rsid w:val="00C672B6"/>
    <w:rsid w:val="00C847D8"/>
    <w:rsid w:val="00D54B01"/>
    <w:rsid w:val="00DB7C05"/>
    <w:rsid w:val="00EB4205"/>
    <w:rsid w:val="00EE08F3"/>
    <w:rsid w:val="00EF28C8"/>
    <w:rsid w:val="00FA3EBD"/>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8DE20"/>
  <w15:chartTrackingRefBased/>
  <w15:docId w15:val="{D0DA9C7E-9D85-AE44-9048-16DFBFB2B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489"/>
    <w:pPr>
      <w:spacing w:line="259" w:lineRule="auto"/>
    </w:pPr>
    <w:rPr>
      <w:kern w:val="0"/>
      <w:sz w:val="22"/>
      <w:szCs w:val="22"/>
      <w:lang w:val="en-GB"/>
      <w14:ligatures w14:val="none"/>
    </w:rPr>
  </w:style>
  <w:style w:type="paragraph" w:styleId="Heading1">
    <w:name w:val="heading 1"/>
    <w:basedOn w:val="Normal"/>
    <w:next w:val="Normal"/>
    <w:link w:val="Heading1Char"/>
    <w:uiPriority w:val="9"/>
    <w:qFormat/>
    <w:rsid w:val="00A548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548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548B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548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548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548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8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8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8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B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548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548B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A548B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548B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548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8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8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8B8"/>
    <w:rPr>
      <w:rFonts w:eastAsiaTheme="majorEastAsia" w:cstheme="majorBidi"/>
      <w:color w:val="272727" w:themeColor="text1" w:themeTint="D8"/>
    </w:rPr>
  </w:style>
  <w:style w:type="paragraph" w:styleId="Title">
    <w:name w:val="Title"/>
    <w:basedOn w:val="Normal"/>
    <w:next w:val="Normal"/>
    <w:link w:val="TitleChar"/>
    <w:uiPriority w:val="10"/>
    <w:qFormat/>
    <w:rsid w:val="00A548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8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8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8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8B8"/>
    <w:pPr>
      <w:spacing w:before="160"/>
      <w:jc w:val="center"/>
    </w:pPr>
    <w:rPr>
      <w:i/>
      <w:iCs/>
      <w:color w:val="404040" w:themeColor="text1" w:themeTint="BF"/>
    </w:rPr>
  </w:style>
  <w:style w:type="character" w:customStyle="1" w:styleId="QuoteChar">
    <w:name w:val="Quote Char"/>
    <w:basedOn w:val="DefaultParagraphFont"/>
    <w:link w:val="Quote"/>
    <w:uiPriority w:val="29"/>
    <w:rsid w:val="00A548B8"/>
    <w:rPr>
      <w:i/>
      <w:iCs/>
      <w:color w:val="404040" w:themeColor="text1" w:themeTint="BF"/>
    </w:rPr>
  </w:style>
  <w:style w:type="paragraph" w:styleId="ListParagraph">
    <w:name w:val="List Paragraph"/>
    <w:basedOn w:val="Normal"/>
    <w:uiPriority w:val="34"/>
    <w:qFormat/>
    <w:rsid w:val="00A548B8"/>
    <w:pPr>
      <w:ind w:left="720"/>
      <w:contextualSpacing/>
    </w:pPr>
  </w:style>
  <w:style w:type="character" w:styleId="IntenseEmphasis">
    <w:name w:val="Intense Emphasis"/>
    <w:basedOn w:val="DefaultParagraphFont"/>
    <w:uiPriority w:val="21"/>
    <w:qFormat/>
    <w:rsid w:val="00A548B8"/>
    <w:rPr>
      <w:i/>
      <w:iCs/>
      <w:color w:val="2F5496" w:themeColor="accent1" w:themeShade="BF"/>
    </w:rPr>
  </w:style>
  <w:style w:type="paragraph" w:styleId="IntenseQuote">
    <w:name w:val="Intense Quote"/>
    <w:basedOn w:val="Normal"/>
    <w:next w:val="Normal"/>
    <w:link w:val="IntenseQuoteChar"/>
    <w:uiPriority w:val="30"/>
    <w:qFormat/>
    <w:rsid w:val="00A548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48B8"/>
    <w:rPr>
      <w:i/>
      <w:iCs/>
      <w:color w:val="2F5496" w:themeColor="accent1" w:themeShade="BF"/>
    </w:rPr>
  </w:style>
  <w:style w:type="character" w:styleId="IntenseReference">
    <w:name w:val="Intense Reference"/>
    <w:basedOn w:val="DefaultParagraphFont"/>
    <w:uiPriority w:val="32"/>
    <w:qFormat/>
    <w:rsid w:val="00A548B8"/>
    <w:rPr>
      <w:b/>
      <w:bCs/>
      <w:smallCaps/>
      <w:color w:val="2F5496" w:themeColor="accent1" w:themeShade="BF"/>
      <w:spacing w:val="5"/>
    </w:rPr>
  </w:style>
  <w:style w:type="paragraph" w:styleId="Footer">
    <w:name w:val="footer"/>
    <w:basedOn w:val="Normal"/>
    <w:link w:val="FooterChar"/>
    <w:uiPriority w:val="99"/>
    <w:unhideWhenUsed/>
    <w:rsid w:val="00A54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8B8"/>
  </w:style>
  <w:style w:type="character" w:styleId="PageNumber">
    <w:name w:val="page number"/>
    <w:basedOn w:val="DefaultParagraphFont"/>
    <w:uiPriority w:val="99"/>
    <w:semiHidden/>
    <w:unhideWhenUsed/>
    <w:rsid w:val="00A548B8"/>
  </w:style>
  <w:style w:type="character" w:styleId="Hyperlink">
    <w:name w:val="Hyperlink"/>
    <w:basedOn w:val="DefaultParagraphFont"/>
    <w:uiPriority w:val="99"/>
    <w:unhideWhenUsed/>
    <w:rsid w:val="00B67D97"/>
    <w:rPr>
      <w:color w:val="0563C1" w:themeColor="hyperlink"/>
      <w:u w:val="single"/>
    </w:rPr>
  </w:style>
  <w:style w:type="character" w:styleId="UnresolvedMention">
    <w:name w:val="Unresolved Mention"/>
    <w:basedOn w:val="DefaultParagraphFont"/>
    <w:uiPriority w:val="99"/>
    <w:semiHidden/>
    <w:unhideWhenUsed/>
    <w:rsid w:val="00B67D97"/>
    <w:rPr>
      <w:color w:val="605E5C"/>
      <w:shd w:val="clear" w:color="auto" w:fill="E1DFDD"/>
    </w:rPr>
  </w:style>
  <w:style w:type="table" w:styleId="TableGrid">
    <w:name w:val="Table Grid"/>
    <w:basedOn w:val="TableNormal"/>
    <w:uiPriority w:val="39"/>
    <w:rsid w:val="00B02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B0248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
    <w:name w:val="Grid Table 4"/>
    <w:basedOn w:val="TableNormal"/>
    <w:uiPriority w:val="49"/>
    <w:rsid w:val="00B0248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B0248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B0248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FollowedHyperlink">
    <w:name w:val="FollowedHyperlink"/>
    <w:basedOn w:val="DefaultParagraphFont"/>
    <w:uiPriority w:val="99"/>
    <w:semiHidden/>
    <w:unhideWhenUsed/>
    <w:rsid w:val="00EE08F3"/>
    <w:rPr>
      <w:color w:val="954F72" w:themeColor="followedHyperlink"/>
      <w:u w:val="single"/>
    </w:rPr>
  </w:style>
  <w:style w:type="table" w:styleId="PlainTable3">
    <w:name w:val="Plain Table 3"/>
    <w:basedOn w:val="TableNormal"/>
    <w:uiPriority w:val="43"/>
    <w:rsid w:val="00D54B0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54B0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5">
    <w:name w:val="Grid Table 3 Accent 5"/>
    <w:basedOn w:val="TableNormal"/>
    <w:uiPriority w:val="48"/>
    <w:rsid w:val="00D54B0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4">
    <w:name w:val="Grid Table 3 Accent 4"/>
    <w:basedOn w:val="TableNormal"/>
    <w:uiPriority w:val="48"/>
    <w:rsid w:val="00D54B0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3">
    <w:name w:val="Grid Table 3 Accent 3"/>
    <w:basedOn w:val="TableNormal"/>
    <w:uiPriority w:val="48"/>
    <w:rsid w:val="00D54B0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2-Accent2">
    <w:name w:val="Grid Table 2 Accent 2"/>
    <w:basedOn w:val="TableNormal"/>
    <w:uiPriority w:val="47"/>
    <w:rsid w:val="00D54B0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D54B01"/>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D54B01"/>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1">
    <w:name w:val="Grid Table 5 Dark Accent 1"/>
    <w:basedOn w:val="TableNormal"/>
    <w:uiPriority w:val="50"/>
    <w:rsid w:val="00D54B0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4">
    <w:name w:val="Grid Table 4 Accent 4"/>
    <w:basedOn w:val="TableNormal"/>
    <w:uiPriority w:val="49"/>
    <w:rsid w:val="00D54B0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D54B0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3">
    <w:name w:val="Grid Table 4 Accent 3"/>
    <w:basedOn w:val="TableNormal"/>
    <w:uiPriority w:val="49"/>
    <w:rsid w:val="00D54B0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D54B0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Accent4">
    <w:name w:val="List Table 3 Accent 4"/>
    <w:basedOn w:val="TableNormal"/>
    <w:uiPriority w:val="48"/>
    <w:rsid w:val="00715C7C"/>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2">
    <w:name w:val="List Table 3 Accent 2"/>
    <w:basedOn w:val="TableNormal"/>
    <w:uiPriority w:val="48"/>
    <w:rsid w:val="00715C7C"/>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4">
    <w:name w:val="List Table 4"/>
    <w:basedOn w:val="TableNormal"/>
    <w:uiPriority w:val="49"/>
    <w:rsid w:val="00715C7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257D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7D1C"/>
    <w:rPr>
      <w:kern w:val="0"/>
      <w:sz w:val="22"/>
      <w:szCs w:val="22"/>
      <w:lang w:val="en-GB"/>
      <w14:ligatures w14:val="none"/>
    </w:rPr>
  </w:style>
  <w:style w:type="paragraph" w:styleId="TOCHeading">
    <w:name w:val="TOC Heading"/>
    <w:basedOn w:val="Heading1"/>
    <w:next w:val="Normal"/>
    <w:uiPriority w:val="39"/>
    <w:unhideWhenUsed/>
    <w:qFormat/>
    <w:rsid w:val="00764055"/>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764055"/>
    <w:pPr>
      <w:spacing w:before="120" w:after="0"/>
    </w:pPr>
    <w:rPr>
      <w:rFonts w:cstheme="minorHAnsi"/>
      <w:b/>
      <w:bCs/>
      <w:i/>
      <w:iCs/>
      <w:sz w:val="24"/>
      <w:szCs w:val="24"/>
    </w:rPr>
  </w:style>
  <w:style w:type="paragraph" w:styleId="TOC2">
    <w:name w:val="toc 2"/>
    <w:basedOn w:val="Normal"/>
    <w:next w:val="Normal"/>
    <w:autoRedefine/>
    <w:uiPriority w:val="39"/>
    <w:unhideWhenUsed/>
    <w:rsid w:val="00764055"/>
    <w:pPr>
      <w:spacing w:before="120" w:after="0"/>
      <w:ind w:left="220"/>
    </w:pPr>
    <w:rPr>
      <w:rFonts w:cstheme="minorHAnsi"/>
      <w:b/>
      <w:bCs/>
    </w:rPr>
  </w:style>
  <w:style w:type="paragraph" w:styleId="TOC3">
    <w:name w:val="toc 3"/>
    <w:basedOn w:val="Normal"/>
    <w:next w:val="Normal"/>
    <w:autoRedefine/>
    <w:uiPriority w:val="39"/>
    <w:unhideWhenUsed/>
    <w:rsid w:val="00764055"/>
    <w:pPr>
      <w:spacing w:after="0"/>
      <w:ind w:left="440"/>
    </w:pPr>
    <w:rPr>
      <w:rFonts w:cstheme="minorHAnsi"/>
      <w:sz w:val="20"/>
      <w:szCs w:val="20"/>
    </w:rPr>
  </w:style>
  <w:style w:type="paragraph" w:styleId="TOC4">
    <w:name w:val="toc 4"/>
    <w:basedOn w:val="Normal"/>
    <w:next w:val="Normal"/>
    <w:autoRedefine/>
    <w:uiPriority w:val="39"/>
    <w:semiHidden/>
    <w:unhideWhenUsed/>
    <w:rsid w:val="00764055"/>
    <w:pPr>
      <w:spacing w:after="0"/>
      <w:ind w:left="660"/>
    </w:pPr>
    <w:rPr>
      <w:rFonts w:cstheme="minorHAnsi"/>
      <w:sz w:val="20"/>
      <w:szCs w:val="20"/>
    </w:rPr>
  </w:style>
  <w:style w:type="paragraph" w:styleId="TOC5">
    <w:name w:val="toc 5"/>
    <w:basedOn w:val="Normal"/>
    <w:next w:val="Normal"/>
    <w:autoRedefine/>
    <w:uiPriority w:val="39"/>
    <w:semiHidden/>
    <w:unhideWhenUsed/>
    <w:rsid w:val="00764055"/>
    <w:pPr>
      <w:spacing w:after="0"/>
      <w:ind w:left="880"/>
    </w:pPr>
    <w:rPr>
      <w:rFonts w:cstheme="minorHAnsi"/>
      <w:sz w:val="20"/>
      <w:szCs w:val="20"/>
    </w:rPr>
  </w:style>
  <w:style w:type="paragraph" w:styleId="TOC6">
    <w:name w:val="toc 6"/>
    <w:basedOn w:val="Normal"/>
    <w:next w:val="Normal"/>
    <w:autoRedefine/>
    <w:uiPriority w:val="39"/>
    <w:semiHidden/>
    <w:unhideWhenUsed/>
    <w:rsid w:val="00764055"/>
    <w:pPr>
      <w:spacing w:after="0"/>
      <w:ind w:left="1100"/>
    </w:pPr>
    <w:rPr>
      <w:rFonts w:cstheme="minorHAnsi"/>
      <w:sz w:val="20"/>
      <w:szCs w:val="20"/>
    </w:rPr>
  </w:style>
  <w:style w:type="paragraph" w:styleId="TOC7">
    <w:name w:val="toc 7"/>
    <w:basedOn w:val="Normal"/>
    <w:next w:val="Normal"/>
    <w:autoRedefine/>
    <w:uiPriority w:val="39"/>
    <w:semiHidden/>
    <w:unhideWhenUsed/>
    <w:rsid w:val="00764055"/>
    <w:pPr>
      <w:spacing w:after="0"/>
      <w:ind w:left="1320"/>
    </w:pPr>
    <w:rPr>
      <w:rFonts w:cstheme="minorHAnsi"/>
      <w:sz w:val="20"/>
      <w:szCs w:val="20"/>
    </w:rPr>
  </w:style>
  <w:style w:type="paragraph" w:styleId="TOC8">
    <w:name w:val="toc 8"/>
    <w:basedOn w:val="Normal"/>
    <w:next w:val="Normal"/>
    <w:autoRedefine/>
    <w:uiPriority w:val="39"/>
    <w:semiHidden/>
    <w:unhideWhenUsed/>
    <w:rsid w:val="00764055"/>
    <w:pPr>
      <w:spacing w:after="0"/>
      <w:ind w:left="1540"/>
    </w:pPr>
    <w:rPr>
      <w:rFonts w:cstheme="minorHAnsi"/>
      <w:sz w:val="20"/>
      <w:szCs w:val="20"/>
    </w:rPr>
  </w:style>
  <w:style w:type="paragraph" w:styleId="TOC9">
    <w:name w:val="toc 9"/>
    <w:basedOn w:val="Normal"/>
    <w:next w:val="Normal"/>
    <w:autoRedefine/>
    <w:uiPriority w:val="39"/>
    <w:semiHidden/>
    <w:unhideWhenUsed/>
    <w:rsid w:val="00764055"/>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22https%253A%252F%252Feconomictimes.indiatimes.com%252F%22&amp;utm_source=copilot.com" TargetMode="External"/><Relationship Id="rId13" Type="http://schemas.openxmlformats.org/officeDocument/2006/relationships/diagramLayout" Target="diagrams/layout1.xml"/><Relationship Id="rId18" Type="http://schemas.openxmlformats.org/officeDocument/2006/relationships/hyperlink" Target="https://www.ibef.org?utm_source=copilot.com" TargetMode="External"/><Relationship Id="rId3" Type="http://schemas.openxmlformats.org/officeDocument/2006/relationships/settings" Target="settings.xml"/><Relationship Id="rId21" Type="http://schemas.openxmlformats.org/officeDocument/2006/relationships/hyperlink" Target="https://www.bing.com/search?q=%22https%253A%252F%252Feconomictimes.indiatimes.com%252F%22&amp;utm_source=copilot.com" TargetMode="External"/><Relationship Id="rId7" Type="http://schemas.openxmlformats.org/officeDocument/2006/relationships/hyperlink" Target="https://www.tatasteel.com" TargetMode="External"/><Relationship Id="rId12" Type="http://schemas.openxmlformats.org/officeDocument/2006/relationships/diagramData" Target="diagrams/data1.xml"/><Relationship Id="rId17" Type="http://schemas.openxmlformats.org/officeDocument/2006/relationships/hyperlink" Target="https://www.business-standard.com?utm_source=copilot.com"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hyperlink" Target="https://www.tatasteel.com?utm_source=copilo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eelmath.com?utm_source=copilot.c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footer" Target="footer2.xml"/><Relationship Id="rId10" Type="http://schemas.openxmlformats.org/officeDocument/2006/relationships/hyperlink" Target="https://www.ibef.org?utm_source=copilot.com" TargetMode="External"/><Relationship Id="rId19" Type="http://schemas.openxmlformats.org/officeDocument/2006/relationships/hyperlink" Target="https://www.steelmath.com?utm_source=copilot.com" TargetMode="External"/><Relationship Id="rId4" Type="http://schemas.openxmlformats.org/officeDocument/2006/relationships/webSettings" Target="webSettings.xml"/><Relationship Id="rId9" Type="http://schemas.openxmlformats.org/officeDocument/2006/relationships/hyperlink" Target="https://www.business-standard.com?utm_source=copilot.com" TargetMode="External"/><Relationship Id="rId14" Type="http://schemas.openxmlformats.org/officeDocument/2006/relationships/diagramQuickStyle" Target="diagrams/quickStyle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473F76-C98D-8B49-80C4-61B42E628E30}" type="doc">
      <dgm:prSet loTypeId="urn:microsoft.com/office/officeart/2005/8/layout/cycle4" loCatId="" qsTypeId="urn:microsoft.com/office/officeart/2005/8/quickstyle/simple1" qsCatId="simple" csTypeId="urn:microsoft.com/office/officeart/2005/8/colors/colorful5" csCatId="colorful" phldr="1"/>
      <dgm:spPr/>
      <dgm:t>
        <a:bodyPr/>
        <a:lstStyle/>
        <a:p>
          <a:endParaRPr lang="en-GB"/>
        </a:p>
      </dgm:t>
    </dgm:pt>
    <dgm:pt modelId="{150ECCA1-062E-0444-93FF-4290E9D81FDB}">
      <dgm:prSet phldrT="[Text]"/>
      <dgm:spPr/>
      <dgm:t>
        <a:bodyPr/>
        <a:lstStyle/>
        <a:p>
          <a:r>
            <a:rPr lang="en-GB"/>
            <a:t>Market Penetration</a:t>
          </a:r>
        </a:p>
      </dgm:t>
    </dgm:pt>
    <dgm:pt modelId="{077C60FF-7396-3E49-85F1-27B60C42BE8D}" type="parTrans" cxnId="{48BBFF1A-12BF-E045-A705-731AADDC30CF}">
      <dgm:prSet/>
      <dgm:spPr/>
      <dgm:t>
        <a:bodyPr/>
        <a:lstStyle/>
        <a:p>
          <a:endParaRPr lang="en-GB"/>
        </a:p>
      </dgm:t>
    </dgm:pt>
    <dgm:pt modelId="{195A27F3-CCD3-B44C-9DE2-EFD1445FF789}" type="sibTrans" cxnId="{48BBFF1A-12BF-E045-A705-731AADDC30CF}">
      <dgm:prSet/>
      <dgm:spPr/>
      <dgm:t>
        <a:bodyPr/>
        <a:lstStyle/>
        <a:p>
          <a:endParaRPr lang="en-GB"/>
        </a:p>
      </dgm:t>
    </dgm:pt>
    <dgm:pt modelId="{F1AF1024-547F-5945-89FB-D003DFFA8C3D}">
      <dgm:prSet phldrT="[Text]"/>
      <dgm:spPr/>
      <dgm:t>
        <a:bodyPr/>
        <a:lstStyle/>
        <a:p>
          <a:endParaRPr lang="en-GB"/>
        </a:p>
      </dgm:t>
    </dgm:pt>
    <dgm:pt modelId="{8F76E317-9036-5143-A553-5815FA90DC87}" type="parTrans" cxnId="{D065C35F-855B-7645-A023-30F37B3F1615}">
      <dgm:prSet/>
      <dgm:spPr/>
      <dgm:t>
        <a:bodyPr/>
        <a:lstStyle/>
        <a:p>
          <a:endParaRPr lang="en-GB"/>
        </a:p>
      </dgm:t>
    </dgm:pt>
    <dgm:pt modelId="{BAC8AE96-1A90-3D4E-9380-1E808951232A}" type="sibTrans" cxnId="{D065C35F-855B-7645-A023-30F37B3F1615}">
      <dgm:prSet/>
      <dgm:spPr/>
      <dgm:t>
        <a:bodyPr/>
        <a:lstStyle/>
        <a:p>
          <a:endParaRPr lang="en-GB"/>
        </a:p>
      </dgm:t>
    </dgm:pt>
    <dgm:pt modelId="{8DA16ACC-0075-0246-9CF1-F110301DE177}">
      <dgm:prSet phldrT="[Text]"/>
      <dgm:spPr/>
      <dgm:t>
        <a:bodyPr/>
        <a:lstStyle/>
        <a:p>
          <a:r>
            <a:rPr lang="en-GB"/>
            <a:t>Market Development
</a:t>
          </a:r>
        </a:p>
      </dgm:t>
    </dgm:pt>
    <dgm:pt modelId="{9FB41EBA-35DE-8A45-9A41-94693BEF51EF}" type="parTrans" cxnId="{5ED901A7-49D1-F640-AD67-0D793FE33386}">
      <dgm:prSet/>
      <dgm:spPr/>
      <dgm:t>
        <a:bodyPr/>
        <a:lstStyle/>
        <a:p>
          <a:endParaRPr lang="en-GB"/>
        </a:p>
      </dgm:t>
    </dgm:pt>
    <dgm:pt modelId="{6FED8937-16C2-9449-80BE-797B62146495}" type="sibTrans" cxnId="{5ED901A7-49D1-F640-AD67-0D793FE33386}">
      <dgm:prSet/>
      <dgm:spPr/>
      <dgm:t>
        <a:bodyPr/>
        <a:lstStyle/>
        <a:p>
          <a:endParaRPr lang="en-GB"/>
        </a:p>
      </dgm:t>
    </dgm:pt>
    <dgm:pt modelId="{894921D9-15F7-014E-B933-4A2F43F9256E}">
      <dgm:prSet phldrT="[Text]"/>
      <dgm:spPr/>
      <dgm:t>
        <a:bodyPr/>
        <a:lstStyle/>
        <a:p>
          <a:r>
            <a:rPr lang="en-GB"/>
            <a:t>Enter new markets with existing low‑carbon steel</a:t>
          </a:r>
        </a:p>
      </dgm:t>
    </dgm:pt>
    <dgm:pt modelId="{415FA2CA-C117-D045-AF29-80EEA1693129}" type="parTrans" cxnId="{EA76AFBC-B1AC-FF49-ACD0-A8B4F3327262}">
      <dgm:prSet/>
      <dgm:spPr/>
      <dgm:t>
        <a:bodyPr/>
        <a:lstStyle/>
        <a:p>
          <a:endParaRPr lang="en-GB"/>
        </a:p>
      </dgm:t>
    </dgm:pt>
    <dgm:pt modelId="{01A44BD6-63DA-0F4C-AFE9-885616F457F6}" type="sibTrans" cxnId="{EA76AFBC-B1AC-FF49-ACD0-A8B4F3327262}">
      <dgm:prSet/>
      <dgm:spPr/>
      <dgm:t>
        <a:bodyPr/>
        <a:lstStyle/>
        <a:p>
          <a:endParaRPr lang="en-GB"/>
        </a:p>
      </dgm:t>
    </dgm:pt>
    <dgm:pt modelId="{85DF0F52-476C-DF45-9061-CE4FAA28739A}">
      <dgm:prSet phldrT="[Text]"/>
      <dgm:spPr/>
      <dgm:t>
        <a:bodyPr/>
        <a:lstStyle/>
        <a:p>
          <a:r>
            <a:rPr lang="en-GB"/>
            <a:t>Product Development
</a:t>
          </a:r>
        </a:p>
      </dgm:t>
    </dgm:pt>
    <dgm:pt modelId="{88EBE69D-7733-794D-8B68-53D3C1FD2AC7}" type="parTrans" cxnId="{A4F6EB80-9283-2440-AC4C-69E8B206A45B}">
      <dgm:prSet/>
      <dgm:spPr/>
      <dgm:t>
        <a:bodyPr/>
        <a:lstStyle/>
        <a:p>
          <a:endParaRPr lang="en-GB"/>
        </a:p>
      </dgm:t>
    </dgm:pt>
    <dgm:pt modelId="{38387CAE-78E2-EE4D-88EF-1757D861ED0E}" type="sibTrans" cxnId="{A4F6EB80-9283-2440-AC4C-69E8B206A45B}">
      <dgm:prSet/>
      <dgm:spPr/>
      <dgm:t>
        <a:bodyPr/>
        <a:lstStyle/>
        <a:p>
          <a:endParaRPr lang="en-GB"/>
        </a:p>
      </dgm:t>
    </dgm:pt>
    <dgm:pt modelId="{A11E9B4D-7E5F-464E-9EE8-CB1CA186DA65}">
      <dgm:prSet phldrT="[Text]"/>
      <dgm:spPr/>
      <dgm:t>
        <a:bodyPr/>
        <a:lstStyle/>
        <a:p>
          <a:r>
            <a:rPr lang="en-GB"/>
            <a:t>Develop new low‑carbon steel products</a:t>
          </a:r>
        </a:p>
      </dgm:t>
    </dgm:pt>
    <dgm:pt modelId="{75B7AC78-8B8E-EB45-8EF5-AEFFED037F54}" type="parTrans" cxnId="{00AC7296-202F-EB4D-A6CC-B2939E111F91}">
      <dgm:prSet/>
      <dgm:spPr/>
      <dgm:t>
        <a:bodyPr/>
        <a:lstStyle/>
        <a:p>
          <a:endParaRPr lang="en-GB"/>
        </a:p>
      </dgm:t>
    </dgm:pt>
    <dgm:pt modelId="{11E0AF6C-C30D-F043-B625-052A9FC73ACD}" type="sibTrans" cxnId="{00AC7296-202F-EB4D-A6CC-B2939E111F91}">
      <dgm:prSet/>
      <dgm:spPr/>
      <dgm:t>
        <a:bodyPr/>
        <a:lstStyle/>
        <a:p>
          <a:endParaRPr lang="en-GB"/>
        </a:p>
      </dgm:t>
    </dgm:pt>
    <dgm:pt modelId="{98F6EA00-83EF-624F-8DCA-217ED4FE61B8}">
      <dgm:prSet phldrT="[Text]"/>
      <dgm:spPr/>
      <dgm:t>
        <a:bodyPr/>
        <a:lstStyle/>
        <a:p>
          <a:r>
            <a:rPr lang="en-GB"/>
            <a:t>Diversification</a:t>
          </a:r>
        </a:p>
      </dgm:t>
    </dgm:pt>
    <dgm:pt modelId="{1E8517C5-D0AB-FE48-B219-CE915A2312DE}" type="parTrans" cxnId="{FF39295C-ACEA-BD49-BE97-ABA69C78659F}">
      <dgm:prSet/>
      <dgm:spPr/>
      <dgm:t>
        <a:bodyPr/>
        <a:lstStyle/>
        <a:p>
          <a:endParaRPr lang="en-GB"/>
        </a:p>
      </dgm:t>
    </dgm:pt>
    <dgm:pt modelId="{26892A91-909E-724C-B87F-D345EB6189E7}" type="sibTrans" cxnId="{FF39295C-ACEA-BD49-BE97-ABA69C78659F}">
      <dgm:prSet/>
      <dgm:spPr/>
      <dgm:t>
        <a:bodyPr/>
        <a:lstStyle/>
        <a:p>
          <a:endParaRPr lang="en-GB"/>
        </a:p>
      </dgm:t>
    </dgm:pt>
    <dgm:pt modelId="{78F62DC8-2E55-8046-BC56-6F8F39767583}">
      <dgm:prSet phldrT="[Text]"/>
      <dgm:spPr/>
      <dgm:t>
        <a:bodyPr/>
        <a:lstStyle/>
        <a:p>
          <a:r>
            <a:rPr lang="en-GB"/>
            <a:t>New products in new markets</a:t>
          </a:r>
        </a:p>
      </dgm:t>
    </dgm:pt>
    <dgm:pt modelId="{1A75FB2D-6604-BA4F-8B65-9E3BAA72F2A3}" type="parTrans" cxnId="{A5F7610E-4763-8E4A-9C7E-852AC5732AC0}">
      <dgm:prSet/>
      <dgm:spPr/>
      <dgm:t>
        <a:bodyPr/>
        <a:lstStyle/>
        <a:p>
          <a:endParaRPr lang="en-GB"/>
        </a:p>
      </dgm:t>
    </dgm:pt>
    <dgm:pt modelId="{A988F854-3AB4-5A4A-AA6F-5A1CD515CC91}" type="sibTrans" cxnId="{A5F7610E-4763-8E4A-9C7E-852AC5732AC0}">
      <dgm:prSet/>
      <dgm:spPr/>
      <dgm:t>
        <a:bodyPr/>
        <a:lstStyle/>
        <a:p>
          <a:endParaRPr lang="en-GB"/>
        </a:p>
      </dgm:t>
    </dgm:pt>
    <dgm:pt modelId="{3D2BADB8-2541-B241-B94E-7AF68D2904EA}">
      <dgm:prSet/>
      <dgm:spPr/>
      <dgm:t>
        <a:bodyPr/>
        <a:lstStyle/>
        <a:p>
          <a:r>
            <a:rPr lang="en-GB"/>
            <a:t>Increase sales of existing products in existing markets</a:t>
          </a:r>
        </a:p>
      </dgm:t>
    </dgm:pt>
    <dgm:pt modelId="{FCA21638-5315-4C4F-8865-DA84509F9DEA}" type="parTrans" cxnId="{5FE93BDD-B142-0845-9A9D-06A7EC393E9E}">
      <dgm:prSet/>
      <dgm:spPr/>
      <dgm:t>
        <a:bodyPr/>
        <a:lstStyle/>
        <a:p>
          <a:endParaRPr lang="en-GB"/>
        </a:p>
      </dgm:t>
    </dgm:pt>
    <dgm:pt modelId="{84C3120A-D1F9-C040-8259-BE8D680557E9}" type="sibTrans" cxnId="{5FE93BDD-B142-0845-9A9D-06A7EC393E9E}">
      <dgm:prSet/>
      <dgm:spPr/>
      <dgm:t>
        <a:bodyPr/>
        <a:lstStyle/>
        <a:p>
          <a:endParaRPr lang="en-GB"/>
        </a:p>
      </dgm:t>
    </dgm:pt>
    <dgm:pt modelId="{C78C3BC0-31CA-1746-9065-9D8D04991622}" type="pres">
      <dgm:prSet presAssocID="{C4473F76-C98D-8B49-80C4-61B42E628E30}" presName="cycleMatrixDiagram" presStyleCnt="0">
        <dgm:presLayoutVars>
          <dgm:chMax val="1"/>
          <dgm:dir/>
          <dgm:animLvl val="lvl"/>
          <dgm:resizeHandles val="exact"/>
        </dgm:presLayoutVars>
      </dgm:prSet>
      <dgm:spPr/>
    </dgm:pt>
    <dgm:pt modelId="{B454835E-3FB1-0444-A186-DAA49C4B86AD}" type="pres">
      <dgm:prSet presAssocID="{C4473F76-C98D-8B49-80C4-61B42E628E30}" presName="children" presStyleCnt="0"/>
      <dgm:spPr/>
    </dgm:pt>
    <dgm:pt modelId="{40D1E7BF-8DE6-4246-AE8F-C0055EE576B1}" type="pres">
      <dgm:prSet presAssocID="{C4473F76-C98D-8B49-80C4-61B42E628E30}" presName="child1group" presStyleCnt="0"/>
      <dgm:spPr/>
    </dgm:pt>
    <dgm:pt modelId="{7E246FCF-24AF-DD4F-B853-B6C507E0EEF0}" type="pres">
      <dgm:prSet presAssocID="{C4473F76-C98D-8B49-80C4-61B42E628E30}" presName="child1" presStyleLbl="bgAcc1" presStyleIdx="0" presStyleCnt="4"/>
      <dgm:spPr/>
    </dgm:pt>
    <dgm:pt modelId="{E06B92D8-E181-0C48-BE51-3F4894AC45D2}" type="pres">
      <dgm:prSet presAssocID="{C4473F76-C98D-8B49-80C4-61B42E628E30}" presName="child1Text" presStyleLbl="bgAcc1" presStyleIdx="0" presStyleCnt="4">
        <dgm:presLayoutVars>
          <dgm:bulletEnabled val="1"/>
        </dgm:presLayoutVars>
      </dgm:prSet>
      <dgm:spPr/>
    </dgm:pt>
    <dgm:pt modelId="{E45B0B51-D3E6-5D49-9A5F-8A72DE411785}" type="pres">
      <dgm:prSet presAssocID="{C4473F76-C98D-8B49-80C4-61B42E628E30}" presName="child2group" presStyleCnt="0"/>
      <dgm:spPr/>
    </dgm:pt>
    <dgm:pt modelId="{921936A6-4B4E-504D-8FBB-1B7C229660DE}" type="pres">
      <dgm:prSet presAssocID="{C4473F76-C98D-8B49-80C4-61B42E628E30}" presName="child2" presStyleLbl="bgAcc1" presStyleIdx="1" presStyleCnt="4"/>
      <dgm:spPr/>
    </dgm:pt>
    <dgm:pt modelId="{C23CD829-413B-BC47-B440-BC75903DE25E}" type="pres">
      <dgm:prSet presAssocID="{C4473F76-C98D-8B49-80C4-61B42E628E30}" presName="child2Text" presStyleLbl="bgAcc1" presStyleIdx="1" presStyleCnt="4">
        <dgm:presLayoutVars>
          <dgm:bulletEnabled val="1"/>
        </dgm:presLayoutVars>
      </dgm:prSet>
      <dgm:spPr/>
    </dgm:pt>
    <dgm:pt modelId="{87C4085E-1D91-494E-9F60-B21B9A02FB6C}" type="pres">
      <dgm:prSet presAssocID="{C4473F76-C98D-8B49-80C4-61B42E628E30}" presName="child3group" presStyleCnt="0"/>
      <dgm:spPr/>
    </dgm:pt>
    <dgm:pt modelId="{AE743817-8C22-6E4F-8F53-705C37B73E47}" type="pres">
      <dgm:prSet presAssocID="{C4473F76-C98D-8B49-80C4-61B42E628E30}" presName="child3" presStyleLbl="bgAcc1" presStyleIdx="2" presStyleCnt="4" custScaleY="87566"/>
      <dgm:spPr/>
    </dgm:pt>
    <dgm:pt modelId="{BAED536F-D0A6-2F41-89BD-5FC2744DBD8F}" type="pres">
      <dgm:prSet presAssocID="{C4473F76-C98D-8B49-80C4-61B42E628E30}" presName="child3Text" presStyleLbl="bgAcc1" presStyleIdx="2" presStyleCnt="4">
        <dgm:presLayoutVars>
          <dgm:bulletEnabled val="1"/>
        </dgm:presLayoutVars>
      </dgm:prSet>
      <dgm:spPr/>
    </dgm:pt>
    <dgm:pt modelId="{3E590D2A-7392-4F4A-BF05-78CD47F1301D}" type="pres">
      <dgm:prSet presAssocID="{C4473F76-C98D-8B49-80C4-61B42E628E30}" presName="child4group" presStyleCnt="0"/>
      <dgm:spPr/>
    </dgm:pt>
    <dgm:pt modelId="{0EADC3BC-01D9-E04F-8B21-764C021425BE}" type="pres">
      <dgm:prSet presAssocID="{C4473F76-C98D-8B49-80C4-61B42E628E30}" presName="child4" presStyleLbl="bgAcc1" presStyleIdx="3" presStyleCnt="4"/>
      <dgm:spPr/>
    </dgm:pt>
    <dgm:pt modelId="{231C1159-E202-E048-AC2E-4A4493B23DA0}" type="pres">
      <dgm:prSet presAssocID="{C4473F76-C98D-8B49-80C4-61B42E628E30}" presName="child4Text" presStyleLbl="bgAcc1" presStyleIdx="3" presStyleCnt="4">
        <dgm:presLayoutVars>
          <dgm:bulletEnabled val="1"/>
        </dgm:presLayoutVars>
      </dgm:prSet>
      <dgm:spPr/>
    </dgm:pt>
    <dgm:pt modelId="{9DD0916D-733B-8A47-8882-CB1BFE4CFFB2}" type="pres">
      <dgm:prSet presAssocID="{C4473F76-C98D-8B49-80C4-61B42E628E30}" presName="childPlaceholder" presStyleCnt="0"/>
      <dgm:spPr/>
    </dgm:pt>
    <dgm:pt modelId="{B25E4EF1-529B-484C-B550-D8F1B090EA42}" type="pres">
      <dgm:prSet presAssocID="{C4473F76-C98D-8B49-80C4-61B42E628E30}" presName="circle" presStyleCnt="0"/>
      <dgm:spPr/>
    </dgm:pt>
    <dgm:pt modelId="{B6F5EE87-C039-294E-80E5-544D077CA94B}" type="pres">
      <dgm:prSet presAssocID="{C4473F76-C98D-8B49-80C4-61B42E628E30}" presName="quadrant1" presStyleLbl="node1" presStyleIdx="0" presStyleCnt="4">
        <dgm:presLayoutVars>
          <dgm:chMax val="1"/>
          <dgm:bulletEnabled val="1"/>
        </dgm:presLayoutVars>
      </dgm:prSet>
      <dgm:spPr/>
    </dgm:pt>
    <dgm:pt modelId="{9ACE1642-99DB-2941-B252-94BD9A980EE4}" type="pres">
      <dgm:prSet presAssocID="{C4473F76-C98D-8B49-80C4-61B42E628E30}" presName="quadrant2" presStyleLbl="node1" presStyleIdx="1" presStyleCnt="4">
        <dgm:presLayoutVars>
          <dgm:chMax val="1"/>
          <dgm:bulletEnabled val="1"/>
        </dgm:presLayoutVars>
      </dgm:prSet>
      <dgm:spPr/>
    </dgm:pt>
    <dgm:pt modelId="{E3A11482-5433-CA4E-B9C1-69DDED704DF7}" type="pres">
      <dgm:prSet presAssocID="{C4473F76-C98D-8B49-80C4-61B42E628E30}" presName="quadrant3" presStyleLbl="node1" presStyleIdx="2" presStyleCnt="4">
        <dgm:presLayoutVars>
          <dgm:chMax val="1"/>
          <dgm:bulletEnabled val="1"/>
        </dgm:presLayoutVars>
      </dgm:prSet>
      <dgm:spPr/>
    </dgm:pt>
    <dgm:pt modelId="{7AF52237-76A7-2E44-9B92-9A24C954E83A}" type="pres">
      <dgm:prSet presAssocID="{C4473F76-C98D-8B49-80C4-61B42E628E30}" presName="quadrant4" presStyleLbl="node1" presStyleIdx="3" presStyleCnt="4">
        <dgm:presLayoutVars>
          <dgm:chMax val="1"/>
          <dgm:bulletEnabled val="1"/>
        </dgm:presLayoutVars>
      </dgm:prSet>
      <dgm:spPr/>
    </dgm:pt>
    <dgm:pt modelId="{448D7A01-6A23-1744-BA0A-9A3A67930284}" type="pres">
      <dgm:prSet presAssocID="{C4473F76-C98D-8B49-80C4-61B42E628E30}" presName="quadrantPlaceholder" presStyleCnt="0"/>
      <dgm:spPr/>
    </dgm:pt>
    <dgm:pt modelId="{EE24FB65-67C0-3244-80EE-0F43F8BC4CDC}" type="pres">
      <dgm:prSet presAssocID="{C4473F76-C98D-8B49-80C4-61B42E628E30}" presName="center1" presStyleLbl="fgShp" presStyleIdx="0" presStyleCnt="2"/>
      <dgm:spPr/>
    </dgm:pt>
    <dgm:pt modelId="{E25D17E1-DB72-5449-9E3B-8A59512565BD}" type="pres">
      <dgm:prSet presAssocID="{C4473F76-C98D-8B49-80C4-61B42E628E30}" presName="center2" presStyleLbl="fgShp" presStyleIdx="1" presStyleCnt="2"/>
      <dgm:spPr/>
    </dgm:pt>
  </dgm:ptLst>
  <dgm:cxnLst>
    <dgm:cxn modelId="{70187D02-9B10-234C-B1B1-169A75C0CEA0}" type="presOf" srcId="{F1AF1024-547F-5945-89FB-D003DFFA8C3D}" destId="{E06B92D8-E181-0C48-BE51-3F4894AC45D2}" srcOrd="1" destOrd="0" presId="urn:microsoft.com/office/officeart/2005/8/layout/cycle4"/>
    <dgm:cxn modelId="{A5F7610E-4763-8E4A-9C7E-852AC5732AC0}" srcId="{98F6EA00-83EF-624F-8DCA-217ED4FE61B8}" destId="{78F62DC8-2E55-8046-BC56-6F8F39767583}" srcOrd="0" destOrd="0" parTransId="{1A75FB2D-6604-BA4F-8B65-9E3BAA72F2A3}" sibTransId="{A988F854-3AB4-5A4A-AA6F-5A1CD515CC91}"/>
    <dgm:cxn modelId="{48BBFF1A-12BF-E045-A705-731AADDC30CF}" srcId="{C4473F76-C98D-8B49-80C4-61B42E628E30}" destId="{150ECCA1-062E-0444-93FF-4290E9D81FDB}" srcOrd="0" destOrd="0" parTransId="{077C60FF-7396-3E49-85F1-27B60C42BE8D}" sibTransId="{195A27F3-CCD3-B44C-9DE2-EFD1445FF789}"/>
    <dgm:cxn modelId="{B8915D22-0EC9-D641-9A2A-885D7BA2018C}" type="presOf" srcId="{85DF0F52-476C-DF45-9061-CE4FAA28739A}" destId="{E3A11482-5433-CA4E-B9C1-69DDED704DF7}" srcOrd="0" destOrd="0" presId="urn:microsoft.com/office/officeart/2005/8/layout/cycle4"/>
    <dgm:cxn modelId="{E8F6E531-2152-074C-9D84-040F1E0745EC}" type="presOf" srcId="{3D2BADB8-2541-B241-B94E-7AF68D2904EA}" destId="{E06B92D8-E181-0C48-BE51-3F4894AC45D2}" srcOrd="1" destOrd="1" presId="urn:microsoft.com/office/officeart/2005/8/layout/cycle4"/>
    <dgm:cxn modelId="{0F6A3A38-2F3F-5D43-9A96-EB3A34D7D58A}" type="presOf" srcId="{78F62DC8-2E55-8046-BC56-6F8F39767583}" destId="{231C1159-E202-E048-AC2E-4A4493B23DA0}" srcOrd="1" destOrd="0" presId="urn:microsoft.com/office/officeart/2005/8/layout/cycle4"/>
    <dgm:cxn modelId="{FF39295C-ACEA-BD49-BE97-ABA69C78659F}" srcId="{C4473F76-C98D-8B49-80C4-61B42E628E30}" destId="{98F6EA00-83EF-624F-8DCA-217ED4FE61B8}" srcOrd="3" destOrd="0" parTransId="{1E8517C5-D0AB-FE48-B219-CE915A2312DE}" sibTransId="{26892A91-909E-724C-B87F-D345EB6189E7}"/>
    <dgm:cxn modelId="{D065C35F-855B-7645-A023-30F37B3F1615}" srcId="{150ECCA1-062E-0444-93FF-4290E9D81FDB}" destId="{F1AF1024-547F-5945-89FB-D003DFFA8C3D}" srcOrd="0" destOrd="0" parTransId="{8F76E317-9036-5143-A553-5815FA90DC87}" sibTransId="{BAC8AE96-1A90-3D4E-9380-1E808951232A}"/>
    <dgm:cxn modelId="{0F38E977-A9CC-C248-92F3-EE31AE905FFB}" type="presOf" srcId="{A11E9B4D-7E5F-464E-9EE8-CB1CA186DA65}" destId="{BAED536F-D0A6-2F41-89BD-5FC2744DBD8F}" srcOrd="1" destOrd="0" presId="urn:microsoft.com/office/officeart/2005/8/layout/cycle4"/>
    <dgm:cxn modelId="{48E19378-40A8-754B-89D1-0FD375F1DE78}" type="presOf" srcId="{98F6EA00-83EF-624F-8DCA-217ED4FE61B8}" destId="{7AF52237-76A7-2E44-9B92-9A24C954E83A}" srcOrd="0" destOrd="0" presId="urn:microsoft.com/office/officeart/2005/8/layout/cycle4"/>
    <dgm:cxn modelId="{A4F6EB80-9283-2440-AC4C-69E8B206A45B}" srcId="{C4473F76-C98D-8B49-80C4-61B42E628E30}" destId="{85DF0F52-476C-DF45-9061-CE4FAA28739A}" srcOrd="2" destOrd="0" parTransId="{88EBE69D-7733-794D-8B68-53D3C1FD2AC7}" sibTransId="{38387CAE-78E2-EE4D-88EF-1757D861ED0E}"/>
    <dgm:cxn modelId="{AEE50887-D96E-1342-AE2A-87A96011B861}" type="presOf" srcId="{3D2BADB8-2541-B241-B94E-7AF68D2904EA}" destId="{7E246FCF-24AF-DD4F-B853-B6C507E0EEF0}" srcOrd="0" destOrd="1" presId="urn:microsoft.com/office/officeart/2005/8/layout/cycle4"/>
    <dgm:cxn modelId="{61AD5E8C-CFB2-2148-BAAD-D6779F21B101}" type="presOf" srcId="{894921D9-15F7-014E-B933-4A2F43F9256E}" destId="{C23CD829-413B-BC47-B440-BC75903DE25E}" srcOrd="1" destOrd="0" presId="urn:microsoft.com/office/officeart/2005/8/layout/cycle4"/>
    <dgm:cxn modelId="{00AC7296-202F-EB4D-A6CC-B2939E111F91}" srcId="{85DF0F52-476C-DF45-9061-CE4FAA28739A}" destId="{A11E9B4D-7E5F-464E-9EE8-CB1CA186DA65}" srcOrd="0" destOrd="0" parTransId="{75B7AC78-8B8E-EB45-8EF5-AEFFED037F54}" sibTransId="{11E0AF6C-C30D-F043-B625-052A9FC73ACD}"/>
    <dgm:cxn modelId="{5ED901A7-49D1-F640-AD67-0D793FE33386}" srcId="{C4473F76-C98D-8B49-80C4-61B42E628E30}" destId="{8DA16ACC-0075-0246-9CF1-F110301DE177}" srcOrd="1" destOrd="0" parTransId="{9FB41EBA-35DE-8A45-9A41-94693BEF51EF}" sibTransId="{6FED8937-16C2-9449-80BE-797B62146495}"/>
    <dgm:cxn modelId="{EA76AFBC-B1AC-FF49-ACD0-A8B4F3327262}" srcId="{8DA16ACC-0075-0246-9CF1-F110301DE177}" destId="{894921D9-15F7-014E-B933-4A2F43F9256E}" srcOrd="0" destOrd="0" parTransId="{415FA2CA-C117-D045-AF29-80EEA1693129}" sibTransId="{01A44BD6-63DA-0F4C-AFE9-885616F457F6}"/>
    <dgm:cxn modelId="{4BC678C1-258A-1346-B9C1-A0C9E7831774}" type="presOf" srcId="{F1AF1024-547F-5945-89FB-D003DFFA8C3D}" destId="{7E246FCF-24AF-DD4F-B853-B6C507E0EEF0}" srcOrd="0" destOrd="0" presId="urn:microsoft.com/office/officeart/2005/8/layout/cycle4"/>
    <dgm:cxn modelId="{C0CDFDCF-5D24-6141-960B-6D85591A11A8}" type="presOf" srcId="{A11E9B4D-7E5F-464E-9EE8-CB1CA186DA65}" destId="{AE743817-8C22-6E4F-8F53-705C37B73E47}" srcOrd="0" destOrd="0" presId="urn:microsoft.com/office/officeart/2005/8/layout/cycle4"/>
    <dgm:cxn modelId="{27727BD2-E3C9-3748-937B-75729E156751}" type="presOf" srcId="{894921D9-15F7-014E-B933-4A2F43F9256E}" destId="{921936A6-4B4E-504D-8FBB-1B7C229660DE}" srcOrd="0" destOrd="0" presId="urn:microsoft.com/office/officeart/2005/8/layout/cycle4"/>
    <dgm:cxn modelId="{5FE93BDD-B142-0845-9A9D-06A7EC393E9E}" srcId="{150ECCA1-062E-0444-93FF-4290E9D81FDB}" destId="{3D2BADB8-2541-B241-B94E-7AF68D2904EA}" srcOrd="1" destOrd="0" parTransId="{FCA21638-5315-4C4F-8865-DA84509F9DEA}" sibTransId="{84C3120A-D1F9-C040-8259-BE8D680557E9}"/>
    <dgm:cxn modelId="{496EF6E4-1040-0B47-A0F8-65DEE5CBF504}" type="presOf" srcId="{150ECCA1-062E-0444-93FF-4290E9D81FDB}" destId="{B6F5EE87-C039-294E-80E5-544D077CA94B}" srcOrd="0" destOrd="0" presId="urn:microsoft.com/office/officeart/2005/8/layout/cycle4"/>
    <dgm:cxn modelId="{0F8135F0-0D5D-144D-BB52-9F3451397040}" type="presOf" srcId="{C4473F76-C98D-8B49-80C4-61B42E628E30}" destId="{C78C3BC0-31CA-1746-9065-9D8D04991622}" srcOrd="0" destOrd="0" presId="urn:microsoft.com/office/officeart/2005/8/layout/cycle4"/>
    <dgm:cxn modelId="{5283ABF1-6BE4-F14F-9734-23F583D98FD0}" type="presOf" srcId="{78F62DC8-2E55-8046-BC56-6F8F39767583}" destId="{0EADC3BC-01D9-E04F-8B21-764C021425BE}" srcOrd="0" destOrd="0" presId="urn:microsoft.com/office/officeart/2005/8/layout/cycle4"/>
    <dgm:cxn modelId="{391C94FE-9CAD-C14C-89E1-2FE6159667F2}" type="presOf" srcId="{8DA16ACC-0075-0246-9CF1-F110301DE177}" destId="{9ACE1642-99DB-2941-B252-94BD9A980EE4}" srcOrd="0" destOrd="0" presId="urn:microsoft.com/office/officeart/2005/8/layout/cycle4"/>
    <dgm:cxn modelId="{8CB766FB-EF47-7840-868E-1C71529FEAB8}" type="presParOf" srcId="{C78C3BC0-31CA-1746-9065-9D8D04991622}" destId="{B454835E-3FB1-0444-A186-DAA49C4B86AD}" srcOrd="0" destOrd="0" presId="urn:microsoft.com/office/officeart/2005/8/layout/cycle4"/>
    <dgm:cxn modelId="{E9428AF6-1E05-6646-B03B-D74A8DBC7AED}" type="presParOf" srcId="{B454835E-3FB1-0444-A186-DAA49C4B86AD}" destId="{40D1E7BF-8DE6-4246-AE8F-C0055EE576B1}" srcOrd="0" destOrd="0" presId="urn:microsoft.com/office/officeart/2005/8/layout/cycle4"/>
    <dgm:cxn modelId="{CCA59997-E045-9A45-AE3E-D79504367589}" type="presParOf" srcId="{40D1E7BF-8DE6-4246-AE8F-C0055EE576B1}" destId="{7E246FCF-24AF-DD4F-B853-B6C507E0EEF0}" srcOrd="0" destOrd="0" presId="urn:microsoft.com/office/officeart/2005/8/layout/cycle4"/>
    <dgm:cxn modelId="{85DB9203-D1C9-1646-9A7D-7FF12D23AF88}" type="presParOf" srcId="{40D1E7BF-8DE6-4246-AE8F-C0055EE576B1}" destId="{E06B92D8-E181-0C48-BE51-3F4894AC45D2}" srcOrd="1" destOrd="0" presId="urn:microsoft.com/office/officeart/2005/8/layout/cycle4"/>
    <dgm:cxn modelId="{4A3DF507-E39F-684C-8EF1-3CF28C6FA2B9}" type="presParOf" srcId="{B454835E-3FB1-0444-A186-DAA49C4B86AD}" destId="{E45B0B51-D3E6-5D49-9A5F-8A72DE411785}" srcOrd="1" destOrd="0" presId="urn:microsoft.com/office/officeart/2005/8/layout/cycle4"/>
    <dgm:cxn modelId="{937AAF8D-4953-4E49-AD22-91773445A090}" type="presParOf" srcId="{E45B0B51-D3E6-5D49-9A5F-8A72DE411785}" destId="{921936A6-4B4E-504D-8FBB-1B7C229660DE}" srcOrd="0" destOrd="0" presId="urn:microsoft.com/office/officeart/2005/8/layout/cycle4"/>
    <dgm:cxn modelId="{4197FCD6-5EB9-7441-AF6D-930C0014DCFB}" type="presParOf" srcId="{E45B0B51-D3E6-5D49-9A5F-8A72DE411785}" destId="{C23CD829-413B-BC47-B440-BC75903DE25E}" srcOrd="1" destOrd="0" presId="urn:microsoft.com/office/officeart/2005/8/layout/cycle4"/>
    <dgm:cxn modelId="{B85558EF-6B63-CE46-8CF6-16677B88DDB2}" type="presParOf" srcId="{B454835E-3FB1-0444-A186-DAA49C4B86AD}" destId="{87C4085E-1D91-494E-9F60-B21B9A02FB6C}" srcOrd="2" destOrd="0" presId="urn:microsoft.com/office/officeart/2005/8/layout/cycle4"/>
    <dgm:cxn modelId="{04CB6DAF-1325-7049-9E7E-C61E81D1C48F}" type="presParOf" srcId="{87C4085E-1D91-494E-9F60-B21B9A02FB6C}" destId="{AE743817-8C22-6E4F-8F53-705C37B73E47}" srcOrd="0" destOrd="0" presId="urn:microsoft.com/office/officeart/2005/8/layout/cycle4"/>
    <dgm:cxn modelId="{2F024CE2-51BB-384A-9855-A281FC1145B3}" type="presParOf" srcId="{87C4085E-1D91-494E-9F60-B21B9A02FB6C}" destId="{BAED536F-D0A6-2F41-89BD-5FC2744DBD8F}" srcOrd="1" destOrd="0" presId="urn:microsoft.com/office/officeart/2005/8/layout/cycle4"/>
    <dgm:cxn modelId="{B5065586-A55D-554B-9062-04DC2805B3C4}" type="presParOf" srcId="{B454835E-3FB1-0444-A186-DAA49C4B86AD}" destId="{3E590D2A-7392-4F4A-BF05-78CD47F1301D}" srcOrd="3" destOrd="0" presId="urn:microsoft.com/office/officeart/2005/8/layout/cycle4"/>
    <dgm:cxn modelId="{F22056A7-E8D4-C14B-BB41-23C9EA3DDF2C}" type="presParOf" srcId="{3E590D2A-7392-4F4A-BF05-78CD47F1301D}" destId="{0EADC3BC-01D9-E04F-8B21-764C021425BE}" srcOrd="0" destOrd="0" presId="urn:microsoft.com/office/officeart/2005/8/layout/cycle4"/>
    <dgm:cxn modelId="{DB629976-7A54-1C4D-BCC7-5BC8926D7B1F}" type="presParOf" srcId="{3E590D2A-7392-4F4A-BF05-78CD47F1301D}" destId="{231C1159-E202-E048-AC2E-4A4493B23DA0}" srcOrd="1" destOrd="0" presId="urn:microsoft.com/office/officeart/2005/8/layout/cycle4"/>
    <dgm:cxn modelId="{45A2BE3A-C6BC-4E4E-9153-79452056F8F3}" type="presParOf" srcId="{B454835E-3FB1-0444-A186-DAA49C4B86AD}" destId="{9DD0916D-733B-8A47-8882-CB1BFE4CFFB2}" srcOrd="4" destOrd="0" presId="urn:microsoft.com/office/officeart/2005/8/layout/cycle4"/>
    <dgm:cxn modelId="{B16FCF5D-03FD-0A4E-A95F-1BF5C00599F6}" type="presParOf" srcId="{C78C3BC0-31CA-1746-9065-9D8D04991622}" destId="{B25E4EF1-529B-484C-B550-D8F1B090EA42}" srcOrd="1" destOrd="0" presId="urn:microsoft.com/office/officeart/2005/8/layout/cycle4"/>
    <dgm:cxn modelId="{2D4DCA8C-C1EB-6848-9017-63B59FF344F1}" type="presParOf" srcId="{B25E4EF1-529B-484C-B550-D8F1B090EA42}" destId="{B6F5EE87-C039-294E-80E5-544D077CA94B}" srcOrd="0" destOrd="0" presId="urn:microsoft.com/office/officeart/2005/8/layout/cycle4"/>
    <dgm:cxn modelId="{560CBA41-5BC3-274A-B610-3AB617DC5F80}" type="presParOf" srcId="{B25E4EF1-529B-484C-B550-D8F1B090EA42}" destId="{9ACE1642-99DB-2941-B252-94BD9A980EE4}" srcOrd="1" destOrd="0" presId="urn:microsoft.com/office/officeart/2005/8/layout/cycle4"/>
    <dgm:cxn modelId="{A2DCBADE-C3C3-2C4D-9CF8-8C9641E01B67}" type="presParOf" srcId="{B25E4EF1-529B-484C-B550-D8F1B090EA42}" destId="{E3A11482-5433-CA4E-B9C1-69DDED704DF7}" srcOrd="2" destOrd="0" presId="urn:microsoft.com/office/officeart/2005/8/layout/cycle4"/>
    <dgm:cxn modelId="{6B8517ED-7523-CD44-B4FA-D6AEEF9F4D8A}" type="presParOf" srcId="{B25E4EF1-529B-484C-B550-D8F1B090EA42}" destId="{7AF52237-76A7-2E44-9B92-9A24C954E83A}" srcOrd="3" destOrd="0" presId="urn:microsoft.com/office/officeart/2005/8/layout/cycle4"/>
    <dgm:cxn modelId="{17C2DA25-D2D5-5A45-96A1-99E975F74777}" type="presParOf" srcId="{B25E4EF1-529B-484C-B550-D8F1B090EA42}" destId="{448D7A01-6A23-1744-BA0A-9A3A67930284}" srcOrd="4" destOrd="0" presId="urn:microsoft.com/office/officeart/2005/8/layout/cycle4"/>
    <dgm:cxn modelId="{2DA15CE4-BCF9-5148-B148-2C4EAAFD1923}" type="presParOf" srcId="{C78C3BC0-31CA-1746-9065-9D8D04991622}" destId="{EE24FB65-67C0-3244-80EE-0F43F8BC4CDC}" srcOrd="2" destOrd="0" presId="urn:microsoft.com/office/officeart/2005/8/layout/cycle4"/>
    <dgm:cxn modelId="{ECB56683-1621-0742-A68C-69D98011D880}" type="presParOf" srcId="{C78C3BC0-31CA-1746-9065-9D8D04991622}" destId="{E25D17E1-DB72-5449-9E3B-8A59512565BD}" srcOrd="3" destOrd="0" presId="urn:microsoft.com/office/officeart/2005/8/layout/cycle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743817-8C22-6E4F-8F53-705C37B73E47}">
      <dsp:nvSpPr>
        <dsp:cNvPr id="0" name=""/>
        <dsp:cNvSpPr/>
      </dsp:nvSpPr>
      <dsp:spPr>
        <a:xfrm>
          <a:off x="3242462" y="2239942"/>
          <a:ext cx="1580997" cy="896787"/>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4505695"/>
              <a:satOff val="-11613"/>
              <a:lumOff val="-784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t>Develop new low‑carbon steel products</a:t>
          </a:r>
        </a:p>
      </dsp:txBody>
      <dsp:txXfrm>
        <a:off x="3736460" y="2483838"/>
        <a:ext cx="1067300" cy="633192"/>
      </dsp:txXfrm>
    </dsp:sp>
    <dsp:sp modelId="{0EADC3BC-01D9-E04F-8B21-764C021425BE}">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t>New products in new markets</a:t>
          </a:r>
        </a:p>
      </dsp:txBody>
      <dsp:txXfrm>
        <a:off x="685436" y="2454800"/>
        <a:ext cx="1061704" cy="723102"/>
      </dsp:txXfrm>
    </dsp:sp>
    <dsp:sp modelId="{921936A6-4B4E-504D-8FBB-1B7C229660DE}">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2252848"/>
              <a:satOff val="-5806"/>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t>Enter new markets with existing low‑carbon steel</a:t>
          </a:r>
        </a:p>
      </dsp:txBody>
      <dsp:txXfrm>
        <a:off x="3739258" y="22497"/>
        <a:ext cx="1061704" cy="723102"/>
      </dsp:txXfrm>
    </dsp:sp>
    <dsp:sp modelId="{7E246FCF-24AF-DD4F-B853-B6C507E0EEF0}">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endParaRPr lang="en-GB" sz="900" kern="1200"/>
        </a:p>
        <a:p>
          <a:pPr marL="57150" lvl="1" indent="-57150" algn="l" defTabSz="400050">
            <a:lnSpc>
              <a:spcPct val="90000"/>
            </a:lnSpc>
            <a:spcBef>
              <a:spcPct val="0"/>
            </a:spcBef>
            <a:spcAft>
              <a:spcPct val="15000"/>
            </a:spcAft>
            <a:buChar char="•"/>
          </a:pPr>
          <a:r>
            <a:rPr lang="en-GB" sz="900" kern="1200"/>
            <a:t>Increase sales of existing products in existing markets</a:t>
          </a:r>
        </a:p>
      </dsp:txBody>
      <dsp:txXfrm>
        <a:off x="685436" y="22497"/>
        <a:ext cx="1061704" cy="723102"/>
      </dsp:txXfrm>
    </dsp:sp>
    <dsp:sp modelId="{B6F5EE87-C039-294E-80E5-544D077CA94B}">
      <dsp:nvSpPr>
        <dsp:cNvPr id="0" name=""/>
        <dsp:cNvSpPr/>
      </dsp:nvSpPr>
      <dsp:spPr>
        <a:xfrm>
          <a:off x="1325422" y="182422"/>
          <a:ext cx="1385773" cy="1385773"/>
        </a:xfrm>
        <a:prstGeom prst="pieWedg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Market Penetration</a:t>
          </a:r>
        </a:p>
      </dsp:txBody>
      <dsp:txXfrm>
        <a:off x="1731306" y="588306"/>
        <a:ext cx="979889" cy="979889"/>
      </dsp:txXfrm>
    </dsp:sp>
    <dsp:sp modelId="{9ACE1642-99DB-2941-B252-94BD9A980EE4}">
      <dsp:nvSpPr>
        <dsp:cNvPr id="0" name=""/>
        <dsp:cNvSpPr/>
      </dsp:nvSpPr>
      <dsp:spPr>
        <a:xfrm rot="5400000">
          <a:off x="2775204" y="182422"/>
          <a:ext cx="1385773" cy="1385773"/>
        </a:xfrm>
        <a:prstGeom prst="pieWedge">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Market Development
</a:t>
          </a:r>
        </a:p>
      </dsp:txBody>
      <dsp:txXfrm rot="-5400000">
        <a:off x="2775204" y="588306"/>
        <a:ext cx="979889" cy="979889"/>
      </dsp:txXfrm>
    </dsp:sp>
    <dsp:sp modelId="{E3A11482-5433-CA4E-B9C1-69DDED704DF7}">
      <dsp:nvSpPr>
        <dsp:cNvPr id="0" name=""/>
        <dsp:cNvSpPr/>
      </dsp:nvSpPr>
      <dsp:spPr>
        <a:xfrm rot="10800000">
          <a:off x="2775204" y="1632204"/>
          <a:ext cx="1385773" cy="1385773"/>
        </a:xfrm>
        <a:prstGeom prst="pieWedge">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Product Development
</a:t>
          </a:r>
        </a:p>
      </dsp:txBody>
      <dsp:txXfrm rot="10800000">
        <a:off x="2775204" y="1632204"/>
        <a:ext cx="979889" cy="979889"/>
      </dsp:txXfrm>
    </dsp:sp>
    <dsp:sp modelId="{7AF52237-76A7-2E44-9B92-9A24C954E83A}">
      <dsp:nvSpPr>
        <dsp:cNvPr id="0" name=""/>
        <dsp:cNvSpPr/>
      </dsp:nvSpPr>
      <dsp:spPr>
        <a:xfrm rot="16200000">
          <a:off x="1325422" y="1632204"/>
          <a:ext cx="1385773" cy="1385773"/>
        </a:xfrm>
        <a:prstGeom prst="pieWedg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Diversification</a:t>
          </a:r>
        </a:p>
      </dsp:txBody>
      <dsp:txXfrm rot="5400000">
        <a:off x="1731306" y="1632204"/>
        <a:ext cx="979889" cy="979889"/>
      </dsp:txXfrm>
    </dsp:sp>
    <dsp:sp modelId="{EE24FB65-67C0-3244-80EE-0F43F8BC4CDC}">
      <dsp:nvSpPr>
        <dsp:cNvPr id="0" name=""/>
        <dsp:cNvSpPr/>
      </dsp:nvSpPr>
      <dsp:spPr>
        <a:xfrm>
          <a:off x="2503970" y="1312164"/>
          <a:ext cx="478459" cy="416052"/>
        </a:xfrm>
        <a:prstGeom prst="circularArrow">
          <a:avLst/>
        </a:prstGeom>
        <a:solidFill>
          <a:schemeClr val="accent5">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25D17E1-DB72-5449-9E3B-8A59512565BD}">
      <dsp:nvSpPr>
        <dsp:cNvPr id="0" name=""/>
        <dsp:cNvSpPr/>
      </dsp:nvSpPr>
      <dsp:spPr>
        <a:xfrm rot="10800000">
          <a:off x="2503970" y="1472184"/>
          <a:ext cx="478459" cy="416052"/>
        </a:xfrm>
        <a:prstGeom prst="circularArrow">
          <a:avLst/>
        </a:prstGeom>
        <a:solidFill>
          <a:schemeClr val="accent5">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14</Pages>
  <Words>3674</Words>
  <Characters>20947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eusebiu lacatus</dc:creator>
  <cp:keywords/>
  <dc:description/>
  <cp:lastModifiedBy>eusebiu lacatus</cp:lastModifiedBy>
  <cp:revision>9</cp:revision>
  <dcterms:created xsi:type="dcterms:W3CDTF">2026-05-19T18:09:00Z</dcterms:created>
  <dcterms:modified xsi:type="dcterms:W3CDTF">2026-06-05T17:17:00Z</dcterms:modified>
</cp:coreProperties>
</file>