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78094CE" w14:textId="2DC0A94F" w:rsidR="00AD6D75" w:rsidRDefault="00374596" w:rsidP="00216501">
      <w:pPr>
        <w:pStyle w:val="COVERPAGETEXT"/>
      </w:pPr>
      <w:r>
        <w:t>Matt Claridge</w:t>
      </w:r>
    </w:p>
    <w:p w14:paraId="5F9A4BD5" w14:textId="77777777" w:rsidR="00045D6F" w:rsidRPr="00BB05A0" w:rsidRDefault="00045D6F" w:rsidP="00045D6F">
      <w:pPr>
        <w:pStyle w:val="COVERPAGETEXT"/>
      </w:pPr>
    </w:p>
    <w:p w14:paraId="19705265" w14:textId="34529760" w:rsidR="00AD6D75" w:rsidRPr="00216501" w:rsidRDefault="00646F43" w:rsidP="007B7D72">
      <w:pPr>
        <w:pStyle w:val="COVERPAGETEXT"/>
        <w:rPr>
          <w:rFonts w:ascii="Calibri Light" w:hAnsi="Calibri Light" w:cs="Calibri Light"/>
          <w:i/>
          <w:iCs/>
          <w:sz w:val="96"/>
          <w:szCs w:val="96"/>
        </w:rPr>
      </w:pPr>
      <w:r>
        <w:rPr>
          <w:rFonts w:ascii="Calibri Light" w:hAnsi="Calibri Light" w:cs="Calibri Light"/>
          <w:i/>
          <w:iCs/>
          <w:sz w:val="96"/>
          <w:szCs w:val="96"/>
        </w:rPr>
        <w:t>Work Based Group Project</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C681950" w:rsidR="00AD6D75" w:rsidRPr="00BB05A0" w:rsidRDefault="00AB0D69" w:rsidP="009F4F9E">
      <w:pPr>
        <w:pStyle w:val="COVERPAGETEXT"/>
      </w:pPr>
      <w:r>
        <w:t>UWTSD</w:t>
      </w:r>
    </w:p>
    <w:p w14:paraId="7B6B882C" w14:textId="239E2246" w:rsidR="00AD6D75" w:rsidRPr="00BB05A0" w:rsidRDefault="00753C30" w:rsidP="009F4F9E">
      <w:pPr>
        <w:pStyle w:val="COVERPAGETEXT"/>
      </w:pPr>
      <w:r>
        <w:t>Ordnance</w:t>
      </w:r>
      <w:r w:rsidR="005427C5">
        <w:t xml:space="preserve">, Munitions </w:t>
      </w:r>
      <w:r>
        <w:t>&amp; Explosives</w:t>
      </w:r>
    </w:p>
    <w:p w14:paraId="6753F339" w14:textId="77777777" w:rsidR="00AD6D75" w:rsidRPr="00BB05A0" w:rsidRDefault="00AD6D75" w:rsidP="009F4F9E">
      <w:pPr>
        <w:pStyle w:val="COVERPAGETEXT"/>
      </w:pPr>
    </w:p>
    <w:p w14:paraId="04815D3F" w14:textId="77777777" w:rsidR="00AD6D75" w:rsidRPr="00BB05A0" w:rsidRDefault="00AD6D75" w:rsidP="00216501">
      <w:pPr>
        <w:pStyle w:val="COVERPAGETEXT"/>
        <w:jc w:val="both"/>
      </w:pPr>
    </w:p>
    <w:p w14:paraId="71E2DB74" w14:textId="399BA1D9" w:rsidR="00AD6D75" w:rsidRPr="00BB05A0" w:rsidRDefault="00F0175B" w:rsidP="009F4F9E">
      <w:pPr>
        <w:pStyle w:val="COVERPAGETEXT"/>
      </w:pPr>
      <w:r>
        <w:t>BEng Degree Apprenticeship</w:t>
      </w:r>
    </w:p>
    <w:p w14:paraId="2709D95E" w14:textId="5CA9F5FF" w:rsidR="00AD6D75" w:rsidRPr="00BB05A0" w:rsidRDefault="00AD6D75" w:rsidP="009F4F9E">
      <w:pPr>
        <w:pStyle w:val="COVERPAGETEXT"/>
      </w:pPr>
      <w:r>
        <w:t xml:space="preserve">Academic Year: </w:t>
      </w:r>
      <w:r w:rsidR="00F0175B">
        <w:t>202</w:t>
      </w:r>
      <w:r w:rsidR="00817B70">
        <w:t>5</w:t>
      </w:r>
      <w:r>
        <w:t xml:space="preserve"> -</w:t>
      </w:r>
      <w:r w:rsidRPr="00931620">
        <w:t xml:space="preserve"> </w:t>
      </w:r>
      <w:r w:rsidR="00F0175B">
        <w:t>202</w:t>
      </w:r>
      <w:r w:rsidR="00817B70">
        <w:t>6</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35819049" w:rsidR="00AD6D75" w:rsidRDefault="004679A1" w:rsidP="009F4F9E">
      <w:pPr>
        <w:pStyle w:val="COVERPAGETEXT"/>
      </w:pPr>
      <w:r>
        <w:t>Lecturer</w:t>
      </w:r>
      <w:r w:rsidR="00AD6D75" w:rsidRPr="00BB05A0">
        <w:t>:</w:t>
      </w:r>
      <w:r w:rsidR="00AD6D75" w:rsidRPr="00BB05A0">
        <w:tab/>
      </w:r>
      <w:r w:rsidR="00AD6D75">
        <w:t xml:space="preserve"> </w:t>
      </w:r>
      <w:r w:rsidR="003814AF">
        <w:t>Dave Holley</w:t>
      </w:r>
    </w:p>
    <w:p w14:paraId="52B1F4ED" w14:textId="57D05BFB" w:rsidR="00DA28B2" w:rsidRDefault="003814AF" w:rsidP="00893417">
      <w:pPr>
        <w:pStyle w:val="COVERPAGETEXT"/>
        <w:sectPr w:rsidR="00DA28B2" w:rsidSect="00623A81">
          <w:footerReference w:type="default" r:id="rId12"/>
          <w:pgSz w:w="11906" w:h="16838" w:code="9"/>
          <w:pgMar w:top="1701" w:right="1701" w:bottom="1701" w:left="1701" w:header="709" w:footer="851" w:gutter="0"/>
          <w:pgNumType w:fmt="lowerRoman" w:start="1"/>
          <w:cols w:space="708"/>
          <w:docGrid w:linePitch="360"/>
        </w:sectPr>
      </w:pPr>
      <w:r>
        <w:t>July</w:t>
      </w:r>
      <w:r w:rsidR="007B7D72">
        <w:t xml:space="preserve"> 202</w:t>
      </w:r>
      <w:r w:rsidR="00D66A3E">
        <w:t>6</w:t>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3DCC5840" w14:textId="555997E1" w:rsidR="00E40098"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35805726" w:history="1">
        <w:r w:rsidR="00E40098" w:rsidRPr="004B7B04">
          <w:rPr>
            <w:rStyle w:val="Hyperlink"/>
          </w:rPr>
          <w:t>List of Figures</w:t>
        </w:r>
        <w:r w:rsidR="00E40098">
          <w:rPr>
            <w:webHidden/>
          </w:rPr>
          <w:tab/>
        </w:r>
        <w:r w:rsidR="00E40098">
          <w:rPr>
            <w:webHidden/>
          </w:rPr>
          <w:fldChar w:fldCharType="begin"/>
        </w:r>
        <w:r w:rsidR="00E40098">
          <w:rPr>
            <w:webHidden/>
          </w:rPr>
          <w:instrText xml:space="preserve"> PAGEREF _Toc235805726 \h </w:instrText>
        </w:r>
        <w:r w:rsidR="00E40098">
          <w:rPr>
            <w:webHidden/>
          </w:rPr>
        </w:r>
        <w:r w:rsidR="00E40098">
          <w:rPr>
            <w:webHidden/>
          </w:rPr>
          <w:fldChar w:fldCharType="separate"/>
        </w:r>
        <w:r w:rsidR="00E40098">
          <w:rPr>
            <w:webHidden/>
          </w:rPr>
          <w:t>iii</w:t>
        </w:r>
        <w:r w:rsidR="00E40098">
          <w:rPr>
            <w:webHidden/>
          </w:rPr>
          <w:fldChar w:fldCharType="end"/>
        </w:r>
      </w:hyperlink>
    </w:p>
    <w:p w14:paraId="636259E0" w14:textId="34AB63D8" w:rsidR="00E40098" w:rsidRDefault="00E40098">
      <w:pPr>
        <w:pStyle w:val="TOC1"/>
        <w:rPr>
          <w:rFonts w:asciiTheme="minorHAnsi" w:eastAsiaTheme="minorEastAsia" w:hAnsiTheme="minorHAnsi" w:cstheme="minorBidi"/>
          <w:kern w:val="2"/>
          <w:lang w:eastAsia="en-GB"/>
          <w14:ligatures w14:val="standardContextual"/>
        </w:rPr>
      </w:pPr>
      <w:hyperlink w:anchor="_Toc235805727" w:history="1">
        <w:r w:rsidRPr="004B7B04">
          <w:rPr>
            <w:rStyle w:val="Hyperlink"/>
          </w:rPr>
          <w:t>List of Abbreviations</w:t>
        </w:r>
        <w:r>
          <w:rPr>
            <w:webHidden/>
          </w:rPr>
          <w:tab/>
        </w:r>
        <w:r>
          <w:rPr>
            <w:webHidden/>
          </w:rPr>
          <w:fldChar w:fldCharType="begin"/>
        </w:r>
        <w:r>
          <w:rPr>
            <w:webHidden/>
          </w:rPr>
          <w:instrText xml:space="preserve"> PAGEREF _Toc235805727 \h </w:instrText>
        </w:r>
        <w:r>
          <w:rPr>
            <w:webHidden/>
          </w:rPr>
        </w:r>
        <w:r>
          <w:rPr>
            <w:webHidden/>
          </w:rPr>
          <w:fldChar w:fldCharType="separate"/>
        </w:r>
        <w:r>
          <w:rPr>
            <w:webHidden/>
          </w:rPr>
          <w:t>iii</w:t>
        </w:r>
        <w:r>
          <w:rPr>
            <w:webHidden/>
          </w:rPr>
          <w:fldChar w:fldCharType="end"/>
        </w:r>
      </w:hyperlink>
    </w:p>
    <w:p w14:paraId="4F1EE348" w14:textId="70529D4F" w:rsidR="00E40098" w:rsidRDefault="00E40098">
      <w:pPr>
        <w:pStyle w:val="TOC1"/>
        <w:rPr>
          <w:rFonts w:asciiTheme="minorHAnsi" w:eastAsiaTheme="minorEastAsia" w:hAnsiTheme="minorHAnsi" w:cstheme="minorBidi"/>
          <w:kern w:val="2"/>
          <w:lang w:eastAsia="en-GB"/>
          <w14:ligatures w14:val="standardContextual"/>
        </w:rPr>
      </w:pPr>
      <w:hyperlink w:anchor="_Toc235805728" w:history="1">
        <w:r w:rsidRPr="004B7B04">
          <w:rPr>
            <w:rStyle w:val="Hyperlink"/>
          </w:rPr>
          <w:t>1 Introduction</w:t>
        </w:r>
        <w:r>
          <w:rPr>
            <w:webHidden/>
          </w:rPr>
          <w:tab/>
        </w:r>
        <w:r>
          <w:rPr>
            <w:webHidden/>
          </w:rPr>
          <w:fldChar w:fldCharType="begin"/>
        </w:r>
        <w:r>
          <w:rPr>
            <w:webHidden/>
          </w:rPr>
          <w:instrText xml:space="preserve"> PAGEREF _Toc235805728 \h </w:instrText>
        </w:r>
        <w:r>
          <w:rPr>
            <w:webHidden/>
          </w:rPr>
        </w:r>
        <w:r>
          <w:rPr>
            <w:webHidden/>
          </w:rPr>
          <w:fldChar w:fldCharType="separate"/>
        </w:r>
        <w:r>
          <w:rPr>
            <w:webHidden/>
          </w:rPr>
          <w:t>1</w:t>
        </w:r>
        <w:r>
          <w:rPr>
            <w:webHidden/>
          </w:rPr>
          <w:fldChar w:fldCharType="end"/>
        </w:r>
      </w:hyperlink>
    </w:p>
    <w:p w14:paraId="6F021320" w14:textId="72722D19" w:rsidR="00E40098" w:rsidRDefault="00E40098">
      <w:pPr>
        <w:pStyle w:val="TOC1"/>
        <w:rPr>
          <w:rFonts w:asciiTheme="minorHAnsi" w:eastAsiaTheme="minorEastAsia" w:hAnsiTheme="minorHAnsi" w:cstheme="minorBidi"/>
          <w:kern w:val="2"/>
          <w:lang w:eastAsia="en-GB"/>
          <w14:ligatures w14:val="standardContextual"/>
        </w:rPr>
      </w:pPr>
      <w:hyperlink w:anchor="_Toc235805729" w:history="1">
        <w:r w:rsidRPr="004B7B04">
          <w:rPr>
            <w:rStyle w:val="Hyperlink"/>
          </w:rPr>
          <w:t>2 Research Informed Literature</w:t>
        </w:r>
        <w:r>
          <w:rPr>
            <w:webHidden/>
          </w:rPr>
          <w:tab/>
        </w:r>
        <w:r>
          <w:rPr>
            <w:webHidden/>
          </w:rPr>
          <w:fldChar w:fldCharType="begin"/>
        </w:r>
        <w:r>
          <w:rPr>
            <w:webHidden/>
          </w:rPr>
          <w:instrText xml:space="preserve"> PAGEREF _Toc235805729 \h </w:instrText>
        </w:r>
        <w:r>
          <w:rPr>
            <w:webHidden/>
          </w:rPr>
        </w:r>
        <w:r>
          <w:rPr>
            <w:webHidden/>
          </w:rPr>
          <w:fldChar w:fldCharType="separate"/>
        </w:r>
        <w:r>
          <w:rPr>
            <w:webHidden/>
          </w:rPr>
          <w:t>2</w:t>
        </w:r>
        <w:r>
          <w:rPr>
            <w:webHidden/>
          </w:rPr>
          <w:fldChar w:fldCharType="end"/>
        </w:r>
      </w:hyperlink>
    </w:p>
    <w:p w14:paraId="3DA4A7E3" w14:textId="2673D98C" w:rsidR="00E40098" w:rsidRDefault="00E40098">
      <w:pPr>
        <w:pStyle w:val="TOC1"/>
        <w:rPr>
          <w:rFonts w:asciiTheme="minorHAnsi" w:eastAsiaTheme="minorEastAsia" w:hAnsiTheme="minorHAnsi" w:cstheme="minorBidi"/>
          <w:kern w:val="2"/>
          <w:lang w:eastAsia="en-GB"/>
          <w14:ligatures w14:val="standardContextual"/>
        </w:rPr>
      </w:pPr>
      <w:hyperlink w:anchor="_Toc235805730" w:history="1">
        <w:r w:rsidRPr="004B7B04">
          <w:rPr>
            <w:rStyle w:val="Hyperlink"/>
          </w:rPr>
          <w:t>3 Knowledge and Understanding of Subject</w:t>
        </w:r>
        <w:r>
          <w:rPr>
            <w:webHidden/>
          </w:rPr>
          <w:tab/>
        </w:r>
        <w:r>
          <w:rPr>
            <w:webHidden/>
          </w:rPr>
          <w:fldChar w:fldCharType="begin"/>
        </w:r>
        <w:r>
          <w:rPr>
            <w:webHidden/>
          </w:rPr>
          <w:instrText xml:space="preserve"> PAGEREF _Toc235805730 \h </w:instrText>
        </w:r>
        <w:r>
          <w:rPr>
            <w:webHidden/>
          </w:rPr>
        </w:r>
        <w:r>
          <w:rPr>
            <w:webHidden/>
          </w:rPr>
          <w:fldChar w:fldCharType="separate"/>
        </w:r>
        <w:r>
          <w:rPr>
            <w:webHidden/>
          </w:rPr>
          <w:t>3</w:t>
        </w:r>
        <w:r>
          <w:rPr>
            <w:webHidden/>
          </w:rPr>
          <w:fldChar w:fldCharType="end"/>
        </w:r>
      </w:hyperlink>
    </w:p>
    <w:p w14:paraId="70C993A4" w14:textId="17EC4E0B" w:rsidR="00E40098" w:rsidRDefault="00E40098">
      <w:pPr>
        <w:pStyle w:val="TOC1"/>
        <w:rPr>
          <w:rFonts w:asciiTheme="minorHAnsi" w:eastAsiaTheme="minorEastAsia" w:hAnsiTheme="minorHAnsi" w:cstheme="minorBidi"/>
          <w:kern w:val="2"/>
          <w:lang w:eastAsia="en-GB"/>
          <w14:ligatures w14:val="standardContextual"/>
        </w:rPr>
      </w:pPr>
      <w:hyperlink w:anchor="_Toc235805731" w:history="1">
        <w:r w:rsidRPr="004B7B04">
          <w:rPr>
            <w:rStyle w:val="Hyperlink"/>
          </w:rPr>
          <w:t>4 Analysis</w:t>
        </w:r>
        <w:r>
          <w:rPr>
            <w:webHidden/>
          </w:rPr>
          <w:tab/>
        </w:r>
        <w:r>
          <w:rPr>
            <w:webHidden/>
          </w:rPr>
          <w:fldChar w:fldCharType="begin"/>
        </w:r>
        <w:r>
          <w:rPr>
            <w:webHidden/>
          </w:rPr>
          <w:instrText xml:space="preserve"> PAGEREF _Toc235805731 \h </w:instrText>
        </w:r>
        <w:r>
          <w:rPr>
            <w:webHidden/>
          </w:rPr>
        </w:r>
        <w:r>
          <w:rPr>
            <w:webHidden/>
          </w:rPr>
          <w:fldChar w:fldCharType="separate"/>
        </w:r>
        <w:r>
          <w:rPr>
            <w:webHidden/>
          </w:rPr>
          <w:t>5</w:t>
        </w:r>
        <w:r>
          <w:rPr>
            <w:webHidden/>
          </w:rPr>
          <w:fldChar w:fldCharType="end"/>
        </w:r>
      </w:hyperlink>
    </w:p>
    <w:p w14:paraId="0031F52A" w14:textId="01AA5B1F" w:rsidR="00E40098" w:rsidRDefault="00E40098">
      <w:pPr>
        <w:pStyle w:val="TOC1"/>
        <w:rPr>
          <w:rFonts w:asciiTheme="minorHAnsi" w:eastAsiaTheme="minorEastAsia" w:hAnsiTheme="minorHAnsi" w:cstheme="minorBidi"/>
          <w:kern w:val="2"/>
          <w:lang w:eastAsia="en-GB"/>
          <w14:ligatures w14:val="standardContextual"/>
        </w:rPr>
      </w:pPr>
      <w:hyperlink w:anchor="_Toc235805732" w:history="1">
        <w:r w:rsidRPr="004B7B04">
          <w:rPr>
            <w:rStyle w:val="Hyperlink"/>
          </w:rPr>
          <w:t>5 Practical Application and Deployment</w:t>
        </w:r>
        <w:r>
          <w:rPr>
            <w:webHidden/>
          </w:rPr>
          <w:tab/>
        </w:r>
        <w:r>
          <w:rPr>
            <w:webHidden/>
          </w:rPr>
          <w:fldChar w:fldCharType="begin"/>
        </w:r>
        <w:r>
          <w:rPr>
            <w:webHidden/>
          </w:rPr>
          <w:instrText xml:space="preserve"> PAGEREF _Toc235805732 \h </w:instrText>
        </w:r>
        <w:r>
          <w:rPr>
            <w:webHidden/>
          </w:rPr>
        </w:r>
        <w:r>
          <w:rPr>
            <w:webHidden/>
          </w:rPr>
          <w:fldChar w:fldCharType="separate"/>
        </w:r>
        <w:r>
          <w:rPr>
            <w:webHidden/>
          </w:rPr>
          <w:t>8</w:t>
        </w:r>
        <w:r>
          <w:rPr>
            <w:webHidden/>
          </w:rPr>
          <w:fldChar w:fldCharType="end"/>
        </w:r>
      </w:hyperlink>
    </w:p>
    <w:p w14:paraId="17970608" w14:textId="7EEC1302" w:rsidR="00E40098" w:rsidRDefault="00E40098">
      <w:pPr>
        <w:pStyle w:val="TOC1"/>
        <w:rPr>
          <w:rFonts w:asciiTheme="minorHAnsi" w:eastAsiaTheme="minorEastAsia" w:hAnsiTheme="minorHAnsi" w:cstheme="minorBidi"/>
          <w:kern w:val="2"/>
          <w:lang w:eastAsia="en-GB"/>
          <w14:ligatures w14:val="standardContextual"/>
        </w:rPr>
      </w:pPr>
      <w:hyperlink w:anchor="_Toc235805733" w:history="1">
        <w:r w:rsidRPr="004B7B04">
          <w:rPr>
            <w:rStyle w:val="Hyperlink"/>
          </w:rPr>
          <w:t>6 Skills for Professional Practice / Conclusion</w:t>
        </w:r>
        <w:r>
          <w:rPr>
            <w:webHidden/>
          </w:rPr>
          <w:tab/>
        </w:r>
        <w:r>
          <w:rPr>
            <w:webHidden/>
          </w:rPr>
          <w:fldChar w:fldCharType="begin"/>
        </w:r>
        <w:r>
          <w:rPr>
            <w:webHidden/>
          </w:rPr>
          <w:instrText xml:space="preserve"> PAGEREF _Toc235805733 \h </w:instrText>
        </w:r>
        <w:r>
          <w:rPr>
            <w:webHidden/>
          </w:rPr>
        </w:r>
        <w:r>
          <w:rPr>
            <w:webHidden/>
          </w:rPr>
          <w:fldChar w:fldCharType="separate"/>
        </w:r>
        <w:r>
          <w:rPr>
            <w:webHidden/>
          </w:rPr>
          <w:t>9</w:t>
        </w:r>
        <w:r>
          <w:rPr>
            <w:webHidden/>
          </w:rPr>
          <w:fldChar w:fldCharType="end"/>
        </w:r>
      </w:hyperlink>
    </w:p>
    <w:p w14:paraId="1E0A1994" w14:textId="17CF161C"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0" w:name="_Toc51833371"/>
      <w:bookmarkStart w:id="1" w:name="_Toc290554220"/>
      <w:bookmarkStart w:id="2" w:name="_Toc299621185"/>
      <w:bookmarkStart w:id="3" w:name="_Toc299631413"/>
      <w:bookmarkStart w:id="4" w:name="_Toc299631473"/>
      <w:bookmarkStart w:id="5" w:name="_Toc299631563"/>
      <w:bookmarkStart w:id="6" w:name="_Toc299631640"/>
      <w:r>
        <w:br w:type="page"/>
      </w:r>
    </w:p>
    <w:p w14:paraId="77601812" w14:textId="71C222B3" w:rsidR="00DA28B2" w:rsidRDefault="005E3ACA" w:rsidP="00DA28B2">
      <w:pPr>
        <w:pStyle w:val="Heading1"/>
        <w:numPr>
          <w:ilvl w:val="0"/>
          <w:numId w:val="0"/>
        </w:numPr>
      </w:pPr>
      <w:bookmarkStart w:id="7" w:name="_Ref137801750"/>
      <w:bookmarkStart w:id="8" w:name="_Toc235805726"/>
      <w:r>
        <w:lastRenderedPageBreak/>
        <w:t xml:space="preserve">List of </w:t>
      </w:r>
      <w:r w:rsidR="004C2C9C">
        <w:t>F</w:t>
      </w:r>
      <w:r>
        <w:t>igures</w:t>
      </w:r>
      <w:bookmarkEnd w:id="0"/>
      <w:bookmarkEnd w:id="1"/>
      <w:bookmarkEnd w:id="2"/>
      <w:bookmarkEnd w:id="3"/>
      <w:bookmarkEnd w:id="4"/>
      <w:bookmarkEnd w:id="5"/>
      <w:bookmarkEnd w:id="6"/>
      <w:bookmarkEnd w:id="7"/>
      <w:bookmarkEnd w:id="8"/>
    </w:p>
    <w:p w14:paraId="1010DA4E" w14:textId="63217809" w:rsidR="00E4009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35805734" w:history="1">
        <w:r w:rsidR="00E40098" w:rsidRPr="00096D2A">
          <w:rPr>
            <w:rStyle w:val="Hyperlink"/>
            <w:noProof/>
          </w:rPr>
          <w:t>Figure 3</w:t>
        </w:r>
        <w:r w:rsidR="00E40098" w:rsidRPr="00096D2A">
          <w:rPr>
            <w:rStyle w:val="Hyperlink"/>
            <w:noProof/>
          </w:rPr>
          <w:noBreakHyphen/>
          <w:t>1 Waste Stream Management Plan</w:t>
        </w:r>
        <w:r w:rsidR="00E40098">
          <w:rPr>
            <w:noProof/>
            <w:webHidden/>
          </w:rPr>
          <w:tab/>
        </w:r>
        <w:r w:rsidR="00E40098">
          <w:rPr>
            <w:noProof/>
            <w:webHidden/>
          </w:rPr>
          <w:fldChar w:fldCharType="begin"/>
        </w:r>
        <w:r w:rsidR="00E40098">
          <w:rPr>
            <w:noProof/>
            <w:webHidden/>
          </w:rPr>
          <w:instrText xml:space="preserve"> PAGEREF _Toc235805734 \h </w:instrText>
        </w:r>
        <w:r w:rsidR="00E40098">
          <w:rPr>
            <w:noProof/>
            <w:webHidden/>
          </w:rPr>
        </w:r>
        <w:r w:rsidR="00E40098">
          <w:rPr>
            <w:noProof/>
            <w:webHidden/>
          </w:rPr>
          <w:fldChar w:fldCharType="separate"/>
        </w:r>
        <w:r w:rsidR="00E40098">
          <w:rPr>
            <w:noProof/>
            <w:webHidden/>
          </w:rPr>
          <w:t>4</w:t>
        </w:r>
        <w:r w:rsidR="00E40098">
          <w:rPr>
            <w:noProof/>
            <w:webHidden/>
          </w:rPr>
          <w:fldChar w:fldCharType="end"/>
        </w:r>
      </w:hyperlink>
    </w:p>
    <w:p w14:paraId="7193AD7C" w14:textId="1D8E0424" w:rsidR="00E40098" w:rsidRDefault="00E4009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5735" w:history="1">
        <w:r w:rsidRPr="00096D2A">
          <w:rPr>
            <w:rStyle w:val="Hyperlink"/>
            <w:noProof/>
          </w:rPr>
          <w:t>Figure 4</w:t>
        </w:r>
        <w:r w:rsidRPr="00096D2A">
          <w:rPr>
            <w:rStyle w:val="Hyperlink"/>
            <w:noProof/>
          </w:rPr>
          <w:noBreakHyphen/>
          <w:t>1 Requirements</w:t>
        </w:r>
        <w:r>
          <w:rPr>
            <w:noProof/>
            <w:webHidden/>
          </w:rPr>
          <w:tab/>
        </w:r>
        <w:r>
          <w:rPr>
            <w:noProof/>
            <w:webHidden/>
          </w:rPr>
          <w:fldChar w:fldCharType="begin"/>
        </w:r>
        <w:r>
          <w:rPr>
            <w:noProof/>
            <w:webHidden/>
          </w:rPr>
          <w:instrText xml:space="preserve"> PAGEREF _Toc235805735 \h </w:instrText>
        </w:r>
        <w:r>
          <w:rPr>
            <w:noProof/>
            <w:webHidden/>
          </w:rPr>
        </w:r>
        <w:r>
          <w:rPr>
            <w:noProof/>
            <w:webHidden/>
          </w:rPr>
          <w:fldChar w:fldCharType="separate"/>
        </w:r>
        <w:r>
          <w:rPr>
            <w:noProof/>
            <w:webHidden/>
          </w:rPr>
          <w:t>5</w:t>
        </w:r>
        <w:r>
          <w:rPr>
            <w:noProof/>
            <w:webHidden/>
          </w:rPr>
          <w:fldChar w:fldCharType="end"/>
        </w:r>
      </w:hyperlink>
    </w:p>
    <w:p w14:paraId="4973755E" w14:textId="2A15F11F" w:rsidR="00E40098" w:rsidRDefault="00E4009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5736" w:history="1">
        <w:r w:rsidRPr="00096D2A">
          <w:rPr>
            <w:rStyle w:val="Hyperlink"/>
            <w:noProof/>
          </w:rPr>
          <w:t>Figure 4</w:t>
        </w:r>
        <w:r w:rsidRPr="00096D2A">
          <w:rPr>
            <w:rStyle w:val="Hyperlink"/>
            <w:noProof/>
          </w:rPr>
          <w:noBreakHyphen/>
          <w:t>2 Pairwise</w:t>
        </w:r>
        <w:r>
          <w:rPr>
            <w:noProof/>
            <w:webHidden/>
          </w:rPr>
          <w:tab/>
        </w:r>
        <w:r>
          <w:rPr>
            <w:noProof/>
            <w:webHidden/>
          </w:rPr>
          <w:fldChar w:fldCharType="begin"/>
        </w:r>
        <w:r>
          <w:rPr>
            <w:noProof/>
            <w:webHidden/>
          </w:rPr>
          <w:instrText xml:space="preserve"> PAGEREF _Toc235805736 \h </w:instrText>
        </w:r>
        <w:r>
          <w:rPr>
            <w:noProof/>
            <w:webHidden/>
          </w:rPr>
        </w:r>
        <w:r>
          <w:rPr>
            <w:noProof/>
            <w:webHidden/>
          </w:rPr>
          <w:fldChar w:fldCharType="separate"/>
        </w:r>
        <w:r>
          <w:rPr>
            <w:noProof/>
            <w:webHidden/>
          </w:rPr>
          <w:t>6</w:t>
        </w:r>
        <w:r>
          <w:rPr>
            <w:noProof/>
            <w:webHidden/>
          </w:rPr>
          <w:fldChar w:fldCharType="end"/>
        </w:r>
      </w:hyperlink>
    </w:p>
    <w:p w14:paraId="6D6A72A2" w14:textId="13D7F0DD" w:rsidR="00E40098" w:rsidRDefault="00E4009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5737" w:history="1">
        <w:r w:rsidRPr="00096D2A">
          <w:rPr>
            <w:rStyle w:val="Hyperlink"/>
            <w:noProof/>
          </w:rPr>
          <w:t>Figure 4</w:t>
        </w:r>
        <w:r w:rsidRPr="00096D2A">
          <w:rPr>
            <w:rStyle w:val="Hyperlink"/>
            <w:noProof/>
          </w:rPr>
          <w:noBreakHyphen/>
          <w:t>3 Function Means Analysis</w:t>
        </w:r>
        <w:r>
          <w:rPr>
            <w:noProof/>
            <w:webHidden/>
          </w:rPr>
          <w:tab/>
        </w:r>
        <w:r>
          <w:rPr>
            <w:noProof/>
            <w:webHidden/>
          </w:rPr>
          <w:fldChar w:fldCharType="begin"/>
        </w:r>
        <w:r>
          <w:rPr>
            <w:noProof/>
            <w:webHidden/>
          </w:rPr>
          <w:instrText xml:space="preserve"> PAGEREF _Toc235805737 \h </w:instrText>
        </w:r>
        <w:r>
          <w:rPr>
            <w:noProof/>
            <w:webHidden/>
          </w:rPr>
        </w:r>
        <w:r>
          <w:rPr>
            <w:noProof/>
            <w:webHidden/>
          </w:rPr>
          <w:fldChar w:fldCharType="separate"/>
        </w:r>
        <w:r>
          <w:rPr>
            <w:noProof/>
            <w:webHidden/>
          </w:rPr>
          <w:t>6</w:t>
        </w:r>
        <w:r>
          <w:rPr>
            <w:noProof/>
            <w:webHidden/>
          </w:rPr>
          <w:fldChar w:fldCharType="end"/>
        </w:r>
      </w:hyperlink>
    </w:p>
    <w:p w14:paraId="27BCA8BD" w14:textId="5C8FB978" w:rsidR="00E40098" w:rsidRDefault="00E4009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35805738" w:history="1">
        <w:r w:rsidRPr="00096D2A">
          <w:rPr>
            <w:rStyle w:val="Hyperlink"/>
            <w:noProof/>
          </w:rPr>
          <w:t>Figure 4</w:t>
        </w:r>
        <w:r w:rsidRPr="00096D2A">
          <w:rPr>
            <w:rStyle w:val="Hyperlink"/>
            <w:noProof/>
          </w:rPr>
          <w:noBreakHyphen/>
          <w:t>4 P Diagram</w:t>
        </w:r>
        <w:r>
          <w:rPr>
            <w:noProof/>
            <w:webHidden/>
          </w:rPr>
          <w:tab/>
        </w:r>
        <w:r>
          <w:rPr>
            <w:noProof/>
            <w:webHidden/>
          </w:rPr>
          <w:fldChar w:fldCharType="begin"/>
        </w:r>
        <w:r>
          <w:rPr>
            <w:noProof/>
            <w:webHidden/>
          </w:rPr>
          <w:instrText xml:space="preserve"> PAGEREF _Toc235805738 \h </w:instrText>
        </w:r>
        <w:r>
          <w:rPr>
            <w:noProof/>
            <w:webHidden/>
          </w:rPr>
        </w:r>
        <w:r>
          <w:rPr>
            <w:noProof/>
            <w:webHidden/>
          </w:rPr>
          <w:fldChar w:fldCharType="separate"/>
        </w:r>
        <w:r>
          <w:rPr>
            <w:noProof/>
            <w:webHidden/>
          </w:rPr>
          <w:t>7</w:t>
        </w:r>
        <w:r>
          <w:rPr>
            <w:noProof/>
            <w:webHidden/>
          </w:rPr>
          <w:fldChar w:fldCharType="end"/>
        </w:r>
      </w:hyperlink>
    </w:p>
    <w:p w14:paraId="56DB9F22" w14:textId="0BA2261E" w:rsidR="00DA28B2" w:rsidRDefault="00B765F2" w:rsidP="00941D35">
      <w:r>
        <w:fldChar w:fldCharType="end"/>
      </w:r>
    </w:p>
    <w:p w14:paraId="28AA6BF1" w14:textId="18A77FB9" w:rsidR="00DA28B2" w:rsidRDefault="007F0255" w:rsidP="00361EFD">
      <w:pPr>
        <w:pStyle w:val="Heading1nonumber"/>
      </w:pPr>
      <w:bookmarkStart w:id="9" w:name="_Toc235805727"/>
      <w:r>
        <w:t xml:space="preserve">List of </w:t>
      </w:r>
      <w:r w:rsidR="004C2C9C">
        <w:t>A</w:t>
      </w:r>
      <w:r>
        <w:t>bbreviations</w:t>
      </w:r>
      <w:bookmarkEnd w:id="9"/>
    </w:p>
    <w:tbl>
      <w:tblPr>
        <w:tblStyle w:val="TableGrid"/>
        <w:tblW w:w="0" w:type="auto"/>
        <w:tblLook w:val="04A0" w:firstRow="1" w:lastRow="0" w:firstColumn="1" w:lastColumn="0" w:noHBand="0" w:noVBand="1"/>
      </w:tblPr>
      <w:tblGrid>
        <w:gridCol w:w="1403"/>
        <w:gridCol w:w="7091"/>
      </w:tblGrid>
      <w:tr w:rsidR="00361EFD" w14:paraId="4AAA4B8D" w14:textId="77777777" w:rsidTr="005C2687">
        <w:tc>
          <w:tcPr>
            <w:tcW w:w="1403" w:type="dxa"/>
          </w:tcPr>
          <w:p w14:paraId="2CFBC5D5" w14:textId="35396451" w:rsidR="00361EFD" w:rsidRDefault="001F1CF2" w:rsidP="00361EFD">
            <w:pPr>
              <w:pStyle w:val="TableText"/>
            </w:pPr>
            <w:r>
              <w:t>AOP</w:t>
            </w:r>
          </w:p>
        </w:tc>
        <w:tc>
          <w:tcPr>
            <w:tcW w:w="7091" w:type="dxa"/>
          </w:tcPr>
          <w:p w14:paraId="51E14895" w14:textId="1AE10BE6" w:rsidR="00361EFD" w:rsidRDefault="001F1CF2" w:rsidP="00361EFD">
            <w:pPr>
              <w:pStyle w:val="TableText"/>
            </w:pPr>
            <w:r>
              <w:t>Allied Ordnance Publication</w:t>
            </w:r>
          </w:p>
        </w:tc>
      </w:tr>
      <w:tr w:rsidR="00361EFD" w14:paraId="0FA31D44" w14:textId="77777777" w:rsidTr="005C2687">
        <w:tc>
          <w:tcPr>
            <w:tcW w:w="1403" w:type="dxa"/>
          </w:tcPr>
          <w:p w14:paraId="02214EBF" w14:textId="49403676" w:rsidR="00361EFD" w:rsidRDefault="001F1CF2" w:rsidP="00361EFD">
            <w:pPr>
              <w:pStyle w:val="TableText"/>
            </w:pPr>
            <w:r>
              <w:t>COSHH</w:t>
            </w:r>
          </w:p>
        </w:tc>
        <w:tc>
          <w:tcPr>
            <w:tcW w:w="7091" w:type="dxa"/>
          </w:tcPr>
          <w:p w14:paraId="52D6A5CA" w14:textId="69B724A1" w:rsidR="00361EFD" w:rsidRDefault="001F1CF2" w:rsidP="00361EFD">
            <w:pPr>
              <w:pStyle w:val="TableText"/>
            </w:pPr>
            <w:r>
              <w:t>Control of Substances Hazardous to Health</w:t>
            </w:r>
          </w:p>
        </w:tc>
      </w:tr>
      <w:tr w:rsidR="00361EFD" w14:paraId="10539495" w14:textId="77777777" w:rsidTr="005C2687">
        <w:tc>
          <w:tcPr>
            <w:tcW w:w="1403" w:type="dxa"/>
          </w:tcPr>
          <w:p w14:paraId="7FA66CE0" w14:textId="6DFF9CDA" w:rsidR="00361EFD" w:rsidRDefault="001F1CF2" w:rsidP="00361EFD">
            <w:pPr>
              <w:pStyle w:val="TableText"/>
            </w:pPr>
            <w:r>
              <w:t>DE&amp;S</w:t>
            </w:r>
          </w:p>
        </w:tc>
        <w:tc>
          <w:tcPr>
            <w:tcW w:w="7091" w:type="dxa"/>
          </w:tcPr>
          <w:p w14:paraId="2EABCFE7" w14:textId="4DFF1CE3" w:rsidR="00361EFD" w:rsidRDefault="001F1CF2" w:rsidP="00361EFD">
            <w:pPr>
              <w:pStyle w:val="TableText"/>
            </w:pPr>
            <w:r>
              <w:t>Defence Equipment and Support</w:t>
            </w:r>
          </w:p>
        </w:tc>
      </w:tr>
      <w:tr w:rsidR="00361EFD" w14:paraId="0AE06573" w14:textId="77777777" w:rsidTr="005C2687">
        <w:tc>
          <w:tcPr>
            <w:tcW w:w="1403" w:type="dxa"/>
          </w:tcPr>
          <w:p w14:paraId="7177CC6D" w14:textId="322C0F28" w:rsidR="00361EFD" w:rsidRDefault="001F1CF2" w:rsidP="00361EFD">
            <w:pPr>
              <w:pStyle w:val="TableText"/>
            </w:pPr>
            <w:r>
              <w:t>Def Stan</w:t>
            </w:r>
          </w:p>
        </w:tc>
        <w:tc>
          <w:tcPr>
            <w:tcW w:w="7091" w:type="dxa"/>
          </w:tcPr>
          <w:p w14:paraId="1BEA698F" w14:textId="321EF579" w:rsidR="00361EFD" w:rsidRDefault="001F1CF2" w:rsidP="00361EFD">
            <w:pPr>
              <w:pStyle w:val="TableText"/>
            </w:pPr>
            <w:r>
              <w:t>Defence Standard</w:t>
            </w:r>
          </w:p>
        </w:tc>
      </w:tr>
      <w:tr w:rsidR="00361EFD" w14:paraId="40D477AD" w14:textId="77777777" w:rsidTr="005C2687">
        <w:tc>
          <w:tcPr>
            <w:tcW w:w="1403" w:type="dxa"/>
          </w:tcPr>
          <w:p w14:paraId="5DA09FBA" w14:textId="7FF339D1" w:rsidR="00361EFD" w:rsidRDefault="001F1CF2" w:rsidP="00361EFD">
            <w:pPr>
              <w:pStyle w:val="TableText"/>
            </w:pPr>
            <w:r>
              <w:t>DSA</w:t>
            </w:r>
          </w:p>
        </w:tc>
        <w:tc>
          <w:tcPr>
            <w:tcW w:w="7091" w:type="dxa"/>
          </w:tcPr>
          <w:p w14:paraId="761C9030" w14:textId="2EE7A911" w:rsidR="00361EFD" w:rsidRDefault="001F1CF2" w:rsidP="00361EFD">
            <w:pPr>
              <w:pStyle w:val="TableText"/>
            </w:pPr>
            <w:r>
              <w:t>Defence Safety Authority</w:t>
            </w:r>
          </w:p>
        </w:tc>
      </w:tr>
      <w:tr w:rsidR="001F1CF2" w14:paraId="537A0230" w14:textId="77777777" w:rsidTr="005C2687">
        <w:tc>
          <w:tcPr>
            <w:tcW w:w="1403" w:type="dxa"/>
          </w:tcPr>
          <w:p w14:paraId="25EB3D5B" w14:textId="7BAE6A97" w:rsidR="001F1CF2" w:rsidRDefault="005B2B7C" w:rsidP="00361EFD">
            <w:pPr>
              <w:pStyle w:val="TableText"/>
            </w:pPr>
            <w:r>
              <w:t>FMA</w:t>
            </w:r>
          </w:p>
        </w:tc>
        <w:tc>
          <w:tcPr>
            <w:tcW w:w="7091" w:type="dxa"/>
          </w:tcPr>
          <w:p w14:paraId="4C9D8EBF" w14:textId="2D8C3CC7" w:rsidR="001F1CF2" w:rsidRDefault="005B2B7C" w:rsidP="00361EFD">
            <w:pPr>
              <w:pStyle w:val="TableText"/>
            </w:pPr>
            <w:r>
              <w:t>Function Means Analysis</w:t>
            </w:r>
          </w:p>
        </w:tc>
      </w:tr>
      <w:tr w:rsidR="001F1CF2" w14:paraId="5A645473" w14:textId="77777777" w:rsidTr="005C2687">
        <w:tc>
          <w:tcPr>
            <w:tcW w:w="1403" w:type="dxa"/>
          </w:tcPr>
          <w:p w14:paraId="0AB2CC40" w14:textId="1828D7F7" w:rsidR="001F1CF2" w:rsidRDefault="005B2B7C" w:rsidP="00361EFD">
            <w:pPr>
              <w:pStyle w:val="TableText"/>
            </w:pPr>
            <w:r>
              <w:t>GPR</w:t>
            </w:r>
          </w:p>
        </w:tc>
        <w:tc>
          <w:tcPr>
            <w:tcW w:w="7091" w:type="dxa"/>
          </w:tcPr>
          <w:p w14:paraId="08525A71" w14:textId="2C00541F" w:rsidR="001F1CF2" w:rsidRDefault="005B2B7C" w:rsidP="00361EFD">
            <w:pPr>
              <w:pStyle w:val="TableText"/>
            </w:pPr>
            <w:r>
              <w:t>Ground Penetrating Radar</w:t>
            </w:r>
          </w:p>
        </w:tc>
      </w:tr>
      <w:tr w:rsidR="001F1CF2" w14:paraId="78250A08" w14:textId="77777777" w:rsidTr="005C2687">
        <w:tc>
          <w:tcPr>
            <w:tcW w:w="1403" w:type="dxa"/>
          </w:tcPr>
          <w:p w14:paraId="5608B0D8" w14:textId="7E49DC99" w:rsidR="001F1CF2" w:rsidRDefault="005B2B7C" w:rsidP="00361EFD">
            <w:pPr>
              <w:pStyle w:val="TableText"/>
            </w:pPr>
            <w:r>
              <w:t>IR</w:t>
            </w:r>
          </w:p>
        </w:tc>
        <w:tc>
          <w:tcPr>
            <w:tcW w:w="7091" w:type="dxa"/>
          </w:tcPr>
          <w:p w14:paraId="26752BFB" w14:textId="655D934B" w:rsidR="001F1CF2" w:rsidRDefault="005B2B7C" w:rsidP="00361EFD">
            <w:pPr>
              <w:pStyle w:val="TableText"/>
            </w:pPr>
            <w:r>
              <w:t>Infrared</w:t>
            </w:r>
          </w:p>
        </w:tc>
      </w:tr>
      <w:tr w:rsidR="001F1CF2" w14:paraId="075B3947" w14:textId="77777777" w:rsidTr="005C2687">
        <w:tc>
          <w:tcPr>
            <w:tcW w:w="1403" w:type="dxa"/>
          </w:tcPr>
          <w:p w14:paraId="3FFECA8B" w14:textId="0D3DABD2" w:rsidR="001F1CF2" w:rsidRDefault="005B2B7C" w:rsidP="00361EFD">
            <w:pPr>
              <w:pStyle w:val="TableText"/>
            </w:pPr>
            <w:r>
              <w:t>JSP</w:t>
            </w:r>
          </w:p>
        </w:tc>
        <w:tc>
          <w:tcPr>
            <w:tcW w:w="7091" w:type="dxa"/>
          </w:tcPr>
          <w:p w14:paraId="2CAD1715" w14:textId="7B01DDCC" w:rsidR="001F1CF2" w:rsidRDefault="005B2B7C" w:rsidP="00361EFD">
            <w:pPr>
              <w:pStyle w:val="TableText"/>
            </w:pPr>
            <w:r>
              <w:t>Joint Service Publications</w:t>
            </w:r>
          </w:p>
        </w:tc>
      </w:tr>
      <w:tr w:rsidR="001F1CF2" w14:paraId="557CF61E" w14:textId="77777777" w:rsidTr="005C2687">
        <w:tc>
          <w:tcPr>
            <w:tcW w:w="1403" w:type="dxa"/>
          </w:tcPr>
          <w:p w14:paraId="51B1188E" w14:textId="56FC7F1D" w:rsidR="001F1CF2" w:rsidRDefault="005B2B7C" w:rsidP="00361EFD">
            <w:pPr>
              <w:pStyle w:val="TableText"/>
            </w:pPr>
            <w:r>
              <w:t>MANPADS</w:t>
            </w:r>
          </w:p>
        </w:tc>
        <w:tc>
          <w:tcPr>
            <w:tcW w:w="7091" w:type="dxa"/>
          </w:tcPr>
          <w:p w14:paraId="1207EF88" w14:textId="1843BF35" w:rsidR="001F1CF2" w:rsidRDefault="00CE7B08" w:rsidP="00361EFD">
            <w:pPr>
              <w:pStyle w:val="TableText"/>
            </w:pPr>
            <w:r>
              <w:t>Man-Portable Air-Defence Systems</w:t>
            </w:r>
          </w:p>
        </w:tc>
      </w:tr>
      <w:tr w:rsidR="005B2B7C" w14:paraId="6A93E562" w14:textId="77777777" w:rsidTr="005C2687">
        <w:tc>
          <w:tcPr>
            <w:tcW w:w="1403" w:type="dxa"/>
          </w:tcPr>
          <w:p w14:paraId="31BAE2F3" w14:textId="099CEEE3" w:rsidR="005B2B7C" w:rsidRDefault="00CE7B08" w:rsidP="00361EFD">
            <w:pPr>
              <w:pStyle w:val="TableText"/>
            </w:pPr>
            <w:r>
              <w:t>MoD</w:t>
            </w:r>
          </w:p>
        </w:tc>
        <w:tc>
          <w:tcPr>
            <w:tcW w:w="7091" w:type="dxa"/>
          </w:tcPr>
          <w:p w14:paraId="69A142FD" w14:textId="0EB15494" w:rsidR="005B2B7C" w:rsidRDefault="00CE7B08" w:rsidP="00361EFD">
            <w:pPr>
              <w:pStyle w:val="TableText"/>
            </w:pPr>
            <w:r>
              <w:t>Ministry of Defence</w:t>
            </w:r>
          </w:p>
        </w:tc>
      </w:tr>
      <w:tr w:rsidR="005B2B7C" w14:paraId="0D3FAB9E" w14:textId="77777777" w:rsidTr="005C2687">
        <w:tc>
          <w:tcPr>
            <w:tcW w:w="1403" w:type="dxa"/>
          </w:tcPr>
          <w:p w14:paraId="46D3DC02" w14:textId="1B2462A5" w:rsidR="005B2B7C" w:rsidRDefault="00CE7B08" w:rsidP="00361EFD">
            <w:pPr>
              <w:pStyle w:val="TableText"/>
            </w:pPr>
            <w:r>
              <w:t>OME</w:t>
            </w:r>
          </w:p>
        </w:tc>
        <w:tc>
          <w:tcPr>
            <w:tcW w:w="7091" w:type="dxa"/>
          </w:tcPr>
          <w:p w14:paraId="48AC18C9" w14:textId="249A2A16" w:rsidR="005B2B7C" w:rsidRDefault="00CE7B08" w:rsidP="00361EFD">
            <w:pPr>
              <w:pStyle w:val="TableText"/>
            </w:pPr>
            <w:r>
              <w:t>Ordnance, Munitions and Explosives</w:t>
            </w:r>
          </w:p>
        </w:tc>
      </w:tr>
      <w:tr w:rsidR="005B2B7C" w14:paraId="090DA1B5" w14:textId="77777777" w:rsidTr="005C2687">
        <w:tc>
          <w:tcPr>
            <w:tcW w:w="1403" w:type="dxa"/>
          </w:tcPr>
          <w:p w14:paraId="5EA782A5" w14:textId="1173B001" w:rsidR="005B2B7C" w:rsidRDefault="005C2687" w:rsidP="00361EFD">
            <w:pPr>
              <w:pStyle w:val="TableText"/>
            </w:pPr>
            <w:r>
              <w:t>QFD</w:t>
            </w:r>
          </w:p>
        </w:tc>
        <w:tc>
          <w:tcPr>
            <w:tcW w:w="7091" w:type="dxa"/>
          </w:tcPr>
          <w:p w14:paraId="5B4BE143" w14:textId="14C9D709" w:rsidR="005B2B7C" w:rsidRDefault="005C2687" w:rsidP="00361EFD">
            <w:pPr>
              <w:pStyle w:val="TableText"/>
            </w:pPr>
            <w:r>
              <w:t>Quality Function Deployment</w:t>
            </w:r>
          </w:p>
        </w:tc>
      </w:tr>
      <w:tr w:rsidR="005B2B7C" w14:paraId="415D82EB" w14:textId="77777777" w:rsidTr="005C2687">
        <w:tc>
          <w:tcPr>
            <w:tcW w:w="1403" w:type="dxa"/>
          </w:tcPr>
          <w:p w14:paraId="6B01527A" w14:textId="2F8AECA3" w:rsidR="005B2B7C" w:rsidRDefault="005C2687" w:rsidP="00361EFD">
            <w:pPr>
              <w:pStyle w:val="TableText"/>
            </w:pPr>
            <w:r>
              <w:t>REACH</w:t>
            </w:r>
          </w:p>
        </w:tc>
        <w:tc>
          <w:tcPr>
            <w:tcW w:w="7091" w:type="dxa"/>
          </w:tcPr>
          <w:p w14:paraId="2CC5F53A" w14:textId="522631A8" w:rsidR="005B2B7C" w:rsidRDefault="005C2687" w:rsidP="00361EFD">
            <w:pPr>
              <w:pStyle w:val="TableText"/>
            </w:pPr>
            <w:r w:rsidRPr="005C2687">
              <w:t>Registration, Evaluation, Authorisation and Restriction of Chemicals</w:t>
            </w:r>
          </w:p>
        </w:tc>
      </w:tr>
      <w:tr w:rsidR="005B2B7C" w14:paraId="639466D1" w14:textId="77777777" w:rsidTr="005C2687">
        <w:tc>
          <w:tcPr>
            <w:tcW w:w="1403" w:type="dxa"/>
          </w:tcPr>
          <w:p w14:paraId="3B744AD6" w14:textId="01761448" w:rsidR="005B2B7C" w:rsidRDefault="005C2687" w:rsidP="00361EFD">
            <w:pPr>
              <w:pStyle w:val="TableText"/>
            </w:pPr>
            <w:r>
              <w:t>RoHS</w:t>
            </w:r>
          </w:p>
        </w:tc>
        <w:tc>
          <w:tcPr>
            <w:tcW w:w="7091" w:type="dxa"/>
          </w:tcPr>
          <w:p w14:paraId="7767C8EF" w14:textId="6119184B" w:rsidR="005B2B7C" w:rsidRDefault="005C2687" w:rsidP="00361EFD">
            <w:pPr>
              <w:pStyle w:val="TableText"/>
            </w:pPr>
            <w:r w:rsidRPr="005C2687">
              <w:t>Restriction of Hazardous Substances</w:t>
            </w:r>
          </w:p>
        </w:tc>
      </w:tr>
      <w:tr w:rsidR="005B2B7C" w14:paraId="39F5EF77" w14:textId="77777777" w:rsidTr="005C2687">
        <w:tc>
          <w:tcPr>
            <w:tcW w:w="1403" w:type="dxa"/>
          </w:tcPr>
          <w:p w14:paraId="4F3952A4" w14:textId="6A505A25" w:rsidR="005B2B7C" w:rsidRDefault="00D66A3E" w:rsidP="00361EFD">
            <w:pPr>
              <w:pStyle w:val="TableText"/>
            </w:pPr>
            <w:r>
              <w:t>WEE</w:t>
            </w:r>
          </w:p>
        </w:tc>
        <w:tc>
          <w:tcPr>
            <w:tcW w:w="7091" w:type="dxa"/>
          </w:tcPr>
          <w:p w14:paraId="65243AF0" w14:textId="275FD60D" w:rsidR="005B2B7C" w:rsidRDefault="00D66A3E" w:rsidP="00361EFD">
            <w:pPr>
              <w:pStyle w:val="TableText"/>
            </w:pPr>
            <w:r w:rsidRPr="00D66A3E">
              <w:t>Waste Electrical and Electronic Equipment</w:t>
            </w: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footerReference w:type="default" r:id="rId13"/>
          <w:pgSz w:w="11906" w:h="16838" w:code="9"/>
          <w:pgMar w:top="1701" w:right="1701" w:bottom="1701" w:left="1701" w:header="709" w:footer="851" w:gutter="0"/>
          <w:pgNumType w:fmt="lowerRoman"/>
          <w:cols w:space="708"/>
          <w:docGrid w:linePitch="360"/>
        </w:sectPr>
      </w:pPr>
    </w:p>
    <w:p w14:paraId="5321A288" w14:textId="724563F1" w:rsidR="008D5D60" w:rsidRDefault="00893417" w:rsidP="00C53236">
      <w:pPr>
        <w:pStyle w:val="Heading1"/>
      </w:pPr>
      <w:bookmarkStart w:id="10" w:name="_Toc51833421"/>
      <w:bookmarkStart w:id="11" w:name="_Toc235805728"/>
      <w:r>
        <w:lastRenderedPageBreak/>
        <w:t>Introduction</w:t>
      </w:r>
      <w:bookmarkEnd w:id="11"/>
    </w:p>
    <w:p w14:paraId="5EA5CBFC" w14:textId="6B1D2D8E" w:rsidR="00713424" w:rsidRPr="00713424" w:rsidRDefault="00C70BDF" w:rsidP="008B45BD">
      <w:pPr>
        <w:jc w:val="left"/>
      </w:pPr>
      <w:r>
        <w:t xml:space="preserve">The goal of this project was to work as a team with </w:t>
      </w:r>
      <w:r w:rsidR="00CD27EB">
        <w:t xml:space="preserve">a group of selected individuals with varied </w:t>
      </w:r>
      <w:r w:rsidR="00A001EB">
        <w:t xml:space="preserve">experience and skills, using </w:t>
      </w:r>
      <w:r w:rsidR="00E113BE">
        <w:t xml:space="preserve">a systems engineering tool set to solve a </w:t>
      </w:r>
      <w:r w:rsidR="00136B3E">
        <w:t xml:space="preserve">problem statement. </w:t>
      </w:r>
      <w:r w:rsidR="00B16737">
        <w:t xml:space="preserve">The </w:t>
      </w:r>
      <w:r w:rsidR="008B45BD">
        <w:t>problem statement was to design system capable of detecting, communicating and neutralising OZM-72 anti-personnel mines and M15 anti-tank mines to allow medical supplies to pass through a steep walled desert pass. Use of helicopters is unviable due to threat of MANPADS. The solution needs to be portable by Land Rover or Hi-Lux. Python is not an authorised solution due to vulnerability to bullet/ fragment attack.</w:t>
      </w:r>
    </w:p>
    <w:bookmarkEnd w:id="10"/>
    <w:p w14:paraId="1BE130F1" w14:textId="103B172E" w:rsidR="00941D35" w:rsidRDefault="008E6A37" w:rsidP="00941D35">
      <w:r>
        <w:t xml:space="preserve">Specific roles were assigned to the members of the design team. </w:t>
      </w:r>
      <w:r w:rsidR="00B61E5E">
        <w:t>They were assigned a random and the roles given were; Research and Dev</w:t>
      </w:r>
      <w:r w:rsidR="003F046C">
        <w:t>elopment – Uwais Patel and Emma Hughes, Manufacturing and Procurement – Tegan Ingram, Test and Evaluation – Henry Whittington</w:t>
      </w:r>
      <w:r w:rsidR="00AA1ED5">
        <w:t>, Safety and Legislation – Emma Biggs, and Breakdown and Disposal – Matt Claridge.</w:t>
      </w:r>
    </w:p>
    <w:p w14:paraId="4F0503EC" w14:textId="77777777" w:rsidR="00953853" w:rsidRDefault="00953853" w:rsidP="00941D35"/>
    <w:p w14:paraId="1FEB8415" w14:textId="77777777" w:rsidR="00953853" w:rsidRPr="00941D35" w:rsidRDefault="00953853" w:rsidP="00941D35"/>
    <w:p w14:paraId="31DC5D99" w14:textId="77777777" w:rsidR="00941D35" w:rsidRPr="00941D35" w:rsidRDefault="00941D35" w:rsidP="00941D35">
      <w:pPr>
        <w:sectPr w:rsidR="00941D35" w:rsidRPr="00941D35" w:rsidSect="00623A81">
          <w:headerReference w:type="default" r:id="rId14"/>
          <w:pgSz w:w="11906" w:h="16838" w:code="9"/>
          <w:pgMar w:top="1701" w:right="1701" w:bottom="1701" w:left="1701" w:header="709" w:footer="851" w:gutter="0"/>
          <w:pgNumType w:start="1"/>
          <w:cols w:space="708"/>
          <w:docGrid w:linePitch="360"/>
        </w:sectPr>
      </w:pPr>
    </w:p>
    <w:p w14:paraId="6DFF7F43" w14:textId="13A2B791" w:rsidR="007D48F0" w:rsidRDefault="00427D09" w:rsidP="007D48F0">
      <w:pPr>
        <w:pStyle w:val="Heading1"/>
      </w:pPr>
      <w:bookmarkStart w:id="12" w:name="_Toc235805729"/>
      <w:r>
        <w:lastRenderedPageBreak/>
        <w:t>Research Informed Literature</w:t>
      </w:r>
      <w:bookmarkEnd w:id="12"/>
    </w:p>
    <w:p w14:paraId="6079B240" w14:textId="4490C136" w:rsidR="00F17ADD" w:rsidRDefault="007622E9" w:rsidP="00C72F09">
      <w:pPr>
        <w:jc w:val="left"/>
      </w:pPr>
      <w:r>
        <w:t>With a</w:t>
      </w:r>
      <w:r w:rsidR="00660D42">
        <w:t xml:space="preserve"> design focus on </w:t>
      </w:r>
      <w:r w:rsidR="002E3793">
        <w:t>breakdown and disposal</w:t>
      </w:r>
      <w:r w:rsidR="005C50F0">
        <w:t xml:space="preserve"> there </w:t>
      </w:r>
      <w:r w:rsidR="0053470C">
        <w:t xml:space="preserve">were </w:t>
      </w:r>
      <w:r w:rsidR="00C72F09">
        <w:t xml:space="preserve">several </w:t>
      </w:r>
      <w:r w:rsidR="0053470C">
        <w:t xml:space="preserve">key </w:t>
      </w:r>
      <w:r w:rsidR="00CE178B">
        <w:t>standards and regulation</w:t>
      </w:r>
      <w:r w:rsidR="00EE2F35">
        <w:t xml:space="preserve">s to be considered. </w:t>
      </w:r>
      <w:r w:rsidR="005066A1">
        <w:t>The d</w:t>
      </w:r>
      <w:r w:rsidR="00F17ADD">
        <w:t>ecomm</w:t>
      </w:r>
      <w:r w:rsidR="001E48C0">
        <w:t xml:space="preserve">issioning of military systems requires compliance </w:t>
      </w:r>
      <w:r w:rsidR="006E5EBE">
        <w:t>with UK Ministry of Defence (MoD) policy and statu</w:t>
      </w:r>
      <w:r w:rsidR="005066A1">
        <w:t>tory environmental legislation.</w:t>
      </w:r>
    </w:p>
    <w:p w14:paraId="3FBC475E" w14:textId="5851EAD5" w:rsidR="007622E9" w:rsidRDefault="005066A1" w:rsidP="004F1DAF">
      <w:pPr>
        <w:jc w:val="left"/>
      </w:pPr>
      <w:r>
        <w:t xml:space="preserve">System acquisition </w:t>
      </w:r>
      <w:r w:rsidR="00D425E4">
        <w:t>and safety assurance are governed by</w:t>
      </w:r>
      <w:r w:rsidR="00194D66">
        <w:t xml:space="preserve"> </w:t>
      </w:r>
      <w:sdt>
        <w:sdtPr>
          <w:id w:val="-550997004"/>
          <w:citation/>
        </w:sdtPr>
        <w:sdtEndPr/>
        <w:sdtContent>
          <w:r w:rsidR="00194D66">
            <w:fldChar w:fldCharType="begin"/>
          </w:r>
          <w:r w:rsidR="00194D66">
            <w:instrText xml:space="preserve"> CITATION Def201 \l 2057 </w:instrText>
          </w:r>
          <w:r w:rsidR="00194D66">
            <w:fldChar w:fldCharType="separate"/>
          </w:r>
          <w:r w:rsidR="00E40098">
            <w:rPr>
              <w:noProof/>
            </w:rPr>
            <w:t>[1]</w:t>
          </w:r>
          <w:r w:rsidR="00194D66">
            <w:fldChar w:fldCharType="end"/>
          </w:r>
        </w:sdtContent>
      </w:sdt>
      <w:r w:rsidR="00D425E4">
        <w:t xml:space="preserve"> DSA 03 OME Pt1</w:t>
      </w:r>
      <w:r w:rsidR="003D736D">
        <w:t>, which establishes safety management requirements ac</w:t>
      </w:r>
      <w:r w:rsidR="00F567DA">
        <w:t>ross the entire lifecycle</w:t>
      </w:r>
      <w:r w:rsidR="00AD0767">
        <w:t xml:space="preserve"> of Ordnance, Munitions and Explosives.</w:t>
      </w:r>
      <w:r w:rsidR="00F06EDF">
        <w:t xml:space="preserve"> </w:t>
      </w:r>
      <w:sdt>
        <w:sdtPr>
          <w:id w:val="984510837"/>
          <w:citation/>
        </w:sdtPr>
        <w:sdtEndPr/>
        <w:sdtContent>
          <w:r w:rsidR="00313193">
            <w:fldChar w:fldCharType="begin"/>
          </w:r>
          <w:r w:rsidR="00313193">
            <w:instrText xml:space="preserve"> CITATION Nat181 \l 2057 </w:instrText>
          </w:r>
          <w:r w:rsidR="00313193">
            <w:fldChar w:fldCharType="separate"/>
          </w:r>
          <w:r w:rsidR="00E40098">
            <w:rPr>
              <w:noProof/>
            </w:rPr>
            <w:t>[2]</w:t>
          </w:r>
          <w:r w:rsidR="00313193">
            <w:fldChar w:fldCharType="end"/>
          </w:r>
        </w:sdtContent>
      </w:sdt>
      <w:r w:rsidR="00313193">
        <w:t xml:space="preserve"> </w:t>
      </w:r>
      <w:r w:rsidR="00505F78">
        <w:t>AOP-4518</w:t>
      </w:r>
      <w:r w:rsidR="00A65FBD">
        <w:t xml:space="preserve"> provides guidelines to ensure that </w:t>
      </w:r>
      <w:r w:rsidR="00734BCE">
        <w:t xml:space="preserve">the disposal of </w:t>
      </w:r>
      <w:r w:rsidR="00A65FBD">
        <w:t xml:space="preserve">munitions </w:t>
      </w:r>
      <w:r w:rsidR="00734BCE">
        <w:t xml:space="preserve">has been considered </w:t>
      </w:r>
      <w:r w:rsidR="00AE3248">
        <w:t>throughout the systems lifetime.</w:t>
      </w:r>
      <w:r w:rsidR="001C1DC9">
        <w:t xml:space="preserve"> </w:t>
      </w:r>
      <w:sdt>
        <w:sdtPr>
          <w:id w:val="1969322017"/>
          <w:citation/>
        </w:sdtPr>
        <w:sdtEndPr/>
        <w:sdtContent>
          <w:r w:rsidR="00355590">
            <w:fldChar w:fldCharType="begin"/>
          </w:r>
          <w:r w:rsidR="00355590">
            <w:instrText xml:space="preserve"> CITATION Min26 \l 2057 </w:instrText>
          </w:r>
          <w:r w:rsidR="00355590">
            <w:fldChar w:fldCharType="separate"/>
          </w:r>
          <w:r w:rsidR="00E40098">
            <w:rPr>
              <w:noProof/>
            </w:rPr>
            <w:t>[3]</w:t>
          </w:r>
          <w:r w:rsidR="00355590">
            <w:fldChar w:fldCharType="end"/>
          </w:r>
        </w:sdtContent>
      </w:sdt>
      <w:r w:rsidR="004C730A">
        <w:t xml:space="preserve"> </w:t>
      </w:r>
      <w:r w:rsidR="001C1DC9">
        <w:t xml:space="preserve">JSP 418 </w:t>
      </w:r>
      <w:r w:rsidR="00A14E11">
        <w:t>regulates waste disposal</w:t>
      </w:r>
      <w:r w:rsidR="00E60C4B">
        <w:t>, hazardous materials</w:t>
      </w:r>
      <w:r w:rsidR="009A41B9">
        <w:t xml:space="preserve"> and </w:t>
      </w:r>
      <w:r w:rsidR="00E60C4B">
        <w:t>pollution</w:t>
      </w:r>
      <w:r w:rsidR="009A41B9">
        <w:t>.</w:t>
      </w:r>
      <w:r w:rsidR="002C0E62">
        <w:t xml:space="preserve"> </w:t>
      </w:r>
      <w:sdt>
        <w:sdtPr>
          <w:id w:val="-188144770"/>
          <w:citation/>
        </w:sdtPr>
        <w:sdtEndPr/>
        <w:sdtContent>
          <w:r w:rsidR="00431EF2">
            <w:fldChar w:fldCharType="begin"/>
          </w:r>
          <w:r w:rsidR="00431EF2">
            <w:instrText xml:space="preserve"> CITATION DES24 \l 2057 </w:instrText>
          </w:r>
          <w:r w:rsidR="00431EF2">
            <w:fldChar w:fldCharType="separate"/>
          </w:r>
          <w:r w:rsidR="00E40098">
            <w:rPr>
              <w:noProof/>
            </w:rPr>
            <w:t>[4]</w:t>
          </w:r>
          <w:r w:rsidR="00431EF2">
            <w:fldChar w:fldCharType="end"/>
          </w:r>
        </w:sdtContent>
      </w:sdt>
      <w:r w:rsidR="00431EF2">
        <w:t xml:space="preserve"> </w:t>
      </w:r>
      <w:r w:rsidR="0062279B" w:rsidRPr="004B4648">
        <w:rPr>
          <w:lang w:val="en-US"/>
        </w:rPr>
        <w:t>ASEMs S&amp;EP Leaflet 20/2024</w:t>
      </w:r>
      <w:r w:rsidR="009131E9">
        <w:rPr>
          <w:lang w:val="en-US"/>
        </w:rPr>
        <w:t xml:space="preserve"> “Responsibility for Waste in DE&amp;S Acquisition</w:t>
      </w:r>
      <w:r w:rsidR="00D12E23">
        <w:rPr>
          <w:lang w:val="en-US"/>
        </w:rPr>
        <w:t>” provides guidance on legal waste obligations</w:t>
      </w:r>
      <w:r w:rsidR="00D253EB">
        <w:rPr>
          <w:lang w:val="en-US"/>
        </w:rPr>
        <w:t xml:space="preserve">. It defines waste, who is responsible for it, </w:t>
      </w:r>
      <w:r w:rsidR="002A45F9">
        <w:rPr>
          <w:lang w:val="en-US"/>
        </w:rPr>
        <w:t xml:space="preserve">establishes the need to document waste and </w:t>
      </w:r>
      <w:r w:rsidR="002A45F9" w:rsidRPr="002A45F9">
        <w:t>prioritises</w:t>
      </w:r>
      <w:r w:rsidR="002A45F9">
        <w:rPr>
          <w:lang w:val="en-US"/>
        </w:rPr>
        <w:t xml:space="preserve"> a reduction of waste.</w:t>
      </w:r>
    </w:p>
    <w:p w14:paraId="3569B414" w14:textId="00108F78" w:rsidR="001C25C1" w:rsidRDefault="00152169" w:rsidP="004F1DAF">
      <w:pPr>
        <w:jc w:val="left"/>
      </w:pPr>
      <w:sdt>
        <w:sdtPr>
          <w:id w:val="-681666944"/>
          <w:citation/>
        </w:sdtPr>
        <w:sdtEndPr/>
        <w:sdtContent>
          <w:r w:rsidR="00323A99">
            <w:fldChar w:fldCharType="begin"/>
          </w:r>
          <w:r w:rsidR="00323A99">
            <w:instrText xml:space="preserve"> CITATION Off25 \l 2057 </w:instrText>
          </w:r>
          <w:r w:rsidR="00323A99">
            <w:fldChar w:fldCharType="separate"/>
          </w:r>
          <w:r w:rsidR="00E40098">
            <w:rPr>
              <w:noProof/>
            </w:rPr>
            <w:t>[5]</w:t>
          </w:r>
          <w:r w:rsidR="00323A99">
            <w:fldChar w:fldCharType="end"/>
          </w:r>
        </w:sdtContent>
      </w:sdt>
      <w:r w:rsidR="00323A99">
        <w:t xml:space="preserve"> </w:t>
      </w:r>
      <w:r w:rsidR="0087313B">
        <w:t xml:space="preserve">Waste Electrical and Electronic Equipment (WEEE) </w:t>
      </w:r>
      <w:r w:rsidR="00027D70">
        <w:t>is a framework of regulations designed to reduce waste and promote recycling</w:t>
      </w:r>
      <w:r w:rsidR="00F34026">
        <w:t>.</w:t>
      </w:r>
      <w:r w:rsidR="00E704FF">
        <w:t xml:space="preserve"> </w:t>
      </w:r>
      <w:sdt>
        <w:sdtPr>
          <w:id w:val="216404254"/>
          <w:citation/>
        </w:sdtPr>
        <w:sdtEndPr/>
        <w:sdtContent>
          <w:r w:rsidR="00E704FF">
            <w:fldChar w:fldCharType="begin"/>
          </w:r>
          <w:r w:rsidR="00E704FF">
            <w:instrText xml:space="preserve"> CITATION Dep26 \l 2057 </w:instrText>
          </w:r>
          <w:r w:rsidR="00E704FF">
            <w:fldChar w:fldCharType="separate"/>
          </w:r>
          <w:r w:rsidR="00E40098">
            <w:rPr>
              <w:noProof/>
            </w:rPr>
            <w:t>[6]</w:t>
          </w:r>
          <w:r w:rsidR="00E704FF">
            <w:fldChar w:fldCharType="end"/>
          </w:r>
        </w:sdtContent>
      </w:sdt>
      <w:r w:rsidR="004F1DAF">
        <w:t xml:space="preserve"> </w:t>
      </w:r>
      <w:r w:rsidR="004F1DAF" w:rsidRPr="00047DED">
        <w:t>Environmental Protection Act 1990</w:t>
      </w:r>
      <w:r w:rsidR="004F1DAF">
        <w:t xml:space="preserve"> </w:t>
      </w:r>
      <w:r w:rsidR="009B3BE2">
        <w:t xml:space="preserve">is UK legislation </w:t>
      </w:r>
      <w:r w:rsidR="00F73812">
        <w:t>defining a structure for pollution control and waste management.</w:t>
      </w:r>
      <w:r w:rsidR="006B05A2">
        <w:t xml:space="preserve"> </w:t>
      </w:r>
      <w:sdt>
        <w:sdtPr>
          <w:id w:val="1281536008"/>
          <w:citation/>
        </w:sdtPr>
        <w:sdtEndPr/>
        <w:sdtContent>
          <w:r w:rsidR="000D1DDC">
            <w:fldChar w:fldCharType="begin"/>
          </w:r>
          <w:r w:rsidR="000D1DDC">
            <w:instrText xml:space="preserve"> CITATION Eur25 \l 2057 </w:instrText>
          </w:r>
          <w:r w:rsidR="000D1DDC">
            <w:fldChar w:fldCharType="separate"/>
          </w:r>
          <w:r w:rsidR="00E40098">
            <w:rPr>
              <w:noProof/>
            </w:rPr>
            <w:t>[7]</w:t>
          </w:r>
          <w:r w:rsidR="000D1DDC">
            <w:fldChar w:fldCharType="end"/>
          </w:r>
        </w:sdtContent>
      </w:sdt>
      <w:r w:rsidR="00FD6855">
        <w:t xml:space="preserve"> </w:t>
      </w:r>
      <w:r w:rsidR="004F2042">
        <w:t>Restriction of</w:t>
      </w:r>
      <w:r w:rsidR="00E00122">
        <w:t xml:space="preserve"> Hazardous Substances (</w:t>
      </w:r>
      <w:r w:rsidR="006B05A2">
        <w:t>RoHS</w:t>
      </w:r>
      <w:r w:rsidR="00E00122">
        <w:t xml:space="preserve">) </w:t>
      </w:r>
      <w:r w:rsidR="0089370F">
        <w:t>is a directive which restricts the use of specific hazardous materials in electrical and electronic equipment</w:t>
      </w:r>
      <w:r w:rsidR="00FD6855">
        <w:t xml:space="preserve"> such as Lead, Mercury and Cadmium.</w:t>
      </w:r>
      <w:r w:rsidR="00DB6C05">
        <w:t xml:space="preserve"> </w:t>
      </w:r>
      <w:sdt>
        <w:sdtPr>
          <w:id w:val="-679819947"/>
          <w:citation/>
        </w:sdtPr>
        <w:sdtEndPr/>
        <w:sdtContent>
          <w:r w:rsidR="00B776F5">
            <w:fldChar w:fldCharType="begin"/>
          </w:r>
          <w:r w:rsidR="00B776F5">
            <w:instrText xml:space="preserve"> CITATION Hea25 \l 2057 </w:instrText>
          </w:r>
          <w:r w:rsidR="00B776F5">
            <w:fldChar w:fldCharType="separate"/>
          </w:r>
          <w:r w:rsidR="00E40098">
            <w:rPr>
              <w:noProof/>
            </w:rPr>
            <w:t>[8]</w:t>
          </w:r>
          <w:r w:rsidR="00B776F5">
            <w:fldChar w:fldCharType="end"/>
          </w:r>
        </w:sdtContent>
      </w:sdt>
      <w:r w:rsidR="00B776F5">
        <w:t xml:space="preserve"> </w:t>
      </w:r>
      <w:r w:rsidR="00DB6C05" w:rsidRPr="003A2028">
        <w:t>Control of Substances Hazardous to Health</w:t>
      </w:r>
      <w:r w:rsidR="00DB6C05">
        <w:t xml:space="preserve"> (COSHH) </w:t>
      </w:r>
      <w:r w:rsidR="00CE3C28">
        <w:t xml:space="preserve">requires employers to protect its employees and others from hazards </w:t>
      </w:r>
      <w:r w:rsidR="00F90BF9">
        <w:t>of exposure to dangerous materials.</w:t>
      </w:r>
      <w:r w:rsidR="00B776F5">
        <w:t xml:space="preserve"> </w:t>
      </w:r>
      <w:sdt>
        <w:sdtPr>
          <w:id w:val="-1533489446"/>
          <w:citation/>
        </w:sdtPr>
        <w:sdtEndPr/>
        <w:sdtContent>
          <w:r w:rsidR="001B3646">
            <w:fldChar w:fldCharType="begin"/>
          </w:r>
          <w:r w:rsidR="001B3646">
            <w:instrText xml:space="preserve"> CITATION Eur251 \l 2057 </w:instrText>
          </w:r>
          <w:r w:rsidR="001B3646">
            <w:fldChar w:fldCharType="separate"/>
          </w:r>
          <w:r w:rsidR="00E40098">
            <w:rPr>
              <w:noProof/>
            </w:rPr>
            <w:t>[9]</w:t>
          </w:r>
          <w:r w:rsidR="001B3646">
            <w:fldChar w:fldCharType="end"/>
          </w:r>
        </w:sdtContent>
      </w:sdt>
      <w:r w:rsidR="001B3646">
        <w:t xml:space="preserve"> </w:t>
      </w:r>
      <w:r w:rsidR="00C66BC8">
        <w:t xml:space="preserve">Registration, Evaluation, </w:t>
      </w:r>
      <w:r w:rsidR="00C42A44">
        <w:t>Authorisation</w:t>
      </w:r>
      <w:r w:rsidR="00C66BC8">
        <w:t xml:space="preserve"> and Restriction of Chemicals</w:t>
      </w:r>
      <w:r w:rsidR="0003058B">
        <w:t xml:space="preserve"> (</w:t>
      </w:r>
      <w:r w:rsidR="00C66BC8">
        <w:t>REACH</w:t>
      </w:r>
      <w:r w:rsidR="0003058B">
        <w:t xml:space="preserve">) is a safety regulation </w:t>
      </w:r>
      <w:r w:rsidR="002D784E">
        <w:t xml:space="preserve">covering </w:t>
      </w:r>
      <w:r w:rsidR="008201EE">
        <w:t>the handling of chemicals in the workplace and covering the entire supply chain.</w:t>
      </w:r>
    </w:p>
    <w:p w14:paraId="5729FF86" w14:textId="77777777" w:rsidR="00DA28B2" w:rsidRDefault="00DA28B2" w:rsidP="00941D35"/>
    <w:p w14:paraId="7107C605" w14:textId="5244B390" w:rsidR="002810BB" w:rsidRDefault="002810BB">
      <w:pPr>
        <w:spacing w:before="0" w:after="200" w:line="276" w:lineRule="auto"/>
        <w:jc w:val="left"/>
      </w:pPr>
      <w:r>
        <w:br w:type="page"/>
      </w:r>
    </w:p>
    <w:p w14:paraId="502B4C1E" w14:textId="007B0727" w:rsidR="0070530D" w:rsidRDefault="007E007A" w:rsidP="007E007A">
      <w:pPr>
        <w:pStyle w:val="Heading1"/>
      </w:pPr>
      <w:bookmarkStart w:id="13" w:name="_Toc235805730"/>
      <w:r>
        <w:lastRenderedPageBreak/>
        <w:t>Knowledge and Understanding of Subject</w:t>
      </w:r>
      <w:bookmarkEnd w:id="13"/>
    </w:p>
    <w:p w14:paraId="0F6E0F33" w14:textId="226A08F5" w:rsidR="0001523D" w:rsidRDefault="000254D1" w:rsidP="00F206B7">
      <w:pPr>
        <w:jc w:val="left"/>
      </w:pPr>
      <w:r>
        <w:t xml:space="preserve">The role of breakdown and disposal </w:t>
      </w:r>
      <w:r w:rsidR="009370F6">
        <w:t>needs to ensure that the system can be safely decommissioned,</w:t>
      </w:r>
      <w:r w:rsidR="00E62C3D">
        <w:t xml:space="preserve"> dis</w:t>
      </w:r>
      <w:r w:rsidR="00B00CB9">
        <w:t>mantled</w:t>
      </w:r>
      <w:r w:rsidR="00E62C3D">
        <w:t xml:space="preserve"> into manageable components</w:t>
      </w:r>
      <w:r w:rsidR="008B2121">
        <w:t xml:space="preserve"> and </w:t>
      </w:r>
      <w:r w:rsidR="00E62C3D">
        <w:t>disposed of in a</w:t>
      </w:r>
      <w:r w:rsidR="008B2121">
        <w:t>ccordance</w:t>
      </w:r>
      <w:r w:rsidR="00E62C3D">
        <w:t xml:space="preserve"> with </w:t>
      </w:r>
      <w:r w:rsidR="008B2121">
        <w:t xml:space="preserve">all relevant </w:t>
      </w:r>
      <w:r w:rsidR="00572F1D">
        <w:t>legislations</w:t>
      </w:r>
      <w:r w:rsidR="008B2121">
        <w:t>.</w:t>
      </w:r>
      <w:r w:rsidR="0001523D">
        <w:t xml:space="preserve"> This includes minimising environmental impact, preventing hazard</w:t>
      </w:r>
      <w:r w:rsidR="000C18A7">
        <w:t xml:space="preserve">ous waste generation, and ensuring that end of life considerations </w:t>
      </w:r>
      <w:r w:rsidR="004C6A0B">
        <w:t>has been</w:t>
      </w:r>
      <w:r w:rsidR="000C18A7">
        <w:t xml:space="preserve"> embedded from the earlies design phase.</w:t>
      </w:r>
    </w:p>
    <w:p w14:paraId="0A30A2B2" w14:textId="13D07913" w:rsidR="0009699E" w:rsidRDefault="004C6A0B" w:rsidP="00F206B7">
      <w:pPr>
        <w:jc w:val="left"/>
      </w:pPr>
      <w:r>
        <w:t xml:space="preserve">Although the roles were assigned early in the design process </w:t>
      </w:r>
      <w:r w:rsidR="001E4C03">
        <w:t>the breakdown and disposal role increased in</w:t>
      </w:r>
      <w:r>
        <w:t xml:space="preserve"> influence </w:t>
      </w:r>
      <w:r w:rsidR="001E4C03">
        <w:t>as the design matured, particula</w:t>
      </w:r>
      <w:r w:rsidR="001E79B3">
        <w:t>rly when material and concept choices began shaping the waste profile.</w:t>
      </w:r>
      <w:r w:rsidR="00112FB4">
        <w:t xml:space="preserve"> </w:t>
      </w:r>
      <w:r w:rsidR="000B468E">
        <w:t>Disposal</w:t>
      </w:r>
      <w:r w:rsidR="00112FB4">
        <w:t xml:space="preserve"> had direct impact on early concept</w:t>
      </w:r>
      <w:r w:rsidR="000B468E">
        <w:t xml:space="preserve"> selection. </w:t>
      </w:r>
      <w:r w:rsidR="002E7538">
        <w:t xml:space="preserve">An early design change from </w:t>
      </w:r>
      <w:r w:rsidR="00886379">
        <w:t xml:space="preserve">an </w:t>
      </w:r>
      <w:r w:rsidR="002E7538">
        <w:t>explosive mine neutralisation to Thermite was suggested</w:t>
      </w:r>
      <w:r w:rsidR="00886379">
        <w:t xml:space="preserve">, which </w:t>
      </w:r>
      <w:r w:rsidR="001E2553">
        <w:t>strongly appealed due it</w:t>
      </w:r>
      <w:r w:rsidR="00C356A0">
        <w:t>s significantly reduced disposal hazards compared to alternatives. Thermite leaves only an inert slag</w:t>
      </w:r>
      <w:r w:rsidR="007245EF">
        <w:t xml:space="preserve"> rather than using an explosive which would leave hazardous chemicals damaging the environment. Collaboration with Research and Development, Manufacturing and Testing was essential, as their decisions governed the nature and volume of waste requiring disposal.</w:t>
      </w:r>
    </w:p>
    <w:p w14:paraId="06DB0D15" w14:textId="0BAA2240" w:rsidR="0001523D" w:rsidRDefault="007245EF" w:rsidP="00F206B7">
      <w:pPr>
        <w:jc w:val="left"/>
      </w:pPr>
      <w:r>
        <w:t>Team communication was maintained through scheduled in person meetings using booked rooms, support</w:t>
      </w:r>
      <w:r w:rsidR="000D3B72">
        <w:t>ed</w:t>
      </w:r>
      <w:r>
        <w:t xml:space="preserve"> by WhatsApp group messaging for fast response</w:t>
      </w:r>
      <w:r w:rsidR="000D3B72">
        <w:t>s</w:t>
      </w:r>
      <w:r w:rsidR="009800BC">
        <w:t>,</w:t>
      </w:r>
      <w:r w:rsidR="000D3B72">
        <w:t xml:space="preserve"> and Microsoft Teams </w:t>
      </w:r>
      <w:r w:rsidR="009800BC">
        <w:t>was used for group file sharing.</w:t>
      </w:r>
      <w:r w:rsidR="00857735">
        <w:t xml:space="preserve"> This ensured that </w:t>
      </w:r>
      <w:r w:rsidR="002B4B29">
        <w:t xml:space="preserve">formal </w:t>
      </w:r>
      <w:r w:rsidR="009401A4">
        <w:t xml:space="preserve">records </w:t>
      </w:r>
      <w:r w:rsidR="002B4B29">
        <w:t xml:space="preserve">and informal </w:t>
      </w:r>
      <w:r w:rsidR="00C43062">
        <w:t xml:space="preserve">discussion </w:t>
      </w:r>
      <w:r w:rsidR="00133AB3">
        <w:t>were accessible and documented.</w:t>
      </w:r>
      <w:r w:rsidR="003D29B3">
        <w:t xml:space="preserve"> </w:t>
      </w:r>
      <w:r w:rsidR="00E96331">
        <w:t>Disposal constraints were introduced proactively during meetings, particularly</w:t>
      </w:r>
      <w:r w:rsidR="00A736CC">
        <w:t xml:space="preserve"> when early design decisions risked generating hazardous or non-compliant waste streams.</w:t>
      </w:r>
    </w:p>
    <w:p w14:paraId="0A3E1935" w14:textId="77777777" w:rsidR="00FC05F7" w:rsidRDefault="00CC06D0" w:rsidP="00F206B7">
      <w:pPr>
        <w:jc w:val="left"/>
      </w:pPr>
      <w:r>
        <w:t xml:space="preserve">All roles contributed to each stage of the design decision making. Requirements, </w:t>
      </w:r>
      <w:r w:rsidR="001B012F">
        <w:t xml:space="preserve">QFD’s and early concepts were developed collaboratively before design team members </w:t>
      </w:r>
      <w:r w:rsidR="002520BF">
        <w:t xml:space="preserve">separated to conduct focused research, later regrouping to refine and challenge emerging ideas. During the FMA and Pugh matrix activities, the system was divided </w:t>
      </w:r>
      <w:r w:rsidR="001D30C9">
        <w:t xml:space="preserve">into subsystems, with each member </w:t>
      </w:r>
      <w:r w:rsidR="001D30C9">
        <w:lastRenderedPageBreak/>
        <w:t xml:space="preserve">responsible for </w:t>
      </w:r>
      <w:r w:rsidR="006950FC">
        <w:t>analysing a designated subsystem</w:t>
      </w:r>
      <w:r w:rsidR="00E97E25">
        <w:t xml:space="preserve">. Within the Breakdown and Disposal function, a waste stream management plan was </w:t>
      </w:r>
      <w:r w:rsidR="00B66DFC">
        <w:t>produce</w:t>
      </w:r>
      <w:r w:rsidR="00DF2CD2">
        <w:t>d</w:t>
      </w:r>
      <w:r w:rsidR="00B66DFC">
        <w:t xml:space="preserve"> in alignment with Def Stan 00-051. </w:t>
      </w:r>
    </w:p>
    <w:p w14:paraId="3AAD20F1" w14:textId="77777777" w:rsidR="00FC05F7" w:rsidRDefault="00FC05F7" w:rsidP="00FC05F7">
      <w:pPr>
        <w:keepNext/>
        <w:jc w:val="left"/>
      </w:pPr>
      <w:r w:rsidRPr="00FC05F7">
        <w:rPr>
          <w:noProof/>
        </w:rPr>
        <w:drawing>
          <wp:inline distT="0" distB="0" distL="0" distR="0" wp14:anchorId="24D02E94" wp14:editId="370C06E5">
            <wp:extent cx="5400040" cy="2404745"/>
            <wp:effectExtent l="0" t="0" r="0" b="0"/>
            <wp:docPr id="2003178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78217" name=""/>
                    <pic:cNvPicPr/>
                  </pic:nvPicPr>
                  <pic:blipFill>
                    <a:blip r:embed="rId15"/>
                    <a:stretch>
                      <a:fillRect/>
                    </a:stretch>
                  </pic:blipFill>
                  <pic:spPr>
                    <a:xfrm>
                      <a:off x="0" y="0"/>
                      <a:ext cx="5400040" cy="2404745"/>
                    </a:xfrm>
                    <a:prstGeom prst="rect">
                      <a:avLst/>
                    </a:prstGeom>
                  </pic:spPr>
                </pic:pic>
              </a:graphicData>
            </a:graphic>
          </wp:inline>
        </w:drawing>
      </w:r>
    </w:p>
    <w:p w14:paraId="0BE6903B" w14:textId="51BDB454" w:rsidR="00FC05F7" w:rsidRDefault="00FC05F7" w:rsidP="00FC05F7">
      <w:pPr>
        <w:pStyle w:val="Caption"/>
        <w:jc w:val="left"/>
      </w:pPr>
      <w:bookmarkStart w:id="14" w:name="_Toc235805734"/>
      <w:r>
        <w:t xml:space="preserve">Figure </w:t>
      </w:r>
      <w:fldSimple w:instr=" STYLEREF 1 \s ">
        <w:r w:rsidR="00E40098">
          <w:rPr>
            <w:noProof/>
          </w:rPr>
          <w:t>3</w:t>
        </w:r>
      </w:fldSimple>
      <w:r>
        <w:noBreakHyphen/>
      </w:r>
      <w:fldSimple w:instr=" SEQ Figure \* ARABIC \s 1 ">
        <w:r w:rsidR="00E40098">
          <w:rPr>
            <w:noProof/>
          </w:rPr>
          <w:t>1</w:t>
        </w:r>
      </w:fldSimple>
      <w:r>
        <w:t xml:space="preserve"> Waste Stream Management Plan</w:t>
      </w:r>
      <w:bookmarkEnd w:id="14"/>
    </w:p>
    <w:p w14:paraId="520C7BAB" w14:textId="0B59B7A3" w:rsidR="006E3871" w:rsidRDefault="00B66DFC" w:rsidP="00F206B7">
      <w:pPr>
        <w:jc w:val="left"/>
      </w:pPr>
      <w:r>
        <w:t xml:space="preserve">This process required structured communication with other roles to identify waste outputs across each life-cycle phase. Through these discussions the associated hazards, hazard levels, and planned disposal routes were established </w:t>
      </w:r>
      <w:r w:rsidR="006E3871">
        <w:t>for formal documentation.</w:t>
      </w:r>
    </w:p>
    <w:p w14:paraId="6114FF23" w14:textId="42537CCC" w:rsidR="00133AB3" w:rsidRDefault="001B175B" w:rsidP="00F206B7">
      <w:pPr>
        <w:jc w:val="left"/>
      </w:pPr>
      <w:r>
        <w:t>Disposal considerations were integrated throughout the design process. At the requirements stage, the user requirement for a system which was simp</w:t>
      </w:r>
      <w:r w:rsidR="001779BF">
        <w:t xml:space="preserve">le to use informed the development of a solution which also had to be simple to dispose of. Environmental </w:t>
      </w:r>
      <w:r w:rsidR="00523D85">
        <w:t xml:space="preserve">impact requirements directed the team away from an explosive-based concept and towards alternatives which reduced waste hazards. Requirements relating to disposal in accordance with relevant standards </w:t>
      </w:r>
      <w:r w:rsidR="00FA6EF2">
        <w:t>shaped the approach of manufacturing to disposal planning. Disposal implications were examined further during concept development</w:t>
      </w:r>
      <w:r w:rsidR="009839E8">
        <w:t>, where a modular system with reusable and replaceable components emerged as a key design dec</w:t>
      </w:r>
      <w:r w:rsidR="00F94B43">
        <w:t>ision. Elements which were unable to be designed out – such as batteries and unreacted thermite – were assigned defined disposal plans to ensure safe removal in accordance with regulatory expectations.</w:t>
      </w:r>
    </w:p>
    <w:p w14:paraId="4CC57E28" w14:textId="6C28E461" w:rsidR="00923CA3" w:rsidRPr="00923CA3" w:rsidRDefault="00923CA3" w:rsidP="00923CA3">
      <w:pPr>
        <w:sectPr w:rsidR="00923CA3" w:rsidRPr="00923CA3" w:rsidSect="00623A81">
          <w:headerReference w:type="default" r:id="rId16"/>
          <w:pgSz w:w="11906" w:h="16838" w:code="9"/>
          <w:pgMar w:top="1701" w:right="1701" w:bottom="1701" w:left="1701" w:header="709" w:footer="851" w:gutter="0"/>
          <w:cols w:space="708"/>
          <w:docGrid w:linePitch="360"/>
        </w:sectPr>
      </w:pPr>
    </w:p>
    <w:p w14:paraId="39645545" w14:textId="5733C363" w:rsidR="00DA28B2" w:rsidRDefault="00DE6237" w:rsidP="00502E51">
      <w:pPr>
        <w:pStyle w:val="Heading1"/>
      </w:pPr>
      <w:bookmarkStart w:id="15" w:name="_Toc235805731"/>
      <w:r>
        <w:lastRenderedPageBreak/>
        <w:t>Analysis</w:t>
      </w:r>
      <w:bookmarkEnd w:id="15"/>
    </w:p>
    <w:p w14:paraId="274071C9" w14:textId="331E82B0" w:rsidR="003B3D1E" w:rsidRPr="003B3D1E" w:rsidRDefault="003B3D1E" w:rsidP="001635A0">
      <w:pPr>
        <w:jc w:val="left"/>
      </w:pPr>
      <w:r>
        <w:t xml:space="preserve">The initial problem defined a scenario involving a civilian medical convoy navigating a steep walled desert pass containing anti-personnel mines and anti-tank mines. </w:t>
      </w:r>
      <w:r w:rsidR="001635A0">
        <w:t xml:space="preserve"> These constraints established the need for a system capable of precise detection, neutralisation and reliable operation in harsh environmental conditions. The design team worked individually, using the experience from different roles to list stakeholder requirements, </w:t>
      </w:r>
      <w:r w:rsidR="001635A0">
        <w:fldChar w:fldCharType="begin"/>
      </w:r>
      <w:r w:rsidR="001635A0">
        <w:instrText xml:space="preserve"> REF _Ref235799829 \h  \* MERGEFORMAT </w:instrText>
      </w:r>
      <w:r w:rsidR="001635A0">
        <w:fldChar w:fldCharType="separate"/>
      </w:r>
      <w:r w:rsidR="00E40098">
        <w:t xml:space="preserve">Figure </w:t>
      </w:r>
      <w:r w:rsidR="00E40098">
        <w:rPr>
          <w:noProof/>
        </w:rPr>
        <w:t>4</w:t>
      </w:r>
      <w:r w:rsidR="00E40098">
        <w:rPr>
          <w:noProof/>
        </w:rPr>
        <w:noBreakHyphen/>
        <w:t>1</w:t>
      </w:r>
      <w:r w:rsidR="001635A0">
        <w:fldChar w:fldCharType="end"/>
      </w:r>
      <w:r w:rsidR="001635A0">
        <w:t>. The requirements were put into a large list before being reduced to the sixteen most valued requirements.</w:t>
      </w:r>
    </w:p>
    <w:p w14:paraId="4363C485" w14:textId="77777777" w:rsidR="003B3D1E" w:rsidRDefault="003B3D1E" w:rsidP="003B3D1E">
      <w:pPr>
        <w:keepNext/>
        <w:jc w:val="left"/>
      </w:pPr>
      <w:r w:rsidRPr="003942FD">
        <w:rPr>
          <w:noProof/>
        </w:rPr>
        <w:drawing>
          <wp:inline distT="0" distB="0" distL="0" distR="0" wp14:anchorId="65F8020E" wp14:editId="42CB2F2E">
            <wp:extent cx="5400040" cy="2004528"/>
            <wp:effectExtent l="0" t="0" r="0" b="2540"/>
            <wp:docPr id="156704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3314" name=""/>
                    <pic:cNvPicPr/>
                  </pic:nvPicPr>
                  <pic:blipFill>
                    <a:blip r:embed="rId17"/>
                    <a:stretch>
                      <a:fillRect/>
                    </a:stretch>
                  </pic:blipFill>
                  <pic:spPr>
                    <a:xfrm>
                      <a:off x="0" y="0"/>
                      <a:ext cx="5400040" cy="2004528"/>
                    </a:xfrm>
                    <a:prstGeom prst="rect">
                      <a:avLst/>
                    </a:prstGeom>
                  </pic:spPr>
                </pic:pic>
              </a:graphicData>
            </a:graphic>
          </wp:inline>
        </w:drawing>
      </w:r>
    </w:p>
    <w:p w14:paraId="022CB29F" w14:textId="6F2E3A58" w:rsidR="003B3D1E" w:rsidRDefault="003B3D1E" w:rsidP="003B3D1E">
      <w:pPr>
        <w:pStyle w:val="Caption"/>
        <w:jc w:val="left"/>
      </w:pPr>
      <w:bookmarkStart w:id="16" w:name="_Ref235799829"/>
      <w:bookmarkStart w:id="17" w:name="_Toc235805735"/>
      <w:r>
        <w:t xml:space="preserve">Figure </w:t>
      </w:r>
      <w:fldSimple w:instr=" STYLEREF 1 \s ">
        <w:r w:rsidR="00E40098">
          <w:rPr>
            <w:noProof/>
          </w:rPr>
          <w:t>4</w:t>
        </w:r>
      </w:fldSimple>
      <w:r w:rsidR="00FC05F7">
        <w:noBreakHyphen/>
      </w:r>
      <w:fldSimple w:instr=" SEQ Figure \* ARABIC \s 1 ">
        <w:r w:rsidR="00E40098">
          <w:rPr>
            <w:noProof/>
          </w:rPr>
          <w:t>1</w:t>
        </w:r>
      </w:fldSimple>
      <w:bookmarkEnd w:id="16"/>
      <w:r>
        <w:t xml:space="preserve"> Requirements</w:t>
      </w:r>
      <w:bookmarkEnd w:id="17"/>
    </w:p>
    <w:p w14:paraId="3AAE21E9" w14:textId="3AB6925D" w:rsidR="001635A0" w:rsidRPr="001635A0" w:rsidRDefault="001635A0" w:rsidP="001635A0">
      <w:pPr>
        <w:jc w:val="left"/>
      </w:pPr>
      <w:r>
        <w:t xml:space="preserve">The requirements were then translated into pairwise comparison, </w:t>
      </w:r>
      <w:r>
        <w:fldChar w:fldCharType="begin"/>
      </w:r>
      <w:r>
        <w:instrText xml:space="preserve"> REF _Ref235800205 \h </w:instrText>
      </w:r>
      <w:r>
        <w:fldChar w:fldCharType="separate"/>
      </w:r>
      <w:r w:rsidR="00E40098">
        <w:t xml:space="preserve">Figure </w:t>
      </w:r>
      <w:r w:rsidR="00E40098">
        <w:rPr>
          <w:noProof/>
        </w:rPr>
        <w:t>4</w:t>
      </w:r>
      <w:r w:rsidR="00E40098">
        <w:noBreakHyphen/>
      </w:r>
      <w:r w:rsidR="00E40098">
        <w:rPr>
          <w:noProof/>
        </w:rPr>
        <w:t>2</w:t>
      </w:r>
      <w:r>
        <w:fldChar w:fldCharType="end"/>
      </w:r>
      <w:r>
        <w:t>, which ranked the importance of each requirement by assessing them against each other. This was a team process where scores were discussed and then voted on. The disposal requirements scored highly in the pairwise comparison.</w:t>
      </w:r>
    </w:p>
    <w:p w14:paraId="0B88533B" w14:textId="77777777" w:rsidR="003B3D1E" w:rsidRDefault="003B3D1E" w:rsidP="003B3D1E">
      <w:pPr>
        <w:keepNext/>
      </w:pPr>
      <w:r w:rsidRPr="00F56A1A">
        <w:rPr>
          <w:noProof/>
        </w:rPr>
        <w:lastRenderedPageBreak/>
        <w:drawing>
          <wp:inline distT="0" distB="0" distL="0" distR="0" wp14:anchorId="002467E5" wp14:editId="0FB26555">
            <wp:extent cx="5252936" cy="3257759"/>
            <wp:effectExtent l="0" t="0" r="5080" b="6350"/>
            <wp:docPr id="496928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28408" name=""/>
                    <pic:cNvPicPr/>
                  </pic:nvPicPr>
                  <pic:blipFill>
                    <a:blip r:embed="rId18"/>
                    <a:stretch>
                      <a:fillRect/>
                    </a:stretch>
                  </pic:blipFill>
                  <pic:spPr>
                    <a:xfrm>
                      <a:off x="0" y="0"/>
                      <a:ext cx="5262676" cy="3263799"/>
                    </a:xfrm>
                    <a:prstGeom prst="rect">
                      <a:avLst/>
                    </a:prstGeom>
                  </pic:spPr>
                </pic:pic>
              </a:graphicData>
            </a:graphic>
          </wp:inline>
        </w:drawing>
      </w:r>
    </w:p>
    <w:p w14:paraId="16AA99BF" w14:textId="0F73C49E" w:rsidR="003B3D1E" w:rsidRDefault="003B3D1E" w:rsidP="003B3D1E">
      <w:pPr>
        <w:pStyle w:val="Caption"/>
      </w:pPr>
      <w:bookmarkStart w:id="18" w:name="_Ref235800205"/>
      <w:bookmarkStart w:id="19" w:name="_Toc235805736"/>
      <w:r>
        <w:t xml:space="preserve">Figure </w:t>
      </w:r>
      <w:fldSimple w:instr=" STYLEREF 1 \s ">
        <w:r w:rsidR="00E40098">
          <w:rPr>
            <w:noProof/>
          </w:rPr>
          <w:t>4</w:t>
        </w:r>
      </w:fldSimple>
      <w:r w:rsidR="00FC05F7">
        <w:noBreakHyphen/>
      </w:r>
      <w:fldSimple w:instr=" SEQ Figure \* ARABIC \s 1 ">
        <w:r w:rsidR="00E40098">
          <w:rPr>
            <w:noProof/>
          </w:rPr>
          <w:t>2</w:t>
        </w:r>
      </w:fldSimple>
      <w:bookmarkEnd w:id="18"/>
      <w:r>
        <w:t xml:space="preserve"> Pairwise</w:t>
      </w:r>
      <w:bookmarkEnd w:id="19"/>
    </w:p>
    <w:p w14:paraId="5D3917E9" w14:textId="091733D3" w:rsidR="001635A0" w:rsidRPr="001635A0" w:rsidRDefault="001635A0" w:rsidP="001635A0">
      <w:r>
        <w:t>The requirements were then transferred into functions</w:t>
      </w:r>
      <w:r w:rsidR="009F3DEA">
        <w:t xml:space="preserve"> and normalised using QFD 1. With the functions now identified the design team began work on different concept ideas. A Function Mean Analysis (FMA), </w:t>
      </w:r>
      <w:r w:rsidR="009F3DEA">
        <w:fldChar w:fldCharType="begin"/>
      </w:r>
      <w:r w:rsidR="009F3DEA">
        <w:instrText xml:space="preserve"> REF _Ref235800559 \h </w:instrText>
      </w:r>
      <w:r w:rsidR="009F3DEA">
        <w:fldChar w:fldCharType="separate"/>
      </w:r>
      <w:r w:rsidR="00E40098">
        <w:t xml:space="preserve">Figure </w:t>
      </w:r>
      <w:r w:rsidR="00E40098">
        <w:rPr>
          <w:noProof/>
        </w:rPr>
        <w:t>4</w:t>
      </w:r>
      <w:r w:rsidR="00E40098">
        <w:noBreakHyphen/>
      </w:r>
      <w:r w:rsidR="00E40098">
        <w:rPr>
          <w:noProof/>
        </w:rPr>
        <w:t>3</w:t>
      </w:r>
      <w:r w:rsidR="009F3DEA">
        <w:fldChar w:fldCharType="end"/>
      </w:r>
      <w:r w:rsidR="009F3DEA">
        <w:t>, was conducted as a Team, which identified a range of solutions for each function. Individually the design team then conducted their own FMA with a specific goal in mind, for example a FMA for safest disposal.</w:t>
      </w:r>
    </w:p>
    <w:p w14:paraId="3F0E86C8" w14:textId="77777777" w:rsidR="003B3D1E" w:rsidRDefault="003B3D1E" w:rsidP="003B3D1E">
      <w:pPr>
        <w:keepNext/>
      </w:pPr>
      <w:r w:rsidRPr="00622C41">
        <w:rPr>
          <w:noProof/>
        </w:rPr>
        <w:drawing>
          <wp:inline distT="0" distB="0" distL="0" distR="0" wp14:anchorId="0FAFA1F4" wp14:editId="086208B3">
            <wp:extent cx="6219108" cy="1225685"/>
            <wp:effectExtent l="0" t="0" r="4445" b="6350"/>
            <wp:docPr id="855582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582320" name=""/>
                    <pic:cNvPicPr/>
                  </pic:nvPicPr>
                  <pic:blipFill>
                    <a:blip r:embed="rId19"/>
                    <a:stretch>
                      <a:fillRect/>
                    </a:stretch>
                  </pic:blipFill>
                  <pic:spPr>
                    <a:xfrm>
                      <a:off x="0" y="0"/>
                      <a:ext cx="6276851" cy="1237065"/>
                    </a:xfrm>
                    <a:prstGeom prst="rect">
                      <a:avLst/>
                    </a:prstGeom>
                  </pic:spPr>
                </pic:pic>
              </a:graphicData>
            </a:graphic>
          </wp:inline>
        </w:drawing>
      </w:r>
    </w:p>
    <w:p w14:paraId="53CB17ED" w14:textId="575FA3BC" w:rsidR="003B3D1E" w:rsidRDefault="003B3D1E" w:rsidP="003B3D1E">
      <w:pPr>
        <w:pStyle w:val="Caption"/>
      </w:pPr>
      <w:bookmarkStart w:id="20" w:name="_Ref235800559"/>
      <w:bookmarkStart w:id="21" w:name="_Toc235805737"/>
      <w:r>
        <w:t xml:space="preserve">Figure </w:t>
      </w:r>
      <w:fldSimple w:instr=" STYLEREF 1 \s ">
        <w:r w:rsidR="00E40098">
          <w:rPr>
            <w:noProof/>
          </w:rPr>
          <w:t>4</w:t>
        </w:r>
      </w:fldSimple>
      <w:r w:rsidR="00FC05F7">
        <w:noBreakHyphen/>
      </w:r>
      <w:fldSimple w:instr=" SEQ Figure \* ARABIC \s 1 ">
        <w:r w:rsidR="00E40098">
          <w:rPr>
            <w:noProof/>
          </w:rPr>
          <w:t>3</w:t>
        </w:r>
      </w:fldSimple>
      <w:bookmarkEnd w:id="20"/>
      <w:r>
        <w:t xml:space="preserve"> Function Means Analysis</w:t>
      </w:r>
      <w:bookmarkEnd w:id="21"/>
    </w:p>
    <w:p w14:paraId="24E64769" w14:textId="53B93F42" w:rsidR="009F3DEA" w:rsidRDefault="009F3DEA" w:rsidP="009F3DEA">
      <w:r>
        <w:t xml:space="preserve">FMA helped to direct the design team towards the end concept, which was a drone system using thermite to neutralise the target. The team used a system </w:t>
      </w:r>
      <w:proofErr w:type="spellStart"/>
      <w:r>
        <w:t>pugh</w:t>
      </w:r>
      <w:proofErr w:type="spellEnd"/>
      <w:r>
        <w:t xml:space="preserve"> to assess this solution </w:t>
      </w:r>
      <w:r w:rsidR="006A5CDF">
        <w:t>versus an alternative unmanned ground system, a 4x4 plough system and the baseline solider with a metal detector. The results were promising suggesting that the proposed solution was an improvement</w:t>
      </w:r>
      <w:r w:rsidR="00575C36">
        <w:t xml:space="preserve"> with </w:t>
      </w:r>
      <w:r w:rsidR="00575C36">
        <w:lastRenderedPageBreak/>
        <w:t>a weighted score of 50.08, significantly outperforming the other options</w:t>
      </w:r>
      <w:r w:rsidR="006A5CDF">
        <w:t xml:space="preserve">. QFD 2 was conducted as a group as before, which ranked each design solution against each function to identify key components of the system. Each team member then conducted a P Diagram, </w:t>
      </w:r>
      <w:r w:rsidR="006A5CDF">
        <w:fldChar w:fldCharType="begin"/>
      </w:r>
      <w:r w:rsidR="006A5CDF">
        <w:instrText xml:space="preserve"> REF _Ref235801354 \h </w:instrText>
      </w:r>
      <w:r w:rsidR="006A5CDF">
        <w:fldChar w:fldCharType="separate"/>
      </w:r>
      <w:r w:rsidR="00E40098">
        <w:t xml:space="preserve">Figure </w:t>
      </w:r>
      <w:r w:rsidR="00E40098">
        <w:rPr>
          <w:noProof/>
        </w:rPr>
        <w:t>4</w:t>
      </w:r>
      <w:r w:rsidR="00E40098">
        <w:noBreakHyphen/>
      </w:r>
      <w:r w:rsidR="00E40098">
        <w:rPr>
          <w:noProof/>
        </w:rPr>
        <w:t>4</w:t>
      </w:r>
      <w:r w:rsidR="006A5CDF">
        <w:fldChar w:fldCharType="end"/>
      </w:r>
      <w:r w:rsidR="006A5CDF">
        <w:t>, on a different subsystem to identify noise factors and control factors.</w:t>
      </w:r>
    </w:p>
    <w:p w14:paraId="74054842" w14:textId="77777777" w:rsidR="006A5CDF" w:rsidRDefault="006A5CDF" w:rsidP="006A5CDF">
      <w:pPr>
        <w:keepNext/>
      </w:pPr>
      <w:r w:rsidRPr="006A5CDF">
        <w:rPr>
          <w:noProof/>
        </w:rPr>
        <w:drawing>
          <wp:inline distT="0" distB="0" distL="0" distR="0" wp14:anchorId="3E7040A4" wp14:editId="5DF0829F">
            <wp:extent cx="5400040" cy="2012950"/>
            <wp:effectExtent l="0" t="0" r="0" b="6350"/>
            <wp:docPr id="1593677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77127" name=""/>
                    <pic:cNvPicPr/>
                  </pic:nvPicPr>
                  <pic:blipFill>
                    <a:blip r:embed="rId20"/>
                    <a:stretch>
                      <a:fillRect/>
                    </a:stretch>
                  </pic:blipFill>
                  <pic:spPr>
                    <a:xfrm>
                      <a:off x="0" y="0"/>
                      <a:ext cx="5400040" cy="2012950"/>
                    </a:xfrm>
                    <a:prstGeom prst="rect">
                      <a:avLst/>
                    </a:prstGeom>
                  </pic:spPr>
                </pic:pic>
              </a:graphicData>
            </a:graphic>
          </wp:inline>
        </w:drawing>
      </w:r>
    </w:p>
    <w:p w14:paraId="5466F2E7" w14:textId="68785D43" w:rsidR="006A5CDF" w:rsidRDefault="006A5CDF" w:rsidP="006A5CDF">
      <w:pPr>
        <w:pStyle w:val="Caption"/>
      </w:pPr>
      <w:bookmarkStart w:id="22" w:name="_Ref235801354"/>
      <w:bookmarkStart w:id="23" w:name="_Toc235805738"/>
      <w:r>
        <w:t xml:space="preserve">Figure </w:t>
      </w:r>
      <w:fldSimple w:instr=" STYLEREF 1 \s ">
        <w:r w:rsidR="00E40098">
          <w:rPr>
            <w:noProof/>
          </w:rPr>
          <w:t>4</w:t>
        </w:r>
      </w:fldSimple>
      <w:r w:rsidR="00FC05F7">
        <w:noBreakHyphen/>
      </w:r>
      <w:fldSimple w:instr=" SEQ Figure \* ARABIC \s 1 ">
        <w:r w:rsidR="00E40098">
          <w:rPr>
            <w:noProof/>
          </w:rPr>
          <w:t>4</w:t>
        </w:r>
      </w:fldSimple>
      <w:bookmarkEnd w:id="22"/>
      <w:r>
        <w:t xml:space="preserve"> P Diagram</w:t>
      </w:r>
      <w:bookmarkEnd w:id="23"/>
    </w:p>
    <w:p w14:paraId="0CD9510C" w14:textId="77777777" w:rsidR="00575C36" w:rsidRDefault="00575C36">
      <w:pPr>
        <w:spacing w:before="0" w:after="200" w:line="276" w:lineRule="auto"/>
        <w:jc w:val="left"/>
      </w:pPr>
      <w:r w:rsidRPr="00575C36">
        <w:t>The design solution integrates three core subsystems: navigation, detection, and neutralisation. The navigation subsystem employs georeferenced positioning, downward</w:t>
      </w:r>
      <w:r w:rsidRPr="00575C36">
        <w:noBreakHyphen/>
        <w:t>facing radar, IR imaging, and a fibre</w:t>
      </w:r>
      <w:r w:rsidRPr="00575C36">
        <w:noBreakHyphen/>
        <w:t>optic umbilical to ensure stable operation in desert conditions and maintain communication integrity. The detection subsystem combines Ground Penetrating Radar and a magnetometer, selected through comparative assessment of commercial off</w:t>
      </w:r>
      <w:r w:rsidRPr="00575C36">
        <w:noBreakHyphen/>
        <w:t>the</w:t>
      </w:r>
      <w:r w:rsidRPr="00575C36">
        <w:noBreakHyphen/>
        <w:t xml:space="preserve">shelf technologies. The Zond Aero 500 GPR and </w:t>
      </w:r>
      <w:proofErr w:type="spellStart"/>
      <w:r w:rsidRPr="00575C36">
        <w:t>MagNIMBUS</w:t>
      </w:r>
      <w:proofErr w:type="spellEnd"/>
      <w:r w:rsidRPr="00575C36">
        <w:t xml:space="preserve"> magnetometer were identified as suitable due to their compatibility with the DJI Matrice 350 RTK platform and their demonstrated ability to detect both metallic threat types.</w:t>
      </w:r>
    </w:p>
    <w:p w14:paraId="2D471CA0" w14:textId="77777777" w:rsidR="00FC05F7" w:rsidRDefault="00575C36">
      <w:pPr>
        <w:spacing w:before="0" w:after="200" w:line="276" w:lineRule="auto"/>
        <w:jc w:val="left"/>
      </w:pPr>
      <w:r w:rsidRPr="00575C36">
        <w:t>Neutralisation is achieved through a thermite</w:t>
      </w:r>
      <w:r w:rsidRPr="00575C36">
        <w:noBreakHyphen/>
        <w:t>based system designed to safely burn through mine casings without producing fragmentation or blast effects. The thermite mixture, consisting of aluminium and iron oxide in a 3:1 ratio, was selected for reliability, stability, and environmental benignity. Manufacturing considerations emphasised controlled powder handling, contamination prevention, and compliance with hazardous materials legislation. The disposal analysis confirmed that reacted thermite produces inert slag, while unreacted material can be safely destroyed through controlled burns in accordance with AOP</w:t>
      </w:r>
      <w:r w:rsidRPr="00575C36">
        <w:noBreakHyphen/>
        <w:t>4518.</w:t>
      </w:r>
    </w:p>
    <w:p w14:paraId="684CD6B2" w14:textId="5E73EEDF" w:rsidR="00DA28B2" w:rsidRPr="00A37203" w:rsidRDefault="00DE6237" w:rsidP="00A37203">
      <w:pPr>
        <w:pStyle w:val="Heading1"/>
      </w:pPr>
      <w:bookmarkStart w:id="24" w:name="_Toc235805732"/>
      <w:r w:rsidRPr="00A37203">
        <w:lastRenderedPageBreak/>
        <w:t>Practical Application and Deployment</w:t>
      </w:r>
      <w:bookmarkEnd w:id="24"/>
    </w:p>
    <w:p w14:paraId="5F7DD2FC" w14:textId="0A8B81AA" w:rsidR="003A03FA" w:rsidRDefault="005C1BD1" w:rsidP="00221024">
      <w:pPr>
        <w:jc w:val="left"/>
      </w:pPr>
      <w:r w:rsidRPr="005C1BD1">
        <w:t>The team demonstrated strong collaborative performance throughout the project, supported by a range of experience that contributed to balanced decision</w:t>
      </w:r>
      <w:r w:rsidRPr="005C1BD1">
        <w:noBreakHyphen/>
        <w:t>making and steady progress. Communication remained consistently effective, with regular discussions, shared planning, and clearly defined deadlines ensuring that the work advanced without last</w:t>
      </w:r>
      <w:r w:rsidRPr="005C1BD1">
        <w:noBreakHyphen/>
        <w:t>minute pressure. This structured approach enabled each member to contribute meaningfully to their allocated responsibilities and supported the development of a coherent final design solution. </w:t>
      </w:r>
    </w:p>
    <w:p w14:paraId="5F9630DC" w14:textId="77777777" w:rsidR="004E73E5" w:rsidRDefault="00221024" w:rsidP="00221024">
      <w:pPr>
        <w:jc w:val="left"/>
      </w:pPr>
      <w:r w:rsidRPr="00221024">
        <w:t>Despite these strengths, several areas for improvement became evident. The distribution of specialist roles was not fully optimised, as multiple members possessed similar safety</w:t>
      </w:r>
      <w:r w:rsidRPr="00221024">
        <w:noBreakHyphen/>
        <w:t>focused backgrounds</w:t>
      </w:r>
      <w:r w:rsidR="006D10F1">
        <w:t>.</w:t>
      </w:r>
      <w:r w:rsidRPr="00221024">
        <w:t xml:space="preserve"> </w:t>
      </w:r>
      <w:r w:rsidR="006D10F1">
        <w:t>A</w:t>
      </w:r>
      <w:r w:rsidRPr="00221024">
        <w:t xml:space="preserve"> more diverse alignment of expertise would have strengthened technical depth within certain </w:t>
      </w:r>
      <w:r w:rsidR="006D10F1">
        <w:t>areas</w:t>
      </w:r>
      <w:r w:rsidRPr="00221024">
        <w:t xml:space="preserve">. </w:t>
      </w:r>
    </w:p>
    <w:p w14:paraId="0A5557CB" w14:textId="77777777" w:rsidR="004E73E5" w:rsidRDefault="00221024" w:rsidP="00221024">
      <w:pPr>
        <w:jc w:val="left"/>
      </w:pPr>
      <w:r w:rsidRPr="00221024">
        <w:t>During the final presentation, timing issues emerged despite prior rehearsal. Several team members delivered content that differed from the practice run, resulting in sections overrunning and compressing the time available for later speakers. This created a degree of avoidable disruption, including reliance on printed notes when on</w:t>
      </w:r>
      <w:r w:rsidRPr="00221024">
        <w:noBreakHyphen/>
        <w:t>screen prompts could not be accessed, followed by the accidental loss of those notes mid</w:t>
      </w:r>
      <w:r w:rsidRPr="00221024">
        <w:noBreakHyphen/>
        <w:t xml:space="preserve">presentation. </w:t>
      </w:r>
    </w:p>
    <w:p w14:paraId="6F80CDE6" w14:textId="20794DA1" w:rsidR="005C1BD1" w:rsidRDefault="00221024" w:rsidP="00221024">
      <w:pPr>
        <w:jc w:val="left"/>
      </w:pPr>
      <w:r w:rsidRPr="00221024">
        <w:t>Although the team</w:t>
      </w:r>
      <w:r w:rsidR="004F71DD">
        <w:t xml:space="preserve"> had</w:t>
      </w:r>
      <w:r>
        <w:t xml:space="preserve"> </w:t>
      </w:r>
      <w:r w:rsidRPr="00221024">
        <w:t>maintained composure and delivered the required material, these issues highlighted the importance of stricter adherence to rehearsed timings and more robust contingency planning for presentation aids.</w:t>
      </w:r>
    </w:p>
    <w:p w14:paraId="5ED4521B" w14:textId="77777777" w:rsidR="00221024" w:rsidRDefault="00221024" w:rsidP="004429AC"/>
    <w:p w14:paraId="6C470EAD" w14:textId="77777777" w:rsidR="005C1BD1" w:rsidRPr="003A03FA" w:rsidRDefault="005C1BD1" w:rsidP="004429AC"/>
    <w:p w14:paraId="2C9C51D7" w14:textId="77777777" w:rsidR="00B82C12" w:rsidRPr="00B82C12" w:rsidRDefault="00B82C12" w:rsidP="00B82C12"/>
    <w:p w14:paraId="603A28D4" w14:textId="77777777" w:rsidR="000F6302" w:rsidRDefault="000F6302" w:rsidP="000F6302"/>
    <w:p w14:paraId="27FD4832" w14:textId="77777777" w:rsidR="00B82C12" w:rsidRPr="000F6302" w:rsidRDefault="00B82C12" w:rsidP="000F6302">
      <w:pPr>
        <w:sectPr w:rsidR="00B82C12" w:rsidRPr="000F6302" w:rsidSect="00623A81">
          <w:headerReference w:type="default" r:id="rId21"/>
          <w:pgSz w:w="11906" w:h="16838" w:code="9"/>
          <w:pgMar w:top="1701" w:right="1701" w:bottom="1701" w:left="1701" w:header="709" w:footer="851" w:gutter="0"/>
          <w:cols w:space="708"/>
          <w:docGrid w:linePitch="360"/>
        </w:sectPr>
      </w:pPr>
    </w:p>
    <w:p w14:paraId="29A66C5B" w14:textId="5FD5E4FD" w:rsidR="00660296" w:rsidRDefault="00DE6237" w:rsidP="00EF4085">
      <w:pPr>
        <w:pStyle w:val="Heading1"/>
      </w:pPr>
      <w:bookmarkStart w:id="25" w:name="_Toc235805733"/>
      <w:r>
        <w:lastRenderedPageBreak/>
        <w:t>Skills for Professional Practice</w:t>
      </w:r>
      <w:r w:rsidR="00154C17">
        <w:t xml:space="preserve"> / Conclusion</w:t>
      </w:r>
      <w:bookmarkEnd w:id="25"/>
    </w:p>
    <w:p w14:paraId="0727FEAC" w14:textId="77777777" w:rsidR="00FF49B5" w:rsidRDefault="00435AA2" w:rsidP="00435AA2">
      <w:pPr>
        <w:jc w:val="left"/>
      </w:pPr>
      <w:r w:rsidRPr="00435AA2">
        <w:t>The project successfully delivered a coherent systems</w:t>
      </w:r>
      <w:r w:rsidRPr="00435AA2">
        <w:noBreakHyphen/>
        <w:t>engineering solution to the challenge of detecting, communicating, and neutralising OZM</w:t>
      </w:r>
      <w:r w:rsidRPr="00435AA2">
        <w:noBreakHyphen/>
        <w:t>72 and M15 mines within a constrained desert pass. The</w:t>
      </w:r>
      <w:r>
        <w:t xml:space="preserve"> </w:t>
      </w:r>
      <w:r w:rsidRPr="00435AA2">
        <w:t>final concept</w:t>
      </w:r>
      <w:r>
        <w:t xml:space="preserve">, </w:t>
      </w:r>
      <w:r w:rsidRPr="00435AA2">
        <w:t>a drone</w:t>
      </w:r>
      <w:r w:rsidRPr="00435AA2">
        <w:noBreakHyphen/>
        <w:t>based thermite neutralisation system</w:t>
      </w:r>
      <w:r>
        <w:t>, was developed</w:t>
      </w:r>
      <w:r w:rsidRPr="00435AA2">
        <w:t xml:space="preserve"> through structured requirements analysis, systems engineering tools, and </w:t>
      </w:r>
      <w:r w:rsidR="00FF49B5">
        <w:t>design team</w:t>
      </w:r>
      <w:r w:rsidRPr="00435AA2">
        <w:t xml:space="preserve"> collaboration. </w:t>
      </w:r>
    </w:p>
    <w:p w14:paraId="1ADCF4E4" w14:textId="573B2C07" w:rsidR="00435AA2" w:rsidRDefault="00435AA2" w:rsidP="00435AA2">
      <w:pPr>
        <w:jc w:val="left"/>
      </w:pPr>
      <w:r w:rsidRPr="00435AA2">
        <w:t>Disposal considerations were embedded from the earliest design stages, ensuring compliance with MoD policy, environmental legislation, and munitions</w:t>
      </w:r>
      <w:r w:rsidRPr="00435AA2">
        <w:noBreakHyphen/>
        <w:t xml:space="preserve">specific disposal standards. </w:t>
      </w:r>
      <w:r w:rsidR="00B923B4">
        <w:t>Lifecycle considerations were constantly integrated throughout the design process, shaping concept selection, subsystem developmen</w:t>
      </w:r>
      <w:r w:rsidR="00FC3EA0">
        <w:t xml:space="preserve">t, and final evaluation with respect to breakdown and disposal requirements. </w:t>
      </w:r>
      <w:r w:rsidRPr="00435AA2">
        <w:t xml:space="preserve">The resulting system </w:t>
      </w:r>
      <w:r w:rsidR="00FF49B5">
        <w:t xml:space="preserve">achieved </w:t>
      </w:r>
      <w:r w:rsidRPr="00435AA2">
        <w:t>operational effectiveness, environmental responsibility, and regulatory compliance, supported by clear documentation and structured communication across the team.</w:t>
      </w:r>
    </w:p>
    <w:p w14:paraId="03205A0A" w14:textId="77777777" w:rsidR="00FF49B5" w:rsidRDefault="00325415" w:rsidP="00325415">
      <w:pPr>
        <w:jc w:val="left"/>
      </w:pPr>
      <w:r w:rsidRPr="00325415">
        <w:t>Team collaboration remained consistently effective throughout the project. Scheduled meetings, WhatsApp communication, and Microsoft Teams file sharing ensured that both formal records and informal discussions were accessible and well</w:t>
      </w:r>
      <w:r w:rsidRPr="00325415">
        <w:noBreakHyphen/>
        <w:t xml:space="preserve">coordinated. </w:t>
      </w:r>
    </w:p>
    <w:p w14:paraId="37E62BC9" w14:textId="1414F5A4" w:rsidR="00435AA2" w:rsidRDefault="00325415" w:rsidP="00325415">
      <w:pPr>
        <w:jc w:val="left"/>
      </w:pPr>
      <w:r w:rsidRPr="00325415">
        <w:t>Early integration of disposal constraints positively influenced concept development, steering the team away from explosive neutralisation and towards a thermite</w:t>
      </w:r>
      <w:r w:rsidRPr="00325415">
        <w:noBreakHyphen/>
        <w:t>based approach that significantly reduced hazardous waste. The use of structured tools</w:t>
      </w:r>
      <w:r>
        <w:t xml:space="preserve"> </w:t>
      </w:r>
      <w:r w:rsidRPr="00325415">
        <w:t>such as QFD, Function</w:t>
      </w:r>
      <w:r>
        <w:t xml:space="preserve"> </w:t>
      </w:r>
      <w:r w:rsidRPr="00325415">
        <w:t>Means</w:t>
      </w:r>
      <w:r>
        <w:t xml:space="preserve"> </w:t>
      </w:r>
      <w:r w:rsidRPr="00325415">
        <w:t>Analysis, pairwise comparison, and P</w:t>
      </w:r>
      <w:r w:rsidRPr="00325415">
        <w:noBreakHyphen/>
        <w:t>Diagrams</w:t>
      </w:r>
      <w:r>
        <w:t xml:space="preserve">, </w:t>
      </w:r>
      <w:r w:rsidRPr="00325415">
        <w:t xml:space="preserve">supported </w:t>
      </w:r>
      <w:r w:rsidR="001655E6" w:rsidRPr="00325415">
        <w:t>evidence</w:t>
      </w:r>
      <w:r w:rsidR="001655E6">
        <w:t>-based</w:t>
      </w:r>
      <w:r w:rsidRPr="00325415">
        <w:t xml:space="preserve"> decision</w:t>
      </w:r>
      <w:r w:rsidR="001655E6">
        <w:t xml:space="preserve"> </w:t>
      </w:r>
      <w:r w:rsidRPr="00325415">
        <w:t>making and enabled each role to contribute meaningfully to subsystem refinement. The final concept scored strongly in the system Pugh matrix, demonstrating clear advantages over alternative solutions. The team’s ability to maintain steady progress, meet deadlines, and adapt to emerging design constraints reflected a mature and disciplined engineering approach.</w:t>
      </w:r>
    </w:p>
    <w:p w14:paraId="1D849F4D" w14:textId="582EAE54" w:rsidR="00435AA2" w:rsidRPr="00435AA2" w:rsidRDefault="001655E6" w:rsidP="001655E6">
      <w:pPr>
        <w:jc w:val="left"/>
      </w:pPr>
      <w:r w:rsidRPr="001655E6">
        <w:lastRenderedPageBreak/>
        <w:t xml:space="preserve">Several areas for improvement became apparent during the project. The distribution of specialist roles was not fully optimised, with multiple members possessing similar safety backgrounds. A more diverse </w:t>
      </w:r>
      <w:r w:rsidR="008F6AA8">
        <w:t>level of</w:t>
      </w:r>
      <w:r w:rsidRPr="001655E6">
        <w:t xml:space="preserve"> expertise would have strengthened technical depth in areas such as</w:t>
      </w:r>
      <w:r w:rsidR="008F6AA8">
        <w:t xml:space="preserve"> research and deve</w:t>
      </w:r>
      <w:r w:rsidR="00485C48">
        <w:t>lopment and breakdown and disposal.</w:t>
      </w:r>
      <w:r w:rsidR="00A21B5F">
        <w:t xml:space="preserve"> </w:t>
      </w:r>
      <w:r w:rsidRPr="001655E6">
        <w:t xml:space="preserve">Presentation delivery revealed weaknesses in timing discipline and contingency planning. Despite rehearsal, deviations from the practised structure led to overruns and reduced </w:t>
      </w:r>
      <w:r w:rsidR="00910737">
        <w:t>delivery time</w:t>
      </w:r>
      <w:r w:rsidRPr="001655E6">
        <w:t xml:space="preserve"> for later speakers. Reliance on printed notes created vulnerability when those notes were misplaced mid</w:t>
      </w:r>
      <w:r w:rsidRPr="001655E6">
        <w:noBreakHyphen/>
        <w:t>presentation. More robust preparation</w:t>
      </w:r>
      <w:r w:rsidR="00910737">
        <w:t xml:space="preserve"> </w:t>
      </w:r>
      <w:r w:rsidRPr="001655E6">
        <w:t xml:space="preserve">such as </w:t>
      </w:r>
      <w:r w:rsidR="00910737">
        <w:t>technical familiar</w:t>
      </w:r>
      <w:r w:rsidR="00E315A1">
        <w:t>ity</w:t>
      </w:r>
      <w:r w:rsidRPr="001655E6">
        <w:t>, stricter adherence to rehearsed timings, and clearer role</w:t>
      </w:r>
      <w:r w:rsidRPr="001655E6">
        <w:noBreakHyphen/>
        <w:t>to</w:t>
      </w:r>
      <w:r w:rsidRPr="001655E6">
        <w:noBreakHyphen/>
        <w:t>slide alignment</w:t>
      </w:r>
      <w:r w:rsidR="00E315A1">
        <w:t xml:space="preserve">, </w:t>
      </w:r>
      <w:r w:rsidRPr="001655E6">
        <w:t>would have mitigated these issues.</w:t>
      </w:r>
    </w:p>
    <w:p w14:paraId="27DF112B" w14:textId="6B35476C" w:rsidR="00FC05F7" w:rsidRPr="00FC05F7" w:rsidRDefault="000F55B2" w:rsidP="001655E6">
      <w:pPr>
        <w:spacing w:before="0" w:after="200" w:line="276" w:lineRule="auto"/>
        <w:jc w:val="left"/>
        <w:rPr>
          <w:rFonts w:cs="Arial"/>
          <w:sz w:val="32"/>
          <w:szCs w:val="32"/>
        </w:rPr>
      </w:pPr>
      <w:r>
        <w:br w:type="page"/>
      </w:r>
    </w:p>
    <w:sdt>
      <w:sdtPr>
        <w:id w:val="1734434025"/>
        <w:docPartObj>
          <w:docPartGallery w:val="Bibliographies"/>
          <w:docPartUnique/>
        </w:docPartObj>
      </w:sdtPr>
      <w:sdtEndPr>
        <w:rPr>
          <w:b/>
          <w:bCs/>
        </w:rPr>
      </w:sdtEndPr>
      <w:sdtContent>
        <w:p w14:paraId="4A983C62" w14:textId="77777777" w:rsidR="00E40098" w:rsidRDefault="00272695" w:rsidP="00941D35">
          <w:pPr>
            <w:rPr>
              <w:rFonts w:asciiTheme="minorHAnsi" w:eastAsiaTheme="minorHAnsi" w:hAnsiTheme="minorHAnsi" w:cstheme="minorBidi"/>
              <w:noProof/>
              <w:sz w:val="22"/>
              <w:szCs w:val="22"/>
            </w:rPr>
          </w:pPr>
          <w:r w:rsidRPr="00272695">
            <w:rPr>
              <w:rStyle w:val="Heading1Char"/>
            </w:rPr>
            <w:t xml:space="preserve">7 </w:t>
          </w:r>
          <w:r w:rsidR="00FC05F7" w:rsidRPr="00272695">
            <w:rPr>
              <w:rStyle w:val="Heading1Char"/>
            </w:rPr>
            <w:t>Works Cited</w:t>
          </w:r>
          <w:r w:rsidR="00FC05F7">
            <w:fldChar w:fldCharType="begin"/>
          </w:r>
          <w:r w:rsidR="00FC05F7">
            <w:instrText xml:space="preserve"> BIBLIOGRAPHY </w:instrText>
          </w:r>
          <w:r w:rsidR="00FC05F7">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4"/>
            <w:gridCol w:w="8220"/>
          </w:tblGrid>
          <w:tr w:rsidR="00E40098" w14:paraId="4D963AEF" w14:textId="77777777">
            <w:trPr>
              <w:divId w:val="1998259631"/>
              <w:tblCellSpacing w:w="15" w:type="dxa"/>
            </w:trPr>
            <w:tc>
              <w:tcPr>
                <w:tcW w:w="50" w:type="pct"/>
                <w:hideMark/>
              </w:tcPr>
              <w:p w14:paraId="0A4DFD45" w14:textId="66B1B5CC" w:rsidR="00E40098" w:rsidRDefault="00E40098">
                <w:pPr>
                  <w:pStyle w:val="Bibliography"/>
                  <w:rPr>
                    <w:noProof/>
                  </w:rPr>
                </w:pPr>
                <w:r>
                  <w:rPr>
                    <w:noProof/>
                  </w:rPr>
                  <w:t xml:space="preserve">[1] </w:t>
                </w:r>
              </w:p>
            </w:tc>
            <w:tc>
              <w:tcPr>
                <w:tcW w:w="0" w:type="auto"/>
                <w:hideMark/>
              </w:tcPr>
              <w:p w14:paraId="6CF9FE1B" w14:textId="77777777" w:rsidR="00E40098" w:rsidRDefault="00E40098">
                <w:pPr>
                  <w:pStyle w:val="Bibliography"/>
                  <w:rPr>
                    <w:noProof/>
                  </w:rPr>
                </w:pPr>
                <w:r>
                  <w:rPr>
                    <w:noProof/>
                  </w:rPr>
                  <w:t>Defence Safety Authority, “DSA03 OME: part 1 OME Acquisition,” 18 June 2020. [Online]. Available: https://www.gov.uk/government/publications/dsa03-ome-part-1-ome-acquisition. [Accessed 23 July 2026].</w:t>
                </w:r>
              </w:p>
            </w:tc>
          </w:tr>
          <w:tr w:rsidR="00E40098" w14:paraId="7D1E1918" w14:textId="77777777">
            <w:trPr>
              <w:divId w:val="1998259631"/>
              <w:tblCellSpacing w:w="15" w:type="dxa"/>
            </w:trPr>
            <w:tc>
              <w:tcPr>
                <w:tcW w:w="50" w:type="pct"/>
                <w:hideMark/>
              </w:tcPr>
              <w:p w14:paraId="175FB6AC" w14:textId="77777777" w:rsidR="00E40098" w:rsidRDefault="00E40098">
                <w:pPr>
                  <w:pStyle w:val="Bibliography"/>
                  <w:rPr>
                    <w:noProof/>
                  </w:rPr>
                </w:pPr>
                <w:r>
                  <w:rPr>
                    <w:noProof/>
                  </w:rPr>
                  <w:t xml:space="preserve">[2] </w:t>
                </w:r>
              </w:p>
            </w:tc>
            <w:tc>
              <w:tcPr>
                <w:tcW w:w="0" w:type="auto"/>
                <w:hideMark/>
              </w:tcPr>
              <w:p w14:paraId="4DEFA1C6" w14:textId="77777777" w:rsidR="00E40098" w:rsidRDefault="00E40098">
                <w:pPr>
                  <w:pStyle w:val="Bibliography"/>
                  <w:rPr>
                    <w:noProof/>
                  </w:rPr>
                </w:pPr>
                <w:r>
                  <w:rPr>
                    <w:noProof/>
                  </w:rPr>
                  <w:t>Nato, “AOP-4518 SAFE DISPOSAL OF MUNITIONS, DESIGN PRINCIPLES AND REQUIREMENTS, AND SAFETY ASSESSMENT,” 24 May 2018. [Online]. Available: https://standards.globalspec.com/std/10387465/aop-4518. [Accessed 23 July 2026].</w:t>
                </w:r>
              </w:p>
            </w:tc>
          </w:tr>
          <w:tr w:rsidR="00E40098" w14:paraId="15218DE0" w14:textId="77777777">
            <w:trPr>
              <w:divId w:val="1998259631"/>
              <w:tblCellSpacing w:w="15" w:type="dxa"/>
            </w:trPr>
            <w:tc>
              <w:tcPr>
                <w:tcW w:w="50" w:type="pct"/>
                <w:hideMark/>
              </w:tcPr>
              <w:p w14:paraId="06B5AAB4" w14:textId="77777777" w:rsidR="00E40098" w:rsidRDefault="00E40098">
                <w:pPr>
                  <w:pStyle w:val="Bibliography"/>
                  <w:rPr>
                    <w:noProof/>
                  </w:rPr>
                </w:pPr>
                <w:r>
                  <w:rPr>
                    <w:noProof/>
                  </w:rPr>
                  <w:t xml:space="preserve">[3] </w:t>
                </w:r>
              </w:p>
            </w:tc>
            <w:tc>
              <w:tcPr>
                <w:tcW w:w="0" w:type="auto"/>
                <w:hideMark/>
              </w:tcPr>
              <w:p w14:paraId="02626DF9" w14:textId="77777777" w:rsidR="00E40098" w:rsidRDefault="00E40098">
                <w:pPr>
                  <w:pStyle w:val="Bibliography"/>
                  <w:rPr>
                    <w:noProof/>
                  </w:rPr>
                </w:pPr>
                <w:r>
                  <w:rPr>
                    <w:noProof/>
                  </w:rPr>
                  <w:t>M. o. Defence, “Management of environmental protection in defence,” 30 January 2026. [Online]. Available: https://www.gov.uk/government/publications/jsp-418-mod-corporate-environmental-protection-manual. [Accessed 23 July 2026].</w:t>
                </w:r>
              </w:p>
            </w:tc>
          </w:tr>
          <w:tr w:rsidR="00E40098" w14:paraId="7BF483CE" w14:textId="77777777">
            <w:trPr>
              <w:divId w:val="1998259631"/>
              <w:tblCellSpacing w:w="15" w:type="dxa"/>
            </w:trPr>
            <w:tc>
              <w:tcPr>
                <w:tcW w:w="50" w:type="pct"/>
                <w:hideMark/>
              </w:tcPr>
              <w:p w14:paraId="434C887E" w14:textId="77777777" w:rsidR="00E40098" w:rsidRDefault="00E40098">
                <w:pPr>
                  <w:pStyle w:val="Bibliography"/>
                  <w:rPr>
                    <w:noProof/>
                  </w:rPr>
                </w:pPr>
                <w:r>
                  <w:rPr>
                    <w:noProof/>
                  </w:rPr>
                  <w:t xml:space="preserve">[4] </w:t>
                </w:r>
              </w:p>
            </w:tc>
            <w:tc>
              <w:tcPr>
                <w:tcW w:w="0" w:type="auto"/>
                <w:hideMark/>
              </w:tcPr>
              <w:p w14:paraId="6A1D2A81" w14:textId="77777777" w:rsidR="00E40098" w:rsidRDefault="00E40098">
                <w:pPr>
                  <w:pStyle w:val="Bibliography"/>
                  <w:rPr>
                    <w:noProof/>
                  </w:rPr>
                </w:pPr>
                <w:r>
                  <w:rPr>
                    <w:noProof/>
                  </w:rPr>
                  <w:t>DE&amp;S, “DE&amp;S SAFETY AND ENVIRONMENTAL PROTECTION LEAFLET 20/2024,” May 2024. [Online]. Available: https://www.asems.mod.uk/sites/default/files/documents/SEP%20Leaflets/GMP00/20240529%20-%20S%26EP%20Leaflet%2020%202024%20-%20O.pdf. [Accessed 23 July 2026].</w:t>
                </w:r>
              </w:p>
            </w:tc>
          </w:tr>
          <w:tr w:rsidR="00E40098" w14:paraId="5762D2C4" w14:textId="77777777">
            <w:trPr>
              <w:divId w:val="1998259631"/>
              <w:tblCellSpacing w:w="15" w:type="dxa"/>
            </w:trPr>
            <w:tc>
              <w:tcPr>
                <w:tcW w:w="50" w:type="pct"/>
                <w:hideMark/>
              </w:tcPr>
              <w:p w14:paraId="6E717A15" w14:textId="77777777" w:rsidR="00E40098" w:rsidRDefault="00E40098">
                <w:pPr>
                  <w:pStyle w:val="Bibliography"/>
                  <w:rPr>
                    <w:noProof/>
                  </w:rPr>
                </w:pPr>
                <w:r>
                  <w:rPr>
                    <w:noProof/>
                  </w:rPr>
                  <w:t xml:space="preserve">[5] </w:t>
                </w:r>
              </w:p>
            </w:tc>
            <w:tc>
              <w:tcPr>
                <w:tcW w:w="0" w:type="auto"/>
                <w:hideMark/>
              </w:tcPr>
              <w:p w14:paraId="12656866" w14:textId="77777777" w:rsidR="00E40098" w:rsidRDefault="00E40098">
                <w:pPr>
                  <w:pStyle w:val="Bibliography"/>
                  <w:rPr>
                    <w:noProof/>
                  </w:rPr>
                </w:pPr>
                <w:r>
                  <w:rPr>
                    <w:noProof/>
                  </w:rPr>
                  <w:t>Office for Product Safety and Standards and Department for Environment, Food &amp; Rural Affairs, “Regulations: Waste Electrical and Electronic Equipment (WEEE),” 12 August 2025. [Online]. Available: https://www.gov.uk/guidance/regulations-waste-electrical-and-electronic-equipment. [Accessed 23 July 2026].</w:t>
                </w:r>
              </w:p>
            </w:tc>
          </w:tr>
          <w:tr w:rsidR="00E40098" w14:paraId="0360D8C9" w14:textId="77777777">
            <w:trPr>
              <w:divId w:val="1998259631"/>
              <w:tblCellSpacing w:w="15" w:type="dxa"/>
            </w:trPr>
            <w:tc>
              <w:tcPr>
                <w:tcW w:w="50" w:type="pct"/>
                <w:hideMark/>
              </w:tcPr>
              <w:p w14:paraId="053C8E83" w14:textId="77777777" w:rsidR="00E40098" w:rsidRDefault="00E40098">
                <w:pPr>
                  <w:pStyle w:val="Bibliography"/>
                  <w:rPr>
                    <w:noProof/>
                  </w:rPr>
                </w:pPr>
                <w:r>
                  <w:rPr>
                    <w:noProof/>
                  </w:rPr>
                  <w:t xml:space="preserve">[6] </w:t>
                </w:r>
              </w:p>
            </w:tc>
            <w:tc>
              <w:tcPr>
                <w:tcW w:w="0" w:type="auto"/>
                <w:hideMark/>
              </w:tcPr>
              <w:p w14:paraId="7F33DAE1" w14:textId="77777777" w:rsidR="00E40098" w:rsidRDefault="00E40098">
                <w:pPr>
                  <w:pStyle w:val="Bibliography"/>
                  <w:rPr>
                    <w:noProof/>
                  </w:rPr>
                </w:pPr>
                <w:r>
                  <w:rPr>
                    <w:noProof/>
                  </w:rPr>
                  <w:t>Department of the Environment, “ Environmental Protection Act 1990,” 05 June 2026. [Online]. Available: https://www.legislation.gov.uk/ukpga/1990/43/contents. [Accessed 23 July 2026].</w:t>
                </w:r>
              </w:p>
            </w:tc>
          </w:tr>
          <w:tr w:rsidR="00E40098" w14:paraId="483556E0" w14:textId="77777777">
            <w:trPr>
              <w:divId w:val="1998259631"/>
              <w:tblCellSpacing w:w="15" w:type="dxa"/>
            </w:trPr>
            <w:tc>
              <w:tcPr>
                <w:tcW w:w="50" w:type="pct"/>
                <w:hideMark/>
              </w:tcPr>
              <w:p w14:paraId="356951D7" w14:textId="77777777" w:rsidR="00E40098" w:rsidRDefault="00E40098">
                <w:pPr>
                  <w:pStyle w:val="Bibliography"/>
                  <w:rPr>
                    <w:noProof/>
                  </w:rPr>
                </w:pPr>
                <w:r>
                  <w:rPr>
                    <w:noProof/>
                  </w:rPr>
                  <w:lastRenderedPageBreak/>
                  <w:t xml:space="preserve">[7] </w:t>
                </w:r>
              </w:p>
            </w:tc>
            <w:tc>
              <w:tcPr>
                <w:tcW w:w="0" w:type="auto"/>
                <w:hideMark/>
              </w:tcPr>
              <w:p w14:paraId="24756F23" w14:textId="77777777" w:rsidR="00E40098" w:rsidRDefault="00E40098">
                <w:pPr>
                  <w:pStyle w:val="Bibliography"/>
                  <w:rPr>
                    <w:noProof/>
                  </w:rPr>
                </w:pPr>
                <w:r>
                  <w:rPr>
                    <w:noProof/>
                  </w:rPr>
                  <w:t>European Union Office for Product Safety and Standards, Department for Business and Trade and Department for Environment, Food &amp; Rural Affairs, “Regulations: restriction of hazardous substances (RoHS),” 22 July 2025. [Online]. Available: https://www.gov.uk/guidance/rohs-compliance-and-guidance. [Accessed 23 July 2026].</w:t>
                </w:r>
              </w:p>
            </w:tc>
          </w:tr>
          <w:tr w:rsidR="00E40098" w14:paraId="3B02CD69" w14:textId="77777777">
            <w:trPr>
              <w:divId w:val="1998259631"/>
              <w:tblCellSpacing w:w="15" w:type="dxa"/>
            </w:trPr>
            <w:tc>
              <w:tcPr>
                <w:tcW w:w="50" w:type="pct"/>
                <w:hideMark/>
              </w:tcPr>
              <w:p w14:paraId="41529BF4" w14:textId="77777777" w:rsidR="00E40098" w:rsidRDefault="00E40098">
                <w:pPr>
                  <w:pStyle w:val="Bibliography"/>
                  <w:rPr>
                    <w:noProof/>
                  </w:rPr>
                </w:pPr>
                <w:r>
                  <w:rPr>
                    <w:noProof/>
                  </w:rPr>
                  <w:t xml:space="preserve">[8] </w:t>
                </w:r>
              </w:p>
            </w:tc>
            <w:tc>
              <w:tcPr>
                <w:tcW w:w="0" w:type="auto"/>
                <w:hideMark/>
              </w:tcPr>
              <w:p w14:paraId="1935AB8C" w14:textId="77777777" w:rsidR="00E40098" w:rsidRDefault="00E40098">
                <w:pPr>
                  <w:pStyle w:val="Bibliography"/>
                  <w:rPr>
                    <w:noProof/>
                  </w:rPr>
                </w:pPr>
                <w:r>
                  <w:rPr>
                    <w:noProof/>
                  </w:rPr>
                  <w:t>Health and Safety Executive, “Control of Substances Hazardous to Health (COSHH),” 14 October 2025. [Online]. Available: https://www.hse.gov.uk/coshh/. [Accessed 23 July 2026].</w:t>
                </w:r>
              </w:p>
            </w:tc>
          </w:tr>
          <w:tr w:rsidR="00E40098" w14:paraId="76D4BE7B" w14:textId="77777777">
            <w:trPr>
              <w:divId w:val="1998259631"/>
              <w:tblCellSpacing w:w="15" w:type="dxa"/>
            </w:trPr>
            <w:tc>
              <w:tcPr>
                <w:tcW w:w="50" w:type="pct"/>
                <w:hideMark/>
              </w:tcPr>
              <w:p w14:paraId="758F0DC8" w14:textId="77777777" w:rsidR="00E40098" w:rsidRDefault="00E40098">
                <w:pPr>
                  <w:pStyle w:val="Bibliography"/>
                  <w:rPr>
                    <w:noProof/>
                  </w:rPr>
                </w:pPr>
                <w:r>
                  <w:rPr>
                    <w:noProof/>
                  </w:rPr>
                  <w:t xml:space="preserve">[9] </w:t>
                </w:r>
              </w:p>
            </w:tc>
            <w:tc>
              <w:tcPr>
                <w:tcW w:w="0" w:type="auto"/>
                <w:hideMark/>
              </w:tcPr>
              <w:p w14:paraId="0C10AD4B" w14:textId="77777777" w:rsidR="00E40098" w:rsidRDefault="00E40098">
                <w:pPr>
                  <w:pStyle w:val="Bibliography"/>
                  <w:rPr>
                    <w:noProof/>
                  </w:rPr>
                </w:pPr>
                <w:r>
                  <w:rPr>
                    <w:noProof/>
                  </w:rPr>
                  <w:t>European Union, “REACH Regulation,” 2025. [Online]. Available: https://environment.ec.europa.eu/topics/chemicals/reach-regulation_en. [Accessed 23 July 2026].</w:t>
                </w:r>
              </w:p>
            </w:tc>
          </w:tr>
        </w:tbl>
        <w:p w14:paraId="5A9C6347" w14:textId="77777777" w:rsidR="00E40098" w:rsidRDefault="00E40098">
          <w:pPr>
            <w:divId w:val="1998259631"/>
            <w:rPr>
              <w:noProof/>
            </w:rPr>
          </w:pPr>
        </w:p>
        <w:p w14:paraId="126BA4C7" w14:textId="190982DC" w:rsidR="006C6C98" w:rsidRDefault="00FC05F7" w:rsidP="00941D35">
          <w:r>
            <w:rPr>
              <w:b/>
              <w:bCs/>
            </w:rPr>
            <w:fldChar w:fldCharType="end"/>
          </w:r>
        </w:p>
      </w:sdtContent>
    </w:sdt>
    <w:sectPr w:rsidR="006C6C98" w:rsidSect="000D3AB7">
      <w:headerReference w:type="default" r:id="rId22"/>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E7881C" w14:textId="77777777" w:rsidR="00152169" w:rsidRDefault="00152169">
      <w:r>
        <w:separator/>
      </w:r>
    </w:p>
  </w:endnote>
  <w:endnote w:type="continuationSeparator" w:id="0">
    <w:p w14:paraId="3FAA8A0A" w14:textId="77777777" w:rsidR="00152169" w:rsidRDefault="00152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94DEFF" w14:textId="77777777" w:rsidR="00152169" w:rsidRDefault="00152169">
      <w:r>
        <w:separator/>
      </w:r>
    </w:p>
  </w:footnote>
  <w:footnote w:type="continuationSeparator" w:id="0">
    <w:p w14:paraId="6E63C603" w14:textId="77777777" w:rsidR="00152169" w:rsidRDefault="00152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6E3D1B"/>
    <w:multiLevelType w:val="hybridMultilevel"/>
    <w:tmpl w:val="E280F9F8"/>
    <w:lvl w:ilvl="0" w:tplc="2DC66F14">
      <w:start w:val="1"/>
      <w:numFmt w:val="bullet"/>
      <w:lvlText w:val=" "/>
      <w:lvlJc w:val="left"/>
      <w:pPr>
        <w:tabs>
          <w:tab w:val="num" w:pos="720"/>
        </w:tabs>
        <w:ind w:left="720" w:hanging="360"/>
      </w:pPr>
      <w:rPr>
        <w:rFonts w:ascii="Calibri" w:hAnsi="Calibri" w:hint="default"/>
      </w:rPr>
    </w:lvl>
    <w:lvl w:ilvl="1" w:tplc="CA243ABC" w:tentative="1">
      <w:start w:val="1"/>
      <w:numFmt w:val="bullet"/>
      <w:lvlText w:val=" "/>
      <w:lvlJc w:val="left"/>
      <w:pPr>
        <w:tabs>
          <w:tab w:val="num" w:pos="1440"/>
        </w:tabs>
        <w:ind w:left="1440" w:hanging="360"/>
      </w:pPr>
      <w:rPr>
        <w:rFonts w:ascii="Calibri" w:hAnsi="Calibri" w:hint="default"/>
      </w:rPr>
    </w:lvl>
    <w:lvl w:ilvl="2" w:tplc="BD2A6C3E" w:tentative="1">
      <w:start w:val="1"/>
      <w:numFmt w:val="bullet"/>
      <w:lvlText w:val=" "/>
      <w:lvlJc w:val="left"/>
      <w:pPr>
        <w:tabs>
          <w:tab w:val="num" w:pos="2160"/>
        </w:tabs>
        <w:ind w:left="2160" w:hanging="360"/>
      </w:pPr>
      <w:rPr>
        <w:rFonts w:ascii="Calibri" w:hAnsi="Calibri" w:hint="default"/>
      </w:rPr>
    </w:lvl>
    <w:lvl w:ilvl="3" w:tplc="FCB43674" w:tentative="1">
      <w:start w:val="1"/>
      <w:numFmt w:val="bullet"/>
      <w:lvlText w:val=" "/>
      <w:lvlJc w:val="left"/>
      <w:pPr>
        <w:tabs>
          <w:tab w:val="num" w:pos="2880"/>
        </w:tabs>
        <w:ind w:left="2880" w:hanging="360"/>
      </w:pPr>
      <w:rPr>
        <w:rFonts w:ascii="Calibri" w:hAnsi="Calibri" w:hint="default"/>
      </w:rPr>
    </w:lvl>
    <w:lvl w:ilvl="4" w:tplc="64E63178" w:tentative="1">
      <w:start w:val="1"/>
      <w:numFmt w:val="bullet"/>
      <w:lvlText w:val=" "/>
      <w:lvlJc w:val="left"/>
      <w:pPr>
        <w:tabs>
          <w:tab w:val="num" w:pos="3600"/>
        </w:tabs>
        <w:ind w:left="3600" w:hanging="360"/>
      </w:pPr>
      <w:rPr>
        <w:rFonts w:ascii="Calibri" w:hAnsi="Calibri" w:hint="default"/>
      </w:rPr>
    </w:lvl>
    <w:lvl w:ilvl="5" w:tplc="43381FDC" w:tentative="1">
      <w:start w:val="1"/>
      <w:numFmt w:val="bullet"/>
      <w:lvlText w:val=" "/>
      <w:lvlJc w:val="left"/>
      <w:pPr>
        <w:tabs>
          <w:tab w:val="num" w:pos="4320"/>
        </w:tabs>
        <w:ind w:left="4320" w:hanging="360"/>
      </w:pPr>
      <w:rPr>
        <w:rFonts w:ascii="Calibri" w:hAnsi="Calibri" w:hint="default"/>
      </w:rPr>
    </w:lvl>
    <w:lvl w:ilvl="6" w:tplc="A01CC4E8" w:tentative="1">
      <w:start w:val="1"/>
      <w:numFmt w:val="bullet"/>
      <w:lvlText w:val=" "/>
      <w:lvlJc w:val="left"/>
      <w:pPr>
        <w:tabs>
          <w:tab w:val="num" w:pos="5040"/>
        </w:tabs>
        <w:ind w:left="5040" w:hanging="360"/>
      </w:pPr>
      <w:rPr>
        <w:rFonts w:ascii="Calibri" w:hAnsi="Calibri" w:hint="default"/>
      </w:rPr>
    </w:lvl>
    <w:lvl w:ilvl="7" w:tplc="8886137A" w:tentative="1">
      <w:start w:val="1"/>
      <w:numFmt w:val="bullet"/>
      <w:lvlText w:val=" "/>
      <w:lvlJc w:val="left"/>
      <w:pPr>
        <w:tabs>
          <w:tab w:val="num" w:pos="5760"/>
        </w:tabs>
        <w:ind w:left="5760" w:hanging="360"/>
      </w:pPr>
      <w:rPr>
        <w:rFonts w:ascii="Calibri" w:hAnsi="Calibri" w:hint="default"/>
      </w:rPr>
    </w:lvl>
    <w:lvl w:ilvl="8" w:tplc="7136871A" w:tentative="1">
      <w:start w:val="1"/>
      <w:numFmt w:val="bullet"/>
      <w:lvlText w:val=" "/>
      <w:lvlJc w:val="left"/>
      <w:pPr>
        <w:tabs>
          <w:tab w:val="num" w:pos="6480"/>
        </w:tabs>
        <w:ind w:left="6480" w:hanging="360"/>
      </w:pPr>
      <w:rPr>
        <w:rFonts w:ascii="Calibri" w:hAnsi="Calibri" w:hint="default"/>
      </w:r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2"/>
  </w:num>
  <w:num w:numId="2" w16cid:durableId="1489785511">
    <w:abstractNumId w:val="18"/>
  </w:num>
  <w:num w:numId="3" w16cid:durableId="905871091">
    <w:abstractNumId w:val="14"/>
  </w:num>
  <w:num w:numId="4" w16cid:durableId="534970395">
    <w:abstractNumId w:val="10"/>
  </w:num>
  <w:num w:numId="5" w16cid:durableId="38435229">
    <w:abstractNumId w:val="31"/>
  </w:num>
  <w:num w:numId="6" w16cid:durableId="2057730824">
    <w:abstractNumId w:val="20"/>
  </w:num>
  <w:num w:numId="7" w16cid:durableId="1675720074">
    <w:abstractNumId w:val="22"/>
  </w:num>
  <w:num w:numId="8" w16cid:durableId="1014383751">
    <w:abstractNumId w:val="16"/>
  </w:num>
  <w:num w:numId="9" w16cid:durableId="201672474">
    <w:abstractNumId w:val="28"/>
  </w:num>
  <w:num w:numId="10" w16cid:durableId="256066161">
    <w:abstractNumId w:val="33"/>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0"/>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9"/>
  </w:num>
  <w:num w:numId="30" w16cid:durableId="1990475844">
    <w:abstractNumId w:val="27"/>
  </w:num>
  <w:num w:numId="31" w16cid:durableId="1087464949">
    <w:abstractNumId w:val="17"/>
  </w:num>
  <w:num w:numId="32" w16cid:durableId="516886674">
    <w:abstractNumId w:val="24"/>
  </w:num>
  <w:num w:numId="33" w16cid:durableId="1720863631">
    <w:abstractNumId w:val="19"/>
  </w:num>
  <w:num w:numId="34" w16cid:durableId="1023168577">
    <w:abstractNumId w:val="2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23D"/>
    <w:rsid w:val="00015A13"/>
    <w:rsid w:val="00016BC8"/>
    <w:rsid w:val="0001707A"/>
    <w:rsid w:val="000254D1"/>
    <w:rsid w:val="00027D70"/>
    <w:rsid w:val="0003058B"/>
    <w:rsid w:val="0003188E"/>
    <w:rsid w:val="00045D6F"/>
    <w:rsid w:val="00047DED"/>
    <w:rsid w:val="00055EFE"/>
    <w:rsid w:val="00063CEE"/>
    <w:rsid w:val="00065259"/>
    <w:rsid w:val="00065A60"/>
    <w:rsid w:val="00067512"/>
    <w:rsid w:val="00071CD5"/>
    <w:rsid w:val="000747AA"/>
    <w:rsid w:val="00086305"/>
    <w:rsid w:val="0009699E"/>
    <w:rsid w:val="00097727"/>
    <w:rsid w:val="000A4407"/>
    <w:rsid w:val="000B468E"/>
    <w:rsid w:val="000B6677"/>
    <w:rsid w:val="000C18A7"/>
    <w:rsid w:val="000C6559"/>
    <w:rsid w:val="000D1DDC"/>
    <w:rsid w:val="000D3236"/>
    <w:rsid w:val="000D3AB7"/>
    <w:rsid w:val="000D3B72"/>
    <w:rsid w:val="000D5711"/>
    <w:rsid w:val="000E10B0"/>
    <w:rsid w:val="000E1E14"/>
    <w:rsid w:val="000E5531"/>
    <w:rsid w:val="000F3FC7"/>
    <w:rsid w:val="000F5578"/>
    <w:rsid w:val="000F55B2"/>
    <w:rsid w:val="000F6302"/>
    <w:rsid w:val="00112FB4"/>
    <w:rsid w:val="00126903"/>
    <w:rsid w:val="00130109"/>
    <w:rsid w:val="00132B6A"/>
    <w:rsid w:val="00133AB3"/>
    <w:rsid w:val="00136B3E"/>
    <w:rsid w:val="00145332"/>
    <w:rsid w:val="001507DE"/>
    <w:rsid w:val="00152083"/>
    <w:rsid w:val="00152169"/>
    <w:rsid w:val="00154C17"/>
    <w:rsid w:val="001635A0"/>
    <w:rsid w:val="001655E6"/>
    <w:rsid w:val="00171953"/>
    <w:rsid w:val="001779BF"/>
    <w:rsid w:val="001850E2"/>
    <w:rsid w:val="00187AAB"/>
    <w:rsid w:val="001923F4"/>
    <w:rsid w:val="00194D66"/>
    <w:rsid w:val="00196CAA"/>
    <w:rsid w:val="001A04CC"/>
    <w:rsid w:val="001B012F"/>
    <w:rsid w:val="001B0633"/>
    <w:rsid w:val="001B175B"/>
    <w:rsid w:val="001B1B6F"/>
    <w:rsid w:val="001B3646"/>
    <w:rsid w:val="001B63F7"/>
    <w:rsid w:val="001C1A69"/>
    <w:rsid w:val="001C1DC9"/>
    <w:rsid w:val="001C2208"/>
    <w:rsid w:val="001C23E5"/>
    <w:rsid w:val="001C25C1"/>
    <w:rsid w:val="001D1974"/>
    <w:rsid w:val="001D2FAF"/>
    <w:rsid w:val="001D30C9"/>
    <w:rsid w:val="001D636A"/>
    <w:rsid w:val="001D7982"/>
    <w:rsid w:val="001D7ED1"/>
    <w:rsid w:val="001E00D5"/>
    <w:rsid w:val="001E2553"/>
    <w:rsid w:val="001E388D"/>
    <w:rsid w:val="001E48C0"/>
    <w:rsid w:val="001E4C03"/>
    <w:rsid w:val="001E7302"/>
    <w:rsid w:val="001E79B3"/>
    <w:rsid w:val="001F1539"/>
    <w:rsid w:val="001F1CF2"/>
    <w:rsid w:val="001F3055"/>
    <w:rsid w:val="001F41DE"/>
    <w:rsid w:val="001F7EBB"/>
    <w:rsid w:val="00204473"/>
    <w:rsid w:val="002121F3"/>
    <w:rsid w:val="00216501"/>
    <w:rsid w:val="00221024"/>
    <w:rsid w:val="00224C6D"/>
    <w:rsid w:val="00224E7F"/>
    <w:rsid w:val="00230B99"/>
    <w:rsid w:val="00232B80"/>
    <w:rsid w:val="00242861"/>
    <w:rsid w:val="00243313"/>
    <w:rsid w:val="00245DA7"/>
    <w:rsid w:val="00246995"/>
    <w:rsid w:val="0025099B"/>
    <w:rsid w:val="002520BF"/>
    <w:rsid w:val="00267F4D"/>
    <w:rsid w:val="00272695"/>
    <w:rsid w:val="002810BB"/>
    <w:rsid w:val="00285034"/>
    <w:rsid w:val="002A45F9"/>
    <w:rsid w:val="002A5491"/>
    <w:rsid w:val="002A7DD0"/>
    <w:rsid w:val="002B0693"/>
    <w:rsid w:val="002B120E"/>
    <w:rsid w:val="002B133F"/>
    <w:rsid w:val="002B4B29"/>
    <w:rsid w:val="002B7456"/>
    <w:rsid w:val="002B7B28"/>
    <w:rsid w:val="002C06AC"/>
    <w:rsid w:val="002C0E62"/>
    <w:rsid w:val="002D05CE"/>
    <w:rsid w:val="002D4A7B"/>
    <w:rsid w:val="002D784E"/>
    <w:rsid w:val="002E3793"/>
    <w:rsid w:val="002E7538"/>
    <w:rsid w:val="002F7211"/>
    <w:rsid w:val="00304798"/>
    <w:rsid w:val="00313193"/>
    <w:rsid w:val="00323A99"/>
    <w:rsid w:val="00324D9C"/>
    <w:rsid w:val="00325415"/>
    <w:rsid w:val="003453E5"/>
    <w:rsid w:val="003500A4"/>
    <w:rsid w:val="00351E83"/>
    <w:rsid w:val="003550A0"/>
    <w:rsid w:val="00355590"/>
    <w:rsid w:val="0035720C"/>
    <w:rsid w:val="00361EFD"/>
    <w:rsid w:val="0037068D"/>
    <w:rsid w:val="00372935"/>
    <w:rsid w:val="00374596"/>
    <w:rsid w:val="003814AF"/>
    <w:rsid w:val="00387643"/>
    <w:rsid w:val="00393F05"/>
    <w:rsid w:val="003A03FA"/>
    <w:rsid w:val="003A2028"/>
    <w:rsid w:val="003A5815"/>
    <w:rsid w:val="003B075E"/>
    <w:rsid w:val="003B1C9F"/>
    <w:rsid w:val="003B2155"/>
    <w:rsid w:val="003B3D1E"/>
    <w:rsid w:val="003D29B3"/>
    <w:rsid w:val="003D736D"/>
    <w:rsid w:val="003F046C"/>
    <w:rsid w:val="003F67A2"/>
    <w:rsid w:val="004015E2"/>
    <w:rsid w:val="00404309"/>
    <w:rsid w:val="0041685B"/>
    <w:rsid w:val="00422FFF"/>
    <w:rsid w:val="00423DB3"/>
    <w:rsid w:val="00427D09"/>
    <w:rsid w:val="00431EF2"/>
    <w:rsid w:val="00435AA2"/>
    <w:rsid w:val="0044102A"/>
    <w:rsid w:val="004429AC"/>
    <w:rsid w:val="00445061"/>
    <w:rsid w:val="00445556"/>
    <w:rsid w:val="004534AC"/>
    <w:rsid w:val="00460314"/>
    <w:rsid w:val="0046152D"/>
    <w:rsid w:val="004679A1"/>
    <w:rsid w:val="00472993"/>
    <w:rsid w:val="004747AF"/>
    <w:rsid w:val="00476666"/>
    <w:rsid w:val="00485C48"/>
    <w:rsid w:val="00487C6D"/>
    <w:rsid w:val="0049076B"/>
    <w:rsid w:val="0049107F"/>
    <w:rsid w:val="004A1164"/>
    <w:rsid w:val="004A133A"/>
    <w:rsid w:val="004B4648"/>
    <w:rsid w:val="004B5597"/>
    <w:rsid w:val="004B5D2E"/>
    <w:rsid w:val="004C03F0"/>
    <w:rsid w:val="004C2C9C"/>
    <w:rsid w:val="004C6A0B"/>
    <w:rsid w:val="004C730A"/>
    <w:rsid w:val="004D265B"/>
    <w:rsid w:val="004D5EBD"/>
    <w:rsid w:val="004E6816"/>
    <w:rsid w:val="004E73E5"/>
    <w:rsid w:val="004E7AF1"/>
    <w:rsid w:val="004F1DAF"/>
    <w:rsid w:val="004F2042"/>
    <w:rsid w:val="004F71DD"/>
    <w:rsid w:val="00502E51"/>
    <w:rsid w:val="00505F78"/>
    <w:rsid w:val="005064F6"/>
    <w:rsid w:val="005066A1"/>
    <w:rsid w:val="005125CD"/>
    <w:rsid w:val="005134B3"/>
    <w:rsid w:val="0052247A"/>
    <w:rsid w:val="00523D85"/>
    <w:rsid w:val="005244BB"/>
    <w:rsid w:val="00524E57"/>
    <w:rsid w:val="005304A9"/>
    <w:rsid w:val="0053470C"/>
    <w:rsid w:val="00541950"/>
    <w:rsid w:val="005427C5"/>
    <w:rsid w:val="00543179"/>
    <w:rsid w:val="00543CFF"/>
    <w:rsid w:val="00546780"/>
    <w:rsid w:val="00547EA4"/>
    <w:rsid w:val="005528A4"/>
    <w:rsid w:val="005557A4"/>
    <w:rsid w:val="0056180D"/>
    <w:rsid w:val="00566705"/>
    <w:rsid w:val="00571D27"/>
    <w:rsid w:val="00572F1D"/>
    <w:rsid w:val="00575009"/>
    <w:rsid w:val="00575C36"/>
    <w:rsid w:val="005800F4"/>
    <w:rsid w:val="00586D63"/>
    <w:rsid w:val="005A29B0"/>
    <w:rsid w:val="005B2B7C"/>
    <w:rsid w:val="005C0570"/>
    <w:rsid w:val="005C0AF1"/>
    <w:rsid w:val="005C1BD1"/>
    <w:rsid w:val="005C2687"/>
    <w:rsid w:val="005C50F0"/>
    <w:rsid w:val="005C6FA2"/>
    <w:rsid w:val="005D330C"/>
    <w:rsid w:val="005D4968"/>
    <w:rsid w:val="005D53DC"/>
    <w:rsid w:val="005D68D1"/>
    <w:rsid w:val="005E3ACA"/>
    <w:rsid w:val="005E4B39"/>
    <w:rsid w:val="00600F1E"/>
    <w:rsid w:val="006159AA"/>
    <w:rsid w:val="00617E4C"/>
    <w:rsid w:val="00620197"/>
    <w:rsid w:val="00620E60"/>
    <w:rsid w:val="0062279B"/>
    <w:rsid w:val="00623A81"/>
    <w:rsid w:val="00626744"/>
    <w:rsid w:val="0062728E"/>
    <w:rsid w:val="006342AB"/>
    <w:rsid w:val="006454D8"/>
    <w:rsid w:val="00646F43"/>
    <w:rsid w:val="006476E4"/>
    <w:rsid w:val="00655FD9"/>
    <w:rsid w:val="0065601E"/>
    <w:rsid w:val="006573D9"/>
    <w:rsid w:val="006575E8"/>
    <w:rsid w:val="00660296"/>
    <w:rsid w:val="00660D42"/>
    <w:rsid w:val="00671FA2"/>
    <w:rsid w:val="00684F95"/>
    <w:rsid w:val="00685088"/>
    <w:rsid w:val="00685C49"/>
    <w:rsid w:val="00686926"/>
    <w:rsid w:val="00693975"/>
    <w:rsid w:val="006942D8"/>
    <w:rsid w:val="006950FC"/>
    <w:rsid w:val="006A19EC"/>
    <w:rsid w:val="006A3182"/>
    <w:rsid w:val="006A5CDF"/>
    <w:rsid w:val="006A797F"/>
    <w:rsid w:val="006B05A2"/>
    <w:rsid w:val="006C6C98"/>
    <w:rsid w:val="006D10F1"/>
    <w:rsid w:val="006D680A"/>
    <w:rsid w:val="006E3871"/>
    <w:rsid w:val="006E5EBE"/>
    <w:rsid w:val="006E7473"/>
    <w:rsid w:val="006F48A8"/>
    <w:rsid w:val="006F4D12"/>
    <w:rsid w:val="006F6F09"/>
    <w:rsid w:val="00700D30"/>
    <w:rsid w:val="0070144B"/>
    <w:rsid w:val="007043E4"/>
    <w:rsid w:val="0070530D"/>
    <w:rsid w:val="0070544E"/>
    <w:rsid w:val="00706FC0"/>
    <w:rsid w:val="00707530"/>
    <w:rsid w:val="00713424"/>
    <w:rsid w:val="00720589"/>
    <w:rsid w:val="007240B6"/>
    <w:rsid w:val="007245EF"/>
    <w:rsid w:val="00734BCE"/>
    <w:rsid w:val="00735256"/>
    <w:rsid w:val="00747900"/>
    <w:rsid w:val="0075020C"/>
    <w:rsid w:val="00751BC0"/>
    <w:rsid w:val="00753C30"/>
    <w:rsid w:val="007622E9"/>
    <w:rsid w:val="00792A54"/>
    <w:rsid w:val="00795AC0"/>
    <w:rsid w:val="007A5657"/>
    <w:rsid w:val="007A56BB"/>
    <w:rsid w:val="007B7D72"/>
    <w:rsid w:val="007D48F0"/>
    <w:rsid w:val="007E007A"/>
    <w:rsid w:val="007F0255"/>
    <w:rsid w:val="007F186D"/>
    <w:rsid w:val="007F5C55"/>
    <w:rsid w:val="00801843"/>
    <w:rsid w:val="008035D7"/>
    <w:rsid w:val="00806B8E"/>
    <w:rsid w:val="00807610"/>
    <w:rsid w:val="00807CDF"/>
    <w:rsid w:val="00817B70"/>
    <w:rsid w:val="008201EE"/>
    <w:rsid w:val="00830238"/>
    <w:rsid w:val="0083243E"/>
    <w:rsid w:val="00833618"/>
    <w:rsid w:val="00835E1B"/>
    <w:rsid w:val="00837448"/>
    <w:rsid w:val="008428F4"/>
    <w:rsid w:val="008462C0"/>
    <w:rsid w:val="00851ADB"/>
    <w:rsid w:val="00857735"/>
    <w:rsid w:val="00860130"/>
    <w:rsid w:val="0087313B"/>
    <w:rsid w:val="00875B58"/>
    <w:rsid w:val="00876ECB"/>
    <w:rsid w:val="0088087A"/>
    <w:rsid w:val="00884ECE"/>
    <w:rsid w:val="00886379"/>
    <w:rsid w:val="008906BD"/>
    <w:rsid w:val="00893417"/>
    <w:rsid w:val="0089370F"/>
    <w:rsid w:val="008A1425"/>
    <w:rsid w:val="008B2121"/>
    <w:rsid w:val="008B45BD"/>
    <w:rsid w:val="008B72AE"/>
    <w:rsid w:val="008B731F"/>
    <w:rsid w:val="008C56B9"/>
    <w:rsid w:val="008D00C5"/>
    <w:rsid w:val="008D0745"/>
    <w:rsid w:val="008D0F71"/>
    <w:rsid w:val="008D1F23"/>
    <w:rsid w:val="008D5D60"/>
    <w:rsid w:val="008D5DD7"/>
    <w:rsid w:val="008D5E4C"/>
    <w:rsid w:val="008E5A35"/>
    <w:rsid w:val="008E6A37"/>
    <w:rsid w:val="008E7822"/>
    <w:rsid w:val="008F0A2B"/>
    <w:rsid w:val="008F2598"/>
    <w:rsid w:val="008F6AA8"/>
    <w:rsid w:val="00907B5E"/>
    <w:rsid w:val="00910737"/>
    <w:rsid w:val="009131E9"/>
    <w:rsid w:val="00922BCA"/>
    <w:rsid w:val="00923CA3"/>
    <w:rsid w:val="00925073"/>
    <w:rsid w:val="00925B40"/>
    <w:rsid w:val="0093381A"/>
    <w:rsid w:val="00933EB3"/>
    <w:rsid w:val="009370F6"/>
    <w:rsid w:val="009401A4"/>
    <w:rsid w:val="009404A4"/>
    <w:rsid w:val="0094060A"/>
    <w:rsid w:val="00941D35"/>
    <w:rsid w:val="009504C2"/>
    <w:rsid w:val="00953853"/>
    <w:rsid w:val="009616E1"/>
    <w:rsid w:val="00974BD2"/>
    <w:rsid w:val="009800BC"/>
    <w:rsid w:val="009839E8"/>
    <w:rsid w:val="00995B4F"/>
    <w:rsid w:val="00996FFA"/>
    <w:rsid w:val="009A41B9"/>
    <w:rsid w:val="009B3BE2"/>
    <w:rsid w:val="009B52E2"/>
    <w:rsid w:val="009B68EF"/>
    <w:rsid w:val="009B7734"/>
    <w:rsid w:val="009E4922"/>
    <w:rsid w:val="009F1416"/>
    <w:rsid w:val="009F3DEA"/>
    <w:rsid w:val="009F42D6"/>
    <w:rsid w:val="009F4F9E"/>
    <w:rsid w:val="009F61B4"/>
    <w:rsid w:val="00A001EB"/>
    <w:rsid w:val="00A0329E"/>
    <w:rsid w:val="00A128AB"/>
    <w:rsid w:val="00A14E11"/>
    <w:rsid w:val="00A21B5F"/>
    <w:rsid w:val="00A226AF"/>
    <w:rsid w:val="00A259D4"/>
    <w:rsid w:val="00A25E3F"/>
    <w:rsid w:val="00A33D5D"/>
    <w:rsid w:val="00A33F69"/>
    <w:rsid w:val="00A36F61"/>
    <w:rsid w:val="00A37203"/>
    <w:rsid w:val="00A43241"/>
    <w:rsid w:val="00A633BD"/>
    <w:rsid w:val="00A651C5"/>
    <w:rsid w:val="00A65FBD"/>
    <w:rsid w:val="00A66351"/>
    <w:rsid w:val="00A7199B"/>
    <w:rsid w:val="00A736CC"/>
    <w:rsid w:val="00A916EE"/>
    <w:rsid w:val="00A9320D"/>
    <w:rsid w:val="00A95671"/>
    <w:rsid w:val="00AA1E42"/>
    <w:rsid w:val="00AA1ED5"/>
    <w:rsid w:val="00AA2009"/>
    <w:rsid w:val="00AA4D83"/>
    <w:rsid w:val="00AA61F1"/>
    <w:rsid w:val="00AA7404"/>
    <w:rsid w:val="00AB0D69"/>
    <w:rsid w:val="00AB2422"/>
    <w:rsid w:val="00AD0767"/>
    <w:rsid w:val="00AD1A00"/>
    <w:rsid w:val="00AD6D75"/>
    <w:rsid w:val="00AE3248"/>
    <w:rsid w:val="00AE480E"/>
    <w:rsid w:val="00B00CB9"/>
    <w:rsid w:val="00B03D9F"/>
    <w:rsid w:val="00B14955"/>
    <w:rsid w:val="00B1530F"/>
    <w:rsid w:val="00B16737"/>
    <w:rsid w:val="00B17824"/>
    <w:rsid w:val="00B20072"/>
    <w:rsid w:val="00B20B2C"/>
    <w:rsid w:val="00B2492B"/>
    <w:rsid w:val="00B30745"/>
    <w:rsid w:val="00B40908"/>
    <w:rsid w:val="00B516D8"/>
    <w:rsid w:val="00B53E08"/>
    <w:rsid w:val="00B61E5E"/>
    <w:rsid w:val="00B62048"/>
    <w:rsid w:val="00B66DFC"/>
    <w:rsid w:val="00B717A8"/>
    <w:rsid w:val="00B7396B"/>
    <w:rsid w:val="00B765F2"/>
    <w:rsid w:val="00B77263"/>
    <w:rsid w:val="00B776F5"/>
    <w:rsid w:val="00B82C12"/>
    <w:rsid w:val="00B873E1"/>
    <w:rsid w:val="00B8752D"/>
    <w:rsid w:val="00B923B4"/>
    <w:rsid w:val="00B96699"/>
    <w:rsid w:val="00B9798F"/>
    <w:rsid w:val="00BA0D4C"/>
    <w:rsid w:val="00BA279E"/>
    <w:rsid w:val="00BA5321"/>
    <w:rsid w:val="00BB2459"/>
    <w:rsid w:val="00BB611B"/>
    <w:rsid w:val="00BC00B2"/>
    <w:rsid w:val="00BC4978"/>
    <w:rsid w:val="00BD2A70"/>
    <w:rsid w:val="00BE1C94"/>
    <w:rsid w:val="00BE77DE"/>
    <w:rsid w:val="00BF4B1B"/>
    <w:rsid w:val="00BF5778"/>
    <w:rsid w:val="00C04DD4"/>
    <w:rsid w:val="00C10332"/>
    <w:rsid w:val="00C146FE"/>
    <w:rsid w:val="00C23009"/>
    <w:rsid w:val="00C27103"/>
    <w:rsid w:val="00C356A0"/>
    <w:rsid w:val="00C36B78"/>
    <w:rsid w:val="00C42A44"/>
    <w:rsid w:val="00C43062"/>
    <w:rsid w:val="00C4482E"/>
    <w:rsid w:val="00C44DF7"/>
    <w:rsid w:val="00C473DF"/>
    <w:rsid w:val="00C52112"/>
    <w:rsid w:val="00C52F9C"/>
    <w:rsid w:val="00C53236"/>
    <w:rsid w:val="00C626AF"/>
    <w:rsid w:val="00C62DD8"/>
    <w:rsid w:val="00C658CA"/>
    <w:rsid w:val="00C66BC8"/>
    <w:rsid w:val="00C70BDF"/>
    <w:rsid w:val="00C71D1F"/>
    <w:rsid w:val="00C72F09"/>
    <w:rsid w:val="00C81436"/>
    <w:rsid w:val="00C82E8D"/>
    <w:rsid w:val="00C90A14"/>
    <w:rsid w:val="00CA4E91"/>
    <w:rsid w:val="00CA7AF4"/>
    <w:rsid w:val="00CB1C75"/>
    <w:rsid w:val="00CB7C63"/>
    <w:rsid w:val="00CC06D0"/>
    <w:rsid w:val="00CC21F1"/>
    <w:rsid w:val="00CD27EB"/>
    <w:rsid w:val="00CD6BE3"/>
    <w:rsid w:val="00CD7166"/>
    <w:rsid w:val="00CE178B"/>
    <w:rsid w:val="00CE3C28"/>
    <w:rsid w:val="00CE3F44"/>
    <w:rsid w:val="00CE55E2"/>
    <w:rsid w:val="00CE7B08"/>
    <w:rsid w:val="00CF66E5"/>
    <w:rsid w:val="00CF6AA9"/>
    <w:rsid w:val="00D00922"/>
    <w:rsid w:val="00D01BE9"/>
    <w:rsid w:val="00D03E8E"/>
    <w:rsid w:val="00D04795"/>
    <w:rsid w:val="00D12E23"/>
    <w:rsid w:val="00D135C3"/>
    <w:rsid w:val="00D233FE"/>
    <w:rsid w:val="00D234C6"/>
    <w:rsid w:val="00D23D5B"/>
    <w:rsid w:val="00D253EB"/>
    <w:rsid w:val="00D32F3A"/>
    <w:rsid w:val="00D333B2"/>
    <w:rsid w:val="00D34064"/>
    <w:rsid w:val="00D351A6"/>
    <w:rsid w:val="00D3724C"/>
    <w:rsid w:val="00D425E4"/>
    <w:rsid w:val="00D507DF"/>
    <w:rsid w:val="00D52AC3"/>
    <w:rsid w:val="00D54B4D"/>
    <w:rsid w:val="00D66A3E"/>
    <w:rsid w:val="00D73066"/>
    <w:rsid w:val="00DA28B2"/>
    <w:rsid w:val="00DA7B8C"/>
    <w:rsid w:val="00DB0932"/>
    <w:rsid w:val="00DB6C05"/>
    <w:rsid w:val="00DC2828"/>
    <w:rsid w:val="00DC6E45"/>
    <w:rsid w:val="00DC795E"/>
    <w:rsid w:val="00DD3DA3"/>
    <w:rsid w:val="00DE4B07"/>
    <w:rsid w:val="00DE6237"/>
    <w:rsid w:val="00DF2CD2"/>
    <w:rsid w:val="00DF6781"/>
    <w:rsid w:val="00E00122"/>
    <w:rsid w:val="00E025DC"/>
    <w:rsid w:val="00E06505"/>
    <w:rsid w:val="00E113BE"/>
    <w:rsid w:val="00E17857"/>
    <w:rsid w:val="00E27131"/>
    <w:rsid w:val="00E27644"/>
    <w:rsid w:val="00E315A1"/>
    <w:rsid w:val="00E367E5"/>
    <w:rsid w:val="00E37F83"/>
    <w:rsid w:val="00E40098"/>
    <w:rsid w:val="00E53D4B"/>
    <w:rsid w:val="00E60686"/>
    <w:rsid w:val="00E60A96"/>
    <w:rsid w:val="00E60C4B"/>
    <w:rsid w:val="00E60EF6"/>
    <w:rsid w:val="00E62C3D"/>
    <w:rsid w:val="00E66614"/>
    <w:rsid w:val="00E704FF"/>
    <w:rsid w:val="00E71C90"/>
    <w:rsid w:val="00E72780"/>
    <w:rsid w:val="00E75826"/>
    <w:rsid w:val="00E8030E"/>
    <w:rsid w:val="00E81DD4"/>
    <w:rsid w:val="00E853C9"/>
    <w:rsid w:val="00E94F51"/>
    <w:rsid w:val="00E94FC1"/>
    <w:rsid w:val="00E96331"/>
    <w:rsid w:val="00E97E25"/>
    <w:rsid w:val="00EA3654"/>
    <w:rsid w:val="00EB311A"/>
    <w:rsid w:val="00EB47D6"/>
    <w:rsid w:val="00EC42E2"/>
    <w:rsid w:val="00EC4663"/>
    <w:rsid w:val="00EC473B"/>
    <w:rsid w:val="00EC6443"/>
    <w:rsid w:val="00EC746C"/>
    <w:rsid w:val="00EE07F2"/>
    <w:rsid w:val="00EE2F35"/>
    <w:rsid w:val="00EE4C71"/>
    <w:rsid w:val="00EF21A6"/>
    <w:rsid w:val="00EF35D7"/>
    <w:rsid w:val="00EF5C69"/>
    <w:rsid w:val="00F0175B"/>
    <w:rsid w:val="00F06EDF"/>
    <w:rsid w:val="00F15523"/>
    <w:rsid w:val="00F16E24"/>
    <w:rsid w:val="00F17ADD"/>
    <w:rsid w:val="00F206B7"/>
    <w:rsid w:val="00F2159F"/>
    <w:rsid w:val="00F32ADB"/>
    <w:rsid w:val="00F33B50"/>
    <w:rsid w:val="00F34026"/>
    <w:rsid w:val="00F4072F"/>
    <w:rsid w:val="00F44E18"/>
    <w:rsid w:val="00F4729A"/>
    <w:rsid w:val="00F509C2"/>
    <w:rsid w:val="00F54EB2"/>
    <w:rsid w:val="00F551D0"/>
    <w:rsid w:val="00F567DA"/>
    <w:rsid w:val="00F65825"/>
    <w:rsid w:val="00F70D29"/>
    <w:rsid w:val="00F718E3"/>
    <w:rsid w:val="00F72FA5"/>
    <w:rsid w:val="00F73103"/>
    <w:rsid w:val="00F73812"/>
    <w:rsid w:val="00F73DA6"/>
    <w:rsid w:val="00F84DA7"/>
    <w:rsid w:val="00F86DFA"/>
    <w:rsid w:val="00F90BF9"/>
    <w:rsid w:val="00F94B43"/>
    <w:rsid w:val="00FA46DB"/>
    <w:rsid w:val="00FA55B5"/>
    <w:rsid w:val="00FA6EF2"/>
    <w:rsid w:val="00FA7F7D"/>
    <w:rsid w:val="00FB3007"/>
    <w:rsid w:val="00FB6B73"/>
    <w:rsid w:val="00FB6BE4"/>
    <w:rsid w:val="00FC05F7"/>
    <w:rsid w:val="00FC3EA0"/>
    <w:rsid w:val="00FD6855"/>
    <w:rsid w:val="00FE7279"/>
    <w:rsid w:val="00FE7B73"/>
    <w:rsid w:val="00FF2483"/>
    <w:rsid w:val="00FF2553"/>
    <w:rsid w:val="00FF3216"/>
    <w:rsid w:val="00FF49B5"/>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241"/>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E60A96"/>
    <w:rPr>
      <w:b/>
      <w:bCs/>
    </w:rPr>
  </w:style>
  <w:style w:type="paragraph" w:styleId="Bibliography">
    <w:name w:val="Bibliography"/>
    <w:basedOn w:val="Normal"/>
    <w:next w:val="Normal"/>
    <w:uiPriority w:val="37"/>
    <w:unhideWhenUsed/>
    <w:rsid w:val="00FC0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7949265">
      <w:bodyDiv w:val="1"/>
      <w:marLeft w:val="0"/>
      <w:marRight w:val="0"/>
      <w:marTop w:val="0"/>
      <w:marBottom w:val="0"/>
      <w:divBdr>
        <w:top w:val="none" w:sz="0" w:space="0" w:color="auto"/>
        <w:left w:val="none" w:sz="0" w:space="0" w:color="auto"/>
        <w:bottom w:val="none" w:sz="0" w:space="0" w:color="auto"/>
        <w:right w:val="none" w:sz="0" w:space="0" w:color="auto"/>
      </w:divBdr>
    </w:div>
    <w:div w:id="221672612">
      <w:bodyDiv w:val="1"/>
      <w:marLeft w:val="0"/>
      <w:marRight w:val="0"/>
      <w:marTop w:val="0"/>
      <w:marBottom w:val="0"/>
      <w:divBdr>
        <w:top w:val="none" w:sz="0" w:space="0" w:color="auto"/>
        <w:left w:val="none" w:sz="0" w:space="0" w:color="auto"/>
        <w:bottom w:val="none" w:sz="0" w:space="0" w:color="auto"/>
        <w:right w:val="none" w:sz="0" w:space="0" w:color="auto"/>
      </w:divBdr>
    </w:div>
    <w:div w:id="259216365">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7066762">
      <w:bodyDiv w:val="1"/>
      <w:marLeft w:val="0"/>
      <w:marRight w:val="0"/>
      <w:marTop w:val="0"/>
      <w:marBottom w:val="0"/>
      <w:divBdr>
        <w:top w:val="none" w:sz="0" w:space="0" w:color="auto"/>
        <w:left w:val="none" w:sz="0" w:space="0" w:color="auto"/>
        <w:bottom w:val="none" w:sz="0" w:space="0" w:color="auto"/>
        <w:right w:val="none" w:sz="0" w:space="0" w:color="auto"/>
      </w:divBdr>
    </w:div>
    <w:div w:id="497040415">
      <w:bodyDiv w:val="1"/>
      <w:marLeft w:val="0"/>
      <w:marRight w:val="0"/>
      <w:marTop w:val="0"/>
      <w:marBottom w:val="0"/>
      <w:divBdr>
        <w:top w:val="none" w:sz="0" w:space="0" w:color="auto"/>
        <w:left w:val="none" w:sz="0" w:space="0" w:color="auto"/>
        <w:bottom w:val="none" w:sz="0" w:space="0" w:color="auto"/>
        <w:right w:val="none" w:sz="0" w:space="0" w:color="auto"/>
      </w:divBdr>
    </w:div>
    <w:div w:id="582229791">
      <w:bodyDiv w:val="1"/>
      <w:marLeft w:val="0"/>
      <w:marRight w:val="0"/>
      <w:marTop w:val="0"/>
      <w:marBottom w:val="0"/>
      <w:divBdr>
        <w:top w:val="none" w:sz="0" w:space="0" w:color="auto"/>
        <w:left w:val="none" w:sz="0" w:space="0" w:color="auto"/>
        <w:bottom w:val="none" w:sz="0" w:space="0" w:color="auto"/>
        <w:right w:val="none" w:sz="0" w:space="0" w:color="auto"/>
      </w:divBdr>
    </w:div>
    <w:div w:id="677006271">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83161199">
      <w:bodyDiv w:val="1"/>
      <w:marLeft w:val="0"/>
      <w:marRight w:val="0"/>
      <w:marTop w:val="0"/>
      <w:marBottom w:val="0"/>
      <w:divBdr>
        <w:top w:val="none" w:sz="0" w:space="0" w:color="auto"/>
        <w:left w:val="none" w:sz="0" w:space="0" w:color="auto"/>
        <w:bottom w:val="none" w:sz="0" w:space="0" w:color="auto"/>
        <w:right w:val="none" w:sz="0" w:space="0" w:color="auto"/>
      </w:divBdr>
    </w:div>
    <w:div w:id="926035736">
      <w:bodyDiv w:val="1"/>
      <w:marLeft w:val="0"/>
      <w:marRight w:val="0"/>
      <w:marTop w:val="0"/>
      <w:marBottom w:val="0"/>
      <w:divBdr>
        <w:top w:val="none" w:sz="0" w:space="0" w:color="auto"/>
        <w:left w:val="none" w:sz="0" w:space="0" w:color="auto"/>
        <w:bottom w:val="none" w:sz="0" w:space="0" w:color="auto"/>
        <w:right w:val="none" w:sz="0" w:space="0" w:color="auto"/>
      </w:divBdr>
    </w:div>
    <w:div w:id="1136141960">
      <w:bodyDiv w:val="1"/>
      <w:marLeft w:val="0"/>
      <w:marRight w:val="0"/>
      <w:marTop w:val="0"/>
      <w:marBottom w:val="0"/>
      <w:divBdr>
        <w:top w:val="none" w:sz="0" w:space="0" w:color="auto"/>
        <w:left w:val="none" w:sz="0" w:space="0" w:color="auto"/>
        <w:bottom w:val="none" w:sz="0" w:space="0" w:color="auto"/>
        <w:right w:val="none" w:sz="0" w:space="0" w:color="auto"/>
      </w:divBdr>
    </w:div>
    <w:div w:id="1446533369">
      <w:bodyDiv w:val="1"/>
      <w:marLeft w:val="0"/>
      <w:marRight w:val="0"/>
      <w:marTop w:val="0"/>
      <w:marBottom w:val="0"/>
      <w:divBdr>
        <w:top w:val="none" w:sz="0" w:space="0" w:color="auto"/>
        <w:left w:val="none" w:sz="0" w:space="0" w:color="auto"/>
        <w:bottom w:val="none" w:sz="0" w:space="0" w:color="auto"/>
        <w:right w:val="none" w:sz="0" w:space="0" w:color="auto"/>
      </w:divBdr>
    </w:div>
    <w:div w:id="1474718081">
      <w:bodyDiv w:val="1"/>
      <w:marLeft w:val="0"/>
      <w:marRight w:val="0"/>
      <w:marTop w:val="0"/>
      <w:marBottom w:val="0"/>
      <w:divBdr>
        <w:top w:val="none" w:sz="0" w:space="0" w:color="auto"/>
        <w:left w:val="none" w:sz="0" w:space="0" w:color="auto"/>
        <w:bottom w:val="none" w:sz="0" w:space="0" w:color="auto"/>
        <w:right w:val="none" w:sz="0" w:space="0" w:color="auto"/>
      </w:divBdr>
    </w:div>
    <w:div w:id="1487623176">
      <w:bodyDiv w:val="1"/>
      <w:marLeft w:val="0"/>
      <w:marRight w:val="0"/>
      <w:marTop w:val="0"/>
      <w:marBottom w:val="0"/>
      <w:divBdr>
        <w:top w:val="none" w:sz="0" w:space="0" w:color="auto"/>
        <w:left w:val="none" w:sz="0" w:space="0" w:color="auto"/>
        <w:bottom w:val="none" w:sz="0" w:space="0" w:color="auto"/>
        <w:right w:val="none" w:sz="0" w:space="0" w:color="auto"/>
      </w:divBdr>
    </w:div>
    <w:div w:id="1537889937">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772162482">
      <w:bodyDiv w:val="1"/>
      <w:marLeft w:val="0"/>
      <w:marRight w:val="0"/>
      <w:marTop w:val="0"/>
      <w:marBottom w:val="0"/>
      <w:divBdr>
        <w:top w:val="none" w:sz="0" w:space="0" w:color="auto"/>
        <w:left w:val="none" w:sz="0" w:space="0" w:color="auto"/>
        <w:bottom w:val="none" w:sz="0" w:space="0" w:color="auto"/>
        <w:right w:val="none" w:sz="0" w:space="0" w:color="auto"/>
      </w:divBdr>
    </w:div>
    <w:div w:id="1803770517">
      <w:bodyDiv w:val="1"/>
      <w:marLeft w:val="0"/>
      <w:marRight w:val="0"/>
      <w:marTop w:val="0"/>
      <w:marBottom w:val="0"/>
      <w:divBdr>
        <w:top w:val="none" w:sz="0" w:space="0" w:color="auto"/>
        <w:left w:val="none" w:sz="0" w:space="0" w:color="auto"/>
        <w:bottom w:val="none" w:sz="0" w:space="0" w:color="auto"/>
        <w:right w:val="none" w:sz="0" w:space="0" w:color="auto"/>
      </w:divBdr>
    </w:div>
    <w:div w:id="1839228563">
      <w:bodyDiv w:val="1"/>
      <w:marLeft w:val="0"/>
      <w:marRight w:val="0"/>
      <w:marTop w:val="0"/>
      <w:marBottom w:val="0"/>
      <w:divBdr>
        <w:top w:val="none" w:sz="0" w:space="0" w:color="auto"/>
        <w:left w:val="none" w:sz="0" w:space="0" w:color="auto"/>
        <w:bottom w:val="none" w:sz="0" w:space="0" w:color="auto"/>
        <w:right w:val="none" w:sz="0" w:space="0" w:color="auto"/>
      </w:divBdr>
    </w:div>
    <w:div w:id="1998259631">
      <w:bodyDiv w:val="1"/>
      <w:marLeft w:val="0"/>
      <w:marRight w:val="0"/>
      <w:marTop w:val="0"/>
      <w:marBottom w:val="0"/>
      <w:divBdr>
        <w:top w:val="none" w:sz="0" w:space="0" w:color="auto"/>
        <w:left w:val="none" w:sz="0" w:space="0" w:color="auto"/>
        <w:bottom w:val="none" w:sz="0" w:space="0" w:color="auto"/>
        <w:right w:val="none" w:sz="0" w:space="0" w:color="auto"/>
      </w:divBdr>
    </w:div>
    <w:div w:id="2045405609">
      <w:bodyDiv w:val="1"/>
      <w:marLeft w:val="0"/>
      <w:marRight w:val="0"/>
      <w:marTop w:val="0"/>
      <w:marBottom w:val="0"/>
      <w:divBdr>
        <w:top w:val="none" w:sz="0" w:space="0" w:color="auto"/>
        <w:left w:val="none" w:sz="0" w:space="0" w:color="auto"/>
        <w:bottom w:val="none" w:sz="0" w:space="0" w:color="auto"/>
        <w:right w:val="none" w:sz="0" w:space="0" w:color="auto"/>
      </w:divBdr>
    </w:div>
    <w:div w:id="210194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Def201</b:Tag>
    <b:SourceType>DocumentFromInternetSite</b:SourceType>
    <b:Guid>{F38EF777-51CD-2148-87A5-0DE031052FBC}</b:Guid>
    <b:Title>DSA03 OME: part 1 OME Acquisition</b:Title>
    <b:Year>2020</b:Year>
    <b:Author>
      <b:Author>
        <b:Corporate>Defence Safety Authority</b:Corporate>
      </b:Author>
    </b:Author>
    <b:URL>https://www.gov.uk/government/publications/dsa03-ome-part-1-ome-acquisition</b:URL>
    <b:Month>June</b:Month>
    <b:Day>18</b:Day>
    <b:YearAccessed>2026</b:YearAccessed>
    <b:MonthAccessed>July</b:MonthAccessed>
    <b:DayAccessed>23</b:DayAccessed>
    <b:RefOrder>1</b:RefOrder>
  </b:Source>
  <b:Source>
    <b:Tag>Nat181</b:Tag>
    <b:SourceType>DocumentFromInternetSite</b:SourceType>
    <b:Guid>{CED436E7-7915-8541-BE82-868AEF1C15C9}</b:Guid>
    <b:Author>
      <b:Author>
        <b:Corporate>Nato</b:Corporate>
      </b:Author>
    </b:Author>
    <b:Title>AOP-4518 SAFE DISPOSAL OF MUNITIONS, DESIGN PRINCIPLES AND REQUIREMENTS, AND SAFETY ASSESSMENT</b:Title>
    <b:URL>https://standards.globalspec.com/std/10387465/aop-4518</b:URL>
    <b:Year>2018</b:Year>
    <b:Month>May</b:Month>
    <b:Day>24</b:Day>
    <b:YearAccessed>2026</b:YearAccessed>
    <b:MonthAccessed>July</b:MonthAccessed>
    <b:DayAccessed>23</b:DayAccessed>
    <b:RefOrder>2</b:RefOrder>
  </b:Source>
  <b:Source>
    <b:Tag>Min26</b:Tag>
    <b:SourceType>DocumentFromInternetSite</b:SourceType>
    <b:Guid>{53DA9B53-0850-E846-BDD5-4ECC17873EB5}</b:Guid>
    <b:Author>
      <b:Author>
        <b:NameList>
          <b:Person>
            <b:Last>Defence</b:Last>
            <b:First>Ministry</b:First>
            <b:Middle>of</b:Middle>
          </b:Person>
        </b:NameList>
      </b:Author>
    </b:Author>
    <b:Title>Management of environmental protection in defence</b:Title>
    <b:URL>https://www.gov.uk/government/publications/jsp-418-mod-corporate-environmental-protection-manual</b:URL>
    <b:Year>2026</b:Year>
    <b:Month>January</b:Month>
    <b:Day>30</b:Day>
    <b:YearAccessed>2026</b:YearAccessed>
    <b:MonthAccessed>July</b:MonthAccessed>
    <b:DayAccessed>23</b:DayAccessed>
    <b:RefOrder>3</b:RefOrder>
  </b:Source>
  <b:Source>
    <b:Tag>DES24</b:Tag>
    <b:SourceType>DocumentFromInternetSite</b:SourceType>
    <b:Guid>{53FFFF63-D206-7E4A-B990-145805D312C5}</b:Guid>
    <b:Author>
      <b:Author>
        <b:Corporate>DE&amp;S</b:Corporate>
      </b:Author>
    </b:Author>
    <b:Title>DE&amp;S SAFETY AND ENVIRONMENTAL PROTECTION LEAFLET 20/2024</b:Title>
    <b:URL>https://www.asems.mod.uk/sites/default/files/documents/SEP%20Leaflets/GMP00/20240529%20-%20S%26EP%20Leaflet%2020%202024%20-%20O.pdf</b:URL>
    <b:Year>2024</b:Year>
    <b:Month>May</b:Month>
    <b:YearAccessed>2026</b:YearAccessed>
    <b:MonthAccessed>July</b:MonthAccessed>
    <b:DayAccessed>23</b:DayAccessed>
    <b:RefOrder>4</b:RefOrder>
  </b:Source>
  <b:Source>
    <b:Tag>Off25</b:Tag>
    <b:SourceType>DocumentFromInternetSite</b:SourceType>
    <b:Guid>{BF7880AF-1752-C546-A516-46E21A5DBC7E}</b:Guid>
    <b:Author>
      <b:Author>
        <b:Corporate> Office for Product Safety and Standards and Department for Environment, Food &amp; Rural Affairs</b:Corporate>
      </b:Author>
    </b:Author>
    <b:Title>Regulations: Waste Electrical and Electronic Equipment (WEEE)</b:Title>
    <b:URL>https://www.gov.uk/guidance/regulations-waste-electrical-and-electronic-equipment</b:URL>
    <b:Year>2025</b:Year>
    <b:Month>August</b:Month>
    <b:Day>12</b:Day>
    <b:YearAccessed>2026</b:YearAccessed>
    <b:MonthAccessed>July</b:MonthAccessed>
    <b:DayAccessed>23</b:DayAccessed>
    <b:RefOrder>5</b:RefOrder>
  </b:Source>
  <b:Source>
    <b:Tag>Dep26</b:Tag>
    <b:SourceType>DocumentFromInternetSite</b:SourceType>
    <b:Guid>{67338341-A951-8846-B629-8597D3BBC50A}</b:Guid>
    <b:Author>
      <b:Author>
        <b:Corporate> Department of the Environment</b:Corporate>
      </b:Author>
    </b:Author>
    <b:Title> Environmental Protection Act 1990</b:Title>
    <b:URL>https://www.legislation.gov.uk/ukpga/1990/43/contents</b:URL>
    <b:Year>2026</b:Year>
    <b:Month>June</b:Month>
    <b:Day>05</b:Day>
    <b:YearAccessed>2026</b:YearAccessed>
    <b:MonthAccessed>July</b:MonthAccessed>
    <b:DayAccessed>23</b:DayAccessed>
    <b:RefOrder>6</b:RefOrder>
  </b:Source>
  <b:Source>
    <b:Tag>Eur25</b:Tag>
    <b:SourceType>DocumentFromInternetSite</b:SourceType>
    <b:Guid>{6E404F9A-FC38-2845-ACA4-F03D1EC24BF8}</b:Guid>
    <b:Author>
      <b:Author>
        <b:Corporate>European Union Office for Product Safety and Standards, Department for Business and Trade and Department for Environment, Food &amp; Rural Affairs</b:Corporate>
      </b:Author>
    </b:Author>
    <b:Title>Regulations: restriction of hazardous substances (RoHS)</b:Title>
    <b:URL>https://www.gov.uk/guidance/rohs-compliance-and-guidance</b:URL>
    <b:Year>2025</b:Year>
    <b:Month>July</b:Month>
    <b:Day>22</b:Day>
    <b:YearAccessed>2026</b:YearAccessed>
    <b:MonthAccessed>July</b:MonthAccessed>
    <b:DayAccessed>23</b:DayAccessed>
    <b:RefOrder>7</b:RefOrder>
  </b:Source>
  <b:Source>
    <b:Tag>Hea25</b:Tag>
    <b:SourceType>DocumentFromInternetSite</b:SourceType>
    <b:Guid>{49A83CAD-CD6F-B244-A6B1-ADF757D579D4}</b:Guid>
    <b:Author>
      <b:Author>
        <b:Corporate>Health and Safety Executive</b:Corporate>
      </b:Author>
    </b:Author>
    <b:Title>Control of Substances Hazardous to Health (COSHH)</b:Title>
    <b:URL>https://www.hse.gov.uk/coshh/</b:URL>
    <b:Year>2025</b:Year>
    <b:Month>October</b:Month>
    <b:Day>14</b:Day>
    <b:YearAccessed>2026</b:YearAccessed>
    <b:MonthAccessed>July</b:MonthAccessed>
    <b:DayAccessed>23</b:DayAccessed>
    <b:RefOrder>8</b:RefOrder>
  </b:Source>
  <b:Source>
    <b:Tag>Eur251</b:Tag>
    <b:SourceType>DocumentFromInternetSite</b:SourceType>
    <b:Guid>{1C89C660-84B0-9A49-BE6E-449B2F0DA036}</b:Guid>
    <b:Author>
      <b:Author>
        <b:Corporate>European Union</b:Corporate>
      </b:Author>
    </b:Author>
    <b:Title>REACH Regulation</b:Title>
    <b:URL>https://environment.ec.europa.eu/topics/chemicals/reach-regulation_en</b:URL>
    <b:Year>2025</b:Year>
    <b:YearAccessed>2026</b:YearAccessed>
    <b:MonthAccessed>July</b:MonthAccessed>
    <b:DayAccessed>23</b:DayAccessed>
    <b:RefOrder>9</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3FE93FD3-E77F-0E41-A262-B217315F870C}">
  <ds:schemaRefs>
    <ds:schemaRef ds:uri="http://schemas.openxmlformats.org/officeDocument/2006/bibliography"/>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15</Pages>
  <Words>2782</Words>
  <Characters>15862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Matt Claridge (2309516)</cp:lastModifiedBy>
  <cp:revision>33</cp:revision>
  <dcterms:created xsi:type="dcterms:W3CDTF">2026-07-24T15:27:00Z</dcterms:created>
  <dcterms:modified xsi:type="dcterms:W3CDTF">2026-07-24T16:15:00Z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