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B91C1C" w:val="clear"/>
            <w:tcMar>
              <w:top w:type="dxa" w:w="140"/>
              <w:left w:type="dxa" w:w="240"/>
              <w:bottom w:type="dxa" w:w="140"/>
              <w:right w:type="dxa" w:w="240"/>
            </w:tcMar>
          </w:tcPr>
          <w:p>
            <w:pPr>
              <w:spacing w:after="0" w:before="0"/>
            </w:pPr>
            <w:r>
              <w:rPr>
                <w:rFonts w:ascii="Cambria" w:cs="Cambria" w:eastAsia="Cambria" w:hAnsi="Cambria"/>
                <w:b/>
                <w:bCs/>
                <w:color w:val="FFFFFF"/>
                <w:sz w:val="28"/>
                <w:szCs w:val="28"/>
              </w:rPr>
              <w:t xml:space="preserve">LCDB7007  |  Quality in Qualitative Research  |  TUTOR ANSWER SHEET — NOT FOR DISTRIBUTION</w:t>
            </w:r>
          </w:p>
        </w:tc>
      </w:tr>
    </w:tbl>
    <w:p>
      <w:pPr>
        <w:spacing w:after="120" w:before="0"/>
      </w:pPr>
      <w:r>
        <w:rPr>
          <w:rFonts w:ascii="Calibri" w:cs="Calibri" w:eastAsia="Calibri" w:hAnsi="Calibri"/>
          <w:color w:val="1A1A2E"/>
          <w:sz w:val="22"/>
          <w:szCs w:val="22"/>
        </w:rPr>
        <w:t xml:space="preserve"/>
      </w:r>
    </w:p>
    <w:p>
      <w:pPr>
        <w:pStyle w:val="Heading1"/>
        <w:spacing w:after="160" w:before="360"/>
      </w:pPr>
      <w:r>
        <w:rPr>
          <w:rFonts w:ascii="Cambria" w:cs="Cambria" w:eastAsia="Cambria" w:hAnsi="Cambria"/>
          <w:b/>
          <w:bCs/>
          <w:color w:val="004B55"/>
          <w:sz w:val="34"/>
          <w:szCs w:val="34"/>
        </w:rPr>
        <w:t xml:space="preserve">Tutor Answer Frameworks: Activities 2 and 3</w:t>
      </w:r>
    </w:p>
    <w:p>
      <w:pPr>
        <w:spacing w:after="120" w:before="60"/>
      </w:pPr>
      <w:r>
        <w:rPr>
          <w:rFonts w:ascii="Calibri" w:cs="Calibri" w:eastAsia="Calibri" w:hAnsi="Calibri"/>
          <w:color w:val="607085"/>
          <w:sz w:val="22"/>
          <w:szCs w:val="22"/>
        </w:rPr>
        <w:t xml:space="preserve">These are indicative answers, not definitive ones. Doctoral-level discussion will produce legitimate variation. The purpose of these notes is to give you anchor points for facilitation and to flag common gaps or misconceptions. Where students produce a well-reasoned alternative, reward the reasoning.</w:t>
      </w:r>
    </w:p>
    <w:p>
      <w:pPr>
        <w:spacing w:after="120" w:before="0"/>
      </w:pPr>
      <w:r>
        <w:rPr>
          <w:rFonts w:ascii="Calibri" w:cs="Calibri" w:eastAsia="Calibri" w:hAnsi="Calibri"/>
          <w:color w:val="1A1A2E"/>
          <w:sz w:val="22"/>
          <w:szCs w:val="22"/>
        </w:rPr>
        <w:t xml:space="preserve"/>
      </w:r>
    </w:p>
    <w:p>
      <w:pPr>
        <w:pStyle w:val="Heading1"/>
        <w:spacing w:after="160" w:before="360"/>
      </w:pPr>
      <w:r>
        <w:rPr>
          <w:rFonts w:ascii="Cambria" w:cs="Cambria" w:eastAsia="Cambria" w:hAnsi="Cambria"/>
          <w:b/>
          <w:bCs/>
          <w:color w:val="004B55"/>
          <w:sz w:val="34"/>
          <w:szCs w:val="34"/>
        </w:rPr>
        <w:t xml:space="preserve">Activity 2 — Priya’s Study: Indicative Answers</w:t>
      </w:r>
    </w:p>
    <w:p>
      <w:pPr>
        <w:spacing w:after="120" w:before="60"/>
      </w:pPr>
      <w:r>
        <w:rPr>
          <w:rFonts w:ascii="Calibri" w:cs="Calibri" w:eastAsia="Calibri" w:hAnsi="Calibri"/>
          <w:color w:val="1A1A2E"/>
          <w:sz w:val="22"/>
          <w:szCs w:val="22"/>
        </w:rPr>
        <w:t xml:space="preserve">There are more than three legitimate concerns in this scenario. The following are the most significant. Accept any well-reasoned alternative. The key is whether students can connect a concern to a specific criterion and propose a proportionate technique.</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2800"/>
        <w:gridCol w:w="1800"/>
        <w:gridCol w:w="4426"/>
      </w:tblGrid>
      <w:tr>
        <w:tc>
          <w:tcPr>
            <w:tcW w:type="dxa" w:w="28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Concern</w:t>
            </w:r>
          </w:p>
        </w:tc>
        <w:tc>
          <w:tcPr>
            <w:tcW w:type="dxa" w:w="18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Criterion</w:t>
            </w:r>
          </w:p>
        </w:tc>
        <w:tc>
          <w:tcPr>
            <w:tcW w:type="dxa" w:w="4426"/>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Technique</w:t>
            </w:r>
          </w:p>
        </w:tc>
      </w:tr>
      <w:tr>
        <w:tc>
          <w:tcPr>
            <w:tcW w:type="dxa" w:w="2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Priya dismissed David’s outlier view as unrepresentative without engaging with it analytically.</w:t>
            </w:r>
          </w:p>
        </w:tc>
        <w:tc>
          <w:tcPr>
            <w:tcW w:type="dxa" w:w="1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007C8A"/>
                <w:sz w:val="22"/>
                <w:szCs w:val="22"/>
              </w:rPr>
              <w:t xml:space="preserve">Credibility</w:t>
            </w:r>
          </w:p>
        </w:tc>
        <w:tc>
          <w:tcPr>
            <w:tcW w:type="dxa" w:w="4426"/>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Negative case analysis: outlier evidence should be examined, not set aside. Priya should have asked whether David’s view required revision of the emerging themes.</w:t>
            </w:r>
          </w:p>
        </w:tc>
      </w:tr>
      <w:tr>
        <w:tc>
          <w:tcPr>
            <w:tcW w:type="dxa" w:w="28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Priya’s interview questions are leading (e.g. ‘pushed on you without consultation’) and pre-assume the communication theme she already held.</w:t>
            </w:r>
          </w:p>
        </w:tc>
        <w:tc>
          <w:tcPr>
            <w:tcW w:type="dxa" w:w="18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b/>
                <w:bCs/>
                <w:color w:val="007C8A"/>
                <w:sz w:val="22"/>
                <w:szCs w:val="22"/>
              </w:rPr>
              <w:t xml:space="preserve">Confirmability</w:t>
            </w:r>
          </w:p>
        </w:tc>
        <w:tc>
          <w:tcPr>
            <w:tcW w:type="dxa" w:w="4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Bracketing and peer review of the interview schedule before fieldwork. A colleague should have checked whether questions were genuinely open or were steering participants toward expected answers.</w:t>
            </w:r>
          </w:p>
        </w:tc>
      </w:tr>
      <w:tr>
        <w:tc>
          <w:tcPr>
            <w:tcW w:type="dxa" w:w="2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Analysis was completed in a single afternoon without any re-reading of original notes, peer review, or participant validation of themes.</w:t>
            </w:r>
          </w:p>
        </w:tc>
        <w:tc>
          <w:tcPr>
            <w:tcW w:type="dxa" w:w="1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007C8A"/>
                <w:sz w:val="22"/>
                <w:szCs w:val="22"/>
              </w:rPr>
              <w:t xml:space="preserve">Credibility / Dependability</w:t>
            </w:r>
          </w:p>
        </w:tc>
        <w:tc>
          <w:tcPr>
            <w:tcW w:type="dxa" w:w="4426"/>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Member checking (sharing themes with participants) and peer debriefing (sharing analysis with a colleague or supervisor before finalising). An audit trail of analytical decisions should also have been maintained.</w:t>
            </w:r>
          </w:p>
        </w:tc>
      </w:tr>
      <w:tr>
        <w:tc>
          <w:tcPr>
            <w:tcW w:type="dxa" w:w="28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Priya’s positionality statement is superficial — she acknowledges bias in one paragraph then concludes it had no material effect, without explaining how she reached that conclusion.</w:t>
            </w:r>
          </w:p>
        </w:tc>
        <w:tc>
          <w:tcPr>
            <w:tcW w:type="dxa" w:w="18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b/>
                <w:bCs/>
                <w:color w:val="007C8A"/>
                <w:sz w:val="22"/>
                <w:szCs w:val="22"/>
              </w:rPr>
              <w:t xml:space="preserve">Confirmability</w:t>
            </w:r>
          </w:p>
        </w:tc>
        <w:tc>
          <w:tcPr>
            <w:tcW w:type="dxa" w:w="4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A substantive reflexive memo or reflexive journal kept throughout the study, with specific entries documenting how professional assumptions were recognised and challenged at each stage.</w:t>
            </w:r>
          </w:p>
        </w:tc>
      </w:tr>
      <w:tr>
        <w:tc>
          <w:tcPr>
            <w:tcW w:type="dxa" w:w="2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Sampling via professional contacts (gatekeeping by HR directors) means participants were nominated, not self-selected — introducing a systematic filter on who gets to speak.</w:t>
            </w:r>
          </w:p>
        </w:tc>
        <w:tc>
          <w:tcPr>
            <w:tcW w:type="dxa" w:w="1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007C8A"/>
                <w:sz w:val="22"/>
                <w:szCs w:val="22"/>
              </w:rPr>
              <w:t xml:space="preserve">Credibility / Transferability</w:t>
            </w:r>
          </w:p>
        </w:tc>
        <w:tc>
          <w:tcPr>
            <w:tcW w:type="dxa" w:w="4426"/>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More transparent reporting of sampling strategy and its limitations, or redesign using purposive sampling directly from a broader pool. The contextual description should acknowledge who was systematically excluded.</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065F46" w:sz="2"/>
              <w:left w:val="single" w:color="065F46" w:sz="2"/>
              <w:bottom w:val="single" w:color="065F46" w:sz="2"/>
              <w:right w:val="single" w:color="065F46" w:sz="2"/>
            </w:tcBorders>
            <w:shd w:fill="D1FAE5"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What does the supervisor mean by ‘the analysis feels predetermined’?</w:t>
            </w:r>
          </w:p>
          <w:p>
            <w:pPr>
              <w:spacing w:after="120" w:before="60"/>
            </w:pPr>
            <w:r>
              <w:rPr>
                <w:rFonts w:ascii="Calibri" w:cs="Calibri" w:eastAsia="Calibri" w:hAnsi="Calibri"/>
                <w:color w:val="1A1A2E"/>
                <w:sz w:val="22"/>
                <w:szCs w:val="22"/>
              </w:rPr>
              <w:t xml:space="preserve">Indicative answer: the supervisor is identifying confirmation bias — the findings appear to mirror Priya’s pre-existing professional beliefs rather than emerging from the data. The framing of questions, the dismissal of the outlier, the speed of analysis, and the absence of any disconfirming evidence all point in the same direction. A trustworthy qualitative analysis actively seeks out alternative explanations and accounts for them.</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92400E" w:sz="2"/>
              <w:left w:val="single" w:color="92400E" w:sz="2"/>
              <w:bottom w:val="single" w:color="92400E" w:sz="2"/>
              <w:right w:val="single" w:color="92400E" w:sz="2"/>
            </w:tcBorders>
            <w:shd w:fill="FEF3C7"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Facilitation points</w:t>
            </w:r>
          </w:p>
          <w:p>
            <w:pPr>
              <w:pStyle w:val="ListParagraph"/>
              <w:numPr>
                <w:ilvl w:val="0"/>
                <w:numId w:val="2"/>
              </w:numPr>
              <w:spacing w:after="80" w:before="40"/>
            </w:pPr>
            <w:r>
              <w:rPr>
                <w:rFonts w:ascii="Calibri" w:cs="Calibri" w:eastAsia="Calibri" w:hAnsi="Calibri"/>
                <w:color w:val="1A1A2E"/>
                <w:sz w:val="22"/>
                <w:szCs w:val="22"/>
              </w:rPr>
              <w:t xml:space="preserve">Students often struggle to distinguish credibility from confirmability. Credibility concerns the accuracy of the findings; confirmability concerns whether the findings emerge from the data rather than from researcher bias. In Priya’s case, both are compromised, but by different mechanisms.</w:t>
            </w:r>
          </w:p>
          <w:p>
            <w:pPr>
              <w:pStyle w:val="ListParagraph"/>
              <w:numPr>
                <w:ilvl w:val="0"/>
                <w:numId w:val="2"/>
              </w:numPr>
              <w:spacing w:after="80" w:before="40"/>
            </w:pPr>
            <w:r>
              <w:rPr>
                <w:rFonts w:ascii="Calibri" w:cs="Calibri" w:eastAsia="Calibri" w:hAnsi="Calibri"/>
                <w:color w:val="1A1A2E"/>
                <w:sz w:val="22"/>
                <w:szCs w:val="22"/>
              </w:rPr>
              <w:t xml:space="preserve">The question about pilot study feasibility is important. Bracketing, peer debrief, and transcript member-checking are all feasible at pilot stage. A full confirmability audit is harder but not impossible. The key point: the standard does not lower — the scale does.</w:t>
            </w:r>
          </w:p>
          <w:p>
            <w:pPr>
              <w:pStyle w:val="ListParagraph"/>
              <w:numPr>
                <w:ilvl w:val="0"/>
                <w:numId w:val="2"/>
              </w:numPr>
              <w:spacing w:after="80" w:before="40"/>
            </w:pPr>
            <w:r>
              <w:rPr>
                <w:rFonts w:ascii="Calibri" w:cs="Calibri" w:eastAsia="Calibri" w:hAnsi="Calibri"/>
                <w:color w:val="1A1A2E"/>
                <w:sz w:val="22"/>
                <w:szCs w:val="22"/>
              </w:rPr>
              <w:t xml:space="preserve">If students defend Priya, draw them to the footnote in which she acknowledges non-conforming data and explicitly excludes it. This is a significant integrity issue.</w:t>
            </w:r>
          </w:p>
        </w:tc>
      </w:tr>
    </w:tbl>
    <w:p>
      <w:pPr>
        <w:spacing w:after="120" w:before="0"/>
      </w:pPr>
      <w:r>
        <w:rPr>
          <w:rFonts w:ascii="Calibri" w:cs="Calibri" w:eastAsia="Calibri" w:hAnsi="Calibri"/>
          <w:color w:val="1A1A2E"/>
          <w:sz w:val="22"/>
          <w:szCs w:val="22"/>
        </w:rPr>
        <w:t xml:space="preserve"/>
      </w:r>
    </w:p>
    <w:p>
      <w:r>
        <w:br w:type="page"/>
      </w:r>
    </w:p>
    <w:p>
      <w:pPr>
        <w:pStyle w:val="Heading1"/>
        <w:spacing w:after="160" w:before="360"/>
      </w:pPr>
      <w:r>
        <w:rPr>
          <w:rFonts w:ascii="Cambria" w:cs="Cambria" w:eastAsia="Cambria" w:hAnsi="Cambria"/>
          <w:b/>
          <w:bCs/>
          <w:color w:val="004B55"/>
          <w:sz w:val="34"/>
          <w:szCs w:val="34"/>
        </w:rPr>
        <w:t xml:space="preserve">Activity 3 — Marcus’s Pilot Study: Indicative Answers</w:t>
      </w:r>
    </w:p>
    <w:p>
      <w:pPr>
        <w:spacing w:after="120" w:before="60"/>
      </w:pPr>
      <w:r>
        <w:rPr>
          <w:rFonts w:ascii="Calibri" w:cs="Calibri" w:eastAsia="Calibri" w:hAnsi="Calibri"/>
          <w:color w:val="1A1A2E"/>
          <w:sz w:val="22"/>
          <w:szCs w:val="22"/>
        </w:rPr>
        <w:t xml:space="preserve">Marcus’s pilot study is substantially stronger than Priya’s. The scenario is designed to be a realistic representation of a good-faith but incomplete doctoral attempt. The purpose is not to find fault but to develop evaluative literacy. Students should be encouraged to reward what is there before identifying what is missing.</w:t>
      </w:r>
    </w:p>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Indicative RAG Audit</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2000"/>
        <w:gridCol w:w="1200"/>
        <w:gridCol w:w="5826"/>
      </w:tblGrid>
      <w:tr>
        <w:tc>
          <w:tcPr>
            <w:tcW w:type="dxa" w:w="20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Criterion</w:t>
            </w:r>
          </w:p>
        </w:tc>
        <w:tc>
          <w:tcPr>
            <w:tcW w:type="dxa" w:w="12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RAG</w:t>
            </w:r>
          </w:p>
        </w:tc>
        <w:tc>
          <w:tcPr>
            <w:tcW w:type="dxa" w:w="5826"/>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Justification and tutor notes</w:t>
            </w:r>
          </w:p>
        </w:tc>
      </w:tr>
      <w:tr>
        <w:tc>
          <w:tcPr>
            <w:tcW w:type="dxa" w:w="20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Credibility</w:t>
            </w:r>
          </w:p>
        </w:tc>
        <w:tc>
          <w:tcPr>
            <w:tcW w:type="dxa" w:w="1400"/>
            <w:tcBorders>
              <w:top w:val="single" w:color="CCCCCC" w:sz="1"/>
              <w:left w:val="single" w:color="CCCCCC" w:sz="1"/>
              <w:bottom w:val="single" w:color="CCCCCC" w:sz="1"/>
              <w:right w:val="single" w:color="CCCCCC" w:sz="1"/>
            </w:tcBorders>
            <w:shd w:fill="FEF3C7" w:val="clear"/>
            <w:tcMar>
              <w:top w:type="dxa" w:w="80"/>
              <w:left w:type="dxa" w:w="120"/>
              <w:bottom w:type="dxa" w:w="80"/>
              <w:right w:type="dxa" w:w="120"/>
            </w:tcMar>
          </w:tcPr>
          <w:p>
            <w:pPr>
              <w:spacing w:after="0" w:before="0"/>
              <w:jc w:val="center"/>
            </w:pPr>
            <w:r>
              <w:rPr>
                <w:rFonts w:ascii="Calibri" w:cs="Calibri" w:eastAsia="Calibri" w:hAnsi="Calibri"/>
                <w:b/>
                <w:bCs/>
                <w:color w:val="92400E"/>
                <w:sz w:val="21"/>
                <w:szCs w:val="21"/>
              </w:rPr>
              <w:t xml:space="preserve">AMBER</w:t>
            </w:r>
          </w:p>
        </w:tc>
        <w:tc>
          <w:tcPr>
            <w:tcW w:type="dxa" w:w="56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Member checking at transcript stage is good. Peer debrief is planned but not yet completed. No triangulation of data sources. No negative case analysis mentioned. No prolonged engagement — two-week fieldwork window is thin for IPA. Award AMBER: foundations present but insufficient for a full thesis.</w:t>
            </w:r>
          </w:p>
        </w:tc>
      </w:tr>
      <w:tr>
        <w:tc>
          <w:tcPr>
            <w:tcW w:type="dxa" w:w="20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Transferability</w:t>
            </w:r>
          </w:p>
        </w:tc>
        <w:tc>
          <w:tcPr>
            <w:tcW w:type="dxa" w:w="1400"/>
            <w:tcBorders>
              <w:top w:val="single" w:color="CCCCCC" w:sz="1"/>
              <w:left w:val="single" w:color="CCCCCC" w:sz="1"/>
              <w:bottom w:val="single" w:color="CCCCCC" w:sz="1"/>
              <w:right w:val="single" w:color="CCCCCC" w:sz="1"/>
            </w:tcBorders>
            <w:shd w:fill="D1FAE5" w:val="clear"/>
            <w:tcMar>
              <w:top w:type="dxa" w:w="80"/>
              <w:left w:type="dxa" w:w="120"/>
              <w:bottom w:type="dxa" w:w="80"/>
              <w:right w:type="dxa" w:w="120"/>
            </w:tcMar>
          </w:tcPr>
          <w:p>
            <w:pPr>
              <w:spacing w:after="0" w:before="0"/>
              <w:jc w:val="center"/>
            </w:pPr>
            <w:r>
              <w:rPr>
                <w:rFonts w:ascii="Calibri" w:cs="Calibri" w:eastAsia="Calibri" w:hAnsi="Calibri"/>
                <w:b/>
                <w:bCs/>
                <w:color w:val="065F46"/>
                <w:sz w:val="21"/>
                <w:szCs w:val="21"/>
              </w:rPr>
              <w:t xml:space="preserve">GREEN</w:t>
            </w:r>
          </w:p>
        </w:tc>
        <w:tc>
          <w:tcPr>
            <w:tcW w:type="dxa" w:w="56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Marcus explicitly acknowledges that with four participants in one sector, transferability is not claimed. He provides adequate contextual detail (sector, role type, post-pandemic framing) for readers to judge applicability. For a pilot this is appropriate and honest. Award GREEN with the note that the full thesis will need richer contextual documentation.</w:t>
            </w:r>
          </w:p>
        </w:tc>
      </w:tr>
      <w:tr>
        <w:tc>
          <w:tcPr>
            <w:tcW w:type="dxa" w:w="20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Dependability</w:t>
            </w:r>
          </w:p>
        </w:tc>
        <w:tc>
          <w:tcPr>
            <w:tcW w:type="dxa" w:w="1400"/>
            <w:tcBorders>
              <w:top w:val="single" w:color="CCCCCC" w:sz="1"/>
              <w:left w:val="single" w:color="CCCCCC" w:sz="1"/>
              <w:bottom w:val="single" w:color="CCCCCC" w:sz="1"/>
              <w:right w:val="single" w:color="CCCCCC" w:sz="1"/>
            </w:tcBorders>
            <w:shd w:fill="FEF3C7" w:val="clear"/>
            <w:tcMar>
              <w:top w:type="dxa" w:w="80"/>
              <w:left w:type="dxa" w:w="120"/>
              <w:bottom w:type="dxa" w:w="80"/>
              <w:right w:type="dxa" w:w="120"/>
            </w:tcMar>
          </w:tcPr>
          <w:p>
            <w:pPr>
              <w:spacing w:after="0" w:before="0"/>
              <w:jc w:val="center"/>
            </w:pPr>
            <w:r>
              <w:rPr>
                <w:rFonts w:ascii="Calibri" w:cs="Calibri" w:eastAsia="Calibri" w:hAnsi="Calibri"/>
                <w:b/>
                <w:bCs/>
                <w:color w:val="92400E"/>
                <w:sz w:val="21"/>
                <w:szCs w:val="21"/>
              </w:rPr>
              <w:t xml:space="preserve">AMBER</w:t>
            </w:r>
          </w:p>
        </w:tc>
        <w:tc>
          <w:tcPr>
            <w:tcW w:type="dxa" w:w="56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The analytic journal is a good start and represents genuine process documentation. However, it is described as a ‘partial record’ — this is a significant gap. There is no mention of documenting changes to the interview schedule, no stepwise replication or code-recode strategy. Award AMBER: the intent is right but execution is incomplete.</w:t>
            </w:r>
          </w:p>
        </w:tc>
      </w:tr>
      <w:tr>
        <w:tc>
          <w:tcPr>
            <w:tcW w:type="dxa" w:w="20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Confirmability</w:t>
            </w:r>
          </w:p>
        </w:tc>
        <w:tc>
          <w:tcPr>
            <w:tcW w:type="dxa" w:w="1400"/>
            <w:tcBorders>
              <w:top w:val="single" w:color="CCCCCC" w:sz="1"/>
              <w:left w:val="single" w:color="CCCCCC" w:sz="1"/>
              <w:bottom w:val="single" w:color="CCCCCC" w:sz="1"/>
              <w:right w:val="single" w:color="CCCCCC" w:sz="1"/>
            </w:tcBorders>
            <w:shd w:fill="FEF3C7" w:val="clear"/>
            <w:tcMar>
              <w:top w:type="dxa" w:w="80"/>
              <w:left w:type="dxa" w:w="120"/>
              <w:bottom w:type="dxa" w:w="80"/>
              <w:right w:type="dxa" w:w="120"/>
            </w:tcMar>
          </w:tcPr>
          <w:p>
            <w:pPr>
              <w:spacing w:after="0" w:before="0"/>
              <w:jc w:val="center"/>
            </w:pPr>
            <w:r>
              <w:rPr>
                <w:rFonts w:ascii="Calibri" w:cs="Calibri" w:eastAsia="Calibri" w:hAnsi="Calibri"/>
                <w:b/>
                <w:bCs/>
                <w:color w:val="92400E"/>
                <w:sz w:val="21"/>
                <w:szCs w:val="21"/>
              </w:rPr>
              <w:t xml:space="preserve">AMBER</w:t>
            </w:r>
          </w:p>
        </w:tc>
        <w:tc>
          <w:tcPr>
            <w:tcW w:type="dxa" w:w="56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The bracketing exercise is well-conceived and the positionality issue (HR manager background) is clearly identified. However, the bracketing notes are not described in any detail, and there is no confirmability audit or external review. The description of the analytic journal could serve confirmability purposes but this is not made explicit. Award AMBER: the strongest area of the proposal but not yet fully developed.</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065F46" w:sz="2"/>
              <w:left w:val="single" w:color="065F46" w:sz="2"/>
              <w:bottom w:val="single" w:color="065F46" w:sz="2"/>
              <w:right w:val="single" w:color="065F46" w:sz="2"/>
            </w:tcBorders>
            <w:shd w:fill="D1FAE5"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Most important single improvement</w:t>
            </w:r>
          </w:p>
          <w:p>
            <w:pPr>
              <w:spacing w:after="120" w:before="60"/>
            </w:pPr>
            <w:r>
              <w:rPr>
                <w:rFonts w:ascii="Calibri" w:cs="Calibri" w:eastAsia="Calibri" w:hAnsi="Calibri"/>
                <w:color w:val="1A1A2E"/>
                <w:sz w:val="22"/>
                <w:szCs w:val="22"/>
              </w:rPr>
              <w:t xml:space="preserve">Indicative answer: Marcus must complete the peer debrief session and document it, and must also develop his audit trail from a ‘partial record’ into a systematic, comprehensive account of every analytical decision. The IPA process requires rigorous documentation at each stage (close reading → exploratory comments → experiential themes → cross-case clustering). Without this, the dependability of the analysis cannot be established, and the confirmability claim rests on a bracketing exercise that examiners cannot evaluate because it is not described.</w:t>
            </w:r>
          </w:p>
          <w:p>
            <w:pPr>
              <w:spacing w:after="120" w:before="60"/>
            </w:pPr>
            <w:r>
              <w:rPr>
                <w:rFonts w:ascii="Calibri" w:cs="Calibri" w:eastAsia="Calibri" w:hAnsi="Calibri"/>
                <w:color w:val="1A1A2E"/>
                <w:sz w:val="22"/>
                <w:szCs w:val="22"/>
              </w:rPr>
              <w:t xml:space="preserve">Accept alternatives that are well-reasoned. Students who argue that the most important improvement is conducting the peer debrief (since it is stated as ‘planned’ rather than completed) are equally correct.</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92400E" w:sz="2"/>
              <w:left w:val="single" w:color="92400E" w:sz="2"/>
              <w:bottom w:val="single" w:color="92400E" w:sz="2"/>
              <w:right w:val="single" w:color="92400E" w:sz="2"/>
            </w:tcBorders>
            <w:shd w:fill="FEF3C7"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Overall judgement: would this pilot study withstand doctoral scrutiny?</w:t>
            </w:r>
          </w:p>
          <w:p>
            <w:pPr>
              <w:spacing w:after="120" w:before="60"/>
            </w:pPr>
            <w:r>
              <w:rPr>
                <w:rFonts w:ascii="Calibri" w:cs="Calibri" w:eastAsia="Calibri" w:hAnsi="Calibri"/>
                <w:color w:val="1A1A2E"/>
                <w:sz w:val="22"/>
                <w:szCs w:val="22"/>
              </w:rPr>
              <w:t xml:space="preserve">Indicative answer: Marcus’s pilot study would likely receive a ‘revise and resubmit’ verdict rather than an outright fail. It demonstrates genuine engagement with quality, appropriate methodological choice, and honest acknowledgement of limitations. The IPA framework is correctly applied and the ethical foundations are solid. However, a doctoral examiner would note that three of four trustworthiness criteria are only partially addressed, that the audit trail is explicitly incomplete, and that the peer debrief — a stated quality measure — has not yet occurred. The proposal would need to be strengthened before it could be considered a reliable template for the full thesis.</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007C8A" w:sz="2"/>
              <w:left w:val="single" w:color="007C8A" w:sz="2"/>
              <w:bottom w:val="single" w:color="007C8A" w:sz="2"/>
              <w:right w:val="single" w:color="007C8A" w:sz="2"/>
            </w:tcBorders>
            <w:shd w:fill="F0F4F4"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Facilitation points</w:t>
            </w:r>
          </w:p>
          <w:p>
            <w:pPr>
              <w:pStyle w:val="ListParagraph"/>
              <w:numPr>
                <w:ilvl w:val="0"/>
                <w:numId w:val="2"/>
              </w:numPr>
              <w:spacing w:after="80" w:before="40"/>
            </w:pPr>
            <w:r>
              <w:rPr>
                <w:rFonts w:ascii="Calibri" w:cs="Calibri" w:eastAsia="Calibri" w:hAnsi="Calibri"/>
                <w:color w:val="1A1A2E"/>
                <w:sz w:val="22"/>
                <w:szCs w:val="22"/>
              </w:rPr>
              <w:t xml:space="preserve">The key pedagogic purpose of this activity is to build evaluative vocabulary. Students often find it easier to critique Priya (Activity 2) than Marcus, because Marcus is doing many things right. This is intentional — the ability to make fine-grained distinctions between adequate and excellent is a doctoral competency.</w:t>
            </w:r>
          </w:p>
          <w:p>
            <w:pPr>
              <w:pStyle w:val="ListParagraph"/>
              <w:numPr>
                <w:ilvl w:val="0"/>
                <w:numId w:val="2"/>
              </w:numPr>
              <w:spacing w:after="80" w:before="40"/>
            </w:pPr>
            <w:r>
              <w:rPr>
                <w:rFonts w:ascii="Calibri" w:cs="Calibri" w:eastAsia="Calibri" w:hAnsi="Calibri"/>
                <w:color w:val="1A1A2E"/>
                <w:sz w:val="22"/>
                <w:szCs w:val="22"/>
              </w:rPr>
              <w:t xml:space="preserve">Where students differ in their RAG ratings, draw out the reasons for disagreement. Divergence between AMBER and GREEN on transferability or confirmability is productive: it surfaces different understandings of what ‘adequate’ means at pilot stage versus thesis stage.</w:t>
            </w:r>
          </w:p>
          <w:p>
            <w:pPr>
              <w:pStyle w:val="ListParagraph"/>
              <w:numPr>
                <w:ilvl w:val="0"/>
                <w:numId w:val="2"/>
              </w:numPr>
              <w:spacing w:after="80" w:before="40"/>
            </w:pPr>
            <w:r>
              <w:rPr>
                <w:rFonts w:ascii="Calibri" w:cs="Calibri" w:eastAsia="Calibri" w:hAnsi="Calibri"/>
                <w:color w:val="1A1A2E"/>
                <w:sz w:val="22"/>
                <w:szCs w:val="22"/>
              </w:rPr>
              <w:t xml:space="preserve">The question about what disagreement tells us is the most important discussion prompt. The answer: quality assessment in qualitative research is itself an interpretive act. Trustworthiness criteria are frameworks for judgement, not algorithms. This is why reflexivity, transparency, and audit trails matter — they allow others to evaluate the researcher’s judgements.</w:t>
            </w:r>
          </w:p>
          <w:p>
            <w:pPr>
              <w:pStyle w:val="ListParagraph"/>
              <w:numPr>
                <w:ilvl w:val="0"/>
                <w:numId w:val="2"/>
              </w:numPr>
              <w:spacing w:after="80" w:before="40"/>
            </w:pPr>
            <w:r>
              <w:rPr>
                <w:rFonts w:ascii="Calibri" w:cs="Calibri" w:eastAsia="Calibri" w:hAnsi="Calibri"/>
                <w:color w:val="1A1A2E"/>
                <w:sz w:val="22"/>
                <w:szCs w:val="22"/>
              </w:rPr>
              <w:t xml:space="preserve">Link to the session’s key message: the standard does not lower for a pilot study. Marcus’s AMBER ratings are not a disaster — but he needs to close the gaps before the full thesis, not assume they will resolve themselves.</w:t>
            </w:r>
          </w:p>
        </w:tc>
      </w:tr>
    </w:tbl>
    <w:sectPr>
      <w:pgSz w:w="11906" w:h="16838" w:orient="portrait"/>
      <w:pgMar w:top="1134" w:right="1134" w:bottom="1134" w:left="1134"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abstractNum w:abstractNumId="3" w15:restartNumberingAfterBreak="0">
    <w:multiLevelType w:val="hybridMultilevel"/>
    <w:lvl w:ilvl="0" w15:tentative="1">
      <w:start w:val="1"/>
      <w:numFmt w:val="decimal"/>
      <w:lvlText w:val="%1."/>
      <w:lvlJc w:val="left"/>
      <w:pPr>
        <w:ind w:left="720" w:hanging="36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cs="Calibri" w:eastAsia="Calibri" w:hAnsi="Calibri"/>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160" w:before="360"/>
      <w:outlineLvl w:val="0"/>
    </w:pPr>
    <w:rPr>
      <w:rFonts w:ascii="Cambria" w:cs="Cambria" w:eastAsia="Cambria" w:hAnsi="Cambria"/>
      <w:b/>
      <w:bCs/>
      <w:color w:val="004B55"/>
      <w:sz w:val="34"/>
      <w:szCs w:val="34"/>
    </w:rPr>
  </w:style>
  <w:style w:type="paragraph" w:styleId="Heading2">
    <w:name w:val="Heading 2"/>
    <w:basedOn w:val="Normal"/>
    <w:next w:val="Normal"/>
    <w:qFormat/>
    <w:pPr>
      <w:spacing w:after="120" w:before="240"/>
      <w:outlineLvl w:val="1"/>
    </w:pPr>
    <w:rPr>
      <w:rFonts w:ascii="Cambria" w:cs="Cambria" w:eastAsia="Cambria" w:hAnsi="Cambria"/>
      <w:b/>
      <w:bCs/>
      <w:color w:val="007C8A"/>
      <w:sz w:val="26"/>
      <w:szCs w:val="26"/>
    </w:rPr>
  </w:style>
  <w:style w:type="paragraph" w:styleId="Heading3">
    <w:name w:val="Heading 3"/>
    <w:basedOn w:val="Normal"/>
    <w:next w:val="Normal"/>
    <w:qFormat/>
    <w:pPr>
      <w:spacing w:after="80" w:before="180"/>
      <w:outlineLvl w:val="2"/>
    </w:pPr>
    <w:rPr>
      <w:rFonts w:ascii="Calibri" w:cs="Calibri" w:eastAsia="Calibri" w:hAnsi="Calibri"/>
      <w:b/>
      <w:bCs/>
      <w:color w:val="1A1A2E"/>
      <w:sz w:val="22"/>
      <w:szCs w:val="22"/>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2026-03-18T16:48:31.891Z</dcterms:created>
  <dcterms:modified xsi:type="dcterms:W3CDTF">2026-03-18T16:48:31.891Z</dcterms:modified>
</cp:coreProperties>
</file>

<file path=docProps/custom.xml><?xml version="1.0" encoding="utf-8"?>
<Properties xmlns="http://schemas.openxmlformats.org/officeDocument/2006/custom-properties" xmlns:vt="http://schemas.openxmlformats.org/officeDocument/2006/docPropsVTypes"/>
</file>