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Arial" w:hAnsi="Arial" w:cs="Arial"/>
          <w:b/>
          <w:sz w:val="28"/>
        </w:rPr>
      </w:pPr>
      <w:bookmarkStart w:id="10" w:name="_GoBack"/>
      <w:r>
        <w:rPr>
          <w:sz w:val="21"/>
        </w:rPr>
        <mc:AlternateContent>
          <mc:Choice Requires="wps">
            <w:drawing>
              <wp:anchor distT="0" distB="0" distL="114300" distR="114300" simplePos="0" relativeHeight="251659264" behindDoc="1" locked="0" layoutInCell="1" allowOverlap="1">
                <wp:simplePos x="0" y="0"/>
                <wp:positionH relativeFrom="column">
                  <wp:posOffset>-674370</wp:posOffset>
                </wp:positionH>
                <wp:positionV relativeFrom="paragraph">
                  <wp:posOffset>-716280</wp:posOffset>
                </wp:positionV>
                <wp:extent cx="5154295" cy="10114280"/>
                <wp:effectExtent l="0" t="0" r="1905" b="7620"/>
                <wp:wrapNone/>
                <wp:docPr id="2" name="矩形 2"/>
                <wp:cNvGraphicFramePr/>
                <a:graphic xmlns:a="http://schemas.openxmlformats.org/drawingml/2006/main">
                  <a:graphicData uri="http://schemas.microsoft.com/office/word/2010/wordprocessingShape">
                    <wps:wsp>
                      <wps:cNvSpPr/>
                      <wps:spPr>
                        <a:xfrm>
                          <a:off x="0" y="0"/>
                          <a:ext cx="5154295" cy="10114280"/>
                        </a:xfrm>
                        <a:prstGeom prst="rect">
                          <a:avLst/>
                        </a:prstGeom>
                        <a:solidFill>
                          <a:srgbClr val="90A9D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1pt;margin-top:-56.4pt;height:796.4pt;width:405.85pt;z-index:-251657216;v-text-anchor:middle;mso-width-relative:page;mso-height-relative:page;" fillcolor="#90A9DC" filled="t" stroked="f" coordsize="21600,21600" o:gfxdata="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h2VqpNoAAAAOAQAADwAAAAAAAAABACAAAAAiAAAAZHJzL2Rvd25y&#10;ZXYueG1sUEsBAhQAFAAAAAgAh07iQPzoDMluAgAAzQQAAA4AAAAAAAAAAQAgAAAAKQEAAGRycy9l&#10;Mm9Eb2MueG1sUEsFBgAAAAAGAAYAWQEAAAkGAAAAAA==&#10;">
                <v:fill on="t" focussize="0,0"/>
                <v:stroke on="f" weight="1pt" miterlimit="8" joinstyle="miter"/>
                <v:imagedata o:title=""/>
                <o:lock v:ext="edit" aspectratio="f"/>
              </v:rect>
            </w:pict>
          </mc:Fallback>
        </mc:AlternateContent>
      </w:r>
      <w:bookmarkEnd w:id="10"/>
      <w:r>
        <w:rPr>
          <w:sz w:val="21"/>
        </w:rPr>
        <mc:AlternateContent>
          <mc:Choice Requires="wps">
            <w:drawing>
              <wp:anchor distT="0" distB="0" distL="114300" distR="114300" simplePos="0" relativeHeight="251661312" behindDoc="0" locked="0" layoutInCell="1" allowOverlap="1">
                <wp:simplePos x="0" y="0"/>
                <wp:positionH relativeFrom="column">
                  <wp:posOffset>-313055</wp:posOffset>
                </wp:positionH>
                <wp:positionV relativeFrom="paragraph">
                  <wp:posOffset>-276225</wp:posOffset>
                </wp:positionV>
                <wp:extent cx="1538605" cy="409575"/>
                <wp:effectExtent l="4445" t="4445" r="6350" b="5080"/>
                <wp:wrapNone/>
                <wp:docPr id="5" name="文本框 5"/>
                <wp:cNvGraphicFramePr/>
                <a:graphic xmlns:a="http://schemas.openxmlformats.org/drawingml/2006/main">
                  <a:graphicData uri="http://schemas.microsoft.com/office/word/2010/wordprocessingShape">
                    <wps:wsp>
                      <wps:cNvSpPr txBox="1"/>
                      <wps:spPr>
                        <a:xfrm>
                          <a:off x="587375" y="624205"/>
                          <a:ext cx="1538605" cy="409575"/>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eastAsia="宋体" w:cs="Arial"/>
                                <w:b/>
                                <w:bCs w:val="0"/>
                                <w:szCs w:val="24"/>
                                <w:lang w:val="en-US" w:eastAsia="zh-CN"/>
                              </w:rPr>
                            </w:pPr>
                            <w:r>
                              <w:rPr>
                                <w:rFonts w:hint="default" w:ascii="Arial" w:hAnsi="Arial" w:cs="Arial"/>
                                <w:b/>
                                <w:bCs w:val="0"/>
                                <w:szCs w:val="24"/>
                              </w:rPr>
                              <w:t>[Date]</w:t>
                            </w:r>
                            <w:r>
                              <w:rPr>
                                <w:rFonts w:hint="default" w:ascii="Arial" w:hAnsi="Arial" w:eastAsia="宋体" w:cs="Arial"/>
                                <w:b/>
                                <w:bCs w:val="0"/>
                                <w:szCs w:val="24"/>
                                <w:lang w:val="en-US" w:eastAsia="zh-CN"/>
                              </w:rPr>
                              <w:t xml:space="preserve"> 202</w:t>
                            </w:r>
                            <w:r>
                              <w:rPr>
                                <w:rFonts w:hint="eastAsia" w:ascii="Arial" w:hAnsi="Arial" w:cs="Arial"/>
                                <w:b/>
                                <w:bCs w:val="0"/>
                                <w:szCs w:val="24"/>
                                <w:lang w:val="en-US" w:eastAsia="zh-CN"/>
                              </w:rPr>
                              <w:t>4.03.15</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65pt;margin-top:-21.75pt;height:32.25pt;width:121.15pt;z-index:251661312;mso-width-relative:page;mso-height-relative:page;" fillcolor="#F8CBAD [1301]" filled="t" stroked="t" coordsize="21600,21600" o:gfxdata="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AAAAAZHJzL1BLAQIUABQAAAAIAIdO4kDeSfgr2gAAAAoBAAAPAAAAAAAA&#10;AAEAIAAAACIAAABkcnMvZG93bnJldi54bWxQSwECFAAUAAAACACHTuJAgKHNm4ICAAD6BAAADgAA&#10;AAAAAAABACAAAAApAQAAZHJzL2Uyb0RvYy54bWxQSwUGAAAAAAYABgBZAQAAHQYAAAAA&#10;">
                <v:fill on="t" focussize="0,0"/>
                <v:stroke weight="0.5pt" color="#000000 [3204]" joinstyle="round"/>
                <v:imagedata o:title=""/>
                <o:lock v:ext="edit" aspectratio="f"/>
                <v:textbox>
                  <w:txbxContent>
                    <w:p>
                      <w:pPr>
                        <w:jc w:val="center"/>
                        <w:rPr>
                          <w:rFonts w:hint="default" w:ascii="Arial" w:hAnsi="Arial" w:eastAsia="宋体" w:cs="Arial"/>
                          <w:b/>
                          <w:bCs w:val="0"/>
                          <w:szCs w:val="24"/>
                          <w:lang w:val="en-US" w:eastAsia="zh-CN"/>
                        </w:rPr>
                      </w:pPr>
                      <w:r>
                        <w:rPr>
                          <w:rFonts w:hint="default" w:ascii="Arial" w:hAnsi="Arial" w:cs="Arial"/>
                          <w:b/>
                          <w:bCs w:val="0"/>
                          <w:szCs w:val="24"/>
                        </w:rPr>
                        <w:t>[Date]</w:t>
                      </w:r>
                      <w:r>
                        <w:rPr>
                          <w:rFonts w:hint="default" w:ascii="Arial" w:hAnsi="Arial" w:eastAsia="宋体" w:cs="Arial"/>
                          <w:b/>
                          <w:bCs w:val="0"/>
                          <w:szCs w:val="24"/>
                          <w:lang w:val="en-US" w:eastAsia="zh-CN"/>
                        </w:rPr>
                        <w:t xml:space="preserve"> 202</w:t>
                      </w:r>
                      <w:r>
                        <w:rPr>
                          <w:rFonts w:hint="eastAsia" w:ascii="Arial" w:hAnsi="Arial" w:cs="Arial"/>
                          <w:b/>
                          <w:bCs w:val="0"/>
                          <w:szCs w:val="24"/>
                          <w:lang w:val="en-US" w:eastAsia="zh-CN"/>
                        </w:rPr>
                        <w:t>4.03.15</w:t>
                      </w:r>
                    </w:p>
                    <w:p/>
                  </w:txbxContent>
                </v:textbox>
              </v:shape>
            </w:pict>
          </mc:Fallback>
        </mc:AlternateContent>
      </w: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jc w:val="center"/>
        <w:rPr>
          <w:rFonts w:ascii="Arial" w:hAnsi="Arial" w:cs="Arial"/>
          <w:b/>
          <w:sz w:val="28"/>
        </w:rPr>
      </w:pPr>
      <w:r>
        <w:rPr>
          <w:sz w:val="32"/>
        </w:rPr>
        <mc:AlternateContent>
          <mc:Choice Requires="wps">
            <w:drawing>
              <wp:anchor distT="0" distB="0" distL="114300" distR="114300" simplePos="0" relativeHeight="251660288" behindDoc="0" locked="0" layoutInCell="1" allowOverlap="1">
                <wp:simplePos x="0" y="0"/>
                <wp:positionH relativeFrom="column">
                  <wp:posOffset>-340995</wp:posOffset>
                </wp:positionH>
                <wp:positionV relativeFrom="paragraph">
                  <wp:posOffset>52070</wp:posOffset>
                </wp:positionV>
                <wp:extent cx="4155440" cy="1036955"/>
                <wp:effectExtent l="4445" t="5080" r="5715" b="12065"/>
                <wp:wrapNone/>
                <wp:docPr id="4" name="文本框 4"/>
                <wp:cNvGraphicFramePr/>
                <a:graphic xmlns:a="http://schemas.openxmlformats.org/drawingml/2006/main">
                  <a:graphicData uri="http://schemas.microsoft.com/office/word/2010/wordprocessingShape">
                    <wps:wsp>
                      <wps:cNvSpPr txBox="1"/>
                      <wps:spPr>
                        <a:xfrm>
                          <a:off x="785495" y="2958465"/>
                          <a:ext cx="4155440" cy="1036955"/>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480" w:lineRule="auto"/>
                              <w:jc w:val="both"/>
                              <w:rPr>
                                <w:rFonts w:ascii="Arial" w:hAnsi="Arial" w:cs="Arial"/>
                                <w:b/>
                                <w:sz w:val="32"/>
                                <w:szCs w:val="32"/>
                              </w:rPr>
                            </w:pPr>
                            <w:r>
                              <w:rPr>
                                <w:rFonts w:ascii="Arial" w:hAnsi="Arial" w:cs="Arial"/>
                                <w:b/>
                                <w:sz w:val="32"/>
                                <w:szCs w:val="32"/>
                              </w:rPr>
                              <w:t>The Report of Tesla’s Competitive and</w:t>
                            </w:r>
                          </w:p>
                          <w:p>
                            <w:pPr>
                              <w:spacing w:line="480" w:lineRule="auto"/>
                              <w:ind w:firstLine="321" w:firstLineChars="100"/>
                              <w:jc w:val="both"/>
                              <w:rPr>
                                <w:rFonts w:ascii="Arial" w:hAnsi="Arial" w:cs="Arial"/>
                                <w:b/>
                                <w:sz w:val="32"/>
                                <w:szCs w:val="32"/>
                              </w:rPr>
                            </w:pPr>
                            <w:r>
                              <w:rPr>
                                <w:rFonts w:ascii="Arial" w:hAnsi="Arial" w:cs="Arial"/>
                                <w:b/>
                                <w:sz w:val="32"/>
                                <w:szCs w:val="32"/>
                              </w:rPr>
                              <w:t>Development Strategy Analysis</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85pt;margin-top:4.1pt;height:81.65pt;width:327.2pt;z-index:251660288;mso-width-relative:page;mso-height-relative:page;" fillcolor="#F8CBAD [1301]" filled="t" stroked="t" coordsize="21600,21600" o:gfxdata="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AYPddjZAAAACQEAAA8AAAAA&#10;AAAAAQAgAAAAIgAAAGRycy9kb3ducmV2LnhtbFBLAQIUABQAAAAIAIdO4kDa9tJOhQIAAPwEAAAO&#10;AAAAAAAAAAEAIAAAACgBAABkcnMvZTJvRG9jLnhtbFBLBQYAAAAABgAGAFkBAAAfBgAAAAA=&#10;">
                <v:fill on="t" focussize="0,0"/>
                <v:stroke weight="0.5pt" color="#000000 [3204]" joinstyle="round"/>
                <v:imagedata o:title=""/>
                <o:lock v:ext="edit" aspectratio="f"/>
                <v:textbox>
                  <w:txbxContent>
                    <w:p>
                      <w:pPr>
                        <w:spacing w:line="480" w:lineRule="auto"/>
                        <w:jc w:val="both"/>
                        <w:rPr>
                          <w:rFonts w:ascii="Arial" w:hAnsi="Arial" w:cs="Arial"/>
                          <w:b/>
                          <w:sz w:val="32"/>
                          <w:szCs w:val="32"/>
                        </w:rPr>
                      </w:pPr>
                      <w:r>
                        <w:rPr>
                          <w:rFonts w:ascii="Arial" w:hAnsi="Arial" w:cs="Arial"/>
                          <w:b/>
                          <w:sz w:val="32"/>
                          <w:szCs w:val="32"/>
                        </w:rPr>
                        <w:t>The Report of Tesla’s Competitive and</w:t>
                      </w:r>
                    </w:p>
                    <w:p>
                      <w:pPr>
                        <w:spacing w:line="480" w:lineRule="auto"/>
                        <w:ind w:firstLine="321" w:firstLineChars="100"/>
                        <w:jc w:val="both"/>
                        <w:rPr>
                          <w:rFonts w:ascii="Arial" w:hAnsi="Arial" w:cs="Arial"/>
                          <w:b/>
                          <w:sz w:val="32"/>
                          <w:szCs w:val="32"/>
                        </w:rPr>
                      </w:pPr>
                      <w:r>
                        <w:rPr>
                          <w:rFonts w:ascii="Arial" w:hAnsi="Arial" w:cs="Arial"/>
                          <w:b/>
                          <w:sz w:val="32"/>
                          <w:szCs w:val="32"/>
                        </w:rPr>
                        <w:t>Development Strategy Analysis</w:t>
                      </w:r>
                    </w:p>
                    <w:p/>
                  </w:txbxContent>
                </v:textbox>
              </v:shape>
            </w:pict>
          </mc:Fallback>
        </mc:AlternateContent>
      </w: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jc w:val="center"/>
        <w:rPr>
          <w:rFonts w:ascii="Arial" w:hAnsi="Arial" w:cs="Arial"/>
          <w:b/>
          <w:sz w:val="28"/>
        </w:rPr>
      </w:pPr>
    </w:p>
    <w:p>
      <w:pPr>
        <w:spacing w:line="480" w:lineRule="auto"/>
        <w:rPr>
          <w:rFonts w:ascii="Arial" w:hAnsi="Arial" w:cs="Arial"/>
          <w:b/>
          <w:sz w:val="28"/>
        </w:rPr>
      </w:pPr>
    </w:p>
    <w:p>
      <w:pPr>
        <w:rPr>
          <w:rFonts w:ascii="Arial" w:hAnsi="Arial" w:cs="Arial"/>
          <w:b/>
          <w:sz w:val="28"/>
        </w:rPr>
      </w:pPr>
      <w:r>
        <w:rPr>
          <w:sz w:val="28"/>
        </w:rPr>
        <mc:AlternateContent>
          <mc:Choice Requires="wps">
            <w:drawing>
              <wp:anchor distT="0" distB="0" distL="114300" distR="114300" simplePos="0" relativeHeight="251662336" behindDoc="0" locked="0" layoutInCell="1" allowOverlap="1">
                <wp:simplePos x="0" y="0"/>
                <wp:positionH relativeFrom="column">
                  <wp:posOffset>-404495</wp:posOffset>
                </wp:positionH>
                <wp:positionV relativeFrom="paragraph">
                  <wp:posOffset>1290955</wp:posOffset>
                </wp:positionV>
                <wp:extent cx="2871470" cy="692150"/>
                <wp:effectExtent l="4445" t="5080" r="6985" b="13970"/>
                <wp:wrapNone/>
                <wp:docPr id="6" name="文本框 6"/>
                <wp:cNvGraphicFramePr/>
                <a:graphic xmlns:a="http://schemas.openxmlformats.org/drawingml/2006/main">
                  <a:graphicData uri="http://schemas.microsoft.com/office/word/2010/wordprocessingShape">
                    <wps:wsp>
                      <wps:cNvSpPr txBox="1"/>
                      <wps:spPr>
                        <a:xfrm>
                          <a:off x="799465" y="6177280"/>
                          <a:ext cx="2871470" cy="692150"/>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both"/>
                              <w:rPr>
                                <w:rFonts w:hint="default" w:ascii="Arial" w:hAnsi="Arial" w:cs="Arial"/>
                                <w:b/>
                                <w:sz w:val="24"/>
                                <w:szCs w:val="24"/>
                                <w:lang w:val="en-US" w:eastAsia="zh-CN"/>
                              </w:rPr>
                            </w:pPr>
                            <w:r>
                              <w:rPr>
                                <w:rFonts w:ascii="Arial" w:hAnsi="Arial" w:cs="Arial"/>
                                <w:b/>
                                <w:sz w:val="24"/>
                                <w:szCs w:val="24"/>
                              </w:rPr>
                              <w:t>Student Name:</w:t>
                            </w:r>
                            <w:r>
                              <w:rPr>
                                <w:rFonts w:hint="default" w:ascii="Arial" w:hAnsi="Arial" w:cs="Arial"/>
                                <w:b/>
                                <w:sz w:val="24"/>
                                <w:szCs w:val="24"/>
                                <w:lang w:val="en-US" w:eastAsia="zh-CN"/>
                              </w:rPr>
                              <w:t>Yuxin Ren</w:t>
                            </w:r>
                          </w:p>
                          <w:p>
                            <w:pPr>
                              <w:spacing w:line="480" w:lineRule="auto"/>
                              <w:rPr>
                                <w:rFonts w:hint="default" w:ascii="Arial" w:hAnsi="Arial" w:eastAsia="宋体" w:cs="Arial"/>
                                <w:b/>
                                <w:sz w:val="24"/>
                                <w:szCs w:val="24"/>
                                <w:lang w:val="en-US" w:eastAsia="zh-CN"/>
                              </w:rPr>
                            </w:pPr>
                            <w:r>
                              <w:rPr>
                                <w:rFonts w:ascii="Arial" w:hAnsi="Arial" w:cs="Arial"/>
                                <w:b/>
                                <w:sz w:val="24"/>
                                <w:szCs w:val="24"/>
                              </w:rPr>
                              <w:t>Student ID:</w:t>
                            </w:r>
                            <w:r>
                              <w:rPr>
                                <w:rFonts w:hint="eastAsia" w:ascii="Arial" w:hAnsi="Arial" w:eastAsia="宋体" w:cs="Arial"/>
                                <w:b/>
                                <w:sz w:val="24"/>
                                <w:szCs w:val="24"/>
                                <w:lang w:val="en-US" w:eastAsia="zh-CN"/>
                              </w:rPr>
                              <w:t>2300437</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85pt;margin-top:101.65pt;height:54.5pt;width:226.1pt;z-index:251662336;mso-width-relative:page;mso-height-relative:page;" fillcolor="#F8CBAD [1301]" filled="t" stroked="t" coordsize="21600,21600" o:gfxdata="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AAAAAZHJzL1BLAQIUABQAAAAIAIdO4kCQ2Epr3AAAAAoBAAAPAAAAAAAA&#10;AAEAIAAAACIAAABkcnMvZG93bnJldi54bWxQSwECFAAUAAAACACHTuJA09cjoIACAAD7BAAADgAA&#10;AAAAAAABACAAAAArAQAAZHJzL2Uyb0RvYy54bWxQSwUGAAAAAAYABgBZAQAAHQYAAAAA&#10;">
                <v:fill on="t" focussize="0,0"/>
                <v:stroke weight="0.5pt" color="#000000 [3204]" joinstyle="round"/>
                <v:imagedata o:title=""/>
                <o:lock v:ext="edit" aspectratio="f"/>
                <v:textbox>
                  <w:txbxContent>
                    <w:p>
                      <w:pPr>
                        <w:jc w:val="both"/>
                        <w:rPr>
                          <w:rFonts w:hint="default" w:ascii="Arial" w:hAnsi="Arial" w:cs="Arial"/>
                          <w:b/>
                          <w:sz w:val="24"/>
                          <w:szCs w:val="24"/>
                          <w:lang w:val="en-US" w:eastAsia="zh-CN"/>
                        </w:rPr>
                      </w:pPr>
                      <w:r>
                        <w:rPr>
                          <w:rFonts w:ascii="Arial" w:hAnsi="Arial" w:cs="Arial"/>
                          <w:b/>
                          <w:sz w:val="24"/>
                          <w:szCs w:val="24"/>
                        </w:rPr>
                        <w:t>Student Name:</w:t>
                      </w:r>
                      <w:r>
                        <w:rPr>
                          <w:rFonts w:hint="default" w:ascii="Arial" w:hAnsi="Arial" w:cs="Arial"/>
                          <w:b/>
                          <w:sz w:val="24"/>
                          <w:szCs w:val="24"/>
                          <w:lang w:val="en-US" w:eastAsia="zh-CN"/>
                        </w:rPr>
                        <w:t>Yuxin Ren</w:t>
                      </w:r>
                    </w:p>
                    <w:p>
                      <w:pPr>
                        <w:spacing w:line="480" w:lineRule="auto"/>
                        <w:rPr>
                          <w:rFonts w:hint="default" w:ascii="Arial" w:hAnsi="Arial" w:eastAsia="宋体" w:cs="Arial"/>
                          <w:b/>
                          <w:sz w:val="24"/>
                          <w:szCs w:val="24"/>
                          <w:lang w:val="en-US" w:eastAsia="zh-CN"/>
                        </w:rPr>
                      </w:pPr>
                      <w:r>
                        <w:rPr>
                          <w:rFonts w:ascii="Arial" w:hAnsi="Arial" w:cs="Arial"/>
                          <w:b/>
                          <w:sz w:val="24"/>
                          <w:szCs w:val="24"/>
                        </w:rPr>
                        <w:t>Student ID:</w:t>
                      </w:r>
                      <w:r>
                        <w:rPr>
                          <w:rFonts w:hint="eastAsia" w:ascii="Arial" w:hAnsi="Arial" w:eastAsia="宋体" w:cs="Arial"/>
                          <w:b/>
                          <w:sz w:val="24"/>
                          <w:szCs w:val="24"/>
                          <w:lang w:val="en-US" w:eastAsia="zh-CN"/>
                        </w:rPr>
                        <w:t>2300437</w:t>
                      </w:r>
                    </w:p>
                    <w:p/>
                  </w:txbxContent>
                </v:textbox>
              </v:shape>
            </w:pict>
          </mc:Fallback>
        </mc:AlternateContent>
      </w:r>
      <w:r>
        <w:rPr>
          <w:rFonts w:ascii="Arial" w:hAnsi="Arial" w:cs="Arial"/>
          <w:b/>
          <w:sz w:val="28"/>
        </w:rPr>
        <w:br w:type="page"/>
      </w:r>
    </w:p>
    <w:p>
      <w:pPr>
        <w:spacing w:line="480" w:lineRule="auto"/>
        <w:rPr>
          <w:rFonts w:ascii="Arial" w:hAnsi="Arial" w:cs="Arial"/>
          <w:b/>
          <w:sz w:val="24"/>
        </w:rPr>
      </w:pPr>
      <w:r>
        <w:rPr>
          <w:rFonts w:ascii="Arial" w:hAnsi="Arial" w:cs="Arial"/>
          <w:b/>
          <w:sz w:val="24"/>
        </w:rPr>
        <w:t>Table of Contents</w:t>
      </w:r>
    </w:p>
    <w:sdt>
      <w:sdtPr>
        <w:rPr>
          <w:rFonts w:hint="eastAsia" w:ascii="宋体" w:hAnsi="宋体" w:eastAsia="宋体" w:cs="宋体"/>
          <w:lang w:val="zh-CN" w:eastAsia="zh-CN"/>
        </w:rPr>
        <w:id w:val="-510056523"/>
        <w:docPartObj>
          <w:docPartGallery w:val="Table of Contents"/>
          <w:docPartUnique/>
        </w:docPartObj>
      </w:sdtPr>
      <w:sdtEndPr>
        <w:rPr>
          <w:rFonts w:hint="default" w:eastAsia="宋体" w:asciiTheme="minorHAnsi" w:hAnsiTheme="minorHAnsi" w:cstheme="minorBidi"/>
          <w:b/>
          <w:bCs/>
          <w:color w:val="auto"/>
          <w:sz w:val="22"/>
          <w:szCs w:val="22"/>
          <w:lang w:val="zh-CN" w:eastAsia="zh-CN"/>
        </w:rPr>
      </w:sdtEndPr>
      <w:sdtContent>
        <w:p>
          <w:pPr>
            <w:pStyle w:val="16"/>
          </w:pPr>
        </w:p>
        <w:p>
          <w:pPr>
            <w:pStyle w:val="6"/>
            <w:tabs>
              <w:tab w:val="right" w:leader="dot" w:pos="9060"/>
            </w:tabs>
            <w:spacing w:line="480" w:lineRule="auto"/>
            <w:rPr>
              <w:rFonts w:ascii="Arial" w:hAnsi="Arial" w:cs="Arial"/>
              <w:sz w:val="24"/>
            </w:rPr>
          </w:pPr>
          <w:r>
            <w:rPr>
              <w:rFonts w:ascii="Arial" w:hAnsi="Arial" w:cs="Arial"/>
              <w:sz w:val="24"/>
            </w:rPr>
            <w:fldChar w:fldCharType="begin"/>
          </w:r>
          <w:r>
            <w:rPr>
              <w:rFonts w:ascii="Arial" w:hAnsi="Arial" w:cs="Arial"/>
              <w:sz w:val="24"/>
            </w:rPr>
            <w:instrText xml:space="preserve"> TOC \o "1-3" \h \z \u </w:instrText>
          </w:r>
          <w:r>
            <w:rPr>
              <w:rFonts w:ascii="Arial" w:hAnsi="Arial" w:cs="Arial"/>
              <w:sz w:val="24"/>
            </w:rPr>
            <w:fldChar w:fldCharType="separate"/>
          </w:r>
          <w:r>
            <w:fldChar w:fldCharType="begin"/>
          </w:r>
          <w:r>
            <w:instrText xml:space="preserve"> HYPERLINK \l "_Toc160962294" </w:instrText>
          </w:r>
          <w:r>
            <w:fldChar w:fldCharType="separate"/>
          </w:r>
          <w:r>
            <w:rPr>
              <w:rStyle w:val="10"/>
              <w:rFonts w:ascii="Arial" w:hAnsi="Arial" w:cs="Arial"/>
              <w:b/>
              <w:sz w:val="24"/>
            </w:rPr>
            <w:t>Executive Summary</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_Toc160962294 \h </w:instrText>
          </w:r>
          <w:r>
            <w:rPr>
              <w:rFonts w:ascii="Arial" w:hAnsi="Arial" w:cs="Arial"/>
              <w:sz w:val="24"/>
            </w:rPr>
            <w:fldChar w:fldCharType="separate"/>
          </w:r>
          <w:r>
            <w:rPr>
              <w:rFonts w:ascii="Arial" w:hAnsi="Arial" w:cs="Arial"/>
              <w:sz w:val="24"/>
            </w:rPr>
            <w:t>3</w:t>
          </w:r>
          <w:r>
            <w:rPr>
              <w:rFonts w:ascii="Arial" w:hAnsi="Arial" w:cs="Arial"/>
              <w:sz w:val="24"/>
            </w:rPr>
            <w:fldChar w:fldCharType="end"/>
          </w:r>
          <w:r>
            <w:rPr>
              <w:rFonts w:ascii="Arial" w:hAnsi="Arial" w:cs="Arial"/>
              <w:sz w:val="24"/>
            </w:rPr>
            <w:fldChar w:fldCharType="end"/>
          </w:r>
        </w:p>
        <w:p>
          <w:pPr>
            <w:pStyle w:val="6"/>
            <w:tabs>
              <w:tab w:val="right" w:leader="dot" w:pos="9060"/>
            </w:tabs>
            <w:spacing w:line="480" w:lineRule="auto"/>
            <w:rPr>
              <w:rFonts w:ascii="Arial" w:hAnsi="Arial" w:cs="Arial"/>
              <w:sz w:val="24"/>
            </w:rPr>
          </w:pPr>
          <w:r>
            <w:fldChar w:fldCharType="begin"/>
          </w:r>
          <w:r>
            <w:instrText xml:space="preserve"> HYPERLINK \l "_Toc160962295" </w:instrText>
          </w:r>
          <w:r>
            <w:fldChar w:fldCharType="separate"/>
          </w:r>
          <w:r>
            <w:rPr>
              <w:rStyle w:val="10"/>
              <w:rFonts w:ascii="Arial" w:hAnsi="Arial" w:cs="Arial"/>
              <w:b/>
              <w:sz w:val="24"/>
            </w:rPr>
            <w:t>1.0 Introduction</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_Toc160962295 \h </w:instrText>
          </w:r>
          <w:r>
            <w:rPr>
              <w:rFonts w:ascii="Arial" w:hAnsi="Arial" w:cs="Arial"/>
              <w:sz w:val="24"/>
            </w:rPr>
            <w:fldChar w:fldCharType="separate"/>
          </w:r>
          <w:r>
            <w:rPr>
              <w:rFonts w:ascii="Arial" w:hAnsi="Arial" w:cs="Arial"/>
              <w:sz w:val="24"/>
            </w:rPr>
            <w:t>4</w:t>
          </w:r>
          <w:r>
            <w:rPr>
              <w:rFonts w:ascii="Arial" w:hAnsi="Arial" w:cs="Arial"/>
              <w:sz w:val="24"/>
            </w:rPr>
            <w:fldChar w:fldCharType="end"/>
          </w:r>
          <w:r>
            <w:rPr>
              <w:rFonts w:ascii="Arial" w:hAnsi="Arial" w:cs="Arial"/>
              <w:sz w:val="24"/>
            </w:rPr>
            <w:fldChar w:fldCharType="end"/>
          </w:r>
        </w:p>
        <w:p>
          <w:pPr>
            <w:pStyle w:val="6"/>
            <w:tabs>
              <w:tab w:val="right" w:leader="dot" w:pos="9060"/>
            </w:tabs>
            <w:spacing w:line="480" w:lineRule="auto"/>
            <w:rPr>
              <w:rFonts w:ascii="Arial" w:hAnsi="Arial" w:cs="Arial"/>
              <w:sz w:val="24"/>
            </w:rPr>
          </w:pPr>
          <w:r>
            <w:fldChar w:fldCharType="begin"/>
          </w:r>
          <w:r>
            <w:instrText xml:space="preserve"> HYPERLINK \l "_Toc160962296" </w:instrText>
          </w:r>
          <w:r>
            <w:fldChar w:fldCharType="separate"/>
          </w:r>
          <w:r>
            <w:rPr>
              <w:rStyle w:val="10"/>
              <w:rFonts w:ascii="Arial" w:hAnsi="Arial" w:cs="Arial"/>
              <w:b/>
              <w:sz w:val="24"/>
            </w:rPr>
            <w:t>2.0 Competitive Strategy Utilised by Tesla</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_Toc160962296 \h </w:instrText>
          </w:r>
          <w:r>
            <w:rPr>
              <w:rFonts w:ascii="Arial" w:hAnsi="Arial" w:cs="Arial"/>
              <w:sz w:val="24"/>
            </w:rPr>
            <w:fldChar w:fldCharType="separate"/>
          </w:r>
          <w:r>
            <w:rPr>
              <w:rFonts w:ascii="Arial" w:hAnsi="Arial" w:cs="Arial"/>
              <w:sz w:val="24"/>
            </w:rPr>
            <w:t>4</w:t>
          </w:r>
          <w:r>
            <w:rPr>
              <w:rFonts w:ascii="Arial" w:hAnsi="Arial" w:cs="Arial"/>
              <w:sz w:val="24"/>
            </w:rPr>
            <w:fldChar w:fldCharType="end"/>
          </w:r>
          <w:r>
            <w:rPr>
              <w:rFonts w:ascii="Arial" w:hAnsi="Arial" w:cs="Arial"/>
              <w:sz w:val="24"/>
            </w:rPr>
            <w:fldChar w:fldCharType="end"/>
          </w:r>
        </w:p>
        <w:p>
          <w:pPr>
            <w:pStyle w:val="7"/>
            <w:tabs>
              <w:tab w:val="right" w:leader="dot" w:pos="9060"/>
            </w:tabs>
            <w:spacing w:line="480" w:lineRule="auto"/>
            <w:rPr>
              <w:rFonts w:ascii="Arial" w:hAnsi="Arial" w:cs="Arial"/>
              <w:sz w:val="24"/>
            </w:rPr>
          </w:pPr>
          <w:r>
            <w:fldChar w:fldCharType="begin"/>
          </w:r>
          <w:r>
            <w:instrText xml:space="preserve"> HYPERLINK \l "_Toc160962297" </w:instrText>
          </w:r>
          <w:r>
            <w:fldChar w:fldCharType="separate"/>
          </w:r>
          <w:r>
            <w:rPr>
              <w:rStyle w:val="10"/>
              <w:rFonts w:ascii="Arial" w:hAnsi="Arial" w:cs="Arial"/>
              <w:sz w:val="24"/>
            </w:rPr>
            <w:t>2.1 Porter’s Generic Strategies</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_Toc160962297 \h </w:instrText>
          </w:r>
          <w:r>
            <w:rPr>
              <w:rFonts w:ascii="Arial" w:hAnsi="Arial" w:cs="Arial"/>
              <w:sz w:val="24"/>
            </w:rPr>
            <w:fldChar w:fldCharType="separate"/>
          </w:r>
          <w:r>
            <w:rPr>
              <w:rFonts w:ascii="Arial" w:hAnsi="Arial" w:cs="Arial"/>
              <w:sz w:val="24"/>
            </w:rPr>
            <w:t>4</w:t>
          </w:r>
          <w:r>
            <w:rPr>
              <w:rFonts w:ascii="Arial" w:hAnsi="Arial" w:cs="Arial"/>
              <w:sz w:val="24"/>
            </w:rPr>
            <w:fldChar w:fldCharType="end"/>
          </w:r>
          <w:r>
            <w:rPr>
              <w:rFonts w:ascii="Arial" w:hAnsi="Arial" w:cs="Arial"/>
              <w:sz w:val="24"/>
            </w:rPr>
            <w:fldChar w:fldCharType="end"/>
          </w:r>
        </w:p>
        <w:p>
          <w:pPr>
            <w:pStyle w:val="7"/>
            <w:tabs>
              <w:tab w:val="right" w:leader="dot" w:pos="9060"/>
            </w:tabs>
            <w:spacing w:line="480" w:lineRule="auto"/>
            <w:rPr>
              <w:rFonts w:ascii="Arial" w:hAnsi="Arial" w:cs="Arial"/>
              <w:sz w:val="24"/>
            </w:rPr>
          </w:pPr>
          <w:r>
            <w:fldChar w:fldCharType="begin"/>
          </w:r>
          <w:r>
            <w:instrText xml:space="preserve"> HYPERLINK \l "_Toc160962298" </w:instrText>
          </w:r>
          <w:r>
            <w:fldChar w:fldCharType="separate"/>
          </w:r>
          <w:r>
            <w:rPr>
              <w:rStyle w:val="10"/>
              <w:rFonts w:ascii="Arial" w:hAnsi="Arial" w:cs="Arial"/>
              <w:sz w:val="24"/>
            </w:rPr>
            <w:t>2.2 Competitive Strategy Utilised by Tesla</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_Toc160962298 \h </w:instrText>
          </w:r>
          <w:r>
            <w:rPr>
              <w:rFonts w:ascii="Arial" w:hAnsi="Arial" w:cs="Arial"/>
              <w:sz w:val="24"/>
            </w:rPr>
            <w:fldChar w:fldCharType="separate"/>
          </w:r>
          <w:r>
            <w:rPr>
              <w:rFonts w:ascii="Arial" w:hAnsi="Arial" w:cs="Arial"/>
              <w:sz w:val="24"/>
            </w:rPr>
            <w:t>7</w:t>
          </w:r>
          <w:r>
            <w:rPr>
              <w:rFonts w:ascii="Arial" w:hAnsi="Arial" w:cs="Arial"/>
              <w:sz w:val="24"/>
            </w:rPr>
            <w:fldChar w:fldCharType="end"/>
          </w:r>
          <w:r>
            <w:rPr>
              <w:rFonts w:ascii="Arial" w:hAnsi="Arial" w:cs="Arial"/>
              <w:sz w:val="24"/>
            </w:rPr>
            <w:fldChar w:fldCharType="end"/>
          </w:r>
        </w:p>
        <w:p>
          <w:pPr>
            <w:pStyle w:val="6"/>
            <w:tabs>
              <w:tab w:val="right" w:leader="dot" w:pos="9060"/>
            </w:tabs>
            <w:spacing w:line="480" w:lineRule="auto"/>
            <w:rPr>
              <w:rFonts w:ascii="Arial" w:hAnsi="Arial" w:cs="Arial"/>
              <w:sz w:val="24"/>
            </w:rPr>
          </w:pPr>
          <w:r>
            <w:fldChar w:fldCharType="begin"/>
          </w:r>
          <w:r>
            <w:instrText xml:space="preserve"> HYPERLINK \l "_Toc160962299" </w:instrText>
          </w:r>
          <w:r>
            <w:fldChar w:fldCharType="separate"/>
          </w:r>
          <w:r>
            <w:rPr>
              <w:rStyle w:val="10"/>
              <w:rFonts w:ascii="Arial" w:hAnsi="Arial" w:cs="Arial"/>
              <w:b/>
              <w:sz w:val="24"/>
            </w:rPr>
            <w:t>3.0 Competitive Strategy Evaluation</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_Toc160962299 \h </w:instrText>
          </w:r>
          <w:r>
            <w:rPr>
              <w:rFonts w:ascii="Arial" w:hAnsi="Arial" w:cs="Arial"/>
              <w:sz w:val="24"/>
            </w:rPr>
            <w:fldChar w:fldCharType="separate"/>
          </w:r>
          <w:r>
            <w:rPr>
              <w:rFonts w:ascii="Arial" w:hAnsi="Arial" w:cs="Arial"/>
              <w:sz w:val="24"/>
            </w:rPr>
            <w:t>9</w:t>
          </w:r>
          <w:r>
            <w:rPr>
              <w:rFonts w:ascii="Arial" w:hAnsi="Arial" w:cs="Arial"/>
              <w:sz w:val="24"/>
            </w:rPr>
            <w:fldChar w:fldCharType="end"/>
          </w:r>
          <w:r>
            <w:rPr>
              <w:rFonts w:ascii="Arial" w:hAnsi="Arial" w:cs="Arial"/>
              <w:sz w:val="24"/>
            </w:rPr>
            <w:fldChar w:fldCharType="end"/>
          </w:r>
        </w:p>
        <w:p>
          <w:pPr>
            <w:pStyle w:val="7"/>
            <w:tabs>
              <w:tab w:val="right" w:leader="dot" w:pos="9060"/>
            </w:tabs>
            <w:spacing w:line="480" w:lineRule="auto"/>
            <w:rPr>
              <w:rFonts w:ascii="Arial" w:hAnsi="Arial" w:cs="Arial"/>
              <w:sz w:val="24"/>
            </w:rPr>
          </w:pPr>
          <w:r>
            <w:fldChar w:fldCharType="begin"/>
          </w:r>
          <w:r>
            <w:instrText xml:space="preserve"> HYPERLINK \l "_Toc160962300" </w:instrText>
          </w:r>
          <w:r>
            <w:fldChar w:fldCharType="separate"/>
          </w:r>
          <w:r>
            <w:rPr>
              <w:rStyle w:val="10"/>
              <w:rFonts w:ascii="Arial" w:hAnsi="Arial" w:cs="Arial"/>
              <w:sz w:val="24"/>
            </w:rPr>
            <w:t>3.1 PESTLE Analysis</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_Toc160962300 \h </w:instrText>
          </w:r>
          <w:r>
            <w:rPr>
              <w:rFonts w:ascii="Arial" w:hAnsi="Arial" w:cs="Arial"/>
              <w:sz w:val="24"/>
            </w:rPr>
            <w:fldChar w:fldCharType="separate"/>
          </w:r>
          <w:r>
            <w:rPr>
              <w:rFonts w:ascii="Arial" w:hAnsi="Arial" w:cs="Arial"/>
              <w:sz w:val="24"/>
            </w:rPr>
            <w:t>9</w:t>
          </w:r>
          <w:r>
            <w:rPr>
              <w:rFonts w:ascii="Arial" w:hAnsi="Arial" w:cs="Arial"/>
              <w:sz w:val="24"/>
            </w:rPr>
            <w:fldChar w:fldCharType="end"/>
          </w:r>
          <w:r>
            <w:rPr>
              <w:rFonts w:ascii="Arial" w:hAnsi="Arial" w:cs="Arial"/>
              <w:sz w:val="24"/>
            </w:rPr>
            <w:fldChar w:fldCharType="end"/>
          </w:r>
        </w:p>
        <w:p>
          <w:pPr>
            <w:pStyle w:val="7"/>
            <w:tabs>
              <w:tab w:val="right" w:leader="dot" w:pos="9060"/>
            </w:tabs>
            <w:spacing w:line="480" w:lineRule="auto"/>
            <w:rPr>
              <w:rFonts w:ascii="Arial" w:hAnsi="Arial" w:cs="Arial"/>
              <w:sz w:val="24"/>
            </w:rPr>
          </w:pPr>
          <w:r>
            <w:fldChar w:fldCharType="begin"/>
          </w:r>
          <w:r>
            <w:instrText xml:space="preserve"> HYPERLINK \l "_Toc160962301" </w:instrText>
          </w:r>
          <w:r>
            <w:fldChar w:fldCharType="separate"/>
          </w:r>
          <w:r>
            <w:rPr>
              <w:rStyle w:val="10"/>
              <w:rFonts w:ascii="Arial" w:hAnsi="Arial" w:cs="Arial"/>
              <w:sz w:val="24"/>
            </w:rPr>
            <w:t>3.2 Porter’s Five Forces</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_Toc160962301 \h </w:instrText>
          </w:r>
          <w:r>
            <w:rPr>
              <w:rFonts w:ascii="Arial" w:hAnsi="Arial" w:cs="Arial"/>
              <w:sz w:val="24"/>
            </w:rPr>
            <w:fldChar w:fldCharType="separate"/>
          </w:r>
          <w:r>
            <w:rPr>
              <w:rFonts w:ascii="Arial" w:hAnsi="Arial" w:cs="Arial"/>
              <w:sz w:val="24"/>
            </w:rPr>
            <w:t>11</w:t>
          </w:r>
          <w:r>
            <w:rPr>
              <w:rFonts w:ascii="Arial" w:hAnsi="Arial" w:cs="Arial"/>
              <w:sz w:val="24"/>
            </w:rPr>
            <w:fldChar w:fldCharType="end"/>
          </w:r>
          <w:r>
            <w:rPr>
              <w:rFonts w:ascii="Arial" w:hAnsi="Arial" w:cs="Arial"/>
              <w:sz w:val="24"/>
            </w:rPr>
            <w:fldChar w:fldCharType="end"/>
          </w:r>
        </w:p>
        <w:p>
          <w:pPr>
            <w:pStyle w:val="6"/>
            <w:tabs>
              <w:tab w:val="right" w:leader="dot" w:pos="9060"/>
            </w:tabs>
            <w:spacing w:line="480" w:lineRule="auto"/>
            <w:rPr>
              <w:rFonts w:ascii="Arial" w:hAnsi="Arial" w:cs="Arial"/>
              <w:sz w:val="24"/>
            </w:rPr>
          </w:pPr>
          <w:r>
            <w:fldChar w:fldCharType="begin"/>
          </w:r>
          <w:r>
            <w:instrText xml:space="preserve"> HYPERLINK \l "_Toc160962302" </w:instrText>
          </w:r>
          <w:r>
            <w:fldChar w:fldCharType="separate"/>
          </w:r>
          <w:r>
            <w:rPr>
              <w:rStyle w:val="10"/>
              <w:rFonts w:ascii="Arial" w:hAnsi="Arial" w:cs="Arial"/>
              <w:b/>
              <w:sz w:val="24"/>
            </w:rPr>
            <w:t>4.0 Conclusion &amp; Recommendations</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_Toc160962302 \h </w:instrText>
          </w:r>
          <w:r>
            <w:rPr>
              <w:rFonts w:ascii="Arial" w:hAnsi="Arial" w:cs="Arial"/>
              <w:sz w:val="24"/>
            </w:rPr>
            <w:fldChar w:fldCharType="separate"/>
          </w:r>
          <w:r>
            <w:rPr>
              <w:rFonts w:ascii="Arial" w:hAnsi="Arial" w:cs="Arial"/>
              <w:sz w:val="24"/>
            </w:rPr>
            <w:t>13</w:t>
          </w:r>
          <w:r>
            <w:rPr>
              <w:rFonts w:ascii="Arial" w:hAnsi="Arial" w:cs="Arial"/>
              <w:sz w:val="24"/>
            </w:rPr>
            <w:fldChar w:fldCharType="end"/>
          </w:r>
          <w:r>
            <w:rPr>
              <w:rFonts w:ascii="Arial" w:hAnsi="Arial" w:cs="Arial"/>
              <w:sz w:val="24"/>
            </w:rPr>
            <w:fldChar w:fldCharType="end"/>
          </w:r>
        </w:p>
        <w:p>
          <w:pPr>
            <w:pStyle w:val="6"/>
            <w:tabs>
              <w:tab w:val="right" w:leader="dot" w:pos="9060"/>
            </w:tabs>
            <w:spacing w:line="480" w:lineRule="auto"/>
            <w:rPr>
              <w:rFonts w:ascii="Arial" w:hAnsi="Arial" w:cs="Arial"/>
              <w:sz w:val="24"/>
            </w:rPr>
          </w:pPr>
          <w:r>
            <w:fldChar w:fldCharType="begin"/>
          </w:r>
          <w:r>
            <w:instrText xml:space="preserve"> HYPERLINK \l "_Toc160962303" </w:instrText>
          </w:r>
          <w:r>
            <w:fldChar w:fldCharType="separate"/>
          </w:r>
          <w:r>
            <w:rPr>
              <w:rStyle w:val="10"/>
              <w:rFonts w:ascii="Arial" w:hAnsi="Arial" w:cs="Arial"/>
              <w:b/>
              <w:sz w:val="24"/>
            </w:rPr>
            <w:t>References</w:t>
          </w:r>
          <w:r>
            <w:rPr>
              <w:rFonts w:ascii="Arial" w:hAnsi="Arial" w:cs="Arial"/>
              <w:sz w:val="24"/>
            </w:rPr>
            <w:tab/>
          </w:r>
          <w:r>
            <w:rPr>
              <w:rFonts w:ascii="Arial" w:hAnsi="Arial" w:cs="Arial"/>
              <w:sz w:val="24"/>
            </w:rPr>
            <w:fldChar w:fldCharType="begin"/>
          </w:r>
          <w:r>
            <w:rPr>
              <w:rFonts w:ascii="Arial" w:hAnsi="Arial" w:cs="Arial"/>
              <w:sz w:val="24"/>
            </w:rPr>
            <w:instrText xml:space="preserve"> PAGEREF _Toc160962303 \h </w:instrText>
          </w:r>
          <w:r>
            <w:rPr>
              <w:rFonts w:ascii="Arial" w:hAnsi="Arial" w:cs="Arial"/>
              <w:sz w:val="24"/>
            </w:rPr>
            <w:fldChar w:fldCharType="separate"/>
          </w:r>
          <w:r>
            <w:rPr>
              <w:rFonts w:ascii="Arial" w:hAnsi="Arial" w:cs="Arial"/>
              <w:sz w:val="24"/>
            </w:rPr>
            <w:t>15</w:t>
          </w:r>
          <w:r>
            <w:rPr>
              <w:rFonts w:ascii="Arial" w:hAnsi="Arial" w:cs="Arial"/>
              <w:sz w:val="24"/>
            </w:rPr>
            <w:fldChar w:fldCharType="end"/>
          </w:r>
          <w:r>
            <w:rPr>
              <w:rFonts w:ascii="Arial" w:hAnsi="Arial" w:cs="Arial"/>
              <w:sz w:val="24"/>
            </w:rPr>
            <w:fldChar w:fldCharType="end"/>
          </w:r>
        </w:p>
        <w:p>
          <w:pPr>
            <w:spacing w:line="480" w:lineRule="auto"/>
          </w:pPr>
          <w:r>
            <w:rPr>
              <w:rFonts w:ascii="Arial" w:hAnsi="Arial" w:cs="Arial"/>
              <w:b/>
              <w:bCs/>
              <w:sz w:val="24"/>
              <w:lang w:val="zh-CN" w:eastAsia="zh-CN"/>
            </w:rPr>
            <w:fldChar w:fldCharType="end"/>
          </w:r>
        </w:p>
      </w:sdtContent>
    </w:sdt>
    <w:p>
      <w:pPr>
        <w:spacing w:line="480" w:lineRule="auto"/>
        <w:rPr>
          <w:rFonts w:ascii="Arial" w:hAnsi="Arial" w:cs="Arial"/>
          <w:b/>
          <w:sz w:val="24"/>
        </w:rPr>
      </w:pPr>
    </w:p>
    <w:p>
      <w:pPr>
        <w:spacing w:line="480" w:lineRule="auto"/>
        <w:rPr>
          <w:rFonts w:ascii="Arial" w:hAnsi="Arial" w:cs="Arial"/>
          <w:b/>
          <w:sz w:val="28"/>
        </w:rPr>
      </w:pPr>
    </w:p>
    <w:p>
      <w:pPr>
        <w:rPr>
          <w:rFonts w:ascii="Arial" w:hAnsi="Arial" w:cs="Arial"/>
          <w:b/>
          <w:sz w:val="28"/>
        </w:rPr>
      </w:pPr>
      <w:r>
        <w:rPr>
          <w:rFonts w:ascii="Arial" w:hAnsi="Arial" w:cs="Arial"/>
          <w:b/>
          <w:sz w:val="28"/>
        </w:rPr>
        <w:br w:type="page"/>
      </w:r>
    </w:p>
    <w:p>
      <w:pPr>
        <w:pStyle w:val="2"/>
        <w:spacing w:line="480" w:lineRule="auto"/>
        <w:rPr>
          <w:rFonts w:ascii="Arial" w:hAnsi="Arial" w:cs="Arial"/>
          <w:b/>
          <w:color w:val="auto"/>
          <w:sz w:val="24"/>
        </w:rPr>
      </w:pPr>
      <w:bookmarkStart w:id="0" w:name="_Toc160962294"/>
      <w:r>
        <w:rPr>
          <w:rFonts w:ascii="Arial" w:hAnsi="Arial" w:cs="Arial"/>
          <w:b/>
          <w:color w:val="auto"/>
          <w:sz w:val="24"/>
        </w:rPr>
        <w:t>Executive Summary</w:t>
      </w:r>
      <w:bookmarkEnd w:id="0"/>
    </w:p>
    <w:p>
      <w:pPr>
        <w:spacing w:line="480" w:lineRule="auto"/>
        <w:rPr>
          <w:rFonts w:ascii="Arial" w:hAnsi="Arial" w:cs="Arial"/>
          <w:sz w:val="24"/>
          <w:lang w:eastAsia="zh-CN"/>
        </w:rPr>
      </w:pPr>
      <w:r>
        <w:rPr>
          <w:rFonts w:ascii="Arial" w:hAnsi="Arial" w:cs="Arial"/>
          <w:sz w:val="24"/>
          <w:lang w:eastAsia="zh-CN"/>
        </w:rPr>
        <w:t>As the organization chosen for this report, Tesla utilised differentiation strategy to develop its current competitive position. Differentiation strategy focuses on the uniqueness value of a product or service to differentiate it from competitors (Odhiambo and Njuguna, 2019). PESTEL analysis and Porter’s Five Forces are the tools chosen for this report to critically evaluate the differentiation strategy utilised by Tesla. The analysis found that although the differentiation strategy has brought Tesla competitive advantages in both macro and micro environments, it also has some limitations. In this context, this report provides Tesla with two recommendations.</w:t>
      </w:r>
      <w:r>
        <w:t xml:space="preserve"> </w:t>
      </w:r>
      <w:r>
        <w:rPr>
          <w:rFonts w:ascii="Arial" w:hAnsi="Arial" w:cs="Arial"/>
          <w:sz w:val="24"/>
          <w:lang w:eastAsia="zh-CN"/>
        </w:rPr>
        <w:t xml:space="preserve">The first recommendation is to make customer experience as one of the key differentiators. Another suggestion is to differentiate from competitors with limited product lineups by expanding Tesla product lines. </w:t>
      </w:r>
      <w:r>
        <w:rPr>
          <w:rFonts w:ascii="Arial" w:hAnsi="Arial" w:cs="Arial"/>
          <w:sz w:val="24"/>
          <w:lang w:eastAsia="zh-CN"/>
        </w:rPr>
        <w:br w:type="page"/>
      </w:r>
    </w:p>
    <w:p>
      <w:pPr>
        <w:pStyle w:val="2"/>
        <w:spacing w:line="480" w:lineRule="auto"/>
        <w:rPr>
          <w:rFonts w:ascii="Arial" w:hAnsi="Arial" w:cs="Arial"/>
          <w:b/>
          <w:color w:val="auto"/>
          <w:sz w:val="24"/>
        </w:rPr>
      </w:pPr>
      <w:bookmarkStart w:id="1" w:name="_Toc160962295"/>
      <w:r>
        <w:rPr>
          <w:rFonts w:ascii="Arial" w:hAnsi="Arial" w:cs="Arial"/>
          <w:b/>
          <w:color w:val="auto"/>
          <w:sz w:val="24"/>
        </w:rPr>
        <w:t>1.0 Introduction</w:t>
      </w:r>
      <w:bookmarkEnd w:id="1"/>
    </w:p>
    <w:p>
      <w:pPr>
        <w:spacing w:line="480" w:lineRule="auto"/>
        <w:rPr>
          <w:rFonts w:ascii="Arial" w:hAnsi="Arial" w:cs="Arial"/>
          <w:sz w:val="24"/>
        </w:rPr>
      </w:pPr>
      <w:r>
        <w:rPr>
          <w:rFonts w:ascii="Arial" w:hAnsi="Arial" w:cs="Arial"/>
          <w:sz w:val="24"/>
        </w:rPr>
        <w:t>The purpose of this report is to identify and evaluate the competitive strategies employed by Tesla to develop its current competitive position.</w:t>
      </w:r>
      <w:r>
        <w:t xml:space="preserve"> </w:t>
      </w:r>
      <w:r>
        <w:rPr>
          <w:rFonts w:ascii="Arial" w:hAnsi="Arial" w:cs="Arial"/>
          <w:sz w:val="24"/>
        </w:rPr>
        <w:t xml:space="preserve">It also provided Tesla with two corresponding </w:t>
      </w:r>
      <w:r>
        <w:rPr>
          <w:rFonts w:hint="eastAsia" w:ascii="Arial" w:hAnsi="Arial" w:cs="Arial"/>
          <w:sz w:val="24"/>
          <w:lang w:eastAsia="zh-CN"/>
        </w:rPr>
        <w:t>re</w:t>
      </w:r>
      <w:r>
        <w:rPr>
          <w:rFonts w:ascii="Arial" w:hAnsi="Arial" w:cs="Arial"/>
          <w:sz w:val="24"/>
        </w:rPr>
        <w:t>commendations based on the results of the analysis.</w:t>
      </w:r>
    </w:p>
    <w:p>
      <w:pPr>
        <w:spacing w:line="480" w:lineRule="auto"/>
        <w:rPr>
          <w:rFonts w:ascii="Arial" w:hAnsi="Arial" w:cs="Arial"/>
          <w:sz w:val="24"/>
        </w:rPr>
      </w:pPr>
    </w:p>
    <w:p>
      <w:pPr>
        <w:pStyle w:val="2"/>
        <w:spacing w:line="480" w:lineRule="auto"/>
        <w:rPr>
          <w:rFonts w:ascii="Arial" w:hAnsi="Arial" w:cs="Arial"/>
          <w:b/>
          <w:color w:val="auto"/>
          <w:sz w:val="24"/>
        </w:rPr>
      </w:pPr>
      <w:bookmarkStart w:id="2" w:name="_Toc160962296"/>
      <w:r>
        <w:rPr>
          <w:rFonts w:ascii="Arial" w:hAnsi="Arial" w:cs="Arial"/>
          <w:b/>
          <w:color w:val="auto"/>
          <w:sz w:val="24"/>
        </w:rPr>
        <w:t>2.0 Competitive Strategy Utilised by Tesla</w:t>
      </w:r>
      <w:bookmarkEnd w:id="2"/>
    </w:p>
    <w:p>
      <w:pPr>
        <w:pStyle w:val="3"/>
        <w:spacing w:line="480" w:lineRule="auto"/>
        <w:rPr>
          <w:rFonts w:ascii="Arial" w:hAnsi="Arial" w:cs="Arial"/>
          <w:color w:val="auto"/>
          <w:sz w:val="24"/>
        </w:rPr>
      </w:pPr>
      <w:bookmarkStart w:id="3" w:name="_Toc160962297"/>
      <w:r>
        <w:rPr>
          <w:rFonts w:ascii="Arial" w:hAnsi="Arial" w:cs="Arial"/>
          <w:color w:val="auto"/>
          <w:sz w:val="24"/>
        </w:rPr>
        <w:t>2.1 Porter’s Generic Strategies</w:t>
      </w:r>
      <w:bookmarkEnd w:id="3"/>
    </w:p>
    <w:p>
      <w:pPr>
        <w:spacing w:line="480" w:lineRule="auto"/>
        <w:rPr>
          <w:rFonts w:ascii="Arial" w:hAnsi="Arial" w:cs="Arial"/>
          <w:sz w:val="24"/>
        </w:rPr>
      </w:pPr>
      <w:r>
        <w:rPr>
          <w:rFonts w:ascii="Arial" w:hAnsi="Arial" w:cs="Arial"/>
          <w:sz w:val="24"/>
        </w:rPr>
        <w:t>In order to highlight the importance of utilizing competitive strategy, the term “strategy” should first be defined clearly.</w:t>
      </w:r>
      <w:r>
        <w:t xml:space="preserve"> </w:t>
      </w:r>
      <w:r>
        <w:rPr>
          <w:rFonts w:ascii="Arial" w:hAnsi="Arial" w:cs="Arial"/>
          <w:sz w:val="24"/>
        </w:rPr>
        <w:t>According to Cannon (1968), strategy is a series of directed action decisions to help a company achieve its stated goals through competition.</w:t>
      </w:r>
      <w:r>
        <w:t xml:space="preserve"> </w:t>
      </w:r>
      <w:r>
        <w:rPr>
          <w:rFonts w:ascii="Arial" w:hAnsi="Arial" w:cs="Arial"/>
          <w:sz w:val="24"/>
        </w:rPr>
        <w:t>These action decisions require significant company resources, as well as support from senior managers (Islami et al., 2020).</w:t>
      </w:r>
      <w:r>
        <w:t xml:space="preserve"> </w:t>
      </w:r>
      <w:r>
        <w:rPr>
          <w:rFonts w:ascii="Arial" w:hAnsi="Arial" w:cs="Arial"/>
          <w:sz w:val="24"/>
        </w:rPr>
        <w:t>Islami et al. (2020) believe that strategy is the directional clues that help a company respond to opportunities and threats in the environment and enable it to achieve its goals.</w:t>
      </w:r>
      <w:r>
        <w:t xml:space="preserve"> </w:t>
      </w:r>
      <w:r>
        <w:rPr>
          <w:rFonts w:ascii="Arial" w:hAnsi="Arial" w:cs="Arial"/>
          <w:sz w:val="24"/>
        </w:rPr>
        <w:t>By carefully formulating and implementing effective competitive strategies, companies can differentiate themselves in an increasingly competitive market (Firoz Suleman et al., 2019).</w:t>
      </w:r>
      <w:r>
        <w:t xml:space="preserve"> </w:t>
      </w:r>
      <w:r>
        <w:rPr>
          <w:rFonts w:ascii="Arial" w:hAnsi="Arial" w:cs="Arial"/>
          <w:sz w:val="24"/>
        </w:rPr>
        <w:t>On the contrary, companies that lack a clear competitive strategy often fail to compete, let alone achieve a leading competitive position (Firoz Suleman et al., 2019).</w:t>
      </w:r>
      <w:r>
        <w:t xml:space="preserve"> </w:t>
      </w:r>
      <w:r>
        <w:rPr>
          <w:rFonts w:ascii="Arial" w:hAnsi="Arial" w:cs="Arial"/>
          <w:sz w:val="24"/>
        </w:rPr>
        <w:t>It can be seen that utilizing effective competitive strategies is crucial for companies, especially in today's dynamic business environment.</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As an important part of strategic management theory, Porter's Generic Strategies explains a series of directional action decisions made by a company against competitors in a specific industry (Ormanidhi and Stringa, 2008; Kasongo and Misango, 2019).</w:t>
      </w:r>
      <w:r>
        <w:t xml:space="preserve"> </w:t>
      </w:r>
      <w:r>
        <w:rPr>
          <w:rFonts w:ascii="Arial" w:hAnsi="Arial" w:cs="Arial"/>
          <w:sz w:val="24"/>
        </w:rPr>
        <w:t>Cost leadership, differentiation, and focus are the three main strategies for a company's ability to gain competitive advantage (Salsabila et al., 2021).</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Cost leadership strategy emphasizes very low unit costs, providing products to the market at the best prices to attract the attention of price-sensitive consumers (Kiragu et al., 2020).</w:t>
      </w:r>
      <w:r>
        <w:t xml:space="preserve"> </w:t>
      </w:r>
      <w:r>
        <w:rPr>
          <w:rFonts w:ascii="Arial" w:hAnsi="Arial" w:cs="Arial"/>
          <w:sz w:val="24"/>
        </w:rPr>
        <w:t>Ali and Anwar (2021) pointed out that cost leadership strategy can be functionalized into low input, low pricing, product design, process design, economies of scale, and experience.</w:t>
      </w:r>
      <w:r>
        <w:t xml:space="preserve"> </w:t>
      </w:r>
      <w:r>
        <w:rPr>
          <w:rFonts w:ascii="Arial" w:hAnsi="Arial" w:cs="Arial"/>
          <w:sz w:val="24"/>
        </w:rPr>
        <w:t>Low inputs may involve more favorable access to raw materials and the use of cheap labour (Kiragu et al., 2020; Ali and Anwar, 2021).</w:t>
      </w:r>
      <w:r>
        <w:t xml:space="preserve"> </w:t>
      </w:r>
      <w:r>
        <w:rPr>
          <w:rFonts w:ascii="Arial" w:hAnsi="Arial" w:cs="Arial"/>
          <w:sz w:val="24"/>
        </w:rPr>
        <w:t>Low pricing is the process by which a company produces products at a lower unit price than its competitors.</w:t>
      </w:r>
      <w:r>
        <w:t xml:space="preserve"> </w:t>
      </w:r>
      <w:r>
        <w:rPr>
          <w:rFonts w:ascii="Arial" w:hAnsi="Arial" w:cs="Arial"/>
          <w:sz w:val="24"/>
        </w:rPr>
        <w:t>In order to perform value chain activities more efficiently than competitors, a company needs specific experience and considerable effort in product design and process design.</w:t>
      </w:r>
      <w:r>
        <w:t xml:space="preserve"> </w:t>
      </w:r>
      <w:r>
        <w:rPr>
          <w:rFonts w:ascii="Arial" w:hAnsi="Arial" w:cs="Arial"/>
          <w:sz w:val="24"/>
        </w:rPr>
        <w:t>It is worth noting that low cost is not necessarily the absolute lowest cost, but may also be a cost advantage relative to competitors (Islami et al., 2020).</w:t>
      </w:r>
      <w:r>
        <w:t xml:space="preserve"> </w:t>
      </w:r>
      <w:r>
        <w:rPr>
          <w:rFonts w:ascii="Arial" w:hAnsi="Arial" w:cs="Arial"/>
          <w:sz w:val="24"/>
        </w:rPr>
        <w:t>It means that the company should not use too aggressive price cuts, but ensure that it has the same level of profitability as its competitors while selling at lower prices; otherwise, the company's competitive advantage will be eroded due to too low profits (Islami et al., 2020).</w:t>
      </w:r>
      <w:r>
        <w:t xml:space="preserve"> </w:t>
      </w:r>
      <w:r>
        <w:rPr>
          <w:rFonts w:ascii="Arial" w:hAnsi="Arial" w:cs="Arial"/>
          <w:sz w:val="24"/>
        </w:rPr>
        <w:t>Existing research shows that the successful implementation of cost leadership strategy is conducive to the improvement of company performance.</w:t>
      </w:r>
      <w:r>
        <w:t xml:space="preserve"> </w:t>
      </w:r>
      <w:r>
        <w:rPr>
          <w:rFonts w:ascii="Arial" w:hAnsi="Arial" w:cs="Arial"/>
          <w:sz w:val="24"/>
        </w:rPr>
        <w:t>Not only can it enable companies to enjoy above-average returns, it can also prevent new entrants by forming high barriers (Kiragu et al., 2020).</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Differentiation strategy focuses on the uniqueness value of a product or service to differentiate it from competitors (Odhiambo and Njuguna, 2019).</w:t>
      </w:r>
      <w:r>
        <w:t xml:space="preserve"> </w:t>
      </w:r>
      <w:r>
        <w:rPr>
          <w:rFonts w:ascii="Arial" w:hAnsi="Arial" w:cs="Arial"/>
          <w:sz w:val="24"/>
        </w:rPr>
        <w:t>Differentiated from cost leadership strategy, differentiation strategy is suitable for places where the needs of the target audience have not been met and where low prices are not available (Islami et al., 2020).</w:t>
      </w:r>
      <w:r>
        <w:t xml:space="preserve"> </w:t>
      </w:r>
      <w:r>
        <w:rPr>
          <w:rFonts w:ascii="Arial" w:hAnsi="Arial" w:cs="Arial"/>
          <w:sz w:val="24"/>
        </w:rPr>
        <w:t>Companies using a differentiation strategy need to find resources that cannot be quickly imitated by competitors to create something that customers truly appreciate and find valuable.</w:t>
      </w:r>
      <w:r>
        <w:t xml:space="preserve"> </w:t>
      </w:r>
      <w:r>
        <w:rPr>
          <w:rFonts w:ascii="Arial" w:hAnsi="Arial" w:cs="Arial"/>
          <w:sz w:val="24"/>
        </w:rPr>
        <w:t>To increase understanding of target customers, managers need to keep their needs and behaviours top of mind.</w:t>
      </w:r>
      <w:r>
        <w:t xml:space="preserve"> </w:t>
      </w:r>
      <w:r>
        <w:rPr>
          <w:rFonts w:ascii="Arial" w:hAnsi="Arial" w:cs="Arial"/>
          <w:sz w:val="24"/>
        </w:rPr>
        <w:t>In this context, consumers will become loyal to companies that successfully implement differentiation strategies and are even willing to pay a premium for their products or services.</w:t>
      </w:r>
      <w:r>
        <w:t xml:space="preserve"> </w:t>
      </w:r>
      <w:r>
        <w:rPr>
          <w:rFonts w:ascii="Arial" w:hAnsi="Arial" w:cs="Arial"/>
          <w:sz w:val="24"/>
        </w:rPr>
        <w:t>As consumers become less price sensitive, they have less bargaining power.</w:t>
      </w:r>
      <w:r>
        <w:t xml:space="preserve"> </w:t>
      </w:r>
      <w:r>
        <w:rPr>
          <w:rFonts w:ascii="Arial" w:hAnsi="Arial" w:cs="Arial"/>
          <w:sz w:val="24"/>
        </w:rPr>
        <w:t>Ali and Anwar (2021) stated that differentiation can be achieved through technology, special features, marketing messages, suppliers, and brand image.</w:t>
      </w:r>
      <w:r>
        <w:t xml:space="preserve"> </w:t>
      </w:r>
      <w:r>
        <w:rPr>
          <w:rFonts w:ascii="Arial" w:hAnsi="Arial" w:cs="Arial"/>
          <w:sz w:val="24"/>
        </w:rPr>
        <w:t>Since the activities required by a differentiation strategy tend to be expensive, it is the exact opposite of a cost leadership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Focus strategy aims to target niche markets and build competitive advantage by focusing attention on a limited group of consumers (Islami et al., 2020).</w:t>
      </w:r>
      <w:r>
        <w:t xml:space="preserve"> </w:t>
      </w:r>
      <w:r>
        <w:rPr>
          <w:rFonts w:ascii="Arial" w:hAnsi="Arial" w:cs="Arial"/>
          <w:sz w:val="24"/>
        </w:rPr>
        <w:t>It means that companies with a focus strategy have a smaller business scope than companies with a cost leadership strategy and a differentiation strategy.</w:t>
      </w:r>
      <w:r>
        <w:t xml:space="preserve"> </w:t>
      </w:r>
      <w:r>
        <w:rPr>
          <w:rFonts w:ascii="Arial" w:hAnsi="Arial" w:cs="Arial"/>
          <w:sz w:val="24"/>
        </w:rPr>
        <w:t>To ensure the effectiveness of using this strategy, a company should choose a niche that has growth potential, is profitable, and is large enough (Kasongo and Misango, 2019).</w:t>
      </w:r>
      <w:r>
        <w:t xml:space="preserve"> </w:t>
      </w:r>
      <w:r>
        <w:rPr>
          <w:rFonts w:ascii="Arial" w:hAnsi="Arial" w:cs="Arial"/>
          <w:sz w:val="24"/>
        </w:rPr>
        <w:t>In addition, Focus strategy can be further divided into two different strategies, which are cost focus, and differentiation focus.</w:t>
      </w:r>
      <w:r>
        <w:t xml:space="preserve"> </w:t>
      </w:r>
      <w:r>
        <w:rPr>
          <w:rFonts w:ascii="Arial" w:hAnsi="Arial" w:cs="Arial"/>
          <w:sz w:val="24"/>
        </w:rPr>
        <w:t>When the needs of consumers in the target segment are easier to satisfy than other consumers, the cost focus strategy is applicable (Kasongo and Misango, 2019).</w:t>
      </w:r>
      <w:r>
        <w:t xml:space="preserve"> </w:t>
      </w:r>
      <w:r>
        <w:rPr>
          <w:rFonts w:ascii="Arial" w:hAnsi="Arial" w:cs="Arial"/>
          <w:sz w:val="24"/>
        </w:rPr>
        <w:t>In contrast, differentiation focus strategy is more effective when consumers in a segment tend to satisfy their needs from specially customized products or services (Kasongo and Misango, 2019).</w:t>
      </w:r>
    </w:p>
    <w:p>
      <w:pPr>
        <w:spacing w:line="480" w:lineRule="auto"/>
        <w:rPr>
          <w:rFonts w:ascii="Arial" w:hAnsi="Arial" w:cs="Arial"/>
          <w:sz w:val="24"/>
        </w:rPr>
      </w:pPr>
    </w:p>
    <w:p>
      <w:pPr>
        <w:pStyle w:val="3"/>
        <w:spacing w:line="480" w:lineRule="auto"/>
        <w:rPr>
          <w:rFonts w:ascii="Arial" w:hAnsi="Arial" w:cs="Arial"/>
          <w:color w:val="auto"/>
          <w:sz w:val="24"/>
        </w:rPr>
      </w:pPr>
      <w:bookmarkStart w:id="4" w:name="_Toc160962298"/>
      <w:r>
        <w:rPr>
          <w:rFonts w:ascii="Arial" w:hAnsi="Arial" w:cs="Arial"/>
          <w:color w:val="auto"/>
          <w:sz w:val="24"/>
        </w:rPr>
        <w:t>2.2 Competitive Strategy Utilised by Tesla</w:t>
      </w:r>
      <w:bookmarkEnd w:id="4"/>
    </w:p>
    <w:p>
      <w:pPr>
        <w:spacing w:line="480" w:lineRule="auto"/>
        <w:rPr>
          <w:rFonts w:ascii="Arial" w:hAnsi="Arial" w:cs="Arial"/>
          <w:sz w:val="24"/>
        </w:rPr>
      </w:pPr>
      <w:r>
        <w:rPr>
          <w:rFonts w:ascii="Arial" w:hAnsi="Arial" w:cs="Arial"/>
          <w:sz w:val="24"/>
        </w:rPr>
        <w:t>According to the above description of Porter's Generic Strategies, it can be found that Tesla mainly focuses on the utilization of differentiation strategy.</w:t>
      </w:r>
      <w:r>
        <w:t xml:space="preserve"> </w:t>
      </w:r>
      <w:r>
        <w:rPr>
          <w:rFonts w:ascii="Arial" w:hAnsi="Arial" w:cs="Arial"/>
          <w:sz w:val="24"/>
        </w:rPr>
        <w:t>Tesla regards developing an electric sports car as the company's original mission.</w:t>
      </w:r>
      <w:r>
        <w:t xml:space="preserve"> </w:t>
      </w:r>
      <w:r>
        <w:rPr>
          <w:rFonts w:ascii="Arial" w:hAnsi="Arial" w:cs="Arial"/>
          <w:sz w:val="24"/>
        </w:rPr>
        <w:t>Compared with traditional diesel and gasoline cars, an electric sports car not only has comparable performance and high efficiency, but is also more environmentally friendly.</w:t>
      </w:r>
      <w:r>
        <w:t xml:space="preserve"> </w:t>
      </w:r>
      <w:r>
        <w:rPr>
          <w:rFonts w:ascii="Arial" w:hAnsi="Arial" w:cs="Arial"/>
          <w:sz w:val="24"/>
        </w:rPr>
        <w:t>Tesla’s commitment to sustainability is fully reflected in its business practices, which resonates with environmentally conscious consumers.</w:t>
      </w:r>
      <w:r>
        <w:t xml:space="preserve"> </w:t>
      </w:r>
      <w:r>
        <w:rPr>
          <w:rFonts w:ascii="Arial" w:hAnsi="Arial" w:cs="Arial"/>
          <w:sz w:val="24"/>
        </w:rPr>
        <w:t>In other words, by focusing on creating unique and innovative products, Tesla provides a unique value to consumers.</w:t>
      </w:r>
      <w:r>
        <w:t xml:space="preserve"> </w:t>
      </w:r>
      <w:r>
        <w:rPr>
          <w:rFonts w:ascii="Arial" w:hAnsi="Arial" w:cs="Arial"/>
          <w:sz w:val="24"/>
        </w:rPr>
        <w:t>It is something that the company's competitors cannot easily imitate.</w:t>
      </w:r>
      <w:r>
        <w:t xml:space="preserve"> </w:t>
      </w:r>
      <w:r>
        <w:rPr>
          <w:rFonts w:ascii="Arial" w:hAnsi="Arial" w:cs="Arial"/>
          <w:sz w:val="24"/>
        </w:rPr>
        <w:t>In this context, Tesla has carved out a unique market position for itself, thus differentiating itself from its competitors.</w:t>
      </w:r>
      <w:r>
        <w:t xml:space="preserve"> </w:t>
      </w:r>
      <w:r>
        <w:rPr>
          <w:rFonts w:ascii="Arial" w:hAnsi="Arial" w:cs="Arial"/>
          <w:sz w:val="24"/>
        </w:rPr>
        <w:t>As Tesla differentiates itself in the automotive market, it builds loyalty among a customer base that values its commitment to innovation and commitment to sustainability.</w:t>
      </w:r>
      <w:r>
        <w:t xml:space="preserve"> </w:t>
      </w:r>
      <w:r>
        <w:rPr>
          <w:rFonts w:ascii="Arial" w:hAnsi="Arial" w:cs="Arial"/>
          <w:sz w:val="24"/>
        </w:rPr>
        <w:t>In addition, the price of $109,000 marks the electric sports car produced by Tesla as a luxury brand car.</w:t>
      </w:r>
      <w:r>
        <w:t xml:space="preserve"> </w:t>
      </w:r>
      <w:r>
        <w:rPr>
          <w:rFonts w:ascii="Arial" w:hAnsi="Arial" w:cs="Arial"/>
          <w:sz w:val="24"/>
        </w:rPr>
        <w:t>Although the price of this electric sports car is high, it has not dampened the enthusiasm of its customers for consumption.</w:t>
      </w:r>
      <w:r>
        <w:t xml:space="preserve"> </w:t>
      </w:r>
      <w:r>
        <w:rPr>
          <w:rFonts w:ascii="Arial" w:hAnsi="Arial" w:cs="Arial"/>
          <w:sz w:val="24"/>
        </w:rPr>
        <w:t>Customers' loyalty to Tesla and their willingness to pay a premium for its products show that Tesla has successfully implemented its differentiation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In order to successfully implement its differentiation strategy, one of the key actions Tesla took was to invest heavily in technology and product research and development.</w:t>
      </w:r>
      <w:r>
        <w:t xml:space="preserve"> </w:t>
      </w:r>
      <w:r>
        <w:rPr>
          <w:rFonts w:ascii="Arial" w:hAnsi="Arial" w:cs="Arial"/>
          <w:sz w:val="24"/>
        </w:rPr>
        <w:t>According to the case, Elon Musk invested more than $30 million in Tesla's first car (Roadster).</w:t>
      </w:r>
      <w:r>
        <w:t xml:space="preserve"> </w:t>
      </w:r>
      <w:r>
        <w:rPr>
          <w:rFonts w:ascii="Arial" w:hAnsi="Arial" w:cs="Arial"/>
          <w:sz w:val="24"/>
        </w:rPr>
        <w:t>After the public offering, Tesla used more than $226 million in funds raised to develop new vehicles such as the Model X.</w:t>
      </w:r>
      <w:r>
        <w:t xml:space="preserve"> </w:t>
      </w:r>
      <w:r>
        <w:rPr>
          <w:rFonts w:ascii="Arial" w:hAnsi="Arial" w:cs="Arial"/>
          <w:sz w:val="24"/>
        </w:rPr>
        <w:t>As the highest-performance SUV to date, Model X has the fastest acceleration capability and the most powerful power (Tesla, 2024a).</w:t>
      </w:r>
      <w:r>
        <w:t xml:space="preserve"> </w:t>
      </w:r>
      <w:r>
        <w:rPr>
          <w:rFonts w:ascii="Arial" w:hAnsi="Arial" w:cs="Arial"/>
          <w:sz w:val="24"/>
        </w:rPr>
        <w:t>Threewitt (2024) stated that in the top performance configuration, Model X easily wins in terms of acceleration.</w:t>
      </w:r>
      <w:r>
        <w:t xml:space="preserve"> </w:t>
      </w:r>
      <w:r>
        <w:rPr>
          <w:rFonts w:ascii="Arial" w:hAnsi="Arial" w:cs="Arial"/>
          <w:sz w:val="24"/>
        </w:rPr>
        <w:t>Model X accelerates from zero to 60 mph in just 2.5 seconds (Threewitt, 2024).</w:t>
      </w:r>
      <w:r>
        <w:t xml:space="preserve"> </w:t>
      </w:r>
      <w:r>
        <w:rPr>
          <w:rFonts w:ascii="Arial" w:hAnsi="Arial" w:cs="Arial"/>
          <w:sz w:val="24"/>
        </w:rPr>
        <w:t>Not only that, because Model X can use the world's most powerful fast charging network, customers can minimize charging time (Tesla, 2024a).</w:t>
      </w:r>
      <w:r>
        <w:t xml:space="preserve"> </w:t>
      </w:r>
      <w:r>
        <w:rPr>
          <w:rFonts w:ascii="Arial" w:hAnsi="Arial" w:cs="Arial"/>
          <w:sz w:val="24"/>
        </w:rPr>
        <w:t>It reduces some consumers' concerns about electric car charging issues undoubtedly.</w:t>
      </w:r>
      <w:r>
        <w:t xml:space="preserve"> </w:t>
      </w:r>
      <w:r>
        <w:rPr>
          <w:rFonts w:ascii="Arial" w:hAnsi="Arial" w:cs="Arial"/>
          <w:sz w:val="24"/>
        </w:rPr>
        <w:t>A series of evidence shows that Tesla’s heavy investment in technology and product research and development has enabled Tesla to continuously push the boundaries of innovation.</w:t>
      </w:r>
      <w:r>
        <w:t xml:space="preserve"> </w:t>
      </w:r>
      <w:r>
        <w:rPr>
          <w:rFonts w:ascii="Arial" w:hAnsi="Arial" w:cs="Arial"/>
          <w:sz w:val="24"/>
        </w:rPr>
        <w:t>It keeps Tesla ahead of its competitors, ensuring the company's position as a leader in electric vehicles.</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As mentioned in the above analysis, differentiation can also be achieved through brand image (Ali and Anwar, 2021).</w:t>
      </w:r>
      <w:r>
        <w:t xml:space="preserve"> </w:t>
      </w:r>
      <w:r>
        <w:rPr>
          <w:rFonts w:ascii="Arial" w:hAnsi="Arial" w:cs="Arial"/>
          <w:sz w:val="24"/>
        </w:rPr>
        <w:t>It is another strategic move Tesla has taken to achieve differentiation.</w:t>
      </w:r>
      <w:r>
        <w:t xml:space="preserve"> </w:t>
      </w:r>
      <w:r>
        <w:rPr>
          <w:rFonts w:ascii="Arial" w:hAnsi="Arial" w:cs="Arial"/>
          <w:sz w:val="24"/>
        </w:rPr>
        <w:t>Tesla is committed to combating climate change and environmental protection.</w:t>
      </w:r>
      <w:r>
        <w:t xml:space="preserve"> </w:t>
      </w:r>
      <w:r>
        <w:rPr>
          <w:rFonts w:ascii="Arial" w:hAnsi="Arial" w:cs="Arial"/>
          <w:sz w:val="24"/>
        </w:rPr>
        <w:t>It positions itself as a forward-thinking and technologically leading company in the field of electric vehicles.</w:t>
      </w:r>
      <w:r>
        <w:t xml:space="preserve"> </w:t>
      </w:r>
      <w:r>
        <w:rPr>
          <w:rFonts w:ascii="Arial" w:hAnsi="Arial" w:cs="Arial"/>
          <w:sz w:val="24"/>
        </w:rPr>
        <w:t>To limit waste generation and resource consumption, each Tesla Gigafactory is sustainably designed.</w:t>
      </w:r>
      <w:r>
        <w:t xml:space="preserve"> </w:t>
      </w:r>
      <w:r>
        <w:rPr>
          <w:rFonts w:ascii="Arial" w:hAnsi="Arial" w:cs="Arial"/>
          <w:sz w:val="24"/>
        </w:rPr>
        <w:t>For example, the company uses artificial intelligence to increase the efficiency of energy use and harnesses renewable energy to increase production capacity (Tesla, 2024b).</w:t>
      </w:r>
      <w:r>
        <w:t xml:space="preserve"> </w:t>
      </w:r>
      <w:r>
        <w:rPr>
          <w:rFonts w:ascii="Arial" w:hAnsi="Arial" w:cs="Arial"/>
          <w:sz w:val="24"/>
        </w:rPr>
        <w:t>According to statistics, the total amount of waste transferred out for disposal by Tesla decreased by 8103 tons between 2021 and 2022 (Carlier, 2023).</w:t>
      </w:r>
      <w:r>
        <w:t xml:space="preserve"> </w:t>
      </w:r>
      <w:r>
        <w:rPr>
          <w:rFonts w:ascii="Arial" w:hAnsi="Arial" w:cs="Arial"/>
          <w:sz w:val="24"/>
        </w:rPr>
        <w:t>These strategic actions have enabled Tesla to successfully establish a green and environmentally friendly brand image.</w:t>
      </w:r>
      <w:r>
        <w:t xml:space="preserve"> </w:t>
      </w:r>
      <w:r>
        <w:rPr>
          <w:rFonts w:ascii="Arial" w:hAnsi="Arial" w:cs="Arial"/>
          <w:sz w:val="24"/>
        </w:rPr>
        <w:t>It has resulted in Tesla being named the world's most valuable car brand in 2023 (Statista Research Department, 2023).</w:t>
      </w:r>
      <w:r>
        <w:t xml:space="preserve"> </w:t>
      </w:r>
      <w:r>
        <w:rPr>
          <w:rFonts w:ascii="Arial" w:hAnsi="Arial" w:cs="Arial"/>
          <w:sz w:val="24"/>
        </w:rPr>
        <w:t>The establishment of a strong brand image allows Tesla to further differentiate itself from traditional automakers and continue to be in a favourable position in the competition.</w:t>
      </w:r>
    </w:p>
    <w:p>
      <w:pPr>
        <w:spacing w:line="480" w:lineRule="auto"/>
        <w:rPr>
          <w:rFonts w:ascii="Arial" w:hAnsi="Arial" w:cs="Arial"/>
          <w:sz w:val="24"/>
        </w:rPr>
      </w:pPr>
    </w:p>
    <w:p>
      <w:pPr>
        <w:pStyle w:val="2"/>
        <w:spacing w:line="480" w:lineRule="auto"/>
        <w:rPr>
          <w:rFonts w:ascii="Arial" w:hAnsi="Arial" w:cs="Arial"/>
          <w:b/>
          <w:color w:val="auto"/>
          <w:sz w:val="24"/>
        </w:rPr>
      </w:pPr>
      <w:bookmarkStart w:id="5" w:name="_Toc160962299"/>
      <w:r>
        <w:rPr>
          <w:rFonts w:ascii="Arial" w:hAnsi="Arial" w:cs="Arial"/>
          <w:b/>
          <w:color w:val="auto"/>
          <w:sz w:val="24"/>
        </w:rPr>
        <w:t>3.0 Competitive Strategy Evaluation</w:t>
      </w:r>
      <w:bookmarkEnd w:id="5"/>
    </w:p>
    <w:p>
      <w:pPr>
        <w:pStyle w:val="3"/>
        <w:spacing w:line="480" w:lineRule="auto"/>
        <w:rPr>
          <w:rFonts w:ascii="Arial" w:hAnsi="Arial" w:cs="Arial"/>
          <w:color w:val="auto"/>
          <w:sz w:val="24"/>
        </w:rPr>
      </w:pPr>
      <w:bookmarkStart w:id="6" w:name="_Toc160962300"/>
      <w:r>
        <w:rPr>
          <w:rFonts w:ascii="Arial" w:hAnsi="Arial" w:cs="Arial"/>
          <w:color w:val="auto"/>
          <w:sz w:val="24"/>
        </w:rPr>
        <w:t>3.1 PESTLE Analysis</w:t>
      </w:r>
      <w:bookmarkEnd w:id="6"/>
    </w:p>
    <w:p>
      <w:pPr>
        <w:spacing w:line="480" w:lineRule="auto"/>
        <w:rPr>
          <w:rFonts w:ascii="Arial" w:hAnsi="Arial" w:cs="Arial"/>
          <w:sz w:val="24"/>
        </w:rPr>
      </w:pPr>
      <w:r>
        <w:rPr>
          <w:rFonts w:ascii="Arial" w:hAnsi="Arial" w:cs="Arial"/>
          <w:sz w:val="24"/>
        </w:rPr>
        <w:t>According to Kiragu et al. (2020), a company's competitive advantage is affected by a series of external factors.</w:t>
      </w:r>
      <w:r>
        <w:t xml:space="preserve"> </w:t>
      </w:r>
      <w:r>
        <w:rPr>
          <w:rFonts w:ascii="Arial" w:hAnsi="Arial" w:cs="Arial"/>
          <w:sz w:val="24"/>
        </w:rPr>
        <w:t>In order to critically evaluate the differentiation strategy adopted by Tesla in developing its competitive position, the tool used in this report is PESTLE Analysis.</w:t>
      </w:r>
      <w:r>
        <w:t xml:space="preserve"> </w:t>
      </w:r>
      <w:r>
        <w:rPr>
          <w:rFonts w:ascii="Arial" w:hAnsi="Arial" w:cs="Arial"/>
          <w:sz w:val="24"/>
        </w:rPr>
        <w:t>This tool allows the report to analyse the strengths and limitations of differentiation strategy in the context of the macro environment.</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Political Factors</w:t>
      </w:r>
      <w:r>
        <w:rPr>
          <w:rFonts w:ascii="Arial" w:hAnsi="Arial" w:cs="Arial"/>
          <w:sz w:val="24"/>
        </w:rPr>
        <w:t>: The differentiation strategy utilized by Tesla is directly affected by political factors.</w:t>
      </w:r>
      <w:r>
        <w:t xml:space="preserve"> </w:t>
      </w:r>
      <w:r>
        <w:rPr>
          <w:rFonts w:ascii="Arial" w:hAnsi="Arial" w:cs="Arial"/>
          <w:sz w:val="24"/>
        </w:rPr>
        <w:t>Policies related to electric vehicles, energy efficiency and sustainable development highlight the advantages of differentiation strategy.</w:t>
      </w:r>
      <w:r>
        <w:t xml:space="preserve"> </w:t>
      </w:r>
      <w:r>
        <w:rPr>
          <w:rFonts w:ascii="Arial" w:hAnsi="Arial" w:cs="Arial"/>
          <w:sz w:val="24"/>
        </w:rPr>
        <w:t>For example, to encourage electric vehicles as clean alternatives to gasoline vehicles, the U.S. government provides tax credits of up to $7,500 (NBER, 2019).</w:t>
      </w:r>
      <w:r>
        <w:t xml:space="preserve"> </w:t>
      </w:r>
      <w:r>
        <w:rPr>
          <w:rFonts w:ascii="Arial" w:hAnsi="Arial" w:cs="Arial"/>
          <w:sz w:val="24"/>
        </w:rPr>
        <w:t>It helps increase consumer demand for Tesla products in the country.</w:t>
      </w:r>
      <w:r>
        <w:t xml:space="preserve"> </w:t>
      </w:r>
      <w:r>
        <w:rPr>
          <w:rFonts w:ascii="Arial" w:hAnsi="Arial" w:cs="Arial"/>
          <w:sz w:val="24"/>
        </w:rPr>
        <w:t>However, political instability and the changing political landscape may bring limitations to the differentiation strategy.</w:t>
      </w:r>
      <w:r>
        <w:t xml:space="preserve"> </w:t>
      </w:r>
      <w:r>
        <w:rPr>
          <w:rFonts w:ascii="Arial" w:hAnsi="Arial" w:cs="Arial"/>
          <w:sz w:val="24"/>
        </w:rPr>
        <w:t>Taking the UK as an example, as Brexit has brought frictions in trade relations to the UK, resulting in high inflation, the pockets of consumers in this country have been severely hit (Ziady, 2023).</w:t>
      </w:r>
      <w:r>
        <w:t xml:space="preserve"> </w:t>
      </w:r>
      <w:r>
        <w:rPr>
          <w:rFonts w:ascii="Arial" w:hAnsi="Arial" w:cs="Arial"/>
          <w:sz w:val="24"/>
        </w:rPr>
        <w:t>In this case, British consumers may not be able to afford Tesla products, thereby reducing the effectiveness of the differentiation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Economic Factors</w:t>
      </w:r>
      <w:r>
        <w:rPr>
          <w:rFonts w:ascii="Arial" w:hAnsi="Arial" w:cs="Arial"/>
          <w:sz w:val="24"/>
        </w:rPr>
        <w:t>: Economic factors that affect the effectiveness of differentiation strategy include, but are not limited to, exchange rates, inflation rates, and domestic per capita expenditure.</w:t>
      </w:r>
      <w:r>
        <w:t xml:space="preserve"> </w:t>
      </w:r>
      <w:r>
        <w:rPr>
          <w:rFonts w:ascii="Arial" w:hAnsi="Arial" w:cs="Arial"/>
          <w:sz w:val="24"/>
        </w:rPr>
        <w:t>The successful implementation of Differentiation strategy can make consumers loyal to Tesla and even willing to pay a premium for its products or services.</w:t>
      </w:r>
      <w:r>
        <w:t xml:space="preserve"> </w:t>
      </w:r>
      <w:r>
        <w:rPr>
          <w:rFonts w:ascii="Arial" w:hAnsi="Arial" w:cs="Arial"/>
          <w:sz w:val="24"/>
        </w:rPr>
        <w:t>Nonetheless, economic downturns, such as the 2008 financial crisis, can negatively impact consumer purchasing power.</w:t>
      </w:r>
      <w:r>
        <w:t xml:space="preserve"> </w:t>
      </w:r>
      <w:r>
        <w:rPr>
          <w:rFonts w:ascii="Arial" w:hAnsi="Arial" w:cs="Arial"/>
          <w:sz w:val="24"/>
        </w:rPr>
        <w:t>Research by Voinea and Filip (2011) shows that the economic recession caused by the 2008 financial crisis prompted consumers to become more frugal.</w:t>
      </w:r>
      <w:r>
        <w:t xml:space="preserve"> </w:t>
      </w:r>
      <w:r>
        <w:rPr>
          <w:rFonts w:ascii="Arial" w:hAnsi="Arial" w:cs="Arial"/>
          <w:sz w:val="24"/>
        </w:rPr>
        <w:t>It can be speculated that when a similar economic crisis occurs again, consumer demand for luxury cars produced by Tesla will decrease accordingly.</w:t>
      </w:r>
      <w:r>
        <w:t xml:space="preserve"> </w:t>
      </w:r>
      <w:r>
        <w:rPr>
          <w:rFonts w:ascii="Arial" w:hAnsi="Arial" w:cs="Arial"/>
          <w:sz w:val="24"/>
        </w:rPr>
        <w:t>It is not conducive to maintaining the company's leading competitive position.</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Social Factors</w:t>
      </w:r>
      <w:r>
        <w:rPr>
          <w:rFonts w:ascii="Arial" w:hAnsi="Arial" w:cs="Arial"/>
          <w:sz w:val="24"/>
        </w:rPr>
        <w:t>: The differentiation strategy utilized by Tesla is also closely related to social factors such as demographic trends and consumer preferences.</w:t>
      </w:r>
      <w:r>
        <w:t xml:space="preserve"> </w:t>
      </w:r>
      <w:r>
        <w:rPr>
          <w:rFonts w:ascii="Arial" w:hAnsi="Arial" w:cs="Arial"/>
          <w:sz w:val="24"/>
        </w:rPr>
        <w:t>As environmental awareness increases, people around the world are purchasing sustainable products significantly more frequently (Tighe, 2024).</w:t>
      </w:r>
      <w:r>
        <w:t xml:space="preserve"> </w:t>
      </w:r>
      <w:r>
        <w:rPr>
          <w:rFonts w:ascii="Arial" w:hAnsi="Arial" w:cs="Arial"/>
          <w:sz w:val="24"/>
        </w:rPr>
        <w:t>It is driving increased consumer demand for sustainable electric vehicles.</w:t>
      </w:r>
      <w:r>
        <w:t xml:space="preserve"> </w:t>
      </w:r>
      <w:r>
        <w:rPr>
          <w:rFonts w:ascii="Arial" w:hAnsi="Arial" w:cs="Arial"/>
          <w:sz w:val="24"/>
        </w:rPr>
        <w:t>In addition, some consumers indicate that they are willing to pay a 24% premium for sustainable products (Tighe, 2024).</w:t>
      </w:r>
      <w:r>
        <w:t xml:space="preserve"> </w:t>
      </w:r>
      <w:r>
        <w:rPr>
          <w:rFonts w:ascii="Arial" w:hAnsi="Arial" w:cs="Arial"/>
          <w:sz w:val="24"/>
        </w:rPr>
        <w:t>It can be seen that Tesla's differentiation strategy may be positively affected by social factors.</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Technological Factors</w:t>
      </w:r>
      <w:r>
        <w:rPr>
          <w:rFonts w:ascii="Arial" w:hAnsi="Arial" w:cs="Arial"/>
          <w:sz w:val="24"/>
        </w:rPr>
        <w:t>: Heavy investment in technology allows Tesla to continuously push the boundaries of innovation.</w:t>
      </w:r>
      <w:r>
        <w:t xml:space="preserve"> </w:t>
      </w:r>
      <w:r>
        <w:rPr>
          <w:rFonts w:ascii="Arial" w:hAnsi="Arial" w:cs="Arial"/>
          <w:sz w:val="24"/>
        </w:rPr>
        <w:t>It means that Tesla’s differentiation strategy relies heavily on technological innovation.</w:t>
      </w:r>
      <w:r>
        <w:t xml:space="preserve"> </w:t>
      </w:r>
      <w:r>
        <w:rPr>
          <w:rFonts w:ascii="Arial" w:hAnsi="Arial" w:cs="Arial"/>
          <w:sz w:val="24"/>
        </w:rPr>
        <w:t>In other words, technological progress is the key to Tesla's successful utilized differentiation strategy.</w:t>
      </w:r>
      <w:r>
        <w:t xml:space="preserve"> </w:t>
      </w:r>
      <w:r>
        <w:rPr>
          <w:rFonts w:ascii="Arial" w:hAnsi="Arial" w:cs="Arial"/>
          <w:sz w:val="24"/>
        </w:rPr>
        <w:t>Nonetheless, Tesla's competitors may also take advantage of rapid technological changes to attract the attention of target customers, which poses a threat to Tesla's differentiation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Legal Factors</w:t>
      </w:r>
      <w:r>
        <w:rPr>
          <w:rFonts w:ascii="Arial" w:hAnsi="Arial" w:cs="Arial"/>
          <w:sz w:val="24"/>
        </w:rPr>
        <w:t>: Legal factors affecting the successful implementation of differentiation strategy involve intellectual property rights, consumer protection and safety standards.</w:t>
      </w:r>
      <w:r>
        <w:t xml:space="preserve"> </w:t>
      </w:r>
      <w:r>
        <w:rPr>
          <w:rFonts w:ascii="Arial" w:hAnsi="Arial" w:cs="Arial"/>
          <w:sz w:val="24"/>
        </w:rPr>
        <w:t>If Tesla fails to ensure that its products and production processes comply with regulations, the company could face serious financial and reputational losses.</w:t>
      </w:r>
      <w:r>
        <w:t xml:space="preserve"> </w:t>
      </w:r>
      <w:r>
        <w:rPr>
          <w:rFonts w:ascii="Arial" w:hAnsi="Arial" w:cs="Arial"/>
          <w:sz w:val="24"/>
        </w:rPr>
        <w:t>It will lead to a reduction in the effectiveness of the differentiation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Environmental Factors</w:t>
      </w:r>
      <w:r>
        <w:rPr>
          <w:rFonts w:ascii="Arial" w:hAnsi="Arial" w:cs="Arial"/>
          <w:sz w:val="24"/>
        </w:rPr>
        <w:t>: Environmental factors highlight the advantages of differentiation strategy.</w:t>
      </w:r>
      <w:r>
        <w:t xml:space="preserve"> </w:t>
      </w:r>
      <w:r>
        <w:rPr>
          <w:rFonts w:ascii="Arial" w:hAnsi="Arial" w:cs="Arial"/>
          <w:sz w:val="24"/>
        </w:rPr>
        <w:t>Given that Tesla's differentiation strategy is based on its commitment to sustainable development and environmental protection, the increasing environmental awareness of consumers worldwide will positively affect the use of the company's strategy.</w:t>
      </w:r>
    </w:p>
    <w:p>
      <w:pPr>
        <w:spacing w:line="480" w:lineRule="auto"/>
        <w:rPr>
          <w:rFonts w:ascii="Arial" w:hAnsi="Arial" w:cs="Arial"/>
          <w:sz w:val="24"/>
        </w:rPr>
      </w:pPr>
    </w:p>
    <w:p>
      <w:pPr>
        <w:pStyle w:val="3"/>
        <w:spacing w:line="480" w:lineRule="auto"/>
        <w:rPr>
          <w:rFonts w:ascii="Arial" w:hAnsi="Arial" w:cs="Arial"/>
          <w:color w:val="auto"/>
          <w:sz w:val="24"/>
        </w:rPr>
      </w:pPr>
      <w:bookmarkStart w:id="7" w:name="_Toc160962301"/>
      <w:r>
        <w:rPr>
          <w:rFonts w:ascii="Arial" w:hAnsi="Arial" w:cs="Arial"/>
          <w:color w:val="auto"/>
          <w:sz w:val="24"/>
        </w:rPr>
        <w:t>3.2 Porter’s Five Forces</w:t>
      </w:r>
      <w:bookmarkEnd w:id="7"/>
    </w:p>
    <w:p>
      <w:pPr>
        <w:spacing w:line="480" w:lineRule="auto"/>
        <w:rPr>
          <w:rFonts w:ascii="Arial" w:hAnsi="Arial" w:cs="Arial"/>
          <w:sz w:val="24"/>
        </w:rPr>
      </w:pPr>
      <w:r>
        <w:rPr>
          <w:rFonts w:ascii="Arial" w:hAnsi="Arial" w:cs="Arial"/>
          <w:sz w:val="24"/>
        </w:rPr>
        <w:t>In addition to external factors, a company's competitive advantage can also be affected by internal factors (Kiragu et al, 2020).</w:t>
      </w:r>
      <w:r>
        <w:t xml:space="preserve"> </w:t>
      </w:r>
      <w:r>
        <w:rPr>
          <w:rFonts w:ascii="Arial" w:hAnsi="Arial" w:cs="Arial"/>
          <w:sz w:val="24"/>
        </w:rPr>
        <w:t>Therefore, this report will use Porter’s Five Forces as a tool to critically evaluate the differentiation strategy adopted by Tesla.</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Bargaining Power of Buyers</w:t>
      </w:r>
      <w:r>
        <w:rPr>
          <w:rFonts w:ascii="Arial" w:hAnsi="Arial" w:cs="Arial"/>
          <w:sz w:val="24"/>
        </w:rPr>
        <w:t>:</w:t>
      </w:r>
      <w:r>
        <w:t xml:space="preserve"> </w:t>
      </w:r>
      <w:r>
        <w:rPr>
          <w:rFonts w:ascii="Arial" w:hAnsi="Arial" w:cs="Arial"/>
          <w:sz w:val="24"/>
        </w:rPr>
        <w:t>Since Tesla's successful differentiation strategy has helped it build a loyal and strong customer base, the bargaining power of buyers has been reduced.</w:t>
      </w:r>
      <w:r>
        <w:t xml:space="preserve"> </w:t>
      </w:r>
      <w:r>
        <w:rPr>
          <w:rFonts w:ascii="Arial" w:hAnsi="Arial" w:cs="Arial"/>
          <w:sz w:val="24"/>
        </w:rPr>
        <w:t>However, an increasing number of established automakers are reforming their business models to enter the electric vehicle market (Riley, 2024).</w:t>
      </w:r>
      <w:r>
        <w:t xml:space="preserve"> </w:t>
      </w:r>
      <w:r>
        <w:rPr>
          <w:rFonts w:ascii="Arial" w:hAnsi="Arial" w:cs="Arial"/>
          <w:sz w:val="24"/>
        </w:rPr>
        <w:t>As buyers' choices increase, their sensitivity to related product prices will increase.</w:t>
      </w:r>
      <w:r>
        <w:t xml:space="preserve"> </w:t>
      </w:r>
      <w:r>
        <w:rPr>
          <w:rFonts w:ascii="Arial" w:hAnsi="Arial" w:cs="Arial"/>
          <w:sz w:val="24"/>
        </w:rPr>
        <w:t>It may pose a challenge to Tesla's differentiation strategy.</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Bargaining Power of Suppliers</w:t>
      </w:r>
      <w:r>
        <w:rPr>
          <w:rFonts w:ascii="Arial" w:hAnsi="Arial" w:cs="Arial"/>
          <w:sz w:val="24"/>
        </w:rPr>
        <w:t>:</w:t>
      </w:r>
      <w:r>
        <w:t xml:space="preserve"> </w:t>
      </w:r>
      <w:r>
        <w:rPr>
          <w:rFonts w:ascii="Arial" w:hAnsi="Arial" w:cs="Arial"/>
          <w:sz w:val="24"/>
        </w:rPr>
        <w:t>In order to reduce dependence on external suppliers, Tesla continues to work on vertically integrating the supply chain (Chen and Perez, 2018s).</w:t>
      </w:r>
      <w:r>
        <w:t xml:space="preserve"> </w:t>
      </w:r>
      <w:r>
        <w:rPr>
          <w:rFonts w:ascii="Arial" w:hAnsi="Arial" w:cs="Arial"/>
          <w:sz w:val="24"/>
        </w:rPr>
        <w:t>It not only reduces the bargaining power of suppliers, but also reduces Tesla’s supply chain risks to a great extent.</w:t>
      </w:r>
      <w:r>
        <w:t xml:space="preserve"> </w:t>
      </w:r>
      <w:r>
        <w:rPr>
          <w:rFonts w:ascii="Arial" w:hAnsi="Arial" w:cs="Arial"/>
          <w:sz w:val="24"/>
        </w:rPr>
        <w:t>In other words, the company is able to obtain key resources at the expected cost and time.</w:t>
      </w:r>
      <w:r>
        <w:t xml:space="preserve"> </w:t>
      </w:r>
      <w:r>
        <w:rPr>
          <w:rFonts w:ascii="Arial" w:hAnsi="Arial" w:cs="Arial"/>
          <w:sz w:val="24"/>
        </w:rPr>
        <w:t>In this case, the use of differentiation strategy can better make Tesla stand out from the competition.</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Threat of New Entry</w:t>
      </w:r>
      <w:r>
        <w:rPr>
          <w:rFonts w:ascii="Arial" w:hAnsi="Arial" w:cs="Arial"/>
          <w:sz w:val="24"/>
        </w:rPr>
        <w:t>: The above analysis mentioned that more and more established automobile manufacturers are reforming their business models to enter the electric vehicle market (Riley, 2024).</w:t>
      </w:r>
      <w:r>
        <w:t xml:space="preserve"> </w:t>
      </w:r>
      <w:r>
        <w:rPr>
          <w:rFonts w:ascii="Arial" w:hAnsi="Arial" w:cs="Arial"/>
          <w:sz w:val="24"/>
        </w:rPr>
        <w:t>These established automakers have financial strength, strong brand awareness, loyal customer base and extensive distribution channels.</w:t>
      </w:r>
      <w:r>
        <w:t xml:space="preserve"> </w:t>
      </w:r>
      <w:r>
        <w:rPr>
          <w:rFonts w:ascii="Arial" w:hAnsi="Arial" w:cs="Arial"/>
          <w:sz w:val="24"/>
        </w:rPr>
        <w:t>It allows them to easily enter the electric vehicle field, thus posing a threat from new entrants to Tesla. Increasing market competition may weaken Tesla's differentiated advantage to a certain extent.</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Threat of Substitution</w:t>
      </w:r>
      <w:r>
        <w:rPr>
          <w:rFonts w:ascii="Arial" w:hAnsi="Arial" w:cs="Arial"/>
          <w:sz w:val="24"/>
        </w:rPr>
        <w:t>:</w:t>
      </w:r>
      <w:r>
        <w:t xml:space="preserve"> </w:t>
      </w:r>
      <w:r>
        <w:rPr>
          <w:rFonts w:ascii="Arial" w:hAnsi="Arial" w:cs="Arial"/>
          <w:sz w:val="24"/>
        </w:rPr>
        <w:t>The introduction of policies related to electric vehicles, energy efficiency and sustainability has created more opportunities for Tesla to differentiate through electric vehicle products.</w:t>
      </w:r>
      <w:r>
        <w:t xml:space="preserve"> </w:t>
      </w:r>
      <w:r>
        <w:rPr>
          <w:rFonts w:ascii="Arial" w:hAnsi="Arial" w:cs="Arial"/>
          <w:sz w:val="24"/>
        </w:rPr>
        <w:t>As the threat of substitutes decreases, the effectiveness of the differentiation strategy increases.</w:t>
      </w:r>
      <w:r>
        <w:t xml:space="preserve"> </w:t>
      </w:r>
      <w:r>
        <w:rPr>
          <w:rFonts w:ascii="Arial" w:hAnsi="Arial" w:cs="Arial"/>
          <w:sz w:val="24"/>
        </w:rPr>
        <w:t>However, advances in new technologies like hydrogen fuel cells and self-driving cars have given Tesla's rivals an opportunity to catch up.</w:t>
      </w:r>
      <w:r>
        <w:t xml:space="preserve"> </w:t>
      </w:r>
      <w:r>
        <w:rPr>
          <w:rFonts w:ascii="Arial" w:hAnsi="Arial" w:cs="Arial"/>
          <w:sz w:val="24"/>
        </w:rPr>
        <w:t>It may pose a threat to Tesla's differentiation advantage.</w:t>
      </w:r>
    </w:p>
    <w:p>
      <w:pPr>
        <w:spacing w:line="480" w:lineRule="auto"/>
        <w:rPr>
          <w:rFonts w:ascii="Arial" w:hAnsi="Arial" w:cs="Arial"/>
          <w:sz w:val="24"/>
        </w:rPr>
      </w:pPr>
    </w:p>
    <w:p>
      <w:pPr>
        <w:spacing w:line="480" w:lineRule="auto"/>
        <w:rPr>
          <w:rFonts w:ascii="Arial" w:hAnsi="Arial" w:cs="Arial"/>
          <w:sz w:val="24"/>
        </w:rPr>
      </w:pPr>
      <w:r>
        <w:rPr>
          <w:rFonts w:ascii="Arial" w:hAnsi="Arial" w:cs="Arial"/>
          <w:i/>
          <w:sz w:val="24"/>
        </w:rPr>
        <w:t>Competitive Rivalry</w:t>
      </w:r>
      <w:r>
        <w:rPr>
          <w:rFonts w:ascii="Arial" w:hAnsi="Arial" w:cs="Arial"/>
          <w:sz w:val="24"/>
        </w:rPr>
        <w:t>:</w:t>
      </w:r>
      <w:r>
        <w:t xml:space="preserve"> </w:t>
      </w:r>
      <w:r>
        <w:rPr>
          <w:rFonts w:ascii="Arial" w:hAnsi="Arial" w:cs="Arial"/>
          <w:sz w:val="24"/>
        </w:rPr>
        <w:t>According to Statista (2024), the compound annual growth rate of global electric vehicles is as high as 9.82% between 2024 and 2028.</w:t>
      </w:r>
      <w:r>
        <w:t xml:space="preserve"> </w:t>
      </w:r>
      <w:r>
        <w:rPr>
          <w:rFonts w:ascii="Arial" w:hAnsi="Arial" w:cs="Arial"/>
          <w:sz w:val="24"/>
        </w:rPr>
        <w:t>It shows that Tesla is facing fierce market competition.</w:t>
      </w:r>
      <w:r>
        <w:t xml:space="preserve"> </w:t>
      </w:r>
      <w:r>
        <w:rPr>
          <w:rFonts w:ascii="Arial" w:hAnsi="Arial" w:cs="Arial"/>
          <w:sz w:val="24"/>
        </w:rPr>
        <w:t>Nonetheless, differentiation strategy helps Tesla create a unique brand image that differentiates it from its competitors.</w:t>
      </w:r>
      <w:r>
        <w:t xml:space="preserve"> </w:t>
      </w:r>
      <w:r>
        <w:rPr>
          <w:rFonts w:ascii="Arial" w:hAnsi="Arial" w:cs="Arial"/>
          <w:sz w:val="24"/>
        </w:rPr>
        <w:t>It helps the company maintain its leading position in a fierce market.</w:t>
      </w:r>
    </w:p>
    <w:p/>
    <w:p>
      <w:pPr>
        <w:pStyle w:val="2"/>
        <w:spacing w:line="480" w:lineRule="auto"/>
        <w:rPr>
          <w:rFonts w:ascii="Arial" w:hAnsi="Arial" w:cs="Arial"/>
          <w:b/>
          <w:color w:val="auto"/>
          <w:sz w:val="24"/>
        </w:rPr>
      </w:pPr>
      <w:bookmarkStart w:id="8" w:name="_Toc160962302"/>
      <w:r>
        <w:rPr>
          <w:rFonts w:ascii="Arial" w:hAnsi="Arial" w:cs="Arial"/>
          <w:b/>
          <w:color w:val="auto"/>
          <w:sz w:val="24"/>
        </w:rPr>
        <w:t>4.0 Conclusion &amp; Recommendations</w:t>
      </w:r>
      <w:bookmarkEnd w:id="8"/>
    </w:p>
    <w:p>
      <w:pPr>
        <w:spacing w:line="480" w:lineRule="auto"/>
        <w:rPr>
          <w:rFonts w:ascii="Arial" w:hAnsi="Arial" w:cs="Arial"/>
          <w:lang w:eastAsia="zh-CN"/>
        </w:rPr>
      </w:pPr>
      <w:r>
        <w:rPr>
          <w:rFonts w:ascii="Arial" w:hAnsi="Arial" w:cs="Arial"/>
          <w:sz w:val="24"/>
        </w:rPr>
        <w:t>In conclusion, the competitive strategy that Tesla has utilized is differentiation strategy.</w:t>
      </w:r>
      <w:r>
        <w:t xml:space="preserve"> </w:t>
      </w:r>
      <w:r>
        <w:rPr>
          <w:rFonts w:ascii="Arial" w:hAnsi="Arial" w:cs="Arial"/>
          <w:sz w:val="24"/>
        </w:rPr>
        <w:t>Although the differentiation strategy gives Tesla competitive advantages in both macro and micro environments, it also has some limitations.</w:t>
      </w:r>
      <w:r>
        <w:t xml:space="preserve"> </w:t>
      </w:r>
      <w:r>
        <w:rPr>
          <w:rFonts w:ascii="Arial" w:hAnsi="Arial" w:cs="Arial"/>
          <w:sz w:val="24"/>
        </w:rPr>
        <w:t>In order to help Tesla better utilize differentiation strategy, this report provides the company with two feasible recommendations.</w:t>
      </w:r>
      <w:r>
        <w:t xml:space="preserve"> </w:t>
      </w:r>
      <w:r>
        <w:rPr>
          <w:rFonts w:ascii="Arial" w:hAnsi="Arial" w:cs="Arial"/>
          <w:sz w:val="24"/>
        </w:rPr>
        <w:t>The first recommendation is that Tesla should make customer experience one of its key differentiators.</w:t>
      </w:r>
      <w:r>
        <w:t xml:space="preserve"> </w:t>
      </w:r>
      <w:r>
        <w:rPr>
          <w:rFonts w:ascii="Arial" w:hAnsi="Arial" w:cs="Arial"/>
          <w:sz w:val="24"/>
        </w:rPr>
        <w:t>The company can create a seamless customer journey by investing in supporting infrastructure and providing personalized service.</w:t>
      </w:r>
      <w:r>
        <w:t xml:space="preserve"> </w:t>
      </w:r>
      <w:r>
        <w:rPr>
          <w:rFonts w:ascii="Arial" w:hAnsi="Arial" w:cs="Arial"/>
          <w:sz w:val="24"/>
        </w:rPr>
        <w:t>Not only does this increase customer loyalty, it can further enhance the company's reputation.</w:t>
      </w:r>
      <w:r>
        <w:t xml:space="preserve"> </w:t>
      </w:r>
      <w:r>
        <w:rPr>
          <w:rFonts w:ascii="Arial" w:hAnsi="Arial" w:cs="Arial"/>
          <w:sz w:val="24"/>
        </w:rPr>
        <w:t xml:space="preserve">Another suggestion is to differentiate from competitors with limited product lineups by expanding </w:t>
      </w:r>
      <w:r>
        <w:rPr>
          <w:rFonts w:ascii="Arial" w:hAnsi="Arial" w:cs="Arial"/>
          <w:sz w:val="24"/>
          <w:lang w:eastAsia="zh-CN"/>
        </w:rPr>
        <w:t xml:space="preserve">Tesla </w:t>
      </w:r>
      <w:r>
        <w:rPr>
          <w:rFonts w:ascii="Arial" w:hAnsi="Arial" w:cs="Arial"/>
          <w:sz w:val="24"/>
        </w:rPr>
        <w:t>product lines.</w:t>
      </w:r>
      <w:r>
        <w:t xml:space="preserve"> </w:t>
      </w:r>
      <w:r>
        <w:rPr>
          <w:rFonts w:ascii="Arial" w:hAnsi="Arial" w:cs="Arial"/>
          <w:sz w:val="24"/>
        </w:rPr>
        <w:t>In this case, Tesla will be able to target a wider customer base, thereby improving overall performance.</w:t>
      </w:r>
      <w:r>
        <w:rPr>
          <w:rFonts w:ascii="Arial" w:hAnsi="Arial" w:cs="Arial"/>
          <w:lang w:eastAsia="zh-CN"/>
        </w:rPr>
        <w:br w:type="page"/>
      </w:r>
    </w:p>
    <w:p>
      <w:pPr>
        <w:pStyle w:val="2"/>
        <w:spacing w:line="480" w:lineRule="auto"/>
        <w:rPr>
          <w:rFonts w:ascii="Arial" w:hAnsi="Arial" w:cs="Arial"/>
          <w:b/>
          <w:color w:val="auto"/>
          <w:sz w:val="24"/>
        </w:rPr>
      </w:pPr>
      <w:bookmarkStart w:id="9" w:name="_Toc160962303"/>
      <w:r>
        <w:rPr>
          <w:rFonts w:ascii="Arial" w:hAnsi="Arial" w:cs="Arial"/>
          <w:b/>
          <w:color w:val="auto"/>
          <w:sz w:val="24"/>
        </w:rPr>
        <w:t>References</w:t>
      </w:r>
      <w:bookmarkEnd w:id="9"/>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Ali, B. J. and Anwar, G. (2021) ‘Porter’s Generic Competitive Strategies and its influence on the Competitive Advantage’, </w:t>
      </w:r>
      <w:r>
        <w:rPr>
          <w:rFonts w:ascii="Arial" w:hAnsi="Arial" w:cs="Arial"/>
          <w:i/>
          <w:iCs/>
          <w:color w:val="222222"/>
          <w:sz w:val="24"/>
          <w:szCs w:val="24"/>
          <w:shd w:val="clear" w:color="auto" w:fill="FFFFFF"/>
        </w:rPr>
        <w:t>Ali, BJ, &amp; Anwar, G.(2021). Porter’s Generic Competitive Strategies and its influence on the Competitive Advantage. International Journal of Advanced Engineering, Management and Science</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7</w:t>
      </w:r>
      <w:r>
        <w:rPr>
          <w:rFonts w:ascii="Arial" w:hAnsi="Arial" w:cs="Arial"/>
          <w:color w:val="222222"/>
          <w:sz w:val="24"/>
          <w:szCs w:val="24"/>
          <w:shd w:val="clear" w:color="auto" w:fill="FFFFFF"/>
        </w:rPr>
        <w:t>(6), pp. 42-51. Doi: https://doi.org/10.22161/ijaems.76.5</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Carlier, M. (2023) </w:t>
      </w:r>
      <w:r>
        <w:rPr>
          <w:rFonts w:ascii="Arial" w:hAnsi="Arial" w:cs="Arial"/>
          <w:i/>
          <w:color w:val="222222"/>
          <w:sz w:val="24"/>
          <w:szCs w:val="24"/>
          <w:shd w:val="clear" w:color="auto" w:fill="FFFFFF"/>
        </w:rPr>
        <w:t>Waste diverted from disposal by Tesla in global manufacturing by category 2021-2022</w:t>
      </w:r>
      <w:r>
        <w:rPr>
          <w:rFonts w:ascii="Arial" w:hAnsi="Arial" w:cs="Arial"/>
          <w:color w:val="222222"/>
          <w:sz w:val="24"/>
          <w:szCs w:val="24"/>
          <w:shd w:val="clear" w:color="auto" w:fill="FFFFFF"/>
        </w:rPr>
        <w:t>. Available at: https://www.statista.com/statistics/1402917/waste-diverted-from-disposal-tesla-in-global-manufacturing/ (Accessed: 10th March 2024).</w:t>
      </w:r>
    </w:p>
    <w:p>
      <w:pPr>
        <w:pStyle w:val="15"/>
        <w:numPr>
          <w:ilvl w:val="0"/>
          <w:numId w:val="1"/>
        </w:numPr>
        <w:spacing w:line="360" w:lineRule="auto"/>
        <w:rPr>
          <w:rFonts w:ascii="Arial" w:hAnsi="Arial" w:cs="Arial"/>
          <w:sz w:val="24"/>
          <w:szCs w:val="24"/>
        </w:rPr>
      </w:pPr>
      <w:r>
        <w:rPr>
          <w:rFonts w:ascii="Arial" w:hAnsi="Arial" w:cs="Arial"/>
          <w:sz w:val="24"/>
          <w:szCs w:val="24"/>
        </w:rPr>
        <w:t xml:space="preserve">Cannon, J. T. (1968) </w:t>
      </w:r>
      <w:r>
        <w:rPr>
          <w:rFonts w:ascii="Arial" w:hAnsi="Arial" w:cs="Arial"/>
          <w:i/>
          <w:sz w:val="24"/>
          <w:szCs w:val="24"/>
        </w:rPr>
        <w:t>Business strategy and policy</w:t>
      </w:r>
      <w:r>
        <w:rPr>
          <w:rFonts w:ascii="Arial" w:hAnsi="Arial" w:cs="Arial"/>
          <w:sz w:val="24"/>
          <w:szCs w:val="24"/>
        </w:rPr>
        <w:t>. Harcourt, Brace &amp; World, New York.</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Chen, Y. and Perez, Y. (2018) ‘Business model design: lessons learned from Tesla Motors’, </w:t>
      </w:r>
      <w:r>
        <w:rPr>
          <w:rFonts w:ascii="Arial" w:hAnsi="Arial" w:cs="Arial"/>
          <w:i/>
          <w:iCs/>
          <w:color w:val="222222"/>
          <w:sz w:val="24"/>
          <w:szCs w:val="24"/>
          <w:shd w:val="clear" w:color="auto" w:fill="FFFFFF"/>
        </w:rPr>
        <w:t>Towards a sustainable economy: Paradoxes and trends in energy and transportation</w:t>
      </w:r>
      <w:r>
        <w:rPr>
          <w:rFonts w:ascii="Arial" w:hAnsi="Arial" w:cs="Arial"/>
          <w:color w:val="222222"/>
          <w:sz w:val="24"/>
          <w:szCs w:val="24"/>
          <w:shd w:val="clear" w:color="auto" w:fill="FFFFFF"/>
        </w:rPr>
        <w:t>, pp. 53-69. Doi: https://doi.org/10.1007/978-3-319-79060-2_4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Firoz Suleman, M., Rashidirad, M. and Firoz Suleman, S. (2019) ‘The applicability of Porter's generic strategies in pure online firms: A case study approach’, </w:t>
      </w:r>
      <w:r>
        <w:rPr>
          <w:rFonts w:ascii="Arial" w:hAnsi="Arial" w:cs="Arial"/>
          <w:i/>
          <w:iCs/>
          <w:color w:val="222222"/>
          <w:sz w:val="24"/>
          <w:szCs w:val="24"/>
          <w:shd w:val="clear" w:color="auto" w:fill="FFFFFF"/>
        </w:rPr>
        <w:t>Strategic Change</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28</w:t>
      </w:r>
      <w:r>
        <w:rPr>
          <w:rFonts w:ascii="Arial" w:hAnsi="Arial" w:cs="Arial"/>
          <w:color w:val="222222"/>
          <w:sz w:val="24"/>
          <w:szCs w:val="24"/>
          <w:shd w:val="clear" w:color="auto" w:fill="FFFFFF"/>
        </w:rPr>
        <w:t>(3), pp. 167-176.</w:t>
      </w:r>
      <w:r>
        <w:rPr>
          <w:rFonts w:ascii="Arial" w:hAnsi="Arial" w:cs="Arial"/>
          <w:sz w:val="24"/>
          <w:szCs w:val="24"/>
        </w:rPr>
        <w:t xml:space="preserve"> Doi: </w:t>
      </w:r>
      <w:r>
        <w:rPr>
          <w:rFonts w:ascii="Arial" w:hAnsi="Arial" w:cs="Arial"/>
          <w:color w:val="222222"/>
          <w:sz w:val="24"/>
          <w:szCs w:val="24"/>
          <w:shd w:val="clear" w:color="auto" w:fill="FFFFFF"/>
        </w:rPr>
        <w:t>https://doi.org/10.1002/jsc.2258</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Islami, X., Mustafa, N. and Topuzovska Latkovikj, M. (2020) ‘Linking Porter’s generic strategies to firm performance’, </w:t>
      </w:r>
      <w:r>
        <w:rPr>
          <w:rFonts w:ascii="Arial" w:hAnsi="Arial" w:cs="Arial"/>
          <w:i/>
          <w:iCs/>
          <w:color w:val="222222"/>
          <w:sz w:val="24"/>
          <w:szCs w:val="24"/>
          <w:shd w:val="clear" w:color="auto" w:fill="FFFFFF"/>
        </w:rPr>
        <w:t>Future Business Journal</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6</w:t>
      </w:r>
      <w:r>
        <w:rPr>
          <w:rFonts w:ascii="Arial" w:hAnsi="Arial" w:cs="Arial"/>
          <w:color w:val="222222"/>
          <w:sz w:val="24"/>
          <w:szCs w:val="24"/>
          <w:shd w:val="clear" w:color="auto" w:fill="FFFFFF"/>
        </w:rPr>
        <w:t>, pp. 1-15. Doi: https://doi.org/10.1186/s43093-020-0009-1</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Kasongo, P. and Misango, S. (2019) ‘Effects of Generic Competitive Strategies on organizational performance in the Manufacturing Industry: a case of Bamburi Cement Limited, head office, nairobi’, </w:t>
      </w:r>
      <w:r>
        <w:rPr>
          <w:rFonts w:ascii="Arial" w:hAnsi="Arial" w:cs="Arial"/>
          <w:i/>
          <w:iCs/>
          <w:color w:val="222222"/>
          <w:sz w:val="24"/>
          <w:szCs w:val="24"/>
          <w:shd w:val="clear" w:color="auto" w:fill="FFFFFF"/>
        </w:rPr>
        <w:t>International Journal of Economics, Business and Management Research</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3</w:t>
      </w:r>
      <w:r>
        <w:rPr>
          <w:rFonts w:ascii="Arial" w:hAnsi="Arial" w:cs="Arial"/>
          <w:color w:val="222222"/>
          <w:sz w:val="24"/>
          <w:szCs w:val="24"/>
          <w:shd w:val="clear" w:color="auto" w:fill="FFFFFF"/>
        </w:rPr>
        <w:t xml:space="preserve">(2). </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Kiragu, D. N. U., Ndirangu, A. and Irungu, J. S. (2020) ‘Role of Porter’s generic strategies on determining competitive advantage of postal corporation of Kenya courier services’, International Journal of Academic Research in Accounting, Finance and Management Science, 10(3), pp. 278-291. Doi: http://dx.doi.org/10.6007/IJARAFMS/v10-i3/7853 </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National Bureau of Economic Research (NBER) (2019) </w:t>
      </w:r>
      <w:r>
        <w:rPr>
          <w:rFonts w:ascii="Arial" w:hAnsi="Arial" w:cs="Arial"/>
          <w:i/>
          <w:color w:val="222222"/>
          <w:sz w:val="24"/>
          <w:szCs w:val="24"/>
          <w:shd w:val="clear" w:color="auto" w:fill="FFFFFF"/>
        </w:rPr>
        <w:t>Assessing Federal Subsidies for Purchases of Electric Vehicles</w:t>
      </w:r>
      <w:r>
        <w:rPr>
          <w:rFonts w:ascii="Arial" w:hAnsi="Arial" w:cs="Arial"/>
          <w:color w:val="222222"/>
          <w:sz w:val="24"/>
          <w:szCs w:val="24"/>
          <w:shd w:val="clear" w:color="auto" w:fill="FFFFFF"/>
        </w:rPr>
        <w:t>. Available at: https://www.nber.org/digest/jun19/assessing-federal-subsidies-purchases-electric-vehicles (Accessed: 10th March 2024).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Ormanidhi, O. and Stringa, O. (2008) ‘Porter's model of generic competitive strategies: an insightful and convenient approach to firms' analysis’, </w:t>
      </w:r>
      <w:r>
        <w:rPr>
          <w:rFonts w:ascii="Arial" w:hAnsi="Arial" w:cs="Arial"/>
          <w:i/>
          <w:iCs/>
          <w:color w:val="222222"/>
          <w:sz w:val="24"/>
          <w:szCs w:val="24"/>
          <w:shd w:val="clear" w:color="auto" w:fill="FFFFFF"/>
        </w:rPr>
        <w:t>Business Economics</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43</w:t>
      </w:r>
      <w:r>
        <w:rPr>
          <w:rFonts w:ascii="Arial" w:hAnsi="Arial" w:cs="Arial"/>
          <w:color w:val="222222"/>
          <w:sz w:val="24"/>
          <w:szCs w:val="24"/>
          <w:shd w:val="clear" w:color="auto" w:fill="FFFFFF"/>
        </w:rPr>
        <w:t>, pp. 55-64. Doi: https://doi.org/10.2145/20080305</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Odhiambo, O. A. and Njuguna, J. W. (2019) ‘Competitive strategies and performance of insurance companies in Kenya’, </w:t>
      </w:r>
      <w:r>
        <w:rPr>
          <w:rFonts w:ascii="Arial" w:hAnsi="Arial" w:cs="Arial"/>
          <w:i/>
          <w:iCs/>
          <w:color w:val="222222"/>
          <w:sz w:val="24"/>
          <w:szCs w:val="24"/>
          <w:shd w:val="clear" w:color="auto" w:fill="FFFFFF"/>
        </w:rPr>
        <w:t>International Academic Journal of Human Resource and Business Administration</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3</w:t>
      </w:r>
      <w:r>
        <w:rPr>
          <w:rFonts w:ascii="Arial" w:hAnsi="Arial" w:cs="Arial"/>
          <w:color w:val="222222"/>
          <w:sz w:val="24"/>
          <w:szCs w:val="24"/>
          <w:shd w:val="clear" w:color="auto" w:fill="FFFFFF"/>
        </w:rPr>
        <w:t>(7), pp. 198-212.</w:t>
      </w:r>
    </w:p>
    <w:p>
      <w:pPr>
        <w:pStyle w:val="15"/>
        <w:numPr>
          <w:ilvl w:val="0"/>
          <w:numId w:val="1"/>
        </w:numPr>
        <w:spacing w:line="360" w:lineRule="auto"/>
        <w:rPr>
          <w:rFonts w:ascii="Arial" w:hAnsi="Arial" w:cs="Arial"/>
          <w:sz w:val="24"/>
          <w:szCs w:val="24"/>
        </w:rPr>
      </w:pPr>
      <w:r>
        <w:rPr>
          <w:rFonts w:ascii="Arial" w:hAnsi="Arial" w:cs="Arial"/>
          <w:sz w:val="24"/>
          <w:szCs w:val="24"/>
          <w:lang w:eastAsia="zh-CN"/>
        </w:rPr>
        <w:t>Riley, C</w:t>
      </w:r>
      <w:r>
        <w:rPr>
          <w:rFonts w:ascii="Arial" w:hAnsi="Arial" w:cs="Arial"/>
          <w:sz w:val="24"/>
          <w:szCs w:val="24"/>
        </w:rPr>
        <w:t xml:space="preserve">. (2024). ‘The great electric car race is just bejinning’, </w:t>
      </w:r>
      <w:r>
        <w:rPr>
          <w:rFonts w:ascii="Arial" w:hAnsi="Arial" w:cs="Arial"/>
          <w:i/>
          <w:sz w:val="24"/>
          <w:szCs w:val="24"/>
        </w:rPr>
        <w:t>CNN</w:t>
      </w:r>
      <w:r>
        <w:rPr>
          <w:rFonts w:ascii="Arial" w:hAnsi="Arial" w:cs="Arial"/>
          <w:sz w:val="24"/>
          <w:szCs w:val="24"/>
        </w:rPr>
        <w:t>. Available at: https://www.cnn.com/interactive/2019/08/business/electric-cars-audi-volkswagen-tesla/ (</w:t>
      </w:r>
      <w:r>
        <w:rPr>
          <w:rFonts w:ascii="Arial" w:hAnsi="Arial" w:cs="Arial"/>
          <w:color w:val="222222"/>
          <w:sz w:val="24"/>
          <w:szCs w:val="24"/>
          <w:shd w:val="clear" w:color="auto" w:fill="FFFFFF"/>
        </w:rPr>
        <w:t>Accessed: 10th March 2024</w:t>
      </w:r>
      <w:r>
        <w:rPr>
          <w:rFonts w:ascii="Arial" w:hAnsi="Arial" w:cs="Arial"/>
          <w:sz w:val="24"/>
          <w:szCs w:val="24"/>
        </w:rPr>
        <w:t>).</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Salsabila, H., Sari, M. P., Mardhiyah, W. F. and Dinita, R. (2021) ‘Comparison of Porter’s generic strategies in Indonesia’s FMCG companies: A case study’, In </w:t>
      </w:r>
      <w:r>
        <w:rPr>
          <w:rFonts w:ascii="Arial" w:hAnsi="Arial" w:cs="Arial"/>
          <w:i/>
          <w:iCs/>
          <w:color w:val="222222"/>
          <w:sz w:val="24"/>
          <w:szCs w:val="24"/>
          <w:shd w:val="clear" w:color="auto" w:fill="FFFFFF"/>
        </w:rPr>
        <w:t>Proceedings of the International Conference on Industrial Engineering and Operations Management Rome, Italy</w:t>
      </w:r>
      <w:r>
        <w:rPr>
          <w:rFonts w:ascii="Arial" w:hAnsi="Arial" w:cs="Arial"/>
          <w:color w:val="222222"/>
          <w:sz w:val="24"/>
          <w:szCs w:val="24"/>
          <w:shd w:val="clear" w:color="auto" w:fill="FFFFFF"/>
        </w:rPr>
        <w:t>.</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Statista Research Department (2023) </w:t>
      </w:r>
      <w:r>
        <w:rPr>
          <w:rFonts w:ascii="Arial" w:hAnsi="Arial" w:cs="Arial"/>
          <w:i/>
          <w:color w:val="222222"/>
          <w:sz w:val="24"/>
          <w:szCs w:val="24"/>
          <w:shd w:val="clear" w:color="auto" w:fill="FFFFFF"/>
        </w:rPr>
        <w:t>Most valuable automotive brands worldwide by brand value 2023</w:t>
      </w:r>
      <w:r>
        <w:rPr>
          <w:rFonts w:ascii="Arial" w:hAnsi="Arial" w:cs="Arial"/>
          <w:color w:val="222222"/>
          <w:sz w:val="24"/>
          <w:szCs w:val="24"/>
          <w:shd w:val="clear" w:color="auto" w:fill="FFFFFF"/>
        </w:rPr>
        <w:t>. Available at: https://www.statista.com/statistics/267830/brand-values-of-the-top-10-most-valuable-car-brands/ (Accessed: 10th March 2024).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Statista (2024) </w:t>
      </w:r>
      <w:r>
        <w:rPr>
          <w:rFonts w:ascii="Arial" w:hAnsi="Arial" w:cs="Arial"/>
          <w:i/>
          <w:color w:val="222222"/>
          <w:sz w:val="24"/>
          <w:szCs w:val="24"/>
          <w:shd w:val="clear" w:color="auto" w:fill="FFFFFF"/>
        </w:rPr>
        <w:t>Electric Vehicles - worldwide</w:t>
      </w:r>
      <w:r>
        <w:rPr>
          <w:rFonts w:ascii="Arial" w:hAnsi="Arial" w:cs="Arial"/>
          <w:color w:val="222222"/>
          <w:sz w:val="24"/>
          <w:szCs w:val="24"/>
          <w:shd w:val="clear" w:color="auto" w:fill="FFFFFF"/>
        </w:rPr>
        <w:t>. Available at: https://www.statista.com/outlook/mmo/electric-vehicles/worldwide (Accessed: 10th March 2024).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Tesla (2024a) </w:t>
      </w:r>
      <w:r>
        <w:rPr>
          <w:rFonts w:ascii="Arial" w:hAnsi="Arial" w:cs="Arial"/>
          <w:i/>
          <w:color w:val="222222"/>
          <w:sz w:val="24"/>
          <w:szCs w:val="24"/>
          <w:shd w:val="clear" w:color="auto" w:fill="FFFFFF"/>
        </w:rPr>
        <w:t>Model X</w:t>
      </w:r>
      <w:r>
        <w:rPr>
          <w:rFonts w:ascii="Arial" w:hAnsi="Arial" w:cs="Arial"/>
          <w:color w:val="222222"/>
          <w:sz w:val="24"/>
          <w:szCs w:val="24"/>
          <w:shd w:val="clear" w:color="auto" w:fill="FFFFFF"/>
        </w:rPr>
        <w:t>. Available at: https://www.tesla.com/modelx (Accessed: 10th March 2024).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Tesla (2024b) </w:t>
      </w:r>
      <w:r>
        <w:rPr>
          <w:rFonts w:ascii="Arial" w:hAnsi="Arial" w:cs="Arial"/>
          <w:i/>
          <w:color w:val="222222"/>
          <w:sz w:val="24"/>
          <w:szCs w:val="24"/>
          <w:shd w:val="clear" w:color="auto" w:fill="FFFFFF"/>
        </w:rPr>
        <w:t>Environmental Impact</w:t>
      </w:r>
      <w:r>
        <w:rPr>
          <w:rFonts w:ascii="Arial" w:hAnsi="Arial" w:cs="Arial"/>
          <w:color w:val="222222"/>
          <w:sz w:val="24"/>
          <w:szCs w:val="24"/>
          <w:shd w:val="clear" w:color="auto" w:fill="FFFFFF"/>
        </w:rPr>
        <w:t>. Available at: https://www.tesla.com/impact/environment (Accessed: 10th March 2024).</w:t>
      </w:r>
    </w:p>
    <w:p>
      <w:pPr>
        <w:pStyle w:val="15"/>
        <w:numPr>
          <w:ilvl w:val="0"/>
          <w:numId w:val="1"/>
        </w:numPr>
        <w:spacing w:line="360" w:lineRule="auto"/>
        <w:rPr>
          <w:rFonts w:ascii="Arial" w:hAnsi="Arial" w:cs="Arial"/>
          <w:sz w:val="24"/>
          <w:szCs w:val="24"/>
        </w:rPr>
      </w:pPr>
      <w:r>
        <w:rPr>
          <w:rFonts w:ascii="Arial" w:hAnsi="Arial" w:cs="Arial"/>
          <w:sz w:val="24"/>
          <w:szCs w:val="24"/>
        </w:rPr>
        <w:t xml:space="preserve">Threewitt, C. (2024). ‘Tesla Model Y vs. Tesla Model X: Worth the Upgrade’, </w:t>
      </w:r>
      <w:r>
        <w:rPr>
          <w:rFonts w:ascii="Arial" w:hAnsi="Arial" w:cs="Arial"/>
          <w:i/>
          <w:sz w:val="24"/>
          <w:szCs w:val="24"/>
        </w:rPr>
        <w:t>U.S.News</w:t>
      </w:r>
      <w:r>
        <w:rPr>
          <w:rFonts w:ascii="Arial" w:hAnsi="Arial" w:cs="Arial"/>
          <w:sz w:val="24"/>
          <w:szCs w:val="24"/>
        </w:rPr>
        <w:t>, 12th January. Available at: https://cars.usnews.com/cars-trucks/advice/tesla-model-y-vs-tesla-model-x?slide=2 (</w:t>
      </w:r>
      <w:r>
        <w:rPr>
          <w:rFonts w:ascii="Arial" w:hAnsi="Arial" w:cs="Arial"/>
          <w:color w:val="222222"/>
          <w:sz w:val="24"/>
          <w:szCs w:val="24"/>
          <w:shd w:val="clear" w:color="auto" w:fill="FFFFFF"/>
        </w:rPr>
        <w:t>Accessed: 10th March 2024</w:t>
      </w:r>
      <w:r>
        <w:rPr>
          <w:rFonts w:ascii="Arial" w:hAnsi="Arial" w:cs="Arial"/>
          <w:sz w:val="24"/>
          <w:szCs w:val="24"/>
        </w:rPr>
        <w:t>).</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 xml:space="preserve">Tighe, D. (2024) </w:t>
      </w:r>
      <w:r>
        <w:rPr>
          <w:rFonts w:ascii="Arial" w:hAnsi="Arial" w:cs="Arial"/>
          <w:i/>
          <w:color w:val="222222"/>
          <w:sz w:val="24"/>
          <w:szCs w:val="24"/>
          <w:shd w:val="clear" w:color="auto" w:fill="FFFFFF"/>
        </w:rPr>
        <w:t>Consumer shift towards buying sustainable products over the past five years 2022</w:t>
      </w:r>
      <w:r>
        <w:rPr>
          <w:rFonts w:ascii="Arial" w:hAnsi="Arial" w:cs="Arial"/>
          <w:color w:val="222222"/>
          <w:sz w:val="24"/>
          <w:szCs w:val="24"/>
          <w:shd w:val="clear" w:color="auto" w:fill="FFFFFF"/>
        </w:rPr>
        <w:t>. Available at: https://www.statista.com/statistics/1377869/global-shift-to-buying-sustainable-products/ (Accessed: 10th March 2024).</w:t>
      </w:r>
    </w:p>
    <w:p>
      <w:pPr>
        <w:pStyle w:val="15"/>
        <w:numPr>
          <w:ilvl w:val="0"/>
          <w:numId w:val="1"/>
        </w:numPr>
        <w:spacing w:line="360" w:lineRule="auto"/>
        <w:rPr>
          <w:rFonts w:ascii="Arial" w:hAnsi="Arial" w:cs="Arial"/>
          <w:sz w:val="24"/>
          <w:szCs w:val="24"/>
        </w:rPr>
      </w:pPr>
      <w:r>
        <w:rPr>
          <w:rFonts w:ascii="Arial" w:hAnsi="Arial" w:cs="Arial"/>
          <w:color w:val="222222"/>
          <w:sz w:val="24"/>
          <w:szCs w:val="24"/>
          <w:shd w:val="clear" w:color="auto" w:fill="FFFFFF"/>
        </w:rPr>
        <w:t>Voinea, L. and Filip, A. (2011) ‘Analyzing the main changes in new consumer buying behavior during economic crisis’, </w:t>
      </w:r>
      <w:r>
        <w:rPr>
          <w:rFonts w:ascii="Arial" w:hAnsi="Arial" w:cs="Arial"/>
          <w:i/>
          <w:iCs/>
          <w:color w:val="222222"/>
          <w:sz w:val="24"/>
          <w:szCs w:val="24"/>
          <w:shd w:val="clear" w:color="auto" w:fill="FFFFFF"/>
        </w:rPr>
        <w:t>International Journal of Economic Practices and Theories</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1</w:t>
      </w:r>
      <w:r>
        <w:rPr>
          <w:rFonts w:ascii="Arial" w:hAnsi="Arial" w:cs="Arial"/>
          <w:color w:val="222222"/>
          <w:sz w:val="24"/>
          <w:szCs w:val="24"/>
          <w:shd w:val="clear" w:color="auto" w:fill="FFFFFF"/>
        </w:rPr>
        <w:t>(1), pp. 14-19.</w:t>
      </w:r>
    </w:p>
    <w:p>
      <w:pPr>
        <w:pStyle w:val="15"/>
        <w:numPr>
          <w:ilvl w:val="0"/>
          <w:numId w:val="1"/>
        </w:numPr>
        <w:spacing w:line="360" w:lineRule="auto"/>
        <w:rPr>
          <w:rFonts w:ascii="Arial" w:hAnsi="Arial" w:cs="Arial"/>
          <w:sz w:val="24"/>
          <w:szCs w:val="24"/>
        </w:rPr>
      </w:pPr>
      <w:r>
        <w:rPr>
          <w:rFonts w:ascii="Arial" w:hAnsi="Arial" w:cs="Arial"/>
          <w:sz w:val="24"/>
          <w:szCs w:val="24"/>
        </w:rPr>
        <w:t xml:space="preserve">Ziady, H. (2023). ‘The UK economy still can’t cope with the consequences of Brexit’, </w:t>
      </w:r>
      <w:r>
        <w:rPr>
          <w:rFonts w:ascii="Arial" w:hAnsi="Arial" w:cs="Arial"/>
          <w:i/>
          <w:sz w:val="24"/>
          <w:szCs w:val="24"/>
        </w:rPr>
        <w:t>CNN</w:t>
      </w:r>
      <w:r>
        <w:rPr>
          <w:rFonts w:ascii="Arial" w:hAnsi="Arial" w:cs="Arial"/>
          <w:sz w:val="24"/>
          <w:szCs w:val="24"/>
        </w:rPr>
        <w:t>, 29th August. Available at: https://www.cnn.com/2023/08/29/economy/uk-food-imports-safety-brexit/index.html (</w:t>
      </w:r>
      <w:r>
        <w:rPr>
          <w:rFonts w:ascii="Arial" w:hAnsi="Arial" w:cs="Arial"/>
          <w:color w:val="222222"/>
          <w:sz w:val="24"/>
          <w:szCs w:val="24"/>
          <w:shd w:val="clear" w:color="auto" w:fill="FFFFFF"/>
        </w:rPr>
        <w:t>Accessed: 10th March 2024</w:t>
      </w:r>
      <w:r>
        <w:rPr>
          <w:rFonts w:ascii="Arial" w:hAnsi="Arial" w:cs="Arial"/>
          <w:sz w:val="24"/>
          <w:szCs w:val="24"/>
        </w:rPr>
        <w:t>).</w:t>
      </w:r>
    </w:p>
    <w:sectPr>
      <w:footerReference r:id="rId5" w:type="default"/>
      <w:pgSz w:w="11906" w:h="16838"/>
      <w:pgMar w:top="1418" w:right="1418" w:bottom="1418" w:left="1418"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rPr>
      <w:id w:val="-1867821102"/>
      <w:docPartObj>
        <w:docPartGallery w:val="AutoText"/>
      </w:docPartObj>
    </w:sdtPr>
    <w:sdtEndPr>
      <w:rPr>
        <w:rFonts w:ascii="Arial" w:hAnsi="Arial" w:cs="Arial"/>
      </w:rPr>
    </w:sdtEndPr>
    <w:sdtContent>
      <w:sdt>
        <w:sdtPr>
          <w:rPr>
            <w:rFonts w:ascii="Arial" w:hAnsi="Arial" w:cs="Arial"/>
          </w:rPr>
          <w:id w:val="1728636285"/>
          <w:docPartObj>
            <w:docPartGallery w:val="AutoText"/>
          </w:docPartObj>
        </w:sdtPr>
        <w:sdtEndPr>
          <w:rPr>
            <w:rFonts w:ascii="Arial" w:hAnsi="Arial" w:cs="Arial"/>
          </w:rPr>
        </w:sdtEndPr>
        <w:sdtContent>
          <w:p>
            <w:pPr>
              <w:pStyle w:val="4"/>
              <w:jc w:val="center"/>
              <w:rPr>
                <w:rFonts w:ascii="Arial" w:hAnsi="Arial" w:cs="Arial"/>
              </w:rPr>
            </w:pPr>
            <w:r>
              <w:rPr>
                <w:rFonts w:ascii="Arial" w:hAnsi="Arial" w:cs="Arial"/>
                <w:lang w:val="zh-CN" w:eastAsia="zh-CN"/>
              </w:rPr>
              <w:t xml:space="preserve"> </w:t>
            </w:r>
            <w:r>
              <w:rPr>
                <w:rFonts w:ascii="Arial" w:hAnsi="Arial" w:cs="Arial"/>
                <w:b/>
                <w:bCs/>
                <w:sz w:val="24"/>
                <w:szCs w:val="24"/>
              </w:rPr>
              <w:fldChar w:fldCharType="begin"/>
            </w:r>
            <w:r>
              <w:rPr>
                <w:rFonts w:ascii="Arial" w:hAnsi="Arial" w:cs="Arial"/>
                <w:b/>
                <w:bCs/>
              </w:rPr>
              <w:instrText xml:space="preserve">PAGE</w:instrText>
            </w:r>
            <w:r>
              <w:rPr>
                <w:rFonts w:ascii="Arial" w:hAnsi="Arial" w:cs="Arial"/>
                <w:b/>
                <w:bCs/>
                <w:sz w:val="24"/>
                <w:szCs w:val="24"/>
              </w:rPr>
              <w:fldChar w:fldCharType="separate"/>
            </w:r>
            <w:r>
              <w:rPr>
                <w:rFonts w:ascii="Arial" w:hAnsi="Arial" w:cs="Arial"/>
                <w:b/>
                <w:bCs/>
              </w:rPr>
              <w:t>2</w:t>
            </w:r>
            <w:r>
              <w:rPr>
                <w:rFonts w:ascii="Arial" w:hAnsi="Arial" w:cs="Arial"/>
                <w:b/>
                <w:bCs/>
                <w:sz w:val="24"/>
                <w:szCs w:val="24"/>
              </w:rPr>
              <w:fldChar w:fldCharType="end"/>
            </w:r>
            <w:r>
              <w:rPr>
                <w:rFonts w:ascii="Arial" w:hAnsi="Arial" w:cs="Arial"/>
                <w:lang w:val="zh-CN" w:eastAsia="zh-CN"/>
              </w:rPr>
              <w:t xml:space="preserve"> / </w:t>
            </w:r>
            <w:r>
              <w:rPr>
                <w:rFonts w:ascii="Arial" w:hAnsi="Arial" w:cs="Arial"/>
                <w:b/>
                <w:bCs/>
                <w:sz w:val="24"/>
                <w:szCs w:val="24"/>
              </w:rPr>
              <w:fldChar w:fldCharType="begin"/>
            </w:r>
            <w:r>
              <w:rPr>
                <w:rFonts w:ascii="Arial" w:hAnsi="Arial" w:cs="Arial"/>
                <w:b/>
                <w:bCs/>
              </w:rPr>
              <w:instrText xml:space="preserve">NUMPAGES</w:instrText>
            </w:r>
            <w:r>
              <w:rPr>
                <w:rFonts w:ascii="Arial" w:hAnsi="Arial" w:cs="Arial"/>
                <w:b/>
                <w:bCs/>
                <w:sz w:val="24"/>
                <w:szCs w:val="24"/>
              </w:rPr>
              <w:fldChar w:fldCharType="separate"/>
            </w:r>
            <w:r>
              <w:rPr>
                <w:rFonts w:ascii="Arial" w:hAnsi="Arial" w:cs="Arial"/>
                <w:b/>
                <w:bCs/>
              </w:rPr>
              <w:t>17</w:t>
            </w:r>
            <w:r>
              <w:rPr>
                <w:rFonts w:ascii="Arial" w:hAnsi="Arial" w:cs="Arial"/>
                <w:b/>
                <w:bCs/>
                <w:sz w:val="24"/>
                <w:szCs w:val="24"/>
              </w:rPr>
              <w:fldChar w:fldCharType="end"/>
            </w:r>
          </w:p>
        </w:sdtContent>
      </w:sdt>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D644B92"/>
    <w:multiLevelType w:val="multilevel"/>
    <w:tmpl w:val="7D644B92"/>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kzYWJmNjMxMzI2NWRkOTFiMDNhZDkxNjIzMGE5NDgifQ=="/>
  </w:docVars>
  <w:rsids>
    <w:rsidRoot w:val="009F72B5"/>
    <w:rsid w:val="0000293D"/>
    <w:rsid w:val="00013878"/>
    <w:rsid w:val="00023041"/>
    <w:rsid w:val="00057D3B"/>
    <w:rsid w:val="00087C1D"/>
    <w:rsid w:val="00087F94"/>
    <w:rsid w:val="00093CA9"/>
    <w:rsid w:val="000C1C69"/>
    <w:rsid w:val="000F3149"/>
    <w:rsid w:val="00105700"/>
    <w:rsid w:val="001440E7"/>
    <w:rsid w:val="001626D6"/>
    <w:rsid w:val="00177238"/>
    <w:rsid w:val="001B6C37"/>
    <w:rsid w:val="001D6981"/>
    <w:rsid w:val="001E0124"/>
    <w:rsid w:val="001E64C7"/>
    <w:rsid w:val="001F71C6"/>
    <w:rsid w:val="00204188"/>
    <w:rsid w:val="0022134B"/>
    <w:rsid w:val="002319A1"/>
    <w:rsid w:val="00246D2A"/>
    <w:rsid w:val="00247601"/>
    <w:rsid w:val="00254F02"/>
    <w:rsid w:val="002648A1"/>
    <w:rsid w:val="00265058"/>
    <w:rsid w:val="00287159"/>
    <w:rsid w:val="00292684"/>
    <w:rsid w:val="0029670F"/>
    <w:rsid w:val="002B4E3A"/>
    <w:rsid w:val="002C0F02"/>
    <w:rsid w:val="002C7109"/>
    <w:rsid w:val="002E4970"/>
    <w:rsid w:val="002E5051"/>
    <w:rsid w:val="002F448E"/>
    <w:rsid w:val="002F76DA"/>
    <w:rsid w:val="00312DA5"/>
    <w:rsid w:val="00314D0D"/>
    <w:rsid w:val="0034059C"/>
    <w:rsid w:val="00347BEA"/>
    <w:rsid w:val="0035719F"/>
    <w:rsid w:val="00364941"/>
    <w:rsid w:val="003926E1"/>
    <w:rsid w:val="003949EC"/>
    <w:rsid w:val="003A147B"/>
    <w:rsid w:val="003B4093"/>
    <w:rsid w:val="003D04E2"/>
    <w:rsid w:val="003E7504"/>
    <w:rsid w:val="0042036C"/>
    <w:rsid w:val="00425216"/>
    <w:rsid w:val="00435788"/>
    <w:rsid w:val="00440569"/>
    <w:rsid w:val="00447152"/>
    <w:rsid w:val="00460261"/>
    <w:rsid w:val="004707EB"/>
    <w:rsid w:val="00470F5B"/>
    <w:rsid w:val="00494A34"/>
    <w:rsid w:val="004A5E32"/>
    <w:rsid w:val="004E5E88"/>
    <w:rsid w:val="004F3E49"/>
    <w:rsid w:val="00510F57"/>
    <w:rsid w:val="005270E4"/>
    <w:rsid w:val="00532B82"/>
    <w:rsid w:val="00536A2F"/>
    <w:rsid w:val="00546CCB"/>
    <w:rsid w:val="0055332E"/>
    <w:rsid w:val="005574B2"/>
    <w:rsid w:val="00565C76"/>
    <w:rsid w:val="00573882"/>
    <w:rsid w:val="00581431"/>
    <w:rsid w:val="00583CCA"/>
    <w:rsid w:val="005D1D33"/>
    <w:rsid w:val="005D1F0D"/>
    <w:rsid w:val="005F1FEF"/>
    <w:rsid w:val="005F3DFF"/>
    <w:rsid w:val="00601115"/>
    <w:rsid w:val="00602B41"/>
    <w:rsid w:val="006154D8"/>
    <w:rsid w:val="00625E06"/>
    <w:rsid w:val="00641E4F"/>
    <w:rsid w:val="0065053C"/>
    <w:rsid w:val="0065330E"/>
    <w:rsid w:val="00653C13"/>
    <w:rsid w:val="00663226"/>
    <w:rsid w:val="00667F94"/>
    <w:rsid w:val="00692F2F"/>
    <w:rsid w:val="0069312C"/>
    <w:rsid w:val="0069331F"/>
    <w:rsid w:val="006B7821"/>
    <w:rsid w:val="006C33E5"/>
    <w:rsid w:val="006C6B47"/>
    <w:rsid w:val="006D4E0C"/>
    <w:rsid w:val="006D5E42"/>
    <w:rsid w:val="007051B1"/>
    <w:rsid w:val="00705D2D"/>
    <w:rsid w:val="00706D0A"/>
    <w:rsid w:val="007316E3"/>
    <w:rsid w:val="007420B2"/>
    <w:rsid w:val="00743BD8"/>
    <w:rsid w:val="0075472D"/>
    <w:rsid w:val="0076302E"/>
    <w:rsid w:val="00766B40"/>
    <w:rsid w:val="00770034"/>
    <w:rsid w:val="00781EDE"/>
    <w:rsid w:val="00786539"/>
    <w:rsid w:val="00797F5C"/>
    <w:rsid w:val="007B5A30"/>
    <w:rsid w:val="007E6FDB"/>
    <w:rsid w:val="007F1002"/>
    <w:rsid w:val="007F1B99"/>
    <w:rsid w:val="00841351"/>
    <w:rsid w:val="0084178C"/>
    <w:rsid w:val="008518E1"/>
    <w:rsid w:val="00860976"/>
    <w:rsid w:val="00864852"/>
    <w:rsid w:val="00865888"/>
    <w:rsid w:val="008675E1"/>
    <w:rsid w:val="008877CC"/>
    <w:rsid w:val="0089618C"/>
    <w:rsid w:val="008A087A"/>
    <w:rsid w:val="008A6E33"/>
    <w:rsid w:val="008B250D"/>
    <w:rsid w:val="008C1776"/>
    <w:rsid w:val="008E0EAC"/>
    <w:rsid w:val="008F628D"/>
    <w:rsid w:val="00903DAB"/>
    <w:rsid w:val="00907A8A"/>
    <w:rsid w:val="00912B0F"/>
    <w:rsid w:val="00930288"/>
    <w:rsid w:val="00930727"/>
    <w:rsid w:val="00964BC8"/>
    <w:rsid w:val="0096722C"/>
    <w:rsid w:val="009757B4"/>
    <w:rsid w:val="009757ED"/>
    <w:rsid w:val="009A029D"/>
    <w:rsid w:val="009A27DD"/>
    <w:rsid w:val="009A34B0"/>
    <w:rsid w:val="009A6BFF"/>
    <w:rsid w:val="009B2DA3"/>
    <w:rsid w:val="009C4CE0"/>
    <w:rsid w:val="009F09C2"/>
    <w:rsid w:val="009F72B5"/>
    <w:rsid w:val="00A14BB6"/>
    <w:rsid w:val="00A54F4A"/>
    <w:rsid w:val="00A76EE4"/>
    <w:rsid w:val="00A80EBB"/>
    <w:rsid w:val="00A9192B"/>
    <w:rsid w:val="00AA1423"/>
    <w:rsid w:val="00AC75D0"/>
    <w:rsid w:val="00AD106A"/>
    <w:rsid w:val="00AE1680"/>
    <w:rsid w:val="00AF2184"/>
    <w:rsid w:val="00B46B2E"/>
    <w:rsid w:val="00B67B4B"/>
    <w:rsid w:val="00B8017C"/>
    <w:rsid w:val="00B8205E"/>
    <w:rsid w:val="00B91D9C"/>
    <w:rsid w:val="00BA5349"/>
    <w:rsid w:val="00BB17E7"/>
    <w:rsid w:val="00BB60F7"/>
    <w:rsid w:val="00BD6579"/>
    <w:rsid w:val="00C12C9F"/>
    <w:rsid w:val="00C25D5C"/>
    <w:rsid w:val="00C26DBF"/>
    <w:rsid w:val="00C45F7A"/>
    <w:rsid w:val="00C61033"/>
    <w:rsid w:val="00C66AA5"/>
    <w:rsid w:val="00C75206"/>
    <w:rsid w:val="00CF2FC0"/>
    <w:rsid w:val="00CF66E8"/>
    <w:rsid w:val="00CF736D"/>
    <w:rsid w:val="00D00A0D"/>
    <w:rsid w:val="00D14352"/>
    <w:rsid w:val="00D152A8"/>
    <w:rsid w:val="00D269DF"/>
    <w:rsid w:val="00D26E30"/>
    <w:rsid w:val="00D36274"/>
    <w:rsid w:val="00D365AF"/>
    <w:rsid w:val="00D42825"/>
    <w:rsid w:val="00D54354"/>
    <w:rsid w:val="00D61E19"/>
    <w:rsid w:val="00D662CF"/>
    <w:rsid w:val="00D713F8"/>
    <w:rsid w:val="00D719D6"/>
    <w:rsid w:val="00D71E55"/>
    <w:rsid w:val="00D74520"/>
    <w:rsid w:val="00D926E4"/>
    <w:rsid w:val="00DA0235"/>
    <w:rsid w:val="00DC0B62"/>
    <w:rsid w:val="00DC624C"/>
    <w:rsid w:val="00DD1B28"/>
    <w:rsid w:val="00DD6B20"/>
    <w:rsid w:val="00DE608F"/>
    <w:rsid w:val="00DE64E9"/>
    <w:rsid w:val="00DF5F79"/>
    <w:rsid w:val="00E16A54"/>
    <w:rsid w:val="00E2296C"/>
    <w:rsid w:val="00E242CB"/>
    <w:rsid w:val="00E43870"/>
    <w:rsid w:val="00E44BC2"/>
    <w:rsid w:val="00E66019"/>
    <w:rsid w:val="00E7500A"/>
    <w:rsid w:val="00EC5EF7"/>
    <w:rsid w:val="00ED0787"/>
    <w:rsid w:val="00ED30A5"/>
    <w:rsid w:val="00EE1032"/>
    <w:rsid w:val="00EE14B6"/>
    <w:rsid w:val="00EE28A7"/>
    <w:rsid w:val="00EF3E6A"/>
    <w:rsid w:val="00EF6CF3"/>
    <w:rsid w:val="00F10321"/>
    <w:rsid w:val="00F10840"/>
    <w:rsid w:val="00F1646A"/>
    <w:rsid w:val="00F341CB"/>
    <w:rsid w:val="00F41863"/>
    <w:rsid w:val="00F428E1"/>
    <w:rsid w:val="00F44BB0"/>
    <w:rsid w:val="00F4708E"/>
    <w:rsid w:val="00F73D2E"/>
    <w:rsid w:val="00FA049F"/>
    <w:rsid w:val="00FB24EF"/>
    <w:rsid w:val="00FB6136"/>
    <w:rsid w:val="00FE08DC"/>
    <w:rsid w:val="00FE24F5"/>
    <w:rsid w:val="00FF5186"/>
    <w:rsid w:val="3BDD2D8B"/>
  </w:rsids>
  <m:mathPr>
    <m:mathFont m:val="Cambria Math"/>
    <m:brkBin m:val="before"/>
    <m:brkBinSub m:val="--"/>
    <m:smallFrac m:val="0"/>
    <m:dispDef/>
    <m:lMargin m:val="0"/>
    <m:rMargin m:val="0"/>
    <m:defJc m:val="centerGroup"/>
    <m:wrapIndent m:val="1440"/>
    <m:intLim m:val="subSup"/>
    <m:naryLim m:val="undOvr"/>
  </m:mathPr>
  <w:themeFontLang w:val="en-NZ"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宋体"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eastAsia="宋体" w:asciiTheme="minorHAnsi" w:hAnsiTheme="minorHAnsi" w:cstheme="minorBidi"/>
      <w:sz w:val="22"/>
      <w:szCs w:val="22"/>
      <w:lang w:val="en-NZ"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link w:val="12"/>
    <w:unhideWhenUsed/>
    <w:uiPriority w:val="99"/>
    <w:pPr>
      <w:tabs>
        <w:tab w:val="center" w:pos="4153"/>
        <w:tab w:val="right" w:pos="8306"/>
      </w:tabs>
      <w:spacing w:after="0" w:line="240" w:lineRule="auto"/>
    </w:pPr>
  </w:style>
  <w:style w:type="paragraph" w:styleId="5">
    <w:name w:val="header"/>
    <w:basedOn w:val="1"/>
    <w:link w:val="11"/>
    <w:unhideWhenUsed/>
    <w:uiPriority w:val="99"/>
    <w:pPr>
      <w:tabs>
        <w:tab w:val="center" w:pos="4153"/>
        <w:tab w:val="right" w:pos="8306"/>
      </w:tabs>
      <w:spacing w:after="0" w:line="240" w:lineRule="auto"/>
    </w:pPr>
  </w:style>
  <w:style w:type="paragraph" w:styleId="6">
    <w:name w:val="toc 1"/>
    <w:basedOn w:val="1"/>
    <w:next w:val="1"/>
    <w:autoRedefine/>
    <w:unhideWhenUsed/>
    <w:uiPriority w:val="39"/>
    <w:pPr>
      <w:spacing w:after="100"/>
    </w:pPr>
  </w:style>
  <w:style w:type="paragraph" w:styleId="7">
    <w:name w:val="toc 2"/>
    <w:basedOn w:val="1"/>
    <w:next w:val="1"/>
    <w:autoRedefine/>
    <w:unhideWhenUsed/>
    <w:uiPriority w:val="39"/>
    <w:pPr>
      <w:spacing w:after="100"/>
      <w:ind w:left="220"/>
    </w:pPr>
  </w:style>
  <w:style w:type="character" w:styleId="10">
    <w:name w:val="Hyperlink"/>
    <w:basedOn w:val="9"/>
    <w:autoRedefine/>
    <w:unhideWhenUsed/>
    <w:uiPriority w:val="99"/>
    <w:rPr>
      <w:color w:val="0563C1" w:themeColor="hyperlink"/>
      <w:u w:val="single"/>
      <w14:textFill>
        <w14:solidFill>
          <w14:schemeClr w14:val="hlink"/>
        </w14:solidFill>
      </w14:textFill>
    </w:rPr>
  </w:style>
  <w:style w:type="character" w:customStyle="1" w:styleId="11">
    <w:name w:val="页眉 Char"/>
    <w:basedOn w:val="9"/>
    <w:link w:val="5"/>
    <w:uiPriority w:val="99"/>
  </w:style>
  <w:style w:type="character" w:customStyle="1" w:styleId="12">
    <w:name w:val="页脚 Char"/>
    <w:basedOn w:val="9"/>
    <w:link w:val="4"/>
    <w:uiPriority w:val="99"/>
  </w:style>
  <w:style w:type="character" w:customStyle="1" w:styleId="13">
    <w:name w:val="标题 1 Char"/>
    <w:basedOn w:val="9"/>
    <w:link w:val="2"/>
    <w:uiPriority w:val="9"/>
    <w:rPr>
      <w:rFonts w:asciiTheme="majorHAnsi" w:hAnsiTheme="majorHAnsi" w:eastAsiaTheme="majorEastAsia" w:cstheme="majorBidi"/>
      <w:color w:val="2E75B6" w:themeColor="accent1" w:themeShade="BF"/>
      <w:sz w:val="32"/>
      <w:szCs w:val="32"/>
    </w:rPr>
  </w:style>
  <w:style w:type="character" w:customStyle="1" w:styleId="14">
    <w:name w:val="标题 2 Char"/>
    <w:basedOn w:val="9"/>
    <w:link w:val="3"/>
    <w:qFormat/>
    <w:uiPriority w:val="9"/>
    <w:rPr>
      <w:rFonts w:asciiTheme="majorHAnsi" w:hAnsiTheme="majorHAnsi" w:eastAsiaTheme="majorEastAsia" w:cstheme="majorBidi"/>
      <w:color w:val="2E75B6" w:themeColor="accent1" w:themeShade="BF"/>
      <w:sz w:val="26"/>
      <w:szCs w:val="26"/>
    </w:rPr>
  </w:style>
  <w:style w:type="paragraph" w:styleId="15">
    <w:name w:val="List Paragraph"/>
    <w:basedOn w:val="1"/>
    <w:qFormat/>
    <w:uiPriority w:val="34"/>
    <w:pPr>
      <w:ind w:left="720"/>
      <w:contextualSpacing/>
    </w:pPr>
  </w:style>
  <w:style w:type="paragraph" w:customStyle="1" w:styleId="16">
    <w:name w:val="TOC Heading"/>
    <w:basedOn w:val="2"/>
    <w:next w:val="1"/>
    <w:unhideWhenUsed/>
    <w:qFormat/>
    <w:uiPriority w:val="39"/>
    <w:pPr>
      <w:outlineLvl w:val="9"/>
    </w:pPr>
    <w:rPr>
      <w:lang w:eastAsia="en-NZ"/>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B8C86B1-2004-4339-AD3B-EC443F929E33}">
  <ds:schemaRefs/>
</ds:datastoreItem>
</file>

<file path=docProps/app.xml><?xml version="1.0" encoding="utf-8"?>
<Properties xmlns="http://schemas.openxmlformats.org/officeDocument/2006/extended-properties" xmlns:vt="http://schemas.openxmlformats.org/officeDocument/2006/docPropsVTypes">
  <Template>Normal.dotm</Template>
  <Company>IBM</Company>
  <Pages>17</Pages>
  <Words>3557</Words>
  <Characters>20281</Characters>
  <Lines>169</Lines>
  <Paragraphs>47</Paragraphs>
  <TotalTime>2</TotalTime>
  <ScaleCrop>false</ScaleCrop>
  <LinksUpToDate>false</LinksUpToDate>
  <CharactersWithSpaces>23791</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2024-03-09T13:12:00Z</dcterms:created>
  <dc:creator>hong yang</dc:creator>
  <cp:lastModifiedBy>很简单</cp:lastModifiedBy>
  <dcterms:modified xsi:type="dcterms:W3CDTF">2024-03-15T04:03:36Z</dcterms:modified>
  <cp:revision>225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6945DC44BFAE4983BE2F98EFF50BEFFB_12</vt:lpwstr>
  </property>
</Properties>
</file>