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p>
    <w:p>
      <w:pPr>
        <w:jc w:val="center"/>
      </w:pPr>
    </w:p>
    <w:p>
      <w:pPr>
        <w:jc w:val="center"/>
      </w:pPr>
    </w:p>
    <w:p>
      <w:pPr>
        <w:jc w:val="center"/>
      </w:pPr>
    </w:p>
    <w:p>
      <w:pPr>
        <w:jc w:val="center"/>
      </w:pPr>
    </w:p>
    <w:p>
      <w:pPr>
        <w:jc w:val="center"/>
      </w:pPr>
    </w:p>
    <w:p>
      <w:pPr>
        <w:jc w:val="center"/>
      </w:pPr>
    </w:p>
    <w:p>
      <w:pPr>
        <w:jc w:val="center"/>
      </w:pPr>
    </w:p>
    <w:p>
      <w:pPr>
        <w:jc w:val="center"/>
        <w:rPr>
          <w:b/>
        </w:rPr>
      </w:pPr>
    </w:p>
    <w:p>
      <w:pPr>
        <w:jc w:val="center"/>
        <w:rPr>
          <w:b/>
        </w:rPr>
      </w:pPr>
    </w:p>
    <w:p>
      <w:pPr>
        <w:jc w:val="center"/>
        <w:rPr>
          <w:b/>
        </w:rPr>
      </w:pPr>
    </w:p>
    <w:p>
      <w:pPr>
        <w:jc w:val="center"/>
        <w:rPr>
          <w:b/>
        </w:rPr>
      </w:pPr>
    </w:p>
    <w:p>
      <w:pPr>
        <w:jc w:val="center"/>
        <w:rPr>
          <w:b/>
          <w:sz w:val="24"/>
          <w:szCs w:val="24"/>
        </w:rPr>
      </w:pPr>
    </w:p>
    <w:p>
      <w:pPr>
        <w:jc w:val="center"/>
        <w:rPr>
          <w:b/>
          <w:sz w:val="24"/>
          <w:szCs w:val="24"/>
        </w:rPr>
      </w:pPr>
      <w:r>
        <w:rPr>
          <w:b/>
          <w:sz w:val="24"/>
          <w:szCs w:val="24"/>
        </w:rPr>
        <w:t>International Business communication Challenges and Sensitivities from a British perspective of doing business with Australia
</w:t>
      </w:r>
    </w:p>
    <w:p>
      <w:pPr>
        <w:jc w:val="center"/>
        <w:rPr>
          <w:rFonts w:hint="eastAsia" w:eastAsia="宋体"/>
          <w:b/>
          <w:sz w:val="24"/>
          <w:szCs w:val="24"/>
          <w:lang w:val="en-US" w:eastAsia="zh-CN"/>
        </w:rPr>
      </w:pPr>
      <w:r>
        <w:rPr>
          <w:rFonts w:hint="eastAsia" w:eastAsia="宋体"/>
          <w:b/>
          <w:sz w:val="24"/>
          <w:szCs w:val="24"/>
          <w:lang w:val="en-US" w:eastAsia="zh-CN"/>
        </w:rPr>
        <w:t>UWTSD</w:t>
      </w:r>
    </w:p>
    <w:p>
      <w:pPr>
        <w:ind w:firstLine="3962" w:firstLineChars="1650"/>
        <w:jc w:val="both"/>
        <w:rPr>
          <w:rFonts w:hint="default"/>
          <w:b/>
          <w:sz w:val="24"/>
          <w:szCs w:val="24"/>
          <w:lang w:val="en-US"/>
        </w:rPr>
      </w:pPr>
      <w:r>
        <w:rPr>
          <w:rFonts w:hint="default"/>
          <w:b/>
          <w:sz w:val="24"/>
          <w:szCs w:val="24"/>
          <w:lang w:val="en-US"/>
        </w:rPr>
        <w:t>Qinhao Meng</w:t>
      </w:r>
    </w:p>
    <w:p>
      <w:pPr>
        <w:ind w:firstLine="4202" w:firstLineChars="1750"/>
        <w:jc w:val="both"/>
        <w:rPr>
          <w:rFonts w:hint="default"/>
          <w:b/>
          <w:sz w:val="24"/>
          <w:szCs w:val="24"/>
          <w:lang w:val="en-US"/>
        </w:rPr>
      </w:pPr>
      <w:bookmarkStart w:id="17" w:name="_GoBack"/>
      <w:bookmarkEnd w:id="17"/>
      <w:r>
        <w:rPr>
          <w:rFonts w:hint="default"/>
          <w:b/>
          <w:sz w:val="24"/>
          <w:szCs w:val="24"/>
          <w:lang w:val="en-US"/>
        </w:rPr>
        <w:t>1900502</w:t>
      </w:r>
    </w:p>
    <w:p>
      <w:pPr>
        <w:pStyle w:val="2"/>
        <w:rPr>
          <w:b/>
          <w:color w:val="000000" w:themeColor="text1"/>
          <w:sz w:val="28"/>
          <w:szCs w:val="28"/>
          <w14:textFill>
            <w14:solidFill>
              <w14:schemeClr w14:val="tx1"/>
            </w14:solidFill>
          </w14:textFill>
        </w:rPr>
      </w:pPr>
    </w:p>
    <w:p>
      <w:pPr>
        <w:pStyle w:val="2"/>
        <w:rPr>
          <w:b/>
          <w:color w:val="000000" w:themeColor="text1"/>
          <w:sz w:val="28"/>
          <w:szCs w:val="28"/>
          <w14:textFill>
            <w14:solidFill>
              <w14:schemeClr w14:val="tx1"/>
            </w14:solidFill>
          </w14:textFill>
        </w:rPr>
      </w:pPr>
    </w:p>
    <w:p/>
    <w:p/>
    <w:p/>
    <w:p/>
    <w:sdt>
      <w:sdtPr>
        <w:rPr>
          <w:rFonts w:ascii="Calibri" w:hAnsi="Calibri" w:eastAsia="Calibri" w:cs="Times New Roman"/>
          <w:color w:val="auto"/>
          <w:sz w:val="22"/>
          <w:szCs w:val="22"/>
        </w:rPr>
        <w:id w:val="1193428804"/>
        <w:docPartObj>
          <w:docPartGallery w:val="Table of Contents"/>
          <w:docPartUnique/>
        </w:docPartObj>
      </w:sdtPr>
      <w:sdtEndPr>
        <w:rPr>
          <w:rFonts w:ascii="Calibri" w:hAnsi="Calibri" w:eastAsia="Calibri" w:cs="Times New Roman"/>
          <w:b/>
          <w:bCs/>
          <w:color w:val="auto"/>
          <w:sz w:val="22"/>
          <w:szCs w:val="22"/>
        </w:rPr>
      </w:sdtEndPr>
      <w:sdtContent>
        <w:p>
          <w:pPr>
            <w:pStyle w:val="19"/>
            <w:rPr>
              <w:rFonts w:ascii="Calibri" w:hAnsi="Calibri" w:eastAsia="Calibri" w:cs="Times New Roman"/>
              <w:color w:val="auto"/>
              <w:sz w:val="22"/>
              <w:szCs w:val="22"/>
            </w:rPr>
          </w:pPr>
        </w:p>
        <w:p>
          <w:pPr>
            <w:pStyle w:val="19"/>
          </w:pPr>
          <w:r>
            <w:t>Table of Contents</w:t>
          </w:r>
        </w:p>
        <w:p>
          <w:pPr>
            <w:pStyle w:val="9"/>
            <w:tabs>
              <w:tab w:val="right" w:leader="dot" w:pos="9350"/>
            </w:tabs>
            <w:rPr>
              <w:rFonts w:asciiTheme="minorHAnsi" w:hAnsiTheme="minorHAnsi" w:eastAsiaTheme="minorEastAsia" w:cstheme="minorBidi"/>
            </w:rPr>
          </w:pPr>
          <w:r>
            <w:rPr>
              <w:b/>
              <w:bCs/>
            </w:rPr>
            <w:fldChar w:fldCharType="begin"/>
          </w:r>
          <w:r>
            <w:rPr>
              <w:b/>
              <w:bCs/>
            </w:rPr>
            <w:instrText xml:space="preserve"> TOC \o "1-3" \h \z \u </w:instrText>
          </w:r>
          <w:r>
            <w:rPr>
              <w:b/>
              <w:bCs/>
            </w:rPr>
            <w:fldChar w:fldCharType="separate"/>
          </w:r>
          <w:r>
            <w:fldChar w:fldCharType="begin"/>
          </w:r>
          <w:r>
            <w:instrText xml:space="preserve"> HYPERLINK \l "_Toc38791169" </w:instrText>
          </w:r>
          <w:r>
            <w:fldChar w:fldCharType="separate"/>
          </w:r>
          <w:r>
            <w:rPr>
              <w:rStyle w:val="13"/>
              <w:b/>
            </w:rPr>
            <w:t>Introduction</w:t>
          </w:r>
          <w:r>
            <w:tab/>
          </w:r>
          <w:r>
            <w:fldChar w:fldCharType="begin"/>
          </w:r>
          <w:r>
            <w:instrText xml:space="preserve"> PAGEREF _Toc38791169 \h </w:instrText>
          </w:r>
          <w:r>
            <w:fldChar w:fldCharType="separate"/>
          </w:r>
          <w:r>
            <w:t>3</w:t>
          </w:r>
          <w:r>
            <w:fldChar w:fldCharType="end"/>
          </w:r>
          <w:r>
            <w:fldChar w:fldCharType="end"/>
          </w:r>
        </w:p>
        <w:p>
          <w:pPr>
            <w:pStyle w:val="9"/>
            <w:tabs>
              <w:tab w:val="right" w:leader="dot" w:pos="9350"/>
            </w:tabs>
            <w:rPr>
              <w:rFonts w:asciiTheme="minorHAnsi" w:hAnsiTheme="minorHAnsi" w:eastAsiaTheme="minorEastAsia" w:cstheme="minorBidi"/>
            </w:rPr>
          </w:pPr>
          <w:r>
            <w:fldChar w:fldCharType="begin"/>
          </w:r>
          <w:r>
            <w:instrText xml:space="preserve"> HYPERLINK \l "_Toc38791170" </w:instrText>
          </w:r>
          <w:r>
            <w:fldChar w:fldCharType="separate"/>
          </w:r>
          <w:r>
            <w:rPr>
              <w:rStyle w:val="13"/>
              <w:b/>
            </w:rPr>
            <w:t>Discussion</w:t>
          </w:r>
          <w:r>
            <w:tab/>
          </w:r>
          <w:r>
            <w:fldChar w:fldCharType="begin"/>
          </w:r>
          <w:r>
            <w:instrText xml:space="preserve"> PAGEREF _Toc38791170 \h </w:instrText>
          </w:r>
          <w:r>
            <w:fldChar w:fldCharType="separate"/>
          </w:r>
          <w:r>
            <w:t>4</w:t>
          </w:r>
          <w:r>
            <w:fldChar w:fldCharType="end"/>
          </w:r>
          <w:r>
            <w:fldChar w:fldCharType="end"/>
          </w:r>
        </w:p>
        <w:p>
          <w:pPr>
            <w:pStyle w:val="10"/>
            <w:tabs>
              <w:tab w:val="right" w:leader="dot" w:pos="9350"/>
            </w:tabs>
            <w:rPr>
              <w:rFonts w:asciiTheme="minorHAnsi" w:hAnsiTheme="minorHAnsi" w:eastAsiaTheme="minorEastAsia" w:cstheme="minorBidi"/>
            </w:rPr>
          </w:pPr>
          <w:r>
            <w:fldChar w:fldCharType="begin"/>
          </w:r>
          <w:r>
            <w:instrText xml:space="preserve"> HYPERLINK \l "_Toc38791171" </w:instrText>
          </w:r>
          <w:r>
            <w:fldChar w:fldCharType="separate"/>
          </w:r>
          <w:r>
            <w:rPr>
              <w:rStyle w:val="13"/>
              <w:i/>
            </w:rPr>
            <w:t>Cross-cultural Management</w:t>
          </w:r>
          <w:r>
            <w:tab/>
          </w:r>
          <w:r>
            <w:fldChar w:fldCharType="begin"/>
          </w:r>
          <w:r>
            <w:instrText xml:space="preserve"> PAGEREF _Toc38791171 \h </w:instrText>
          </w:r>
          <w:r>
            <w:fldChar w:fldCharType="separate"/>
          </w:r>
          <w:r>
            <w:t>4</w:t>
          </w:r>
          <w:r>
            <w:fldChar w:fldCharType="end"/>
          </w:r>
          <w:r>
            <w:fldChar w:fldCharType="end"/>
          </w:r>
        </w:p>
        <w:p>
          <w:pPr>
            <w:pStyle w:val="10"/>
            <w:tabs>
              <w:tab w:val="right" w:leader="dot" w:pos="9350"/>
            </w:tabs>
            <w:rPr>
              <w:rFonts w:asciiTheme="minorHAnsi" w:hAnsiTheme="minorHAnsi" w:eastAsiaTheme="minorEastAsia" w:cstheme="minorBidi"/>
            </w:rPr>
          </w:pPr>
          <w:r>
            <w:fldChar w:fldCharType="begin"/>
          </w:r>
          <w:r>
            <w:instrText xml:space="preserve"> HYPERLINK \l "_Toc38791172" </w:instrText>
          </w:r>
          <w:r>
            <w:fldChar w:fldCharType="separate"/>
          </w:r>
          <w:r>
            <w:rPr>
              <w:rStyle w:val="13"/>
              <w:i/>
            </w:rPr>
            <w:t>Critical Look at the Hofstede Model</w:t>
          </w:r>
          <w:r>
            <w:tab/>
          </w:r>
          <w:r>
            <w:fldChar w:fldCharType="begin"/>
          </w:r>
          <w:r>
            <w:instrText xml:space="preserve"> PAGEREF _Toc38791172 \h </w:instrText>
          </w:r>
          <w:r>
            <w:fldChar w:fldCharType="separate"/>
          </w:r>
          <w:r>
            <w:t>5</w:t>
          </w:r>
          <w:r>
            <w:fldChar w:fldCharType="end"/>
          </w:r>
          <w:r>
            <w:fldChar w:fldCharType="end"/>
          </w:r>
        </w:p>
        <w:p>
          <w:pPr>
            <w:pStyle w:val="10"/>
            <w:tabs>
              <w:tab w:val="right" w:leader="dot" w:pos="9350"/>
            </w:tabs>
            <w:rPr>
              <w:rFonts w:asciiTheme="minorHAnsi" w:hAnsiTheme="minorHAnsi" w:eastAsiaTheme="minorEastAsia" w:cstheme="minorBidi"/>
            </w:rPr>
          </w:pPr>
          <w:r>
            <w:fldChar w:fldCharType="begin"/>
          </w:r>
          <w:r>
            <w:instrText xml:space="preserve"> HYPERLINK \l "_Toc38791173" </w:instrText>
          </w:r>
          <w:r>
            <w:fldChar w:fldCharType="separate"/>
          </w:r>
          <w:r>
            <w:rPr>
              <w:rStyle w:val="13"/>
              <w:i/>
            </w:rPr>
            <w:t>Differences in National Culture of Australia and the United Kingdom (Using Hofstede’s Model)</w:t>
          </w:r>
          <w:r>
            <w:tab/>
          </w:r>
          <w:r>
            <w:fldChar w:fldCharType="begin"/>
          </w:r>
          <w:r>
            <w:instrText xml:space="preserve"> PAGEREF _Toc38791173 \h </w:instrText>
          </w:r>
          <w:r>
            <w:fldChar w:fldCharType="separate"/>
          </w:r>
          <w:r>
            <w:t>6</w:t>
          </w:r>
          <w:r>
            <w:fldChar w:fldCharType="end"/>
          </w:r>
          <w:r>
            <w:fldChar w:fldCharType="end"/>
          </w:r>
        </w:p>
        <w:p>
          <w:pPr>
            <w:pStyle w:val="10"/>
            <w:tabs>
              <w:tab w:val="right" w:leader="dot" w:pos="9350"/>
            </w:tabs>
            <w:rPr>
              <w:rFonts w:asciiTheme="minorHAnsi" w:hAnsiTheme="minorHAnsi" w:eastAsiaTheme="minorEastAsia" w:cstheme="minorBidi"/>
            </w:rPr>
          </w:pPr>
          <w:r>
            <w:fldChar w:fldCharType="begin"/>
          </w:r>
          <w:r>
            <w:instrText xml:space="preserve"> HYPERLINK \l "_Toc38791174" </w:instrText>
          </w:r>
          <w:r>
            <w:fldChar w:fldCharType="separate"/>
          </w:r>
          <w:r>
            <w:rPr>
              <w:rStyle w:val="13"/>
              <w:i/>
            </w:rPr>
            <w:t>Critical Look at the Laurent Model</w:t>
          </w:r>
          <w:r>
            <w:tab/>
          </w:r>
          <w:r>
            <w:fldChar w:fldCharType="begin"/>
          </w:r>
          <w:r>
            <w:instrText xml:space="preserve"> PAGEREF _Toc38791174 \h </w:instrText>
          </w:r>
          <w:r>
            <w:fldChar w:fldCharType="separate"/>
          </w:r>
          <w:r>
            <w:t>8</w:t>
          </w:r>
          <w:r>
            <w:fldChar w:fldCharType="end"/>
          </w:r>
          <w:r>
            <w:fldChar w:fldCharType="end"/>
          </w:r>
        </w:p>
        <w:p>
          <w:pPr>
            <w:pStyle w:val="6"/>
            <w:tabs>
              <w:tab w:val="right" w:leader="dot" w:pos="9350"/>
            </w:tabs>
            <w:rPr>
              <w:rFonts w:asciiTheme="minorHAnsi" w:hAnsiTheme="minorHAnsi" w:eastAsiaTheme="minorEastAsia" w:cstheme="minorBidi"/>
            </w:rPr>
          </w:pPr>
          <w:r>
            <w:fldChar w:fldCharType="begin"/>
          </w:r>
          <w:r>
            <w:instrText xml:space="preserve"> HYPERLINK \l "_Toc38791175" </w:instrText>
          </w:r>
          <w:r>
            <w:fldChar w:fldCharType="separate"/>
          </w:r>
          <w:r>
            <w:rPr>
              <w:rStyle w:val="13"/>
              <w:lang w:val="en-GB"/>
            </w:rPr>
            <w:t>Abstracting from Laurent’s scores for the UK country:</w:t>
          </w:r>
          <w:r>
            <w:tab/>
          </w:r>
          <w:r>
            <w:fldChar w:fldCharType="begin"/>
          </w:r>
          <w:r>
            <w:instrText xml:space="preserve"> PAGEREF _Toc38791175 \h </w:instrText>
          </w:r>
          <w:r>
            <w:fldChar w:fldCharType="separate"/>
          </w:r>
          <w:r>
            <w:t>9</w:t>
          </w:r>
          <w:r>
            <w:fldChar w:fldCharType="end"/>
          </w:r>
          <w:r>
            <w:fldChar w:fldCharType="end"/>
          </w:r>
        </w:p>
        <w:p>
          <w:pPr>
            <w:pStyle w:val="10"/>
            <w:tabs>
              <w:tab w:val="right" w:leader="dot" w:pos="9350"/>
            </w:tabs>
            <w:rPr>
              <w:rFonts w:asciiTheme="minorHAnsi" w:hAnsiTheme="minorHAnsi" w:eastAsiaTheme="minorEastAsia" w:cstheme="minorBidi"/>
            </w:rPr>
          </w:pPr>
          <w:r>
            <w:fldChar w:fldCharType="begin"/>
          </w:r>
          <w:r>
            <w:instrText xml:space="preserve"> HYPERLINK \l "_Toc38791176" </w:instrText>
          </w:r>
          <w:r>
            <w:fldChar w:fldCharType="separate"/>
          </w:r>
          <w:r>
            <w:rPr>
              <w:rStyle w:val="13"/>
              <w:i/>
            </w:rPr>
            <w:t>Roles national culture play in human resource management</w:t>
          </w:r>
          <w:r>
            <w:tab/>
          </w:r>
          <w:r>
            <w:fldChar w:fldCharType="begin"/>
          </w:r>
          <w:r>
            <w:instrText xml:space="preserve"> PAGEREF _Toc38791176 \h </w:instrText>
          </w:r>
          <w:r>
            <w:fldChar w:fldCharType="separate"/>
          </w:r>
          <w:r>
            <w:t>9</w:t>
          </w:r>
          <w:r>
            <w:fldChar w:fldCharType="end"/>
          </w:r>
          <w:r>
            <w:fldChar w:fldCharType="end"/>
          </w:r>
        </w:p>
        <w:p>
          <w:pPr>
            <w:pStyle w:val="6"/>
            <w:tabs>
              <w:tab w:val="right" w:leader="dot" w:pos="9350"/>
            </w:tabs>
            <w:rPr>
              <w:rFonts w:asciiTheme="minorHAnsi" w:hAnsiTheme="minorHAnsi" w:eastAsiaTheme="minorEastAsia" w:cstheme="minorBidi"/>
            </w:rPr>
          </w:pPr>
          <w:r>
            <w:fldChar w:fldCharType="begin"/>
          </w:r>
          <w:r>
            <w:instrText xml:space="preserve"> HYPERLINK \l "_Toc38791177" </w:instrText>
          </w:r>
          <w:r>
            <w:fldChar w:fldCharType="separate"/>
          </w:r>
          <w:r>
            <w:rPr>
              <w:rStyle w:val="13"/>
            </w:rPr>
            <w:t>Determination of strategic decision making</w:t>
          </w:r>
          <w:r>
            <w:tab/>
          </w:r>
          <w:r>
            <w:fldChar w:fldCharType="begin"/>
          </w:r>
          <w:r>
            <w:instrText xml:space="preserve"> PAGEREF _Toc38791177 \h </w:instrText>
          </w:r>
          <w:r>
            <w:fldChar w:fldCharType="separate"/>
          </w:r>
          <w:r>
            <w:t>10</w:t>
          </w:r>
          <w:r>
            <w:fldChar w:fldCharType="end"/>
          </w:r>
          <w:r>
            <w:fldChar w:fldCharType="end"/>
          </w:r>
        </w:p>
        <w:p>
          <w:pPr>
            <w:pStyle w:val="6"/>
            <w:tabs>
              <w:tab w:val="right" w:leader="dot" w:pos="9350"/>
            </w:tabs>
            <w:rPr>
              <w:rFonts w:asciiTheme="minorHAnsi" w:hAnsiTheme="minorHAnsi" w:eastAsiaTheme="minorEastAsia" w:cstheme="minorBidi"/>
            </w:rPr>
          </w:pPr>
          <w:r>
            <w:fldChar w:fldCharType="begin"/>
          </w:r>
          <w:r>
            <w:instrText xml:space="preserve"> HYPERLINK \l "_Toc38791178" </w:instrText>
          </w:r>
          <w:r>
            <w:fldChar w:fldCharType="separate"/>
          </w:r>
          <w:r>
            <w:rPr>
              <w:rStyle w:val="13"/>
            </w:rPr>
            <w:t>Determination of hierarchical structure</w:t>
          </w:r>
          <w:r>
            <w:tab/>
          </w:r>
          <w:r>
            <w:fldChar w:fldCharType="begin"/>
          </w:r>
          <w:r>
            <w:instrText xml:space="preserve"> PAGEREF _Toc38791178 \h </w:instrText>
          </w:r>
          <w:r>
            <w:fldChar w:fldCharType="separate"/>
          </w:r>
          <w:r>
            <w:t>10</w:t>
          </w:r>
          <w:r>
            <w:fldChar w:fldCharType="end"/>
          </w:r>
          <w:r>
            <w:fldChar w:fldCharType="end"/>
          </w:r>
        </w:p>
        <w:p>
          <w:pPr>
            <w:pStyle w:val="9"/>
            <w:tabs>
              <w:tab w:val="right" w:leader="dot" w:pos="9350"/>
            </w:tabs>
            <w:rPr>
              <w:rFonts w:asciiTheme="minorHAnsi" w:hAnsiTheme="minorHAnsi" w:eastAsiaTheme="minorEastAsia" w:cstheme="minorBidi"/>
            </w:rPr>
          </w:pPr>
          <w:r>
            <w:fldChar w:fldCharType="begin"/>
          </w:r>
          <w:r>
            <w:instrText xml:space="preserve"> HYPERLINK \l "_Toc38791179" </w:instrText>
          </w:r>
          <w:r>
            <w:fldChar w:fldCharType="separate"/>
          </w:r>
          <w:r>
            <w:rPr>
              <w:rStyle w:val="13"/>
              <w:b/>
            </w:rPr>
            <w:t>Conclusion</w:t>
          </w:r>
          <w:r>
            <w:tab/>
          </w:r>
          <w:r>
            <w:fldChar w:fldCharType="begin"/>
          </w:r>
          <w:r>
            <w:instrText xml:space="preserve"> PAGEREF _Toc38791179 \h </w:instrText>
          </w:r>
          <w:r>
            <w:fldChar w:fldCharType="separate"/>
          </w:r>
          <w:r>
            <w:t>12</w:t>
          </w:r>
          <w:r>
            <w:fldChar w:fldCharType="end"/>
          </w:r>
          <w:r>
            <w:fldChar w:fldCharType="end"/>
          </w:r>
        </w:p>
        <w:p>
          <w:pPr>
            <w:pStyle w:val="9"/>
            <w:tabs>
              <w:tab w:val="right" w:leader="dot" w:pos="9350"/>
            </w:tabs>
            <w:rPr>
              <w:rFonts w:asciiTheme="minorHAnsi" w:hAnsiTheme="minorHAnsi" w:eastAsiaTheme="minorEastAsia" w:cstheme="minorBidi"/>
            </w:rPr>
          </w:pPr>
          <w:r>
            <w:fldChar w:fldCharType="begin"/>
          </w:r>
          <w:r>
            <w:instrText xml:space="preserve"> HYPERLINK \l "_Toc38791180" </w:instrText>
          </w:r>
          <w:r>
            <w:fldChar w:fldCharType="separate"/>
          </w:r>
          <w:r>
            <w:rPr>
              <w:rStyle w:val="13"/>
              <w:b/>
            </w:rPr>
            <w:t>References</w:t>
          </w:r>
          <w:r>
            <w:tab/>
          </w:r>
          <w:r>
            <w:fldChar w:fldCharType="begin"/>
          </w:r>
          <w:r>
            <w:instrText xml:space="preserve"> PAGEREF _Toc38791180 \h </w:instrText>
          </w:r>
          <w:r>
            <w:fldChar w:fldCharType="separate"/>
          </w:r>
          <w:r>
            <w:t>13</w:t>
          </w:r>
          <w:r>
            <w:fldChar w:fldCharType="end"/>
          </w:r>
          <w:r>
            <w:fldChar w:fldCharType="end"/>
          </w:r>
        </w:p>
        <w:p>
          <w:pPr>
            <w:pStyle w:val="10"/>
            <w:tabs>
              <w:tab w:val="right" w:leader="dot" w:pos="9350"/>
            </w:tabs>
            <w:rPr>
              <w:rFonts w:asciiTheme="minorHAnsi" w:hAnsiTheme="minorHAnsi" w:eastAsiaTheme="minorEastAsia" w:cstheme="minorBidi"/>
            </w:rPr>
          </w:pPr>
          <w:r>
            <w:fldChar w:fldCharType="begin"/>
          </w:r>
          <w:r>
            <w:instrText xml:space="preserve"> HYPERLINK \l "_Toc38791181" </w:instrText>
          </w:r>
          <w:r>
            <w:fldChar w:fldCharType="separate"/>
          </w:r>
          <w:r>
            <w:rPr>
              <w:rStyle w:val="13"/>
              <w:i/>
            </w:rPr>
            <w:t>Human resource managers and cultural diversity in MNCs</w:t>
          </w:r>
          <w:r>
            <w:tab/>
          </w:r>
          <w:r>
            <w:fldChar w:fldCharType="begin"/>
          </w:r>
          <w:r>
            <w:instrText xml:space="preserve"> PAGEREF _Toc38791181 \h </w:instrText>
          </w:r>
          <w:r>
            <w:fldChar w:fldCharType="separate"/>
          </w:r>
          <w:r>
            <w:t>15</w:t>
          </w:r>
          <w:r>
            <w:fldChar w:fldCharType="end"/>
          </w:r>
          <w:r>
            <w:fldChar w:fldCharType="end"/>
          </w:r>
        </w:p>
        <w:p>
          <w:pPr>
            <w:pStyle w:val="6"/>
            <w:tabs>
              <w:tab w:val="right" w:leader="dot" w:pos="9350"/>
            </w:tabs>
            <w:rPr>
              <w:rFonts w:asciiTheme="minorHAnsi" w:hAnsiTheme="minorHAnsi" w:eastAsiaTheme="minorEastAsia" w:cstheme="minorBidi"/>
            </w:rPr>
          </w:pPr>
          <w:r>
            <w:fldChar w:fldCharType="begin"/>
          </w:r>
          <w:r>
            <w:instrText xml:space="preserve"> HYPERLINK \l "_Toc38791182" </w:instrText>
          </w:r>
          <w:r>
            <w:fldChar w:fldCharType="separate"/>
          </w:r>
          <w:r>
            <w:rPr>
              <w:rStyle w:val="13"/>
              <w:i/>
            </w:rPr>
            <w:t>Practicing global leadership</w:t>
          </w:r>
          <w:r>
            <w:tab/>
          </w:r>
          <w:r>
            <w:fldChar w:fldCharType="begin"/>
          </w:r>
          <w:r>
            <w:instrText xml:space="preserve"> PAGEREF _Toc38791182 \h </w:instrText>
          </w:r>
          <w:r>
            <w:fldChar w:fldCharType="separate"/>
          </w:r>
          <w:r>
            <w:t>15</w:t>
          </w:r>
          <w:r>
            <w:fldChar w:fldCharType="end"/>
          </w:r>
          <w:r>
            <w:fldChar w:fldCharType="end"/>
          </w:r>
        </w:p>
        <w:p>
          <w:pPr>
            <w:pStyle w:val="6"/>
            <w:tabs>
              <w:tab w:val="right" w:leader="dot" w:pos="9350"/>
            </w:tabs>
            <w:rPr>
              <w:rFonts w:asciiTheme="minorHAnsi" w:hAnsiTheme="minorHAnsi" w:eastAsiaTheme="minorEastAsia" w:cstheme="minorBidi"/>
            </w:rPr>
          </w:pPr>
          <w:r>
            <w:fldChar w:fldCharType="begin"/>
          </w:r>
          <w:r>
            <w:instrText xml:space="preserve"> HYPERLINK \l "_Toc38791183" </w:instrText>
          </w:r>
          <w:r>
            <w:fldChar w:fldCharType="separate"/>
          </w:r>
          <w:r>
            <w:rPr>
              <w:rStyle w:val="13"/>
              <w:i/>
            </w:rPr>
            <w:t>Use of cross-cultural communication</w:t>
          </w:r>
          <w:r>
            <w:tab/>
          </w:r>
          <w:r>
            <w:fldChar w:fldCharType="begin"/>
          </w:r>
          <w:r>
            <w:instrText xml:space="preserve"> PAGEREF _Toc38791183 \h </w:instrText>
          </w:r>
          <w:r>
            <w:fldChar w:fldCharType="separate"/>
          </w:r>
          <w:r>
            <w:t>15</w:t>
          </w:r>
          <w:r>
            <w:fldChar w:fldCharType="end"/>
          </w:r>
          <w:r>
            <w:fldChar w:fldCharType="end"/>
          </w:r>
        </w:p>
        <w:p>
          <w:pPr>
            <w:pStyle w:val="6"/>
            <w:tabs>
              <w:tab w:val="right" w:leader="dot" w:pos="9350"/>
            </w:tabs>
            <w:rPr>
              <w:rFonts w:asciiTheme="minorHAnsi" w:hAnsiTheme="minorHAnsi" w:eastAsiaTheme="minorEastAsia" w:cstheme="minorBidi"/>
            </w:rPr>
          </w:pPr>
          <w:r>
            <w:fldChar w:fldCharType="begin"/>
          </w:r>
          <w:r>
            <w:instrText xml:space="preserve"> HYPERLINK \l "_Toc38791184" </w:instrText>
          </w:r>
          <w:r>
            <w:fldChar w:fldCharType="separate"/>
          </w:r>
          <w:r>
            <w:rPr>
              <w:rStyle w:val="13"/>
              <w:i/>
            </w:rPr>
            <w:t>Use of cultural sensitivity</w:t>
          </w:r>
          <w:r>
            <w:tab/>
          </w:r>
          <w:r>
            <w:fldChar w:fldCharType="begin"/>
          </w:r>
          <w:r>
            <w:instrText xml:space="preserve"> PAGEREF _Toc38791184 \h </w:instrText>
          </w:r>
          <w:r>
            <w:fldChar w:fldCharType="separate"/>
          </w:r>
          <w:r>
            <w:t>16</w:t>
          </w:r>
          <w:r>
            <w:fldChar w:fldCharType="end"/>
          </w:r>
          <w:r>
            <w:fldChar w:fldCharType="end"/>
          </w:r>
        </w:p>
        <w:p>
          <w:r>
            <w:rPr>
              <w:b/>
              <w:bCs/>
            </w:rPr>
            <w:fldChar w:fldCharType="end"/>
          </w:r>
        </w:p>
      </w:sdtContent>
    </w:sdt>
    <w:p/>
    <w:p/>
    <w:p/>
    <w:p/>
    <w:p/>
    <w:p/>
    <w:p/>
    <w:p/>
    <w:p>
      <w:pPr>
        <w:pStyle w:val="2"/>
        <w:spacing w:line="480" w:lineRule="auto"/>
        <w:rPr>
          <w:b/>
          <w:color w:val="000000" w:themeColor="text1"/>
          <w:sz w:val="28"/>
          <w:szCs w:val="28"/>
          <w14:textFill>
            <w14:solidFill>
              <w14:schemeClr w14:val="tx1"/>
            </w14:solidFill>
          </w14:textFill>
        </w:rPr>
      </w:pPr>
      <w:bookmarkStart w:id="0" w:name="_Toc38791169"/>
      <w:r>
        <w:rPr>
          <w:b/>
          <w:color w:val="000000" w:themeColor="text1"/>
          <w:sz w:val="28"/>
          <w:szCs w:val="28"/>
          <w14:textFill>
            <w14:solidFill>
              <w14:schemeClr w14:val="tx1"/>
            </w14:solidFill>
          </w14:textFill>
        </w:rPr>
        <w:t>Introduction</w:t>
      </w:r>
      <w:bookmarkEnd w:id="0"/>
    </w:p>
    <w:p>
      <w:pPr>
        <w:spacing w:line="480" w:lineRule="auto"/>
        <w:jc w:val="both"/>
        <w:rPr>
          <w:rFonts w:asciiTheme="minorHAnsi" w:hAnsiTheme="minorHAnsi"/>
          <w:sz w:val="24"/>
          <w:szCs w:val="24"/>
        </w:rPr>
      </w:pPr>
      <w:r>
        <w:rPr>
          <w:rFonts w:asciiTheme="minorHAnsi" w:hAnsiTheme="minorHAnsi"/>
          <w:sz w:val="24"/>
          <w:szCs w:val="24"/>
        </w:rPr>
        <w:t>Man is always venturing into business with some succeeding and others failing. Though, when it comes to the corporate world, proper communication is a significant component of a successful business. One can ultimately fail without using proper communication techniques. When organizations hope to expand their business into international regions, they most likely to encounter challenges, barriers, and opposition in communication and culture in the ventured market. Another way of looking at this is through globalization. The world as a whole has become one big market only differentiated through culture but intertwined through communication. The way this was achieved was through communication leading to new untapped markets. This, however, has led to others wanting to preserve their cultural diversities (Baraldi 2006, p. 63) which has proven to be impossible, making globalization a bit paradoxical. With the merger of cultures old, current, and upcoming, a business can get a wider market thus increasing operations in said region of interest. Without considering these cultural diversities one fails to look at the whole picture of the worthiness of the venture.
</w:t>
      </w:r>
    </w:p>
    <w:p>
      <w:pPr>
        <w:spacing w:line="480" w:lineRule="auto"/>
        <w:jc w:val="both"/>
        <w:rPr>
          <w:rFonts w:asciiTheme="minorHAnsi" w:hAnsiTheme="minorHAnsi"/>
          <w:sz w:val="24"/>
          <w:szCs w:val="24"/>
        </w:rPr>
      </w:pPr>
      <w:r>
        <w:rPr>
          <w:rFonts w:asciiTheme="minorHAnsi" w:hAnsiTheme="minorHAnsi"/>
          <w:sz w:val="24"/>
          <w:szCs w:val="24"/>
        </w:rPr>
        <w:t xml:space="preserve">                   International business has become a mere competition between companies for survival and growth in the market. This is all carried out in an environment of the complexity of diverse cultures such as those experienced in Europe (Muzychenko 2008, p. 370). These challenges can be tackled by looking at them in a theoretical review. Considering the challenges faced as variables, the theoretical models can take into consideration the influence of the intercultural environment. Also, come up with effective ways of decision making by entrepreneurs, manages in making deals that will not bring up cultural differences. This is to say, they should look at both cultures and come to an understanding that will be beneficial to both without overstepping any cultural boundaries. </w:t>
      </w:r>
      <w:r>
        <w:rPr>
          <w:rFonts w:asciiTheme="minorHAnsi" w:hAnsiTheme="minorHAnsi"/>
          <w:i/>
          <w:sz w:val="24"/>
          <w:szCs w:val="24"/>
        </w:rPr>
        <w:t>In this paper, we will look at several pieces of literature on intercultural business and critique those and hoping to analyze the way communication and culture and other factors that affect international business in the UK and Australia.
</w:t>
      </w:r>
    </w:p>
    <w:p>
      <w:pPr>
        <w:pStyle w:val="2"/>
        <w:spacing w:line="480" w:lineRule="auto"/>
        <w:rPr>
          <w:b/>
          <w:color w:val="000000" w:themeColor="text1"/>
          <w:sz w:val="28"/>
          <w:szCs w:val="28"/>
          <w14:textFill>
            <w14:solidFill>
              <w14:schemeClr w14:val="tx1"/>
            </w14:solidFill>
          </w14:textFill>
        </w:rPr>
      </w:pPr>
      <w:bookmarkStart w:id="1" w:name="_Toc38791170"/>
      <w:r>
        <w:rPr>
          <w:b/>
          <w:color w:val="000000" w:themeColor="text1"/>
          <w:sz w:val="28"/>
          <w:szCs w:val="28"/>
          <w14:textFill>
            <w14:solidFill>
              <w14:schemeClr w14:val="tx1"/>
            </w14:solidFill>
          </w14:textFill>
        </w:rPr>
        <w:t>Discussion</w:t>
      </w:r>
      <w:bookmarkEnd w:id="1"/>
    </w:p>
    <w:p>
      <w:pPr>
        <w:pStyle w:val="3"/>
        <w:spacing w:line="480" w:lineRule="auto"/>
        <w:rPr>
          <w:rFonts w:asciiTheme="minorHAnsi" w:hAnsiTheme="minorHAnsi"/>
          <w:i/>
          <w:color w:val="000000" w:themeColor="text1"/>
          <w:sz w:val="24"/>
          <w:szCs w:val="24"/>
          <w:u w:val="single"/>
          <w14:textFill>
            <w14:solidFill>
              <w14:schemeClr w14:val="tx1"/>
            </w14:solidFill>
          </w14:textFill>
        </w:rPr>
      </w:pPr>
      <w:bookmarkStart w:id="2" w:name="_Toc38791171"/>
      <w:r>
        <w:rPr>
          <w:rFonts w:asciiTheme="minorHAnsi" w:hAnsiTheme="minorHAnsi"/>
          <w:i/>
          <w:color w:val="000000" w:themeColor="text1"/>
          <w:sz w:val="24"/>
          <w:szCs w:val="24"/>
          <w:u w:val="single"/>
          <w14:textFill>
            <w14:solidFill>
              <w14:schemeClr w14:val="tx1"/>
            </w14:solidFill>
          </w14:textFill>
        </w:rPr>
        <w:t>Cross-cultural Management</w:t>
      </w:r>
      <w:bookmarkEnd w:id="2"/>
      <w:r>
        <w:rPr>
          <w:rFonts w:asciiTheme="minorHAnsi" w:hAnsiTheme="minorHAnsi"/>
          <w:i/>
          <w:color w:val="000000" w:themeColor="text1"/>
          <w:sz w:val="24"/>
          <w:szCs w:val="24"/>
          <w:u w:val="single"/>
          <w14:textFill>
            <w14:solidFill>
              <w14:schemeClr w14:val="tx1"/>
            </w14:solidFill>
          </w14:textFill>
        </w:rPr>
        <w:t xml:space="preserve"> </w:t>
      </w:r>
    </w:p>
    <w:p>
      <w:pPr>
        <w:spacing w:line="480" w:lineRule="auto"/>
        <w:jc w:val="both"/>
        <w:rPr>
          <w:rFonts w:asciiTheme="minorHAnsi" w:hAnsiTheme="minorHAnsi"/>
          <w:sz w:val="24"/>
          <w:szCs w:val="24"/>
        </w:rPr>
      </w:pPr>
      <w:r>
        <w:rPr>
          <w:rFonts w:asciiTheme="minorHAnsi" w:hAnsiTheme="minorHAnsi"/>
          <w:sz w:val="24"/>
          <w:szCs w:val="24"/>
        </w:rPr>
        <w:t xml:space="preserve">                  To understand the culture of any group and/or to change it, one has to get at its underlying assumptions and understand how such basic assumptions came to be.  The best way to change a culture is to change the basic assumptions, but this is difficult, time-consuming, and highly anxiety-provoking.  Thus, the central challenge for business leaders and managers is "to get at the deepest level of culture, assess the functionality of the assumptions made at that level, and deal with the anxiety that is unleashed when those levels are challenged" (Schein 2004, pp. 36-37). Organizations are a form of society, and they too have a culture that presents to those whose task is to lead and manage them the same challenges of complexity, contingency, and diversity.  Schein (2004, pp. 10-11) argued that culture and leadership are two sides of the same coin because culture determines who will become the leader and leadership creates and manages the culture (p. 10).  Leaders have the unique talent to understand and work with cultures, destroying or changing it when needed, or building it and making it stronger (p. 11).</w:t>
      </w:r>
    </w:p>
    <w:p>
      <w:pPr>
        <w:spacing w:line="480" w:lineRule="auto"/>
        <w:jc w:val="both"/>
        <w:rPr>
          <w:rFonts w:asciiTheme="minorHAnsi" w:hAnsiTheme="minorHAnsi"/>
          <w:sz w:val="24"/>
          <w:szCs w:val="24"/>
        </w:rPr>
      </w:pPr>
      <w:r>
        <w:rPr>
          <w:rFonts w:asciiTheme="minorHAnsi" w:hAnsiTheme="minorHAnsi"/>
          <w:sz w:val="24"/>
          <w:szCs w:val="24"/>
        </w:rPr>
        <w:t xml:space="preserve">                     Leaders need to become conscious of the culture in which they are embedded; otherwise, the culture will manage them.  Understanding culture is essential to leaders if they are to lead (Schein 2004, pp. 22-23).  This should extend to understanding existing sub-cultures that represent diversity and pose a threat to potential disunity and fragmentation.  Thus, culture presents a dual challenge to a leader and a manager: that of understanding the culture of the people they lead and of the place where they want to do business and to understand the culture of the people to whom they want to sell their products. This is the challenge of cross-cultural management and its dual dimension, a situation highlighted in this age of globalization and internationalization when business organizations are subjected to cultural differences and characteristics inside and outside.  Not only should organizations learn to operate in cultures outside its home country so it could do business and sell products or services to peoples and countries whose cultures are different from their own.  They too must learn to manage employees from different cultures who work for them (Grainger and Nankervis, 2001).</w:t>
      </w:r>
    </w:p>
    <w:p>
      <w:pPr>
        <w:pStyle w:val="3"/>
        <w:spacing w:line="480" w:lineRule="auto"/>
        <w:rPr>
          <w:rFonts w:asciiTheme="minorHAnsi" w:hAnsiTheme="minorHAnsi"/>
          <w:i/>
          <w:color w:val="000000" w:themeColor="text1"/>
          <w:sz w:val="24"/>
          <w:szCs w:val="24"/>
          <w:u w:val="single"/>
          <w14:textFill>
            <w14:solidFill>
              <w14:schemeClr w14:val="tx1"/>
            </w14:solidFill>
          </w14:textFill>
        </w:rPr>
      </w:pPr>
      <w:bookmarkStart w:id="3" w:name="_Toc182880959"/>
      <w:bookmarkStart w:id="4" w:name="_Toc38791172"/>
      <w:r>
        <w:rPr>
          <w:rFonts w:asciiTheme="minorHAnsi" w:hAnsiTheme="minorHAnsi"/>
          <w:i/>
          <w:color w:val="000000" w:themeColor="text1"/>
          <w:sz w:val="24"/>
          <w:szCs w:val="24"/>
          <w:u w:val="single"/>
          <w14:textFill>
            <w14:solidFill>
              <w14:schemeClr w14:val="tx1"/>
            </w14:solidFill>
          </w14:textFill>
        </w:rPr>
        <w:t>Critical Look at the Hofstede Model</w:t>
      </w:r>
      <w:bookmarkEnd w:id="3"/>
      <w:bookmarkEnd w:id="4"/>
    </w:p>
    <w:p>
      <w:pPr>
        <w:spacing w:line="480" w:lineRule="auto"/>
        <w:jc w:val="both"/>
        <w:rPr>
          <w:rFonts w:asciiTheme="minorHAnsi" w:hAnsiTheme="minorHAnsi"/>
          <w:sz w:val="24"/>
          <w:szCs w:val="24"/>
          <w:lang w:val="en-GB"/>
        </w:rPr>
      </w:pPr>
      <w:r>
        <w:rPr>
          <w:rFonts w:asciiTheme="minorHAnsi" w:hAnsiTheme="minorHAnsi"/>
          <w:sz w:val="24"/>
          <w:szCs w:val="24"/>
          <w:lang w:val="en-GB"/>
        </w:rPr>
        <w:t xml:space="preserve">                    It is in the context of learning about national cultures and their influence on business organizations and their management that Hofstede and Laurent conducted their research on cross-cultural management and how to develop the managerial skills for it.  First, their intentions are noteworthy, since the focus of their studies have helped managers understand the nature of culture. Also, how it influences behavior in the workplace, learn about specific cultures, not only that of foreigners but their own, recognize the differences between cultures, and to implement the needed structures to better manage firms and markets (Beamish and Calof, 1989).  Firms who ignore the fact of cultural diversity do so at their peril, but some manage to do so on a limited basis and survive because the management lacks the skills and resources to handle diversity. Also, there are no opportunities to derive positive effects from cross-cultural management, the negative effects outweigh the positive effects. Moreover, the firm's refusal to recognize diversity would seem likely to minimize the negative effects.  
</w:t>
      </w:r>
    </w:p>
    <w:p>
      <w:pPr>
        <w:spacing w:line="480" w:lineRule="auto"/>
        <w:rPr>
          <w:rFonts w:asciiTheme="minorHAnsi" w:hAnsiTheme="minorHAnsi"/>
          <w:sz w:val="24"/>
          <w:szCs w:val="24"/>
        </w:rPr>
      </w:pPr>
      <w:r>
        <w:rPr>
          <w:rFonts w:asciiTheme="minorHAnsi" w:hAnsiTheme="minorHAnsi"/>
          <w:sz w:val="24"/>
          <w:szCs w:val="24"/>
        </w:rPr>
        <w:t xml:space="preserve">                    Hofstede (1980/1984/1991) developed a model for analyzing international business environment cultures based on his observation that people tend to think instinctively that all human beings are the same, but they are not.  Thus, managers in foreign countries commit the mistake of making decisions based on their own culture, which affects how they perceive the situations in which those decisions have to be made.  Hofstede attributes to this basic mistake many wrong decisions made by managers when they go out of their home country.  Hofstede’s claims that his model would reduce the frustration level, anxiety, and concern, if have proper understanding and applied appropriately.</w:t>
      </w:r>
    </w:p>
    <w:p>
      <w:pPr>
        <w:pStyle w:val="3"/>
        <w:spacing w:line="480" w:lineRule="auto"/>
        <w:jc w:val="both"/>
        <w:rPr>
          <w:rFonts w:asciiTheme="minorHAnsi" w:hAnsiTheme="minorHAnsi"/>
          <w:i/>
          <w:color w:val="000000" w:themeColor="text1"/>
          <w:sz w:val="24"/>
          <w:szCs w:val="24"/>
          <w:u w:val="single"/>
          <w14:textFill>
            <w14:solidFill>
              <w14:schemeClr w14:val="tx1"/>
            </w14:solidFill>
          </w14:textFill>
        </w:rPr>
      </w:pPr>
      <w:bookmarkStart w:id="5" w:name="_Toc38791173"/>
      <w:r>
        <w:rPr>
          <w:rFonts w:asciiTheme="minorHAnsi" w:hAnsiTheme="minorHAnsi"/>
          <w:i/>
          <w:color w:val="000000" w:themeColor="text1"/>
          <w:sz w:val="24"/>
          <w:szCs w:val="24"/>
          <w:u w:val="single"/>
          <w14:textFill>
            <w14:solidFill>
              <w14:schemeClr w14:val="tx1"/>
            </w14:solidFill>
          </w14:textFill>
        </w:rPr>
        <w:t>Differences in National Culture of Australia and the United Kingdom (Using Hofstede’s Model)</w:t>
      </w:r>
      <w:bookmarkEnd w:id="5"/>
    </w:p>
    <w:p>
      <w:pPr>
        <w:spacing w:line="480" w:lineRule="auto"/>
        <w:jc w:val="both"/>
        <w:rPr>
          <w:rFonts w:asciiTheme="minorHAnsi" w:hAnsiTheme="minorHAnsi"/>
          <w:sz w:val="24"/>
          <w:szCs w:val="24"/>
        </w:rPr>
      </w:pPr>
      <w:r>
        <w:rPr>
          <w:rFonts w:asciiTheme="minorHAnsi" w:hAnsiTheme="minorHAnsi"/>
          <w:sz w:val="24"/>
          <w:szCs w:val="24"/>
        </w:rPr>
        <w:t xml:space="preserve">                     Geert Hofstede's 'dimensions of national culture' is used here to identify the differences between the national culture of Australia, the host country, and the United Kingdom, the parent country, and to assess the potential implication of these differences for human resource management. Australia and the UK both scored high in Individualism, 90 and 89 respectively (Johnson and Turner 2003). This implies that both countries highly value individuality. This individuality is expressed in the everyday lives of Australians and should be taken into account when expanding to their country. Similarly, British society greatly values privacy and independence. In the context of business, an individual may be more worried about or interested in themselves rather than the group.  In terms of power distance, both countries rank low. This suggests that inequalities, standing, and rank between individuals are quite low (Johnson and Turner 2003). On a micro level, this is manifested in the workplace where the superior-subordinate relationship is fairly relaxed and integrates modest official procedures. On a macro level, this is expressed in several ways, like government policies safeguarding the rights of ethnic minorities.
</w:t>
      </w:r>
    </w:p>
    <w:p>
      <w:pPr>
        <w:spacing w:line="480" w:lineRule="auto"/>
        <w:jc w:val="both"/>
        <w:rPr>
          <w:rFonts w:asciiTheme="minorHAnsi" w:hAnsiTheme="minorHAnsi"/>
          <w:sz w:val="24"/>
          <w:szCs w:val="24"/>
        </w:rPr>
      </w:pPr>
      <w:r>
        <w:rPr>
          <w:rFonts w:asciiTheme="minorHAnsi" w:hAnsiTheme="minorHAnsi"/>
          <w:sz w:val="24"/>
          <w:szCs w:val="24"/>
        </w:rPr>
        <w:t xml:space="preserve">                   In terms of Uncertainty Avoidance, both countries rank low. This implies that both cultures are somewhat open to risk-taking and coping with change (Cooke 2003). On a micro level, disparity or conflict in the workplace is perceived to be constructive. On a macro level, this is manifested in the continuous adjustment of government systems and laws. In terms of Masculinity, both countries are positioned in the middle. According to Cooke (2003), this perhaps reveals the fact that both cultures aspire for gender equality, but a particular level of gender discrimination remains.  So, how do these differences in national culture influence human resource management? As argued by Hofstede, the two national cultural dimensions that could influence HR management, especially diversity management, are individualism and power distance (Johnson and Turner 2003). Countries with low power distance, like Australia and the UK, would witness greater impacts of involvement on views of workplace diversity than countries with high power distance. Since there would be fewer hurdles in the workplace that would hinder the integration of diverse workers. Countries with low individualism, like Thailand, South Korea, Ecuador, Chile, and Brazil (Johnson and Turner 2003), may witness greater impacts of involvement on views of diversity than individualistic nations like Australia and the UK because of the stress on inclusion and group work.</w:t>
      </w:r>
    </w:p>
    <w:p>
      <w:pPr>
        <w:spacing w:line="480" w:lineRule="auto"/>
        <w:jc w:val="both"/>
        <w:rPr>
          <w:rFonts w:asciiTheme="minorHAnsi" w:hAnsiTheme="minorHAnsi"/>
          <w:sz w:val="24"/>
          <w:szCs w:val="24"/>
        </w:rPr>
      </w:pPr>
      <w:r>
        <w:rPr>
          <w:rFonts w:asciiTheme="minorHAnsi" w:hAnsiTheme="minorHAnsi"/>
          <w:sz w:val="24"/>
          <w:szCs w:val="24"/>
        </w:rPr>
        <w:t xml:space="preserve">                    Since the national culture of Australia and the UK are fairly similar, UK organizations will not have much of a problem coping with the Australian culture. However, the major challenge for the HRM of UK organizations is diversity management since Australia is highly individualistic. At this point, the breaking down of obstacles and the method formulation is the biggest HRM challenge to make sure that all staff in Australian companies can enhance the knowledge scope and capabilities, whether informal or formal. In Australia, it is argued that there are still issues of gender inequalities in the workplace (Schuler et al. 2003). If this is true, then UK HR managers confront the task of building a secure and protected environment for female employees. Organizations should understand that HR managers can face issues reading gender discrimination to employ, empower, and retain female staff. On the other hand, the superior-subordinate relationship rests on power distance (Jones 2005). In Australia, which has a low power distance, managers and subordinates are viewed as equals and as a result, the best HRM approach is a democratic one.     
</w:t>
      </w:r>
    </w:p>
    <w:p>
      <w:pPr>
        <w:pStyle w:val="3"/>
        <w:spacing w:line="480" w:lineRule="auto"/>
        <w:rPr>
          <w:rFonts w:asciiTheme="minorHAnsi" w:hAnsiTheme="minorHAnsi"/>
          <w:i/>
          <w:color w:val="000000" w:themeColor="text1"/>
          <w:sz w:val="24"/>
          <w:szCs w:val="24"/>
          <w:u w:val="single"/>
          <w14:textFill>
            <w14:solidFill>
              <w14:schemeClr w14:val="tx1"/>
            </w14:solidFill>
          </w14:textFill>
        </w:rPr>
      </w:pPr>
      <w:bookmarkStart w:id="6" w:name="_Toc38791174"/>
      <w:r>
        <w:rPr>
          <w:rFonts w:asciiTheme="minorHAnsi" w:hAnsiTheme="minorHAnsi"/>
          <w:i/>
          <w:color w:val="000000" w:themeColor="text1"/>
          <w:sz w:val="24"/>
          <w:szCs w:val="24"/>
          <w:u w:val="single"/>
          <w14:textFill>
            <w14:solidFill>
              <w14:schemeClr w14:val="tx1"/>
            </w14:solidFill>
          </w14:textFill>
        </w:rPr>
        <w:t>Critical Look at the Laurent Model</w:t>
      </w:r>
      <w:bookmarkEnd w:id="6"/>
    </w:p>
    <w:p>
      <w:pPr>
        <w:spacing w:line="480" w:lineRule="auto"/>
        <w:jc w:val="both"/>
        <w:rPr>
          <w:rFonts w:asciiTheme="minorHAnsi" w:hAnsiTheme="minorHAnsi"/>
          <w:sz w:val="24"/>
          <w:szCs w:val="24"/>
        </w:rPr>
      </w:pPr>
      <w:r>
        <w:rPr>
          <w:rFonts w:asciiTheme="minorHAnsi" w:hAnsiTheme="minorHAnsi"/>
          <w:sz w:val="24"/>
          <w:szCs w:val="24"/>
        </w:rPr>
        <w:t xml:space="preserve">                    Laurent (1983/1986/1991) recognized the complexity of managing people from different cultures and argued that business organizations must learn to manage with greater consistency in a variety of cultural environments (1986, p. 97).  He proposed that international business firms must recognize that the parent organization’s peculiar ways of management are neither universally better nor worse than others, only different and likely to exhibit strengths and weaknesses particularly abroad.  He added that preferred ways of managing people in other cultures may be more effective locally and, therefore, should be acknowledged and allowed even if these are remarkably different. Laurent (1986, p. 100) emphasized that cross-cultural management issues have more to do with states of mind and mindsets than with behaviors. That what would be more interesting to know is how the organizational and national cultures interact instead of focusing solely on the national culture as a determinant of managerial behavior.  He proposed (1986, p. 80-89) four parameters of organizational cultures that he measured to predict how cultural interactions would take place depending on how the organization is perceived: as a (1) Political system; (2) Authority system; (3) Role formulation system; and (4) Hierarchical relationship system.  </w:t>
      </w:r>
    </w:p>
    <w:p>
      <w:pPr>
        <w:pStyle w:val="4"/>
        <w:spacing w:line="480" w:lineRule="auto"/>
        <w:rPr>
          <w:rFonts w:asciiTheme="minorHAnsi" w:hAnsiTheme="minorHAnsi"/>
          <w:lang w:val="en-GB"/>
        </w:rPr>
      </w:pPr>
      <w:bookmarkStart w:id="7" w:name="_Toc38791175"/>
      <w:r>
        <w:rPr>
          <w:rFonts w:asciiTheme="minorHAnsi" w:hAnsiTheme="minorHAnsi"/>
          <w:lang w:val="en-GB"/>
        </w:rPr>
        <w:t>Abstracting from Laurent’s scores for the UK country:</w:t>
      </w:r>
      <w:bookmarkEnd w:id="7"/>
      <w:r>
        <w:rPr>
          <w:rFonts w:asciiTheme="minorHAnsi" w:hAnsiTheme="minorHAnsi"/>
          <w:lang w:val="en-GB"/>
        </w:rPr>
        <w:t xml:space="preserve"> </w:t>
      </w:r>
    </w:p>
    <w:p>
      <w:pPr>
        <w:spacing w:line="480" w:lineRule="auto"/>
        <w:rPr>
          <w:rFonts w:asciiTheme="minorHAnsi" w:hAnsiTheme="minorHAnsi"/>
          <w:sz w:val="24"/>
          <w:szCs w:val="24"/>
        </w:rPr>
      </w:pPr>
      <w:r>
        <w:rPr>
          <w:rFonts w:asciiTheme="minorHAnsi" w:hAnsiTheme="minorHAnsi"/>
          <w:sz w:val="24"/>
          <w:szCs w:val="24"/>
        </w:rPr>
        <w:drawing>
          <wp:inline distT="0" distB="0" distL="0" distR="0">
            <wp:extent cx="4743450" cy="49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a:xfrm>
                      <a:off x="0" y="0"/>
                      <a:ext cx="4743450" cy="495300"/>
                    </a:xfrm>
                    <a:prstGeom prst="rect">
                      <a:avLst/>
                    </a:prstGeom>
                    <a:noFill/>
                    <a:ln>
                      <a:noFill/>
                    </a:ln>
                  </pic:spPr>
                </pic:pic>
              </a:graphicData>
            </a:graphic>
          </wp:inline>
        </w:drawing>
      </w:r>
    </w:p>
    <w:p>
      <w:pPr>
        <w:spacing w:line="480" w:lineRule="auto"/>
        <w:rPr>
          <w:rFonts w:asciiTheme="minorHAnsi" w:hAnsiTheme="minorHAnsi"/>
          <w:sz w:val="24"/>
          <w:szCs w:val="24"/>
        </w:rPr>
      </w:pPr>
      <w:r>
        <w:rPr>
          <w:rFonts w:asciiTheme="minorHAnsi" w:hAnsiTheme="minorHAnsi"/>
          <w:sz w:val="24"/>
          <w:szCs w:val="24"/>
        </w:rPr>
        <w:t>Consistent with the Hofstede scores, these Laurent scores predict that UK companies are characterized by competition based on personal and professional merit, typical of cultures with low PDI, high IDV and MAS, and low UAI and LTO scores.  In the UK organizational culture, employees have a "winner-take-all" attitude where personal competence counts more than the ability to work with a team and share their accomplishments.
</w:t>
      </w:r>
    </w:p>
    <w:p>
      <w:pPr>
        <w:pStyle w:val="3"/>
        <w:spacing w:line="480" w:lineRule="auto"/>
        <w:rPr>
          <w:rFonts w:asciiTheme="minorHAnsi" w:hAnsiTheme="minorHAnsi"/>
          <w:i/>
          <w:color w:val="000000" w:themeColor="text1"/>
          <w:sz w:val="24"/>
          <w:szCs w:val="24"/>
          <w:u w:val="single"/>
          <w14:textFill>
            <w14:solidFill>
              <w14:schemeClr w14:val="tx1"/>
            </w14:solidFill>
          </w14:textFill>
        </w:rPr>
      </w:pPr>
      <w:bookmarkStart w:id="8" w:name="_Toc38791176"/>
      <w:r>
        <w:rPr>
          <w:i/>
          <w:color w:val="000000" w:themeColor="text1"/>
          <w:u w:val="single"/>
          <w14:textFill>
            <w14:solidFill>
              <w14:schemeClr w14:val="tx1"/>
            </w14:solidFill>
          </w14:textFill>
        </w:rPr>
        <w:t>Roles national culture play in the human resource management</w:t>
      </w:r>
      <w:bookmarkEnd w:id="8"/>
    </w:p>
    <w:p>
      <w:pPr>
        <w:spacing w:line="480" w:lineRule="auto"/>
        <w:jc w:val="both"/>
        <w:rPr>
          <w:rFonts w:asciiTheme="minorHAnsi" w:hAnsiTheme="minorHAnsi"/>
          <w:sz w:val="24"/>
          <w:szCs w:val="24"/>
        </w:rPr>
      </w:pPr>
      <w:r>
        <w:rPr>
          <w:rFonts w:asciiTheme="minorHAnsi" w:hAnsiTheme="minorHAnsi"/>
          <w:sz w:val="24"/>
          <w:szCs w:val="24"/>
        </w:rPr>
        <w:t xml:space="preserve">                    National culture has been one of the determinants of the accepted practices of Human Resource management for most of the MNC from their local countries to other countries. Most of the organizations have been forced to conform to the management customs of the local countries where they have established their businesses. Some of the roles played by national culture are
</w:t>
      </w:r>
    </w:p>
    <w:p>
      <w:pPr>
        <w:pStyle w:val="4"/>
        <w:spacing w:line="480" w:lineRule="auto"/>
      </w:pPr>
      <w:bookmarkStart w:id="9" w:name="_Toc38791177"/>
      <w:r>
        <w:t>Determination of strategic decision making</w:t>
      </w:r>
      <w:bookmarkEnd w:id="9"/>
    </w:p>
    <w:p>
      <w:pPr>
        <w:spacing w:line="480" w:lineRule="auto"/>
        <w:jc w:val="both"/>
        <w:rPr>
          <w:rFonts w:asciiTheme="minorHAnsi" w:hAnsiTheme="minorHAnsi"/>
          <w:sz w:val="24"/>
          <w:szCs w:val="24"/>
        </w:rPr>
      </w:pPr>
      <w:r>
        <w:rPr>
          <w:rFonts w:asciiTheme="minorHAnsi" w:hAnsiTheme="minorHAnsi"/>
          <w:sz w:val="24"/>
          <w:szCs w:val="24"/>
        </w:rPr>
        <w:t xml:space="preserve">                  National culture has been at the forefront for the determination of strategic decision making and the various leadership styles (Schneider and DeMeyer, 1991 pp.308) such as practices like performance appraisal (Luthans, Welsh, and Rosenkrantz, 1993 pp. 743). This practice is common in human resource management and is determined by the culture of a given country. The culture of countries like the UK and Australia can accommodate performance appraisal whereas culture in countries like Korea cannot effectively accommodate performance appraisal. Therefore, UK managers need to understand Australian culture while designing performance appraisals.</w:t>
      </w:r>
    </w:p>
    <w:p>
      <w:pPr>
        <w:pStyle w:val="4"/>
        <w:spacing w:line="480" w:lineRule="auto"/>
      </w:pPr>
      <w:bookmarkStart w:id="10" w:name="_Toc38791178"/>
      <w:r>
        <w:t>Determination of the hierarchical structure
</w:t>
      </w:r>
      <w:bookmarkEnd w:id="10"/>
    </w:p>
    <w:p>
      <w:pPr>
        <w:spacing w:line="480" w:lineRule="auto"/>
        <w:jc w:val="both"/>
        <w:rPr>
          <w:rFonts w:asciiTheme="minorHAnsi" w:hAnsiTheme="minorHAnsi"/>
          <w:color w:val="000000" w:themeColor="text1"/>
          <w:sz w:val="24"/>
          <w:szCs w:val="24"/>
          <w14:textFill>
            <w14:solidFill>
              <w14:schemeClr w14:val="tx1"/>
            </w14:solidFill>
          </w14:textFill>
        </w:rPr>
      </w:pPr>
      <w:r>
        <w:rPr>
          <w:rFonts w:asciiTheme="minorHAnsi" w:hAnsiTheme="minorHAnsi"/>
          <w:color w:val="000000" w:themeColor="text1"/>
          <w:sz w:val="24"/>
          <w:szCs w:val="24"/>
          <w14:textFill>
            <w14:solidFill>
              <w14:schemeClr w14:val="tx1"/>
            </w14:solidFill>
          </w14:textFill>
        </w:rPr>
        <w:t xml:space="preserve">               National culture also plays an important role in the determination of hierarchical structures in human resource management. Most of the organizations in Korea have a shorter hierarchical structure of human resource management compared to organizations in countries like Australia and the UK. The culture also plays a role in the determination of job description, flexibility, control system, and promotions within the given organizations. The control systems are based upon the self-discipline among the workers which is also promoted by the culture of a given country. The organizational culture has a lot of influences on the HRM within the different organizations. This is because this culture is a vital determinant in the structure, efficacy, and acceptance of the practices in the HRM for different organizations and companies. The organizational structure is vital in the determination of labor force characteristics such as the composition of the demography, levels of education, and the training of the workers at large. Labour force characteristics can also be said to be a key element of national culture and they have a lot of influences on implementation of HRM practices more so at the organizational and national levels (Gamble, 2003 pp. 371). </w:t>
      </w:r>
    </w:p>
    <w:p>
      <w:pPr>
        <w:pStyle w:val="5"/>
        <w:spacing w:line="480" w:lineRule="auto"/>
      </w:pPr>
      <w:r>
        <w:t>Recruitment and Selection</w:t>
      </w:r>
    </w:p>
    <w:p>
      <w:pPr>
        <w:spacing w:line="480" w:lineRule="auto"/>
        <w:jc w:val="both"/>
        <w:rPr>
          <w:rFonts w:asciiTheme="minorHAnsi" w:hAnsiTheme="minorHAnsi"/>
          <w:color w:val="000000" w:themeColor="text1"/>
          <w:sz w:val="24"/>
          <w:szCs w:val="24"/>
          <w14:textFill>
            <w14:solidFill>
              <w14:schemeClr w14:val="tx1"/>
            </w14:solidFill>
          </w14:textFill>
        </w:rPr>
      </w:pPr>
      <w:r>
        <w:rPr>
          <w:rFonts w:asciiTheme="minorHAnsi" w:hAnsiTheme="minorHAnsi"/>
          <w:color w:val="000000" w:themeColor="text1"/>
          <w:sz w:val="24"/>
          <w:szCs w:val="24"/>
          <w14:textFill>
            <w14:solidFill>
              <w14:schemeClr w14:val="tx1"/>
            </w14:solidFill>
          </w14:textFill>
        </w:rPr>
        <w:t xml:space="preserve">                The recruitment of workers is influenced by practices like retention and recruitment practices which at the same time influence the workforce composition and the human resource management practices. Organizational culture also determines the presence of expatriates which also influences the various practices of human resource management. The use of expatriates managers has been employed by the mother companies in foreign countries to assist in delivering human resource management practices. An increase in Human resource practices has been affected by the presence of expatriate managers who tend to practice strict adherence to the mother company objectives and visions. The use of the national culture to some extent affects the deployment of expatriates in different countries.
</w:t>
      </w:r>
    </w:p>
    <w:p>
      <w:pPr>
        <w:spacing w:line="480" w:lineRule="auto"/>
        <w:jc w:val="both"/>
        <w:rPr>
          <w:sz w:val="24"/>
          <w:szCs w:val="24"/>
        </w:rPr>
      </w:pPr>
      <w:r>
        <w:rPr>
          <w:sz w:val="24"/>
          <w:szCs w:val="24"/>
        </w:rPr>
        <w:t xml:space="preserve">               In a comparative investigation of recruitment procedures, Huo and colleagues (2002) stated that, in comparison to standards in the Asia-Pacific, large numbers of Australian managers think that an excellent match between ways of doing things and organizational principles should have greater consideration in their selection procedures (Huo et al. 2002). Australia appears to be situated among nations that confirm a slight significant relationship between practices of recruitment and selection and consequent organizational success. In UK companies the recruitment processes are composed of a planned interview, reporting of the interview results, presentation, and assessment of the presentation. The processes are more inflexible and stricter compared to Australia.
</w:t>
      </w:r>
    </w:p>
    <w:p>
      <w:pPr>
        <w:pStyle w:val="5"/>
        <w:spacing w:line="480" w:lineRule="auto"/>
      </w:pPr>
      <w:r>
        <w:t>Performance Management</w:t>
      </w:r>
    </w:p>
    <w:p>
      <w:pPr>
        <w:spacing w:line="480" w:lineRule="auto"/>
        <w:jc w:val="both"/>
        <w:rPr>
          <w:sz w:val="24"/>
          <w:szCs w:val="24"/>
        </w:rPr>
      </w:pPr>
      <w:r>
        <w:rPr>
          <w:rFonts w:asciiTheme="minorHAnsi" w:hAnsiTheme="minorHAnsi"/>
          <w:sz w:val="24"/>
          <w:szCs w:val="24"/>
        </w:rPr>
        <w:t xml:space="preserve">                  Procedures like the use of a balanced scorecard and benchmarking are turning out to be more common in Australia (Rowley and Benson 2004). In a comparative study on the performance management traditions, the finding from the study of Lowe and colleagues (2002) is that organizations should give more importance to documenting evaluation outcomes. The relationship between pay and performance evaluation is less regarded in Australia where the primary goal is more probably to be developmental instead of reward-related (Sparrow, Brewster, and Harris 2004). On the other hand, UK’s performance evaluation system is intended to draw out people's potentials and is designed to be visible in its objectives concerning career growth and compensations (Tayeb, 2005) to attain the objective to be a center of excellence. </w:t>
      </w:r>
      <w:r>
        <w:rPr>
          <w:sz w:val="24"/>
          <w:szCs w:val="24"/>
        </w:rPr>
        <w:t>The important different measure Australian companies and UK companies are performing here is the bonus prospect for the attainment of goals.
</w:t>
      </w:r>
    </w:p>
    <w:p>
      <w:pPr>
        <w:pStyle w:val="2"/>
        <w:spacing w:line="480" w:lineRule="auto"/>
        <w:rPr>
          <w:b/>
          <w:color w:val="000000" w:themeColor="text1"/>
          <w:sz w:val="28"/>
          <w:szCs w:val="28"/>
          <w14:textFill>
            <w14:solidFill>
              <w14:schemeClr w14:val="tx1"/>
            </w14:solidFill>
          </w14:textFill>
        </w:rPr>
      </w:pPr>
      <w:bookmarkStart w:id="11" w:name="_Toc38791179"/>
      <w:r>
        <w:rPr>
          <w:b/>
          <w:color w:val="000000" w:themeColor="text1"/>
          <w:sz w:val="28"/>
          <w:szCs w:val="28"/>
          <w14:textFill>
            <w14:solidFill>
              <w14:schemeClr w14:val="tx1"/>
            </w14:solidFill>
          </w14:textFill>
        </w:rPr>
        <w:t>Conclusion</w:t>
      </w:r>
      <w:bookmarkEnd w:id="11"/>
    </w:p>
    <w:p>
      <w:pPr>
        <w:spacing w:line="480" w:lineRule="auto"/>
        <w:jc w:val="both"/>
        <w:rPr>
          <w:sz w:val="24"/>
          <w:szCs w:val="24"/>
        </w:rPr>
      </w:pPr>
      <w:r>
        <w:rPr>
          <w:sz w:val="24"/>
          <w:szCs w:val="24"/>
        </w:rPr>
        <w:t xml:space="preserve">                Globalization has motivated a growing realization that cross-cultural concerns require human resource management strategies that express this developing relationship. The UK managers need to undergo basic Australian culture training to familiarize and Equipping with the appropriate skills to tackle challenging differences in cultural practices is an intangible asset invested toward success in overseas operations.</w:t>
      </w:r>
      <w:r>
        <w:rPr>
          <w:rFonts w:ascii="Times New Roman" w:hAnsi="Times New Roman"/>
          <w:sz w:val="24"/>
          <w:szCs w:val="24"/>
        </w:rPr>
        <w:t xml:space="preserve"> </w:t>
      </w:r>
      <w:r>
        <w:rPr>
          <w:rFonts w:asciiTheme="minorHAnsi" w:hAnsiTheme="minorHAnsi"/>
          <w:sz w:val="24"/>
          <w:szCs w:val="24"/>
        </w:rPr>
        <w:t>The UK HR managers need to build a new culture in which compensation, promotion, and other organizational gains will be derived from individual inputs instead of group attributes.</w:t>
      </w:r>
      <w:r>
        <w:rPr>
          <w:rFonts w:ascii="Times New Roman" w:hAnsi="Times New Roman"/>
          <w:sz w:val="24"/>
          <w:szCs w:val="24"/>
        </w:rPr>
        <w:t xml:space="preserve"> </w:t>
      </w:r>
      <w:r>
        <w:rPr>
          <w:sz w:val="24"/>
          <w:szCs w:val="24"/>
        </w:rPr>
        <w:t>Negotiation skills possessed must also coincide with the expectations of the local culture. International human resource management (IHRM) insights will be important in the fulfillment of various duties for the managers while working in Australia.</w:t>
      </w:r>
    </w:p>
    <w:p>
      <w:pPr>
        <w:pStyle w:val="2"/>
        <w:rPr>
          <w:b/>
          <w:color w:val="000000" w:themeColor="text1"/>
          <w:sz w:val="28"/>
          <w:szCs w:val="28"/>
          <w14:textFill>
            <w14:solidFill>
              <w14:schemeClr w14:val="tx1"/>
            </w14:solidFill>
          </w14:textFill>
        </w:rPr>
      </w:pPr>
      <w:bookmarkStart w:id="12" w:name="_Toc38791180"/>
      <w:r>
        <w:rPr>
          <w:b/>
          <w:color w:val="000000" w:themeColor="text1"/>
          <w:sz w:val="28"/>
          <w:szCs w:val="28"/>
          <w14:textFill>
            <w14:solidFill>
              <w14:schemeClr w14:val="tx1"/>
            </w14:solidFill>
          </w14:textFill>
        </w:rPr>
        <w:t>References</w:t>
      </w:r>
      <w:bookmarkEnd w:id="12"/>
    </w:p>
    <w:p>
      <w:pPr>
        <w:rPr>
          <w:sz w:val="24"/>
          <w:szCs w:val="24"/>
        </w:rPr>
      </w:pPr>
      <w:r>
        <w:rPr>
          <w:sz w:val="24"/>
          <w:szCs w:val="24"/>
        </w:rPr>
        <w:t>Baraldi, C. 2006. New forms of Intercultural Communication in a Globalized World</w:t>
      </w:r>
      <w:r>
        <w:rPr>
          <w:i/>
          <w:sz w:val="24"/>
          <w:szCs w:val="24"/>
        </w:rPr>
        <w:t>. International Communication in a Globalized World</w:t>
      </w:r>
      <w:r>
        <w:rPr>
          <w:sz w:val="24"/>
          <w:szCs w:val="24"/>
        </w:rPr>
        <w:t>, pp. 53-68.</w:t>
      </w:r>
    </w:p>
    <w:p>
      <w:pPr>
        <w:rPr>
          <w:sz w:val="24"/>
          <w:szCs w:val="24"/>
        </w:rPr>
      </w:pPr>
      <w:r>
        <w:rPr>
          <w:sz w:val="24"/>
          <w:szCs w:val="24"/>
        </w:rPr>
        <w:t xml:space="preserve">Beamish, P. W., and Calof, J. L. 1989. International business education: A corporate view. </w:t>
      </w:r>
      <w:r>
        <w:rPr>
          <w:i/>
          <w:sz w:val="24"/>
          <w:szCs w:val="24"/>
        </w:rPr>
        <w:t>Journal of International Business Studies</w:t>
      </w:r>
      <w:r>
        <w:rPr>
          <w:sz w:val="24"/>
          <w:szCs w:val="24"/>
        </w:rPr>
        <w:t>, Fall, pp. 553-64.</w:t>
      </w:r>
    </w:p>
    <w:p>
      <w:pPr>
        <w:rPr>
          <w:sz w:val="24"/>
          <w:szCs w:val="24"/>
        </w:rPr>
      </w:pPr>
      <w:r>
        <w:rPr>
          <w:sz w:val="24"/>
          <w:szCs w:val="24"/>
        </w:rPr>
        <w:t xml:space="preserve">Cooke, W.N. 2003. </w:t>
      </w:r>
      <w:r>
        <w:rPr>
          <w:i/>
          <w:sz w:val="24"/>
          <w:szCs w:val="24"/>
        </w:rPr>
        <w:t>Multinational Companies and Global Human Resource Strategies</w:t>
      </w:r>
      <w:r>
        <w:rPr>
          <w:sz w:val="24"/>
          <w:szCs w:val="24"/>
        </w:rPr>
        <w:t>. Westport, CT: Quorum Books.</w:t>
      </w:r>
    </w:p>
    <w:p>
      <w:pPr>
        <w:rPr>
          <w:sz w:val="24"/>
          <w:szCs w:val="24"/>
        </w:rPr>
      </w:pPr>
      <w:r>
        <w:rPr>
          <w:sz w:val="24"/>
          <w:szCs w:val="24"/>
        </w:rPr>
        <w:t xml:space="preserve">Gamble, J. 2003. Transforming human resource practices from the United to Korea: the Limits and potential for convergence. </w:t>
      </w:r>
      <w:r>
        <w:rPr>
          <w:i/>
          <w:sz w:val="24"/>
          <w:szCs w:val="24"/>
        </w:rPr>
        <w:t>International Journal of Human Resource Management</w:t>
      </w:r>
      <w:r>
        <w:rPr>
          <w:sz w:val="24"/>
          <w:szCs w:val="24"/>
        </w:rPr>
        <w:t>, 14 (3): 369-387.</w:t>
      </w:r>
    </w:p>
    <w:p>
      <w:pPr>
        <w:rPr>
          <w:sz w:val="24"/>
          <w:szCs w:val="24"/>
        </w:rPr>
      </w:pPr>
      <w:r>
        <w:rPr>
          <w:sz w:val="24"/>
          <w:szCs w:val="24"/>
        </w:rPr>
        <w:t xml:space="preserve">Grainger, R. J., and Nankervis, A. R. 2001. Expatriation practices in the global business environment. </w:t>
      </w:r>
      <w:r>
        <w:rPr>
          <w:i/>
          <w:sz w:val="24"/>
          <w:szCs w:val="24"/>
        </w:rPr>
        <w:t>Research and Practice in Human Resource Management</w:t>
      </w:r>
      <w:r>
        <w:rPr>
          <w:sz w:val="24"/>
          <w:szCs w:val="24"/>
        </w:rPr>
        <w:t>, 9(2), pp. 77-92.</w:t>
      </w:r>
    </w:p>
    <w:p>
      <w:pPr>
        <w:rPr>
          <w:sz w:val="24"/>
          <w:szCs w:val="24"/>
        </w:rPr>
      </w:pPr>
      <w:r>
        <w:rPr>
          <w:sz w:val="24"/>
          <w:szCs w:val="24"/>
        </w:rPr>
        <w:t xml:space="preserve">Hofstede, G. 1980. </w:t>
      </w:r>
      <w:r>
        <w:rPr>
          <w:i/>
          <w:sz w:val="24"/>
          <w:szCs w:val="24"/>
        </w:rPr>
        <w:t>Culture's consequences: Comparing values, behaviors, institutions, and organizations across nations</w:t>
      </w:r>
      <w:r>
        <w:rPr>
          <w:sz w:val="24"/>
          <w:szCs w:val="24"/>
        </w:rPr>
        <w:t>, 2nd ed.  London: Sage.</w:t>
      </w:r>
    </w:p>
    <w:p>
      <w:pPr>
        <w:rPr>
          <w:sz w:val="24"/>
          <w:szCs w:val="24"/>
        </w:rPr>
      </w:pPr>
      <w:r>
        <w:rPr>
          <w:sz w:val="24"/>
          <w:szCs w:val="24"/>
        </w:rPr>
        <w:t xml:space="preserve">Hofstede, G. 1984. </w:t>
      </w:r>
      <w:r>
        <w:rPr>
          <w:i/>
          <w:sz w:val="24"/>
          <w:szCs w:val="24"/>
        </w:rPr>
        <w:t>Culture’s consequences: International differences in work-related value</w:t>
      </w:r>
      <w:r>
        <w:rPr>
          <w:sz w:val="24"/>
          <w:szCs w:val="24"/>
        </w:rPr>
        <w:t>s, Abridged ed.  London: Sage.</w:t>
      </w:r>
    </w:p>
    <w:p>
      <w:pPr>
        <w:rPr>
          <w:sz w:val="24"/>
          <w:szCs w:val="24"/>
        </w:rPr>
      </w:pPr>
      <w:r>
        <w:rPr>
          <w:sz w:val="24"/>
          <w:szCs w:val="24"/>
        </w:rPr>
        <w:t xml:space="preserve">Hofstede, G. 1991. </w:t>
      </w:r>
      <w:r>
        <w:rPr>
          <w:i/>
          <w:sz w:val="24"/>
          <w:szCs w:val="24"/>
        </w:rPr>
        <w:t>Cultures and organizations: Software of the mind</w:t>
      </w:r>
      <w:r>
        <w:rPr>
          <w:sz w:val="24"/>
          <w:szCs w:val="24"/>
        </w:rPr>
        <w:t>.  New York: McGraw-Hill.</w:t>
      </w:r>
    </w:p>
    <w:p>
      <w:pPr>
        <w:rPr>
          <w:sz w:val="24"/>
          <w:szCs w:val="24"/>
        </w:rPr>
      </w:pPr>
      <w:r>
        <w:rPr>
          <w:sz w:val="24"/>
          <w:szCs w:val="24"/>
        </w:rPr>
        <w:t xml:space="preserve">Huo, P.Y., Huang, H.J., and Napier, N.K. 2002 ‘Divergence or convergence: A cross-national comparison of personnel selection practices’ </w:t>
      </w:r>
      <w:r>
        <w:rPr>
          <w:i/>
          <w:sz w:val="24"/>
          <w:szCs w:val="24"/>
        </w:rPr>
        <w:t>Asia Pacific Journal of Human Resources</w:t>
      </w:r>
      <w:r>
        <w:rPr>
          <w:sz w:val="24"/>
          <w:szCs w:val="24"/>
        </w:rPr>
        <w:t>, 40(1), 38-54.</w:t>
      </w:r>
    </w:p>
    <w:p>
      <w:pPr>
        <w:rPr>
          <w:sz w:val="24"/>
          <w:szCs w:val="24"/>
        </w:rPr>
      </w:pPr>
      <w:r>
        <w:rPr>
          <w:sz w:val="24"/>
          <w:szCs w:val="24"/>
        </w:rPr>
        <w:t xml:space="preserve">Johnson, D., and Turner, C. 2003. </w:t>
      </w:r>
      <w:r>
        <w:rPr>
          <w:i/>
          <w:sz w:val="24"/>
          <w:szCs w:val="24"/>
        </w:rPr>
        <w:t>International Business: Themes and Issues in the Modern Global Economy</w:t>
      </w:r>
      <w:r>
        <w:rPr>
          <w:sz w:val="24"/>
          <w:szCs w:val="24"/>
        </w:rPr>
        <w:t>. London: Routledge.</w:t>
      </w:r>
    </w:p>
    <w:p>
      <w:pPr>
        <w:rPr>
          <w:sz w:val="24"/>
          <w:szCs w:val="24"/>
        </w:rPr>
      </w:pPr>
      <w:r>
        <w:rPr>
          <w:sz w:val="24"/>
          <w:szCs w:val="24"/>
        </w:rPr>
        <w:t xml:space="preserve">Jones, G. 2005. </w:t>
      </w:r>
      <w:r>
        <w:rPr>
          <w:i/>
          <w:sz w:val="24"/>
          <w:szCs w:val="24"/>
        </w:rPr>
        <w:t>Multinationals and Global Capitalism: Form the Nineteenth to the Twenty-First Century</w:t>
      </w:r>
      <w:r>
        <w:rPr>
          <w:sz w:val="24"/>
          <w:szCs w:val="24"/>
        </w:rPr>
        <w:t>. Oxford: Oxford University Press.</w:t>
      </w:r>
    </w:p>
    <w:p>
      <w:pPr>
        <w:rPr>
          <w:sz w:val="24"/>
          <w:szCs w:val="24"/>
        </w:rPr>
      </w:pPr>
      <w:r>
        <w:rPr>
          <w:sz w:val="24"/>
          <w:szCs w:val="24"/>
        </w:rPr>
        <w:t xml:space="preserve">Laurent, A. 1983. The cultural diversity of western conceptions of management.  </w:t>
      </w:r>
      <w:r>
        <w:rPr>
          <w:i/>
          <w:sz w:val="24"/>
          <w:szCs w:val="24"/>
        </w:rPr>
        <w:t>International Studies of Management and Organization</w:t>
      </w:r>
      <w:r>
        <w:rPr>
          <w:sz w:val="24"/>
          <w:szCs w:val="24"/>
        </w:rPr>
        <w:t>, 13 (1-2), pp. 75-96.</w:t>
      </w:r>
    </w:p>
    <w:p>
      <w:pPr>
        <w:rPr>
          <w:sz w:val="24"/>
          <w:szCs w:val="24"/>
        </w:rPr>
      </w:pPr>
      <w:r>
        <w:rPr>
          <w:sz w:val="24"/>
          <w:szCs w:val="24"/>
        </w:rPr>
        <w:t xml:space="preserve">Laurent, A. 1986. The cross-cultural puzzle of international human resource management. </w:t>
      </w:r>
      <w:r>
        <w:rPr>
          <w:i/>
          <w:sz w:val="24"/>
          <w:szCs w:val="24"/>
        </w:rPr>
        <w:t>Human Resource Management</w:t>
      </w:r>
      <w:r>
        <w:rPr>
          <w:sz w:val="24"/>
          <w:szCs w:val="24"/>
        </w:rPr>
        <w:t>, 25 (1), pp. 91-102.</w:t>
      </w:r>
    </w:p>
    <w:p>
      <w:pPr>
        <w:rPr>
          <w:sz w:val="24"/>
          <w:szCs w:val="24"/>
        </w:rPr>
      </w:pPr>
      <w:r>
        <w:rPr>
          <w:sz w:val="24"/>
          <w:szCs w:val="24"/>
        </w:rPr>
        <w:t xml:space="preserve">Laurent, A. 1991. </w:t>
      </w:r>
      <w:r>
        <w:rPr>
          <w:i/>
          <w:sz w:val="24"/>
          <w:szCs w:val="24"/>
        </w:rPr>
        <w:t>Managing across cultures and national borders.  In S. Makridakis (ed), Single market Europe: Opportunities &amp; challenges for business</w:t>
      </w:r>
      <w:r>
        <w:rPr>
          <w:sz w:val="24"/>
          <w:szCs w:val="24"/>
        </w:rPr>
        <w:t>.  San Francisco: Jossey-Bass.</w:t>
      </w:r>
    </w:p>
    <w:p>
      <w:pPr>
        <w:rPr>
          <w:sz w:val="24"/>
          <w:szCs w:val="24"/>
        </w:rPr>
      </w:pPr>
      <w:r>
        <w:rPr>
          <w:sz w:val="24"/>
          <w:szCs w:val="24"/>
        </w:rPr>
        <w:t xml:space="preserve">Lowe, K.B. et al. 2002. </w:t>
      </w:r>
      <w:r>
        <w:rPr>
          <w:i/>
          <w:sz w:val="24"/>
          <w:szCs w:val="24"/>
        </w:rPr>
        <w:t>International Compensation Practices: A Ten-Country Comparative Analysis’ Human Resource Management</w:t>
      </w:r>
      <w:r>
        <w:rPr>
          <w:sz w:val="24"/>
          <w:szCs w:val="24"/>
        </w:rPr>
        <w:t>, 41(1), 45-66.</w:t>
      </w:r>
    </w:p>
    <w:p>
      <w:pPr>
        <w:rPr>
          <w:sz w:val="24"/>
          <w:szCs w:val="24"/>
        </w:rPr>
      </w:pPr>
      <w:r>
        <w:rPr>
          <w:sz w:val="24"/>
          <w:szCs w:val="24"/>
        </w:rPr>
        <w:t xml:space="preserve">Luthans, F., Welsh, D.H. and Rosenkrant, S.A. 1993. What do Russian Managers Really Do? An Observational Study with Comparison to US Managers. </w:t>
      </w:r>
      <w:r>
        <w:rPr>
          <w:i/>
          <w:sz w:val="24"/>
          <w:szCs w:val="24"/>
        </w:rPr>
        <w:t>Journal of International Business Studies</w:t>
      </w:r>
      <w:r>
        <w:rPr>
          <w:sz w:val="24"/>
          <w:szCs w:val="24"/>
        </w:rPr>
        <w:t>, 24 (4):741-762.</w:t>
      </w:r>
    </w:p>
    <w:p>
      <w:pPr>
        <w:rPr>
          <w:sz w:val="24"/>
          <w:szCs w:val="24"/>
        </w:rPr>
      </w:pPr>
      <w:r>
        <w:rPr>
          <w:sz w:val="24"/>
          <w:szCs w:val="24"/>
        </w:rPr>
        <w:t xml:space="preserve">Muzychenko, O. 2008. Cross-cultural entrepreneurial competence in identifying international opportunities. </w:t>
      </w:r>
      <w:r>
        <w:rPr>
          <w:i/>
          <w:sz w:val="24"/>
          <w:szCs w:val="24"/>
        </w:rPr>
        <w:t>European Management Journal</w:t>
      </w:r>
      <w:r>
        <w:rPr>
          <w:sz w:val="24"/>
          <w:szCs w:val="24"/>
        </w:rPr>
        <w:t>, 26: 366 – 377.</w:t>
      </w:r>
    </w:p>
    <w:p>
      <w:pPr>
        <w:rPr>
          <w:sz w:val="24"/>
          <w:szCs w:val="24"/>
        </w:rPr>
      </w:pPr>
      <w:r>
        <w:rPr>
          <w:sz w:val="24"/>
          <w:szCs w:val="24"/>
        </w:rPr>
        <w:t xml:space="preserve">Rowley, C., and Benson, J. 2004. </w:t>
      </w:r>
      <w:r>
        <w:rPr>
          <w:i/>
          <w:sz w:val="24"/>
          <w:szCs w:val="24"/>
        </w:rPr>
        <w:t>The Management of Human Resources in the Asia Pacific Region: Convergence Reconsidered</w:t>
      </w:r>
      <w:r>
        <w:rPr>
          <w:sz w:val="24"/>
          <w:szCs w:val="24"/>
        </w:rPr>
        <w:t>. Portland, OR: F. Cass.</w:t>
      </w:r>
    </w:p>
    <w:p>
      <w:pPr>
        <w:rPr>
          <w:sz w:val="24"/>
          <w:szCs w:val="24"/>
        </w:rPr>
      </w:pPr>
      <w:r>
        <w:rPr>
          <w:sz w:val="24"/>
          <w:szCs w:val="24"/>
        </w:rPr>
        <w:t xml:space="preserve">Schein, E. 2004. </w:t>
      </w:r>
      <w:r>
        <w:rPr>
          <w:i/>
          <w:sz w:val="24"/>
          <w:szCs w:val="24"/>
        </w:rPr>
        <w:t>Organizational culture and leadership defined.  In Organisational culture and leadership</w:t>
      </w:r>
      <w:r>
        <w:rPr>
          <w:sz w:val="24"/>
          <w:szCs w:val="24"/>
        </w:rPr>
        <w:t xml:space="preserve"> (pp. 1-23, 25-37).  San Francisco: Josey-Bass.</w:t>
      </w:r>
    </w:p>
    <w:p>
      <w:pPr>
        <w:rPr>
          <w:sz w:val="24"/>
          <w:szCs w:val="24"/>
        </w:rPr>
      </w:pPr>
      <w:r>
        <w:rPr>
          <w:sz w:val="24"/>
          <w:szCs w:val="24"/>
        </w:rPr>
        <w:t xml:space="preserve">Schneider, S.C., and DeMeyer, A. 1991. Interpreting and Responding to Strategic Issues: The Impact of National Culture. </w:t>
      </w:r>
      <w:r>
        <w:rPr>
          <w:i/>
          <w:sz w:val="24"/>
          <w:szCs w:val="24"/>
        </w:rPr>
        <w:t>Strategic Management Journal</w:t>
      </w:r>
      <w:r>
        <w:rPr>
          <w:sz w:val="24"/>
          <w:szCs w:val="24"/>
        </w:rPr>
        <w:t>, 12 (1); 307-320.</w:t>
      </w:r>
    </w:p>
    <w:p>
      <w:pPr>
        <w:rPr>
          <w:sz w:val="24"/>
          <w:szCs w:val="24"/>
        </w:rPr>
      </w:pPr>
      <w:r>
        <w:rPr>
          <w:sz w:val="24"/>
          <w:szCs w:val="24"/>
        </w:rPr>
        <w:t xml:space="preserve">Schuler, R., Jackson, S., and Luo, Y. 2003. </w:t>
      </w:r>
      <w:r>
        <w:rPr>
          <w:i/>
          <w:sz w:val="24"/>
          <w:szCs w:val="24"/>
        </w:rPr>
        <w:t>Managing Human Resources in Cross-Border Alliances</w:t>
      </w:r>
      <w:r>
        <w:rPr>
          <w:sz w:val="24"/>
          <w:szCs w:val="24"/>
        </w:rPr>
        <w:t xml:space="preserve">. New York: Routledge. </w:t>
      </w:r>
    </w:p>
    <w:p>
      <w:pPr>
        <w:rPr>
          <w:sz w:val="24"/>
          <w:szCs w:val="24"/>
        </w:rPr>
      </w:pPr>
      <w:r>
        <w:rPr>
          <w:sz w:val="24"/>
          <w:szCs w:val="24"/>
        </w:rPr>
        <w:t xml:space="preserve">Sparrow, P., Brewster, C., and Harris, H. 2004. </w:t>
      </w:r>
      <w:r>
        <w:rPr>
          <w:i/>
          <w:sz w:val="24"/>
          <w:szCs w:val="24"/>
        </w:rPr>
        <w:t>Globalizing Human Resource Management</w:t>
      </w:r>
      <w:r>
        <w:rPr>
          <w:sz w:val="24"/>
          <w:szCs w:val="24"/>
        </w:rPr>
        <w:t>. London: Routledge.</w:t>
      </w:r>
    </w:p>
    <w:p>
      <w:pPr>
        <w:rPr>
          <w:sz w:val="24"/>
          <w:szCs w:val="24"/>
        </w:rPr>
      </w:pPr>
      <w:r>
        <w:rPr>
          <w:sz w:val="24"/>
          <w:szCs w:val="24"/>
        </w:rPr>
        <w:t>Tayeb, M.H. 2005</w:t>
      </w:r>
      <w:r>
        <w:rPr>
          <w:i/>
          <w:sz w:val="24"/>
          <w:szCs w:val="24"/>
        </w:rPr>
        <w:t>. International Human Resource Management: A Multinational Company Perspective</w:t>
      </w:r>
      <w:r>
        <w:rPr>
          <w:sz w:val="24"/>
          <w:szCs w:val="24"/>
        </w:rPr>
        <w:t>. Oxford, England: Oxford University Press.</w:t>
      </w:r>
    </w:p>
    <w:p>
      <w:pPr>
        <w:rPr>
          <w:sz w:val="24"/>
          <w:szCs w:val="24"/>
        </w:rPr>
      </w:pPr>
    </w:p>
    <w:p>
      <w:pPr>
        <w:rPr>
          <w:sz w:val="24"/>
          <w:szCs w:val="24"/>
        </w:rPr>
      </w:pPr>
    </w:p>
    <w:p>
      <w:pPr>
        <w:rPr>
          <w:sz w:val="24"/>
          <w:szCs w:val="24"/>
        </w:rPr>
      </w:pPr>
    </w:p>
    <w:p>
      <w:pPr>
        <w:rPr>
          <w:sz w:val="24"/>
          <w:szCs w:val="24"/>
        </w:rPr>
      </w:pPr>
    </w:p>
    <w:p>
      <w:pPr>
        <w:rPr>
          <w:sz w:val="24"/>
          <w:szCs w:val="24"/>
        </w:rPr>
      </w:pPr>
    </w:p>
    <w:p>
      <w:pPr>
        <w:jc w:val="both"/>
      </w:pPr>
      <w:r>
        <w:rPr>
          <w:b/>
          <w:color w:val="000000" w:themeColor="text1"/>
          <w:sz w:val="28"/>
          <w:szCs w:val="28"/>
          <w14:textFill>
            <w14:solidFill>
              <w14:schemeClr w14:val="tx1"/>
            </w14:solidFill>
          </w14:textFill>
        </w:rPr>
        <w:t>Appendix-1</w:t>
      </w:r>
    </w:p>
    <w:p>
      <w:pPr>
        <w:pStyle w:val="3"/>
        <w:spacing w:line="480" w:lineRule="auto"/>
        <w:rPr>
          <w:rFonts w:asciiTheme="minorHAnsi" w:hAnsiTheme="minorHAnsi"/>
          <w:i/>
          <w:color w:val="000000" w:themeColor="text1"/>
          <w:sz w:val="24"/>
          <w:szCs w:val="24"/>
          <w:u w:val="single"/>
          <w14:textFill>
            <w14:solidFill>
              <w14:schemeClr w14:val="tx1"/>
            </w14:solidFill>
          </w14:textFill>
        </w:rPr>
      </w:pPr>
      <w:bookmarkStart w:id="13" w:name="_Toc38791181"/>
      <w:r>
        <w:rPr>
          <w:rFonts w:asciiTheme="minorHAnsi" w:hAnsiTheme="minorHAnsi"/>
          <w:i/>
          <w:color w:val="000000" w:themeColor="text1"/>
          <w:sz w:val="24"/>
          <w:szCs w:val="24"/>
          <w:u w:val="single"/>
          <w14:textFill>
            <w14:solidFill>
              <w14:schemeClr w14:val="tx1"/>
            </w14:solidFill>
          </w14:textFill>
        </w:rPr>
        <w:t>Human resource managers and cultural diversity in MNCs</w:t>
      </w:r>
      <w:bookmarkEnd w:id="13"/>
    </w:p>
    <w:p>
      <w:pPr>
        <w:spacing w:line="480" w:lineRule="auto"/>
        <w:jc w:val="both"/>
        <w:rPr>
          <w:rFonts w:asciiTheme="minorHAnsi" w:hAnsiTheme="minorHAnsi"/>
          <w:color w:val="000000" w:themeColor="text1"/>
          <w:sz w:val="24"/>
          <w:szCs w:val="24"/>
          <w14:textFill>
            <w14:solidFill>
              <w14:schemeClr w14:val="tx1"/>
            </w14:solidFill>
          </w14:textFill>
        </w:rPr>
      </w:pPr>
      <w:r>
        <w:rPr>
          <w:rFonts w:asciiTheme="minorHAnsi" w:hAnsiTheme="minorHAnsi"/>
          <w:color w:val="000000" w:themeColor="text1"/>
          <w:sz w:val="24"/>
          <w:szCs w:val="24"/>
          <w14:textFill>
            <w14:solidFill>
              <w14:schemeClr w14:val="tx1"/>
            </w14:solidFill>
          </w14:textFill>
        </w:rPr>
        <w:t xml:space="preserve">                One of the ways through which HRM can manage cultural diversity in MNCs is through a blending of the regional or local culture with the culture of MNCs. The management of different multinational organizations requires an understanding of the various cultures within which the organizations operate (Schuler and Jackson, 1996 pp.209). The management styles should, therefore, tend to understand the various cultures under which the multinational organizations operate. Some of the ways through which the managers can manage cultural diversity are
</w:t>
      </w:r>
    </w:p>
    <w:p>
      <w:pPr>
        <w:pStyle w:val="4"/>
        <w:spacing w:line="480" w:lineRule="auto"/>
        <w:rPr>
          <w:rFonts w:asciiTheme="minorHAnsi" w:hAnsiTheme="minorHAnsi"/>
          <w:i/>
          <w:color w:val="000000" w:themeColor="text1"/>
          <w:u w:val="single"/>
          <w14:textFill>
            <w14:solidFill>
              <w14:schemeClr w14:val="tx1"/>
            </w14:solidFill>
          </w14:textFill>
        </w:rPr>
      </w:pPr>
      <w:bookmarkStart w:id="14" w:name="_Toc38791182"/>
      <w:r>
        <w:rPr>
          <w:rFonts w:asciiTheme="minorHAnsi" w:hAnsiTheme="minorHAnsi"/>
          <w:i/>
          <w:color w:val="000000" w:themeColor="text1"/>
          <w:u w:val="single"/>
          <w14:textFill>
            <w14:solidFill>
              <w14:schemeClr w14:val="tx1"/>
            </w14:solidFill>
          </w14:textFill>
        </w:rPr>
        <w:t>Practicing global leadership</w:t>
      </w:r>
      <w:bookmarkEnd w:id="14"/>
    </w:p>
    <w:p>
      <w:pPr>
        <w:spacing w:line="480" w:lineRule="auto"/>
        <w:rPr>
          <w:rFonts w:asciiTheme="minorHAnsi" w:hAnsiTheme="minorHAnsi"/>
          <w:color w:val="000000" w:themeColor="text1"/>
          <w:sz w:val="24"/>
          <w:szCs w:val="24"/>
          <w14:textFill>
            <w14:solidFill>
              <w14:schemeClr w14:val="tx1"/>
            </w14:solidFill>
          </w14:textFill>
        </w:rPr>
      </w:pPr>
      <w:r>
        <w:rPr>
          <w:rFonts w:asciiTheme="minorHAnsi" w:hAnsiTheme="minorHAnsi"/>
          <w:color w:val="000000" w:themeColor="text1"/>
          <w:sz w:val="24"/>
          <w:szCs w:val="24"/>
          <w14:textFill>
            <w14:solidFill>
              <w14:schemeClr w14:val="tx1"/>
            </w14:solidFill>
          </w14:textFill>
        </w:rPr>
        <w:t xml:space="preserve">               The practice of global leadership involves understanding the various global environments and practicing safe measures for diversity in cultures. Human resource managers need to understand the various cultures in the markets and then apply proper leadership skills to manage different cultural diversity.
</w:t>
      </w:r>
    </w:p>
    <w:p>
      <w:pPr>
        <w:pStyle w:val="4"/>
        <w:spacing w:line="480" w:lineRule="auto"/>
        <w:rPr>
          <w:rFonts w:asciiTheme="minorHAnsi" w:hAnsiTheme="minorHAnsi"/>
          <w:i/>
          <w:color w:val="000000" w:themeColor="text1"/>
          <w:u w:val="single"/>
          <w14:textFill>
            <w14:solidFill>
              <w14:schemeClr w14:val="tx1"/>
            </w14:solidFill>
          </w14:textFill>
        </w:rPr>
      </w:pPr>
      <w:bookmarkStart w:id="15" w:name="_Toc38791183"/>
      <w:r>
        <w:rPr>
          <w:rFonts w:asciiTheme="minorHAnsi" w:hAnsiTheme="minorHAnsi"/>
          <w:i/>
          <w:color w:val="000000" w:themeColor="text1"/>
          <w:u w:val="single"/>
          <w14:textFill>
            <w14:solidFill>
              <w14:schemeClr w14:val="tx1"/>
            </w14:solidFill>
          </w14:textFill>
        </w:rPr>
        <w:t>Use of cross-cultural communication
</w:t>
      </w:r>
      <w:bookmarkEnd w:id="15"/>
    </w:p>
    <w:p>
      <w:pPr>
        <w:spacing w:line="480" w:lineRule="auto"/>
        <w:rPr>
          <w:rFonts w:asciiTheme="minorHAnsi" w:hAnsiTheme="minorHAnsi"/>
          <w:color w:val="000000" w:themeColor="text1"/>
          <w:sz w:val="24"/>
          <w:szCs w:val="24"/>
          <w14:textFill>
            <w14:solidFill>
              <w14:schemeClr w14:val="tx1"/>
            </w14:solidFill>
          </w14:textFill>
        </w:rPr>
      </w:pPr>
      <w:r>
        <w:rPr>
          <w:rFonts w:asciiTheme="minorHAnsi" w:hAnsiTheme="minorHAnsi"/>
          <w:color w:val="000000" w:themeColor="text1"/>
          <w:sz w:val="24"/>
          <w:szCs w:val="24"/>
          <w14:textFill>
            <w14:solidFill>
              <w14:schemeClr w14:val="tx1"/>
            </w14:solidFill>
          </w14:textFill>
        </w:rPr>
        <w:t xml:space="preserve">                 Human resource managers should organize self-image together with their values in a manner that the expectations of the multinational organizations are accustomed to the various cultural diversity. The cross-cultural communication will further assist the managers to understand the local cultural diversity.
</w:t>
      </w:r>
    </w:p>
    <w:p>
      <w:pPr>
        <w:pStyle w:val="4"/>
        <w:spacing w:line="480" w:lineRule="auto"/>
        <w:rPr>
          <w:rFonts w:asciiTheme="minorHAnsi" w:hAnsiTheme="minorHAnsi"/>
          <w:i/>
          <w:color w:val="000000" w:themeColor="text1"/>
          <w:u w:val="single"/>
          <w14:textFill>
            <w14:solidFill>
              <w14:schemeClr w14:val="tx1"/>
            </w14:solidFill>
          </w14:textFill>
        </w:rPr>
      </w:pPr>
      <w:bookmarkStart w:id="16" w:name="_Toc38791184"/>
      <w:r>
        <w:rPr>
          <w:rFonts w:asciiTheme="minorHAnsi" w:hAnsiTheme="minorHAnsi"/>
          <w:i/>
          <w:color w:val="000000" w:themeColor="text1"/>
          <w:u w:val="single"/>
          <w14:textFill>
            <w14:solidFill>
              <w14:schemeClr w14:val="tx1"/>
            </w14:solidFill>
          </w14:textFill>
        </w:rPr>
        <w:t>Use of cultural sensitivity</w:t>
      </w:r>
      <w:bookmarkEnd w:id="16"/>
    </w:p>
    <w:p>
      <w:pPr>
        <w:spacing w:line="480" w:lineRule="auto"/>
        <w:rPr>
          <w:rFonts w:asciiTheme="minorHAnsi" w:hAnsiTheme="minorHAnsi"/>
          <w:color w:val="000000" w:themeColor="text1"/>
          <w:sz w:val="24"/>
          <w:szCs w:val="24"/>
          <w14:textFill>
            <w14:solidFill>
              <w14:schemeClr w14:val="tx1"/>
            </w14:solidFill>
          </w14:textFill>
        </w:rPr>
      </w:pPr>
      <w:r>
        <w:rPr>
          <w:rFonts w:asciiTheme="minorHAnsi" w:hAnsiTheme="minorHAnsi"/>
          <w:color w:val="000000" w:themeColor="text1"/>
          <w:sz w:val="24"/>
          <w:szCs w:val="24"/>
          <w14:textFill>
            <w14:solidFill>
              <w14:schemeClr w14:val="tx1"/>
            </w14:solidFill>
          </w14:textFill>
        </w:rPr>
        <w:t xml:space="preserve">                The use of cultural sensitivity involves the process of general culture assimilation and this process is based on personal and organizational experiences. The human resource managers should tend to assimilate the general culture of the MNCs organizations and the local culture where the MNCs are located (Schuler and Jackson, 1996 pp.257). The use of cultural sensitivity is also very important since it will also help the managers to understand ways of applying the best assimilation method. When the correct assimilation method is nor incorporated then cultural sensitivity cannot be achieved.</w:t>
      </w:r>
    </w:p>
    <w:p>
      <w:pPr>
        <w:spacing w:line="480" w:lineRule="auto"/>
        <w:jc w:val="both"/>
        <w:rPr>
          <w:rFonts w:asciiTheme="minorHAnsi" w:hAnsiTheme="minorHAnsi"/>
          <w:sz w:val="24"/>
          <w:szCs w:val="24"/>
        </w:rPr>
      </w:pPr>
    </w:p>
    <w:p>
      <w:pPr>
        <w:spacing w:line="480" w:lineRule="auto"/>
        <w:rPr>
          <w:rFonts w:asciiTheme="minorHAnsi" w:hAnsiTheme="minorHAnsi"/>
          <w:sz w:val="24"/>
          <w:szCs w:val="24"/>
        </w:rPr>
      </w:pPr>
    </w:p>
    <w:p>
      <w:pPr>
        <w:spacing w:line="480" w:lineRule="auto"/>
        <w:rPr>
          <w:rFonts w:asciiTheme="minorHAnsi" w:hAnsiTheme="minorHAnsi"/>
          <w:sz w:val="24"/>
          <w:szCs w:val="24"/>
        </w:rPr>
      </w:pPr>
    </w:p>
    <w:p>
      <w:pPr>
        <w:spacing w:line="480" w:lineRule="auto"/>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p>
      <w:pPr>
        <w:rPr>
          <w:rFonts w:asciiTheme="minorHAnsi" w:hAnsiTheme="minorHAnsi"/>
          <w:sz w:val="24"/>
          <w:szCs w:val="24"/>
        </w:rPr>
      </w:pPr>
    </w:p>
    <w:sectPr>
      <w:head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941058"/>
      <w:docPartObj>
        <w:docPartGallery w:val="AutoText"/>
      </w:docPartObj>
    </w:sdtPr>
    <w:sdtEndPr>
      <w:rPr>
        <w:b/>
        <w:sz w:val="24"/>
        <w:szCs w:val="24"/>
      </w:rPr>
    </w:sdtEndPr>
    <w:sdtContent>
      <w:p>
        <w:pPr>
          <w:pStyle w:val="8"/>
          <w:jc w:val="right"/>
          <w:rPr>
            <w:b/>
            <w:sz w:val="24"/>
            <w:szCs w:val="24"/>
          </w:rPr>
        </w:pPr>
        <w:r>
          <w:rPr>
            <w:b/>
            <w:sz w:val="24"/>
            <w:szCs w:val="24"/>
          </w:rPr>
          <w:fldChar w:fldCharType="begin"/>
        </w:r>
        <w:r>
          <w:rPr>
            <w:b/>
            <w:sz w:val="24"/>
            <w:szCs w:val="24"/>
          </w:rPr>
          <w:instrText xml:space="preserve"> PAGE   \* MERGEFORMAT </w:instrText>
        </w:r>
        <w:r>
          <w:rPr>
            <w:b/>
            <w:sz w:val="24"/>
            <w:szCs w:val="24"/>
          </w:rPr>
          <w:fldChar w:fldCharType="separate"/>
        </w:r>
        <w:r>
          <w:rPr>
            <w:b/>
            <w:sz w:val="24"/>
            <w:szCs w:val="24"/>
          </w:rPr>
          <w:t>1</w:t>
        </w:r>
        <w:r>
          <w:rPr>
            <w:b/>
            <w:sz w:val="24"/>
            <w:szCs w:val="24"/>
          </w:rPr>
          <w:fldChar w:fldCharType="end"/>
        </w:r>
      </w:p>
    </w:sdtContent>
  </w:sdt>
  <w:p>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FF0"/>
    <w:rsid w:val="00080B08"/>
    <w:rsid w:val="00085D27"/>
    <w:rsid w:val="0009167E"/>
    <w:rsid w:val="000D5CE8"/>
    <w:rsid w:val="001A032D"/>
    <w:rsid w:val="00210C77"/>
    <w:rsid w:val="002263E2"/>
    <w:rsid w:val="002B4948"/>
    <w:rsid w:val="0034641F"/>
    <w:rsid w:val="003529E4"/>
    <w:rsid w:val="00455E6F"/>
    <w:rsid w:val="004A4DA0"/>
    <w:rsid w:val="004C024E"/>
    <w:rsid w:val="00580AAB"/>
    <w:rsid w:val="005A271E"/>
    <w:rsid w:val="005D7E89"/>
    <w:rsid w:val="00770206"/>
    <w:rsid w:val="00806856"/>
    <w:rsid w:val="009D2FF0"/>
    <w:rsid w:val="00A224CA"/>
    <w:rsid w:val="00A36E7C"/>
    <w:rsid w:val="00AE43DD"/>
    <w:rsid w:val="00B42657"/>
    <w:rsid w:val="00B60E5D"/>
    <w:rsid w:val="00BC47F1"/>
    <w:rsid w:val="00BD4773"/>
    <w:rsid w:val="00D50B01"/>
    <w:rsid w:val="00DC24C3"/>
    <w:rsid w:val="00DE569F"/>
    <w:rsid w:val="00DE5F17"/>
    <w:rsid w:val="00FA5ECA"/>
    <w:rsid w:val="00FC2920"/>
    <w:rsid w:val="148F2F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16"/>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paragraph" w:styleId="5">
    <w:name w:val="heading 4"/>
    <w:basedOn w:val="1"/>
    <w:next w:val="1"/>
    <w:link w:val="20"/>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unhideWhenUsed/>
    <w:uiPriority w:val="39"/>
    <w:pPr>
      <w:spacing w:after="100"/>
      <w:ind w:left="440"/>
    </w:pPr>
  </w:style>
  <w:style w:type="paragraph" w:styleId="7">
    <w:name w:val="footer"/>
    <w:basedOn w:val="1"/>
    <w:link w:val="18"/>
    <w:unhideWhenUsed/>
    <w:uiPriority w:val="99"/>
    <w:pPr>
      <w:tabs>
        <w:tab w:val="center" w:pos="4680"/>
        <w:tab w:val="right" w:pos="9360"/>
      </w:tabs>
      <w:spacing w:after="0" w:line="240" w:lineRule="auto"/>
    </w:pPr>
  </w:style>
  <w:style w:type="paragraph" w:styleId="8">
    <w:name w:val="header"/>
    <w:basedOn w:val="1"/>
    <w:link w:val="17"/>
    <w:unhideWhenUsed/>
    <w:qFormat/>
    <w:uiPriority w:val="99"/>
    <w:pPr>
      <w:tabs>
        <w:tab w:val="center" w:pos="4680"/>
        <w:tab w:val="right" w:pos="9360"/>
      </w:tabs>
      <w:spacing w:after="0" w:line="240" w:lineRule="auto"/>
    </w:pPr>
  </w:style>
  <w:style w:type="paragraph" w:styleId="9">
    <w:name w:val="toc 1"/>
    <w:basedOn w:val="1"/>
    <w:next w:val="1"/>
    <w:unhideWhenUsed/>
    <w:qFormat/>
    <w:uiPriority w:val="39"/>
    <w:pPr>
      <w:spacing w:after="100"/>
    </w:pPr>
  </w:style>
  <w:style w:type="paragraph" w:styleId="10">
    <w:name w:val="toc 2"/>
    <w:basedOn w:val="1"/>
    <w:next w:val="1"/>
    <w:unhideWhenUsed/>
    <w:qFormat/>
    <w:uiPriority w:val="39"/>
    <w:pPr>
      <w:spacing w:after="100"/>
      <w:ind w:left="220"/>
    </w:pPr>
  </w:style>
  <w:style w:type="character" w:styleId="13">
    <w:name w:val="Hyperlink"/>
    <w:basedOn w:val="12"/>
    <w:unhideWhenUsed/>
    <w:uiPriority w:val="99"/>
    <w:rPr>
      <w:color w:val="0563C1" w:themeColor="hyperlink"/>
      <w:u w:val="single"/>
      <w14:textFill>
        <w14:solidFill>
          <w14:schemeClr w14:val="hlink"/>
        </w14:solidFill>
      </w14:textFill>
    </w:rPr>
  </w:style>
  <w:style w:type="character" w:customStyle="1" w:styleId="14">
    <w:name w:val="Heading 1 Char"/>
    <w:basedOn w:val="12"/>
    <w:link w:val="2"/>
    <w:qFormat/>
    <w:uiPriority w:val="9"/>
    <w:rPr>
      <w:rFonts w:asciiTheme="majorHAnsi" w:hAnsiTheme="majorHAnsi" w:eastAsiaTheme="majorEastAsia" w:cstheme="majorBidi"/>
      <w:color w:val="2E75B6" w:themeColor="accent1" w:themeShade="BF"/>
      <w:sz w:val="32"/>
      <w:szCs w:val="32"/>
    </w:rPr>
  </w:style>
  <w:style w:type="character" w:customStyle="1" w:styleId="15">
    <w:name w:val="Heading 2 Char"/>
    <w:basedOn w:val="12"/>
    <w:link w:val="3"/>
    <w:qFormat/>
    <w:uiPriority w:val="9"/>
    <w:rPr>
      <w:rFonts w:asciiTheme="majorHAnsi" w:hAnsiTheme="majorHAnsi" w:eastAsiaTheme="majorEastAsia" w:cstheme="majorBidi"/>
      <w:color w:val="2E75B6" w:themeColor="accent1" w:themeShade="BF"/>
      <w:sz w:val="26"/>
      <w:szCs w:val="26"/>
    </w:rPr>
  </w:style>
  <w:style w:type="character" w:customStyle="1" w:styleId="16">
    <w:name w:val="Heading 3 Char"/>
    <w:basedOn w:val="12"/>
    <w:link w:val="4"/>
    <w:uiPriority w:val="9"/>
    <w:rPr>
      <w:rFonts w:asciiTheme="majorHAnsi" w:hAnsiTheme="majorHAnsi" w:eastAsiaTheme="majorEastAsia" w:cstheme="majorBidi"/>
      <w:color w:val="1F4E79" w:themeColor="accent1" w:themeShade="80"/>
      <w:sz w:val="24"/>
      <w:szCs w:val="24"/>
    </w:rPr>
  </w:style>
  <w:style w:type="character" w:customStyle="1" w:styleId="17">
    <w:name w:val="Header Char"/>
    <w:basedOn w:val="12"/>
    <w:link w:val="8"/>
    <w:uiPriority w:val="99"/>
    <w:rPr>
      <w:rFonts w:ascii="Calibri" w:hAnsi="Calibri" w:eastAsia="Calibri" w:cs="Times New Roman"/>
    </w:rPr>
  </w:style>
  <w:style w:type="character" w:customStyle="1" w:styleId="18">
    <w:name w:val="Footer Char"/>
    <w:basedOn w:val="12"/>
    <w:link w:val="7"/>
    <w:qFormat/>
    <w:uiPriority w:val="99"/>
    <w:rPr>
      <w:rFonts w:ascii="Calibri" w:hAnsi="Calibri" w:eastAsia="Calibri" w:cs="Times New Roman"/>
    </w:rPr>
  </w:style>
  <w:style w:type="paragraph" w:customStyle="1" w:styleId="19">
    <w:name w:val="TOC Heading"/>
    <w:basedOn w:val="2"/>
    <w:next w:val="1"/>
    <w:unhideWhenUsed/>
    <w:qFormat/>
    <w:uiPriority w:val="39"/>
    <w:pPr>
      <w:spacing w:line="259" w:lineRule="auto"/>
      <w:outlineLvl w:val="9"/>
    </w:pPr>
  </w:style>
  <w:style w:type="character" w:customStyle="1" w:styleId="20">
    <w:name w:val="Heading 4 Char"/>
    <w:basedOn w:val="12"/>
    <w:link w:val="5"/>
    <w:uiPriority w:val="9"/>
    <w:rPr>
      <w:rFonts w:asciiTheme="majorHAnsi" w:hAnsiTheme="majorHAnsi" w:eastAsiaTheme="majorEastAsia" w:cstheme="majorBidi"/>
      <w:i/>
      <w:iCs/>
      <w:color w:val="2E75B6" w:themeColor="accent1" w:themeShade="BF"/>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AA986E-A724-4A8B-92B4-96558128D025}">
  <ds:schemaRefs/>
</ds:datastoreItem>
</file>

<file path=docProps/app.xml><?xml version="1.0" encoding="utf-8"?>
<Properties xmlns="http://schemas.openxmlformats.org/officeDocument/2006/extended-properties" xmlns:vt="http://schemas.openxmlformats.org/officeDocument/2006/docPropsVTypes">
  <Template>Normal</Template>
  <Pages>17</Pages>
  <Words>3810</Words>
  <Characters>21718</Characters>
  <Lines>180</Lines>
  <Paragraphs>50</Paragraphs>
  <TotalTime>2</TotalTime>
  <ScaleCrop>false</ScaleCrop>
  <LinksUpToDate>false</LinksUpToDate>
  <CharactersWithSpaces>25478</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2020-04-26T18:22:00Z</dcterms:created>
  <dc:creator>TF</dc:creator>
  <cp:lastModifiedBy>TF</cp:lastModifiedBy>
  <dcterms:modified xsi:type="dcterms:W3CDTF">2020-04-30T18:03:15Z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