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1D045" w14:textId="77777777" w:rsidR="00E067A8" w:rsidRPr="00071A32" w:rsidRDefault="00ED5964">
      <w:pPr>
        <w:rPr>
          <w:rFonts w:asciiTheme="minorHAnsi" w:hAnsiTheme="minorHAnsi" w:cstheme="minorHAnsi"/>
          <w:sz w:val="24"/>
          <w:szCs w:val="24"/>
        </w:rPr>
      </w:pPr>
      <w:r w:rsidRPr="00071A32">
        <w:rPr>
          <w:rFonts w:asciiTheme="minorHAnsi" w:hAnsiTheme="minorHAnsi" w:cstheme="minorHAnsi"/>
          <w:noProof/>
          <w:sz w:val="24"/>
          <w:szCs w:val="24"/>
          <w:lang w:val="en-US" w:eastAsia="en-US"/>
        </w:rPr>
        <w:drawing>
          <wp:inline distT="0" distB="0" distL="0" distR="0" wp14:anchorId="467DD094" wp14:editId="63B78ED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2DFE458" w14:textId="77777777" w:rsidR="00ED5964" w:rsidRPr="00071A32" w:rsidRDefault="00ED5964">
      <w:pPr>
        <w:rPr>
          <w:rFonts w:asciiTheme="minorHAnsi" w:hAnsiTheme="minorHAnsi" w:cstheme="minorHAnsi"/>
          <w:sz w:val="24"/>
          <w:szCs w:val="24"/>
        </w:rPr>
      </w:pPr>
    </w:p>
    <w:p w14:paraId="4247F8C8" w14:textId="77777777" w:rsidR="00ED5964" w:rsidRPr="00071A32" w:rsidRDefault="00ED5964">
      <w:pPr>
        <w:rPr>
          <w:rFonts w:asciiTheme="minorHAnsi" w:hAnsiTheme="minorHAnsi" w:cstheme="minorHAnsi"/>
          <w:sz w:val="24"/>
          <w:szCs w:val="24"/>
        </w:rPr>
      </w:pPr>
    </w:p>
    <w:p w14:paraId="5E1FF150" w14:textId="77777777" w:rsidR="006A5CFC" w:rsidRPr="00071A32" w:rsidRDefault="006A5CFC">
      <w:pPr>
        <w:rPr>
          <w:rFonts w:asciiTheme="minorHAnsi" w:hAnsiTheme="minorHAnsi" w:cstheme="minorHAnsi"/>
          <w:sz w:val="24"/>
          <w:szCs w:val="24"/>
        </w:rPr>
      </w:pPr>
    </w:p>
    <w:p w14:paraId="0A79700B" w14:textId="77777777" w:rsidR="006A5CFC" w:rsidRPr="00071A32" w:rsidRDefault="006A5CFC">
      <w:pPr>
        <w:rPr>
          <w:rFonts w:asciiTheme="minorHAnsi" w:hAnsiTheme="minorHAnsi" w:cstheme="minorHAnsi"/>
          <w:sz w:val="24"/>
          <w:szCs w:val="24"/>
        </w:rPr>
      </w:pPr>
    </w:p>
    <w:p w14:paraId="6FCC11A3" w14:textId="77777777" w:rsidR="00ED5964" w:rsidRPr="00071A32" w:rsidRDefault="00ED5964">
      <w:pPr>
        <w:rPr>
          <w:rFonts w:asciiTheme="minorHAnsi" w:hAnsiTheme="minorHAnsi" w:cstheme="minorHAnsi"/>
          <w:sz w:val="24"/>
          <w:szCs w:val="24"/>
        </w:rPr>
      </w:pPr>
    </w:p>
    <w:p w14:paraId="07CFFC90"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Name: FLORENCE AMMA BANGNIRA</w:t>
      </w:r>
    </w:p>
    <w:p w14:paraId="5118C6FA"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Student ID: 2537504</w:t>
      </w:r>
    </w:p>
    <w:p w14:paraId="3E96342B"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Module Code: LCHS4003</w:t>
      </w:r>
    </w:p>
    <w:p w14:paraId="235C3D2D"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Module: Introduction to Health and Social</w:t>
      </w:r>
      <w:r w:rsidRPr="00071A32">
        <w:rPr>
          <w:rFonts w:asciiTheme="minorHAnsi" w:hAnsiTheme="minorHAnsi" w:cstheme="minorHAnsi"/>
          <w:b/>
          <w:bCs/>
          <w:sz w:val="24"/>
          <w:szCs w:val="24"/>
        </w:rPr>
        <w:t xml:space="preserve"> Care</w:t>
      </w:r>
    </w:p>
    <w:p w14:paraId="24A39BE0" w14:textId="0CA53E5C"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 xml:space="preserve">Lecturer: Jane Nagari </w:t>
      </w:r>
    </w:p>
    <w:p w14:paraId="339FA084" w14:textId="77777777" w:rsidR="00F848A9" w:rsidRPr="00071A32" w:rsidRDefault="00F848A9" w:rsidP="00F848A9">
      <w:pPr>
        <w:jc w:val="both"/>
        <w:rPr>
          <w:rFonts w:asciiTheme="minorHAnsi" w:hAnsiTheme="minorHAnsi" w:cstheme="minorHAnsi"/>
          <w:b/>
          <w:bCs/>
          <w:sz w:val="24"/>
          <w:szCs w:val="24"/>
        </w:rPr>
      </w:pPr>
    </w:p>
    <w:p w14:paraId="0DDDAE04" w14:textId="77777777" w:rsidR="00F848A9" w:rsidRPr="00071A32" w:rsidRDefault="00F848A9" w:rsidP="00F848A9">
      <w:pPr>
        <w:jc w:val="both"/>
        <w:rPr>
          <w:rFonts w:asciiTheme="minorHAnsi" w:hAnsiTheme="minorHAnsi" w:cstheme="minorHAnsi"/>
          <w:sz w:val="24"/>
          <w:szCs w:val="24"/>
        </w:rPr>
      </w:pPr>
    </w:p>
    <w:p w14:paraId="6336E9B3" w14:textId="77777777" w:rsidR="00ED5964" w:rsidRPr="00071A32" w:rsidRDefault="00ED5964" w:rsidP="00ED5964">
      <w:pPr>
        <w:jc w:val="both"/>
        <w:rPr>
          <w:rFonts w:asciiTheme="minorHAnsi" w:hAnsiTheme="minorHAnsi" w:cstheme="minorHAnsi"/>
          <w:sz w:val="24"/>
          <w:szCs w:val="24"/>
        </w:rPr>
      </w:pPr>
    </w:p>
    <w:p w14:paraId="4CB0741C" w14:textId="77777777" w:rsidR="00ED5964" w:rsidRPr="00071A32" w:rsidRDefault="00ED5964" w:rsidP="00ED5964">
      <w:pPr>
        <w:jc w:val="both"/>
        <w:rPr>
          <w:rFonts w:asciiTheme="minorHAnsi" w:hAnsiTheme="minorHAnsi" w:cstheme="minorHAnsi"/>
          <w:sz w:val="24"/>
          <w:szCs w:val="24"/>
        </w:rPr>
      </w:pPr>
    </w:p>
    <w:p w14:paraId="28632838" w14:textId="77777777" w:rsidR="00ED5964" w:rsidRPr="00071A32" w:rsidRDefault="00ED5964" w:rsidP="00ED5964">
      <w:pPr>
        <w:jc w:val="both"/>
        <w:rPr>
          <w:rFonts w:asciiTheme="minorHAnsi" w:hAnsiTheme="minorHAnsi" w:cstheme="minorHAnsi"/>
          <w:sz w:val="24"/>
          <w:szCs w:val="24"/>
        </w:rPr>
      </w:pPr>
    </w:p>
    <w:p w14:paraId="7F0AC235" w14:textId="77777777" w:rsidR="00ED5964" w:rsidRPr="00071A32" w:rsidRDefault="00ED5964" w:rsidP="00ED5964">
      <w:pPr>
        <w:jc w:val="both"/>
        <w:rPr>
          <w:rFonts w:asciiTheme="minorHAnsi" w:hAnsiTheme="minorHAnsi" w:cstheme="minorHAnsi"/>
          <w:sz w:val="24"/>
          <w:szCs w:val="24"/>
        </w:rPr>
      </w:pPr>
    </w:p>
    <w:p w14:paraId="5AC97199" w14:textId="77777777" w:rsidR="00ED5964" w:rsidRPr="00071A32" w:rsidRDefault="00ED5964" w:rsidP="00ED5964">
      <w:pPr>
        <w:jc w:val="both"/>
        <w:rPr>
          <w:rFonts w:asciiTheme="minorHAnsi" w:hAnsiTheme="minorHAnsi" w:cstheme="minorHAnsi"/>
          <w:sz w:val="24"/>
          <w:szCs w:val="24"/>
        </w:rPr>
      </w:pPr>
    </w:p>
    <w:p w14:paraId="43922FFB" w14:textId="77777777" w:rsidR="00A04749" w:rsidRPr="00071A32" w:rsidRDefault="00A04749" w:rsidP="00ED5964">
      <w:pPr>
        <w:jc w:val="both"/>
        <w:rPr>
          <w:rFonts w:asciiTheme="minorHAnsi" w:hAnsiTheme="minorHAnsi" w:cstheme="minorHAnsi"/>
          <w:sz w:val="24"/>
          <w:szCs w:val="24"/>
        </w:rPr>
      </w:pPr>
    </w:p>
    <w:p w14:paraId="074465CF" w14:textId="77777777" w:rsidR="00A04749" w:rsidRPr="00071A32" w:rsidRDefault="00A04749" w:rsidP="00ED5964">
      <w:pPr>
        <w:jc w:val="both"/>
        <w:rPr>
          <w:rFonts w:asciiTheme="minorHAnsi" w:hAnsiTheme="minorHAnsi" w:cstheme="minorHAnsi"/>
          <w:sz w:val="24"/>
          <w:szCs w:val="24"/>
        </w:rPr>
      </w:pPr>
    </w:p>
    <w:p w14:paraId="078E2D26" w14:textId="77777777" w:rsidR="00A04749" w:rsidRPr="00071A32" w:rsidRDefault="00A04749" w:rsidP="00ED5964">
      <w:pPr>
        <w:jc w:val="both"/>
        <w:rPr>
          <w:rFonts w:asciiTheme="minorHAnsi" w:hAnsiTheme="minorHAnsi" w:cstheme="minorHAnsi"/>
          <w:sz w:val="24"/>
          <w:szCs w:val="24"/>
        </w:rPr>
      </w:pPr>
    </w:p>
    <w:p w14:paraId="26F1A70F" w14:textId="77777777" w:rsidR="00A04749" w:rsidRPr="00071A32" w:rsidRDefault="00A04749" w:rsidP="00ED5964">
      <w:pPr>
        <w:jc w:val="both"/>
        <w:rPr>
          <w:rFonts w:asciiTheme="minorHAnsi" w:hAnsiTheme="minorHAnsi" w:cstheme="minorHAnsi"/>
          <w:sz w:val="24"/>
          <w:szCs w:val="24"/>
        </w:rPr>
      </w:pPr>
    </w:p>
    <w:p w14:paraId="0CF268AE" w14:textId="10D694B4" w:rsidR="00ED5964" w:rsidRPr="00071A32" w:rsidRDefault="00ED5964" w:rsidP="00ED5964">
      <w:pPr>
        <w:jc w:val="both"/>
        <w:rPr>
          <w:rFonts w:asciiTheme="minorHAnsi" w:hAnsiTheme="minorHAnsi" w:cstheme="minorHAnsi"/>
          <w:sz w:val="24"/>
          <w:szCs w:val="24"/>
        </w:rPr>
      </w:pPr>
      <w:r w:rsidRPr="00071A32">
        <w:rPr>
          <w:rFonts w:asciiTheme="minorHAnsi" w:hAnsiTheme="minorHAnsi" w:cstheme="minorHAnsi"/>
          <w:sz w:val="24"/>
          <w:szCs w:val="24"/>
        </w:rPr>
        <w:t xml:space="preserve">Submitted on:  </w:t>
      </w:r>
      <w:r w:rsidR="00EA7819" w:rsidRPr="00071A32">
        <w:rPr>
          <w:rFonts w:asciiTheme="minorHAnsi" w:hAnsiTheme="minorHAnsi" w:cstheme="minorHAnsi"/>
          <w:sz w:val="24"/>
          <w:szCs w:val="24"/>
        </w:rPr>
        <w:t>09</w:t>
      </w:r>
      <w:r w:rsidR="00A04749" w:rsidRPr="00071A32">
        <w:rPr>
          <w:rFonts w:asciiTheme="minorHAnsi" w:hAnsiTheme="minorHAnsi" w:cstheme="minorHAnsi"/>
          <w:sz w:val="24"/>
          <w:szCs w:val="24"/>
        </w:rPr>
        <w:t>/</w:t>
      </w:r>
      <w:r w:rsidR="00EA7819" w:rsidRPr="00071A32">
        <w:rPr>
          <w:rFonts w:asciiTheme="minorHAnsi" w:hAnsiTheme="minorHAnsi" w:cstheme="minorHAnsi"/>
          <w:sz w:val="24"/>
          <w:szCs w:val="24"/>
        </w:rPr>
        <w:t>10</w:t>
      </w:r>
      <w:r w:rsidR="00525A9A" w:rsidRPr="00071A32">
        <w:rPr>
          <w:rFonts w:asciiTheme="minorHAnsi" w:hAnsiTheme="minorHAnsi" w:cstheme="minorHAnsi"/>
          <w:sz w:val="24"/>
          <w:szCs w:val="24"/>
        </w:rPr>
        <w:t>/2026</w:t>
      </w:r>
    </w:p>
    <w:p w14:paraId="4AA6A205" w14:textId="77777777" w:rsidR="00ED5964" w:rsidRPr="00071A32" w:rsidRDefault="00ED5964" w:rsidP="00ED5964">
      <w:pPr>
        <w:jc w:val="both"/>
        <w:rPr>
          <w:rFonts w:asciiTheme="minorHAnsi" w:hAnsiTheme="minorHAnsi" w:cstheme="minorHAnsi"/>
          <w:sz w:val="24"/>
          <w:szCs w:val="24"/>
        </w:rPr>
      </w:pPr>
    </w:p>
    <w:p w14:paraId="75A27D3C" w14:textId="77777777" w:rsidR="00ED5964" w:rsidRPr="00071A32" w:rsidRDefault="00ED5964" w:rsidP="00ED5964">
      <w:pPr>
        <w:jc w:val="both"/>
        <w:rPr>
          <w:rFonts w:asciiTheme="minorHAnsi" w:hAnsiTheme="minorHAnsi" w:cstheme="minorHAnsi"/>
          <w:sz w:val="24"/>
          <w:szCs w:val="24"/>
        </w:rPr>
      </w:pPr>
    </w:p>
    <w:p w14:paraId="75AB5922" w14:textId="77777777" w:rsidR="00ED5964" w:rsidRPr="00071A32" w:rsidRDefault="00ED5964" w:rsidP="00ED5964">
      <w:pPr>
        <w:jc w:val="both"/>
        <w:rPr>
          <w:rFonts w:asciiTheme="minorHAnsi" w:hAnsiTheme="minorHAnsi" w:cstheme="minorHAnsi"/>
          <w:sz w:val="24"/>
          <w:szCs w:val="24"/>
        </w:rPr>
      </w:pPr>
    </w:p>
    <w:p w14:paraId="498774BF" w14:textId="77777777" w:rsidR="00ED5964" w:rsidRPr="00071A32" w:rsidRDefault="00ED5964" w:rsidP="00ED5964">
      <w:pPr>
        <w:jc w:val="both"/>
        <w:rPr>
          <w:rFonts w:asciiTheme="minorHAnsi" w:hAnsiTheme="minorHAnsi" w:cstheme="minorHAnsi"/>
          <w:sz w:val="24"/>
          <w:szCs w:val="24"/>
        </w:rPr>
      </w:pPr>
    </w:p>
    <w:sdt>
      <w:sdtPr>
        <w:rPr>
          <w:rFonts w:asciiTheme="minorHAnsi" w:eastAsiaTheme="minorEastAsia" w:hAnsiTheme="minorHAnsi" w:cstheme="minorHAnsi"/>
          <w:bCs w:val="0"/>
          <w:color w:val="auto"/>
          <w:kern w:val="2"/>
          <w:sz w:val="24"/>
          <w:szCs w:val="24"/>
          <w:lang w:val="en-GB" w:eastAsia="zh-CN"/>
        </w:rPr>
        <w:id w:val="1877039333"/>
        <w:docPartObj>
          <w:docPartGallery w:val="Table of Contents"/>
          <w:docPartUnique/>
        </w:docPartObj>
      </w:sdtPr>
      <w:sdtEndPr>
        <w:rPr>
          <w:rFonts w:eastAsiaTheme="majorEastAsia"/>
          <w:b/>
          <w:bCs/>
          <w:noProof/>
          <w:color w:val="2F5496" w:themeColor="accent1" w:themeShade="BF"/>
          <w:kern w:val="0"/>
          <w:lang w:val="en-US" w:eastAsia="en-US"/>
        </w:rPr>
      </w:sdtEndPr>
      <w:sdtContent>
        <w:sdt>
          <w:sdtPr>
            <w:rPr>
              <w:rFonts w:asciiTheme="minorHAnsi" w:eastAsia="Arial" w:hAnsiTheme="minorHAnsi" w:cstheme="minorHAnsi"/>
              <w:bCs w:val="0"/>
              <w:color w:val="auto"/>
              <w:kern w:val="2"/>
              <w:sz w:val="24"/>
              <w:szCs w:val="24"/>
              <w:lang w:val="en" w:eastAsia="en-IN"/>
            </w:rPr>
            <w:id w:val="-1008363171"/>
            <w:docPartObj>
              <w:docPartGallery w:val="Table of Contents"/>
              <w:docPartUnique/>
            </w:docPartObj>
          </w:sdtPr>
          <w:sdtEndPr>
            <w:rPr>
              <w:rFonts w:eastAsiaTheme="minorEastAsia"/>
              <w:b/>
              <w:noProof/>
              <w:lang w:val="en-GB" w:eastAsia="zh-CN"/>
            </w:rPr>
          </w:sdtEndPr>
          <w:sdtContent>
            <w:p w14:paraId="2A6C6F3A" w14:textId="77777777" w:rsidR="0078352D" w:rsidRPr="00071A32" w:rsidRDefault="0078352D" w:rsidP="0078352D">
              <w:pPr>
                <w:pStyle w:val="TOCHeading"/>
                <w:spacing w:line="360" w:lineRule="auto"/>
                <w:jc w:val="center"/>
                <w:rPr>
                  <w:rFonts w:asciiTheme="minorHAnsi" w:hAnsiTheme="minorHAnsi" w:cstheme="minorHAnsi"/>
                  <w:b/>
                  <w:bCs w:val="0"/>
                  <w:color w:val="auto"/>
                  <w:sz w:val="24"/>
                  <w:szCs w:val="24"/>
                </w:rPr>
              </w:pPr>
              <w:r w:rsidRPr="00071A32">
                <w:rPr>
                  <w:rFonts w:asciiTheme="minorHAnsi" w:hAnsiTheme="minorHAnsi" w:cstheme="minorHAnsi"/>
                  <w:b/>
                  <w:color w:val="auto"/>
                  <w:sz w:val="24"/>
                  <w:szCs w:val="24"/>
                </w:rPr>
                <w:t>Table of Contents</w:t>
              </w:r>
            </w:p>
            <w:p w14:paraId="1CF3DB70" w14:textId="77777777" w:rsidR="0078352D" w:rsidRPr="00071A32" w:rsidRDefault="0078352D" w:rsidP="0078352D">
              <w:pPr>
                <w:pStyle w:val="TOC1"/>
                <w:tabs>
                  <w:tab w:val="right" w:leader="dot" w:pos="9350"/>
                </w:tabs>
                <w:spacing w:line="360" w:lineRule="auto"/>
                <w:jc w:val="both"/>
                <w:rPr>
                  <w:rFonts w:asciiTheme="minorHAnsi" w:hAnsiTheme="minorHAnsi" w:cstheme="minorHAnsi"/>
                  <w:noProof/>
                  <w:szCs w:val="24"/>
                </w:rPr>
              </w:pPr>
              <w:r w:rsidRPr="00071A32">
                <w:rPr>
                  <w:rFonts w:asciiTheme="minorHAnsi" w:hAnsiTheme="minorHAnsi" w:cstheme="minorHAnsi"/>
                  <w:b w:val="0"/>
                  <w:bCs w:val="0"/>
                  <w:szCs w:val="24"/>
                </w:rPr>
                <w:fldChar w:fldCharType="begin"/>
              </w:r>
              <w:r w:rsidRPr="00071A32">
                <w:rPr>
                  <w:rFonts w:asciiTheme="minorHAnsi" w:hAnsiTheme="minorHAnsi" w:cstheme="minorHAnsi"/>
                  <w:szCs w:val="24"/>
                </w:rPr>
                <w:instrText xml:space="preserve"> TOC \o "1-3" \h \z \u </w:instrText>
              </w:r>
              <w:r w:rsidRPr="00071A32">
                <w:rPr>
                  <w:rFonts w:asciiTheme="minorHAnsi" w:hAnsiTheme="minorHAnsi" w:cstheme="minorHAnsi"/>
                  <w:b w:val="0"/>
                  <w:bCs w:val="0"/>
                  <w:szCs w:val="24"/>
                </w:rPr>
                <w:fldChar w:fldCharType="separate"/>
              </w:r>
              <w:hyperlink w:anchor="_Toc242123331" w:history="1">
                <w:r w:rsidRPr="00071A32">
                  <w:rPr>
                    <w:rStyle w:val="Hyperlink"/>
                    <w:rFonts w:asciiTheme="minorHAnsi" w:hAnsiTheme="minorHAnsi" w:cstheme="minorHAnsi"/>
                    <w:noProof/>
                    <w:szCs w:val="24"/>
                  </w:rPr>
                  <w:t>Task 1:  Mini Report</w:t>
                </w:r>
                <w:r w:rsidRPr="00071A32">
                  <w:rPr>
                    <w:rFonts w:asciiTheme="minorHAnsi" w:hAnsiTheme="minorHAnsi" w:cstheme="minorHAnsi"/>
                    <w:noProof/>
                    <w:webHidden/>
                    <w:szCs w:val="24"/>
                  </w:rPr>
                  <w:tab/>
                </w:r>
                <w:r w:rsidRPr="00071A32">
                  <w:rPr>
                    <w:rFonts w:asciiTheme="minorHAnsi" w:hAnsiTheme="minorHAnsi" w:cstheme="minorHAnsi"/>
                    <w:noProof/>
                    <w:webHidden/>
                    <w:szCs w:val="24"/>
                  </w:rPr>
                  <w:fldChar w:fldCharType="begin"/>
                </w:r>
                <w:r w:rsidRPr="00071A32">
                  <w:rPr>
                    <w:rFonts w:asciiTheme="minorHAnsi" w:hAnsiTheme="minorHAnsi" w:cstheme="minorHAnsi"/>
                    <w:noProof/>
                    <w:webHidden/>
                    <w:szCs w:val="24"/>
                  </w:rPr>
                  <w:instrText xml:space="preserve"> PAGEREF _Toc242123331 \h </w:instrText>
                </w:r>
                <w:r w:rsidRPr="00071A32">
                  <w:rPr>
                    <w:rFonts w:asciiTheme="minorHAnsi" w:hAnsiTheme="minorHAnsi" w:cstheme="minorHAnsi"/>
                    <w:noProof/>
                    <w:webHidden/>
                    <w:szCs w:val="24"/>
                  </w:rPr>
                </w:r>
                <w:r w:rsidRPr="00071A32">
                  <w:rPr>
                    <w:rFonts w:asciiTheme="minorHAnsi" w:hAnsiTheme="minorHAnsi" w:cstheme="minorHAnsi"/>
                    <w:noProof/>
                    <w:webHidden/>
                    <w:szCs w:val="24"/>
                  </w:rPr>
                  <w:fldChar w:fldCharType="separate"/>
                </w:r>
                <w:r w:rsidRPr="00071A32">
                  <w:rPr>
                    <w:rFonts w:asciiTheme="minorHAnsi" w:hAnsiTheme="minorHAnsi" w:cstheme="minorHAnsi"/>
                    <w:noProof/>
                    <w:webHidden/>
                    <w:szCs w:val="24"/>
                  </w:rPr>
                  <w:t>3</w:t>
                </w:r>
                <w:r w:rsidRPr="00071A32">
                  <w:rPr>
                    <w:rFonts w:asciiTheme="minorHAnsi" w:hAnsiTheme="minorHAnsi" w:cstheme="minorHAnsi"/>
                    <w:noProof/>
                    <w:webHidden/>
                    <w:szCs w:val="24"/>
                  </w:rPr>
                  <w:fldChar w:fldCharType="end"/>
                </w:r>
              </w:hyperlink>
            </w:p>
            <w:p w14:paraId="52362995" w14:textId="77777777" w:rsidR="0078352D" w:rsidRPr="00071A32" w:rsidRDefault="0078352D" w:rsidP="0078352D">
              <w:pPr>
                <w:pStyle w:val="TOC2"/>
                <w:tabs>
                  <w:tab w:val="right" w:leader="dot" w:pos="9350"/>
                </w:tabs>
                <w:spacing w:line="360" w:lineRule="auto"/>
                <w:jc w:val="both"/>
                <w:rPr>
                  <w:noProof/>
                  <w:sz w:val="24"/>
                </w:rPr>
              </w:pPr>
              <w:hyperlink w:anchor="_Toc242123332" w:history="1">
                <w:r w:rsidRPr="00071A32">
                  <w:rPr>
                    <w:rStyle w:val="Hyperlink"/>
                    <w:noProof/>
                    <w:sz w:val="24"/>
                  </w:rPr>
                  <w:t>1. Introduction</w:t>
                </w:r>
                <w:r w:rsidRPr="00071A32">
                  <w:rPr>
                    <w:noProof/>
                    <w:webHidden/>
                    <w:sz w:val="24"/>
                  </w:rPr>
                  <w:tab/>
                </w:r>
                <w:r w:rsidRPr="00071A32">
                  <w:rPr>
                    <w:noProof/>
                    <w:webHidden/>
                    <w:sz w:val="24"/>
                  </w:rPr>
                  <w:fldChar w:fldCharType="begin"/>
                </w:r>
                <w:r w:rsidRPr="00071A32">
                  <w:rPr>
                    <w:noProof/>
                    <w:webHidden/>
                    <w:sz w:val="24"/>
                  </w:rPr>
                  <w:instrText xml:space="preserve"> PAGEREF _Toc242123332 \h </w:instrText>
                </w:r>
                <w:r w:rsidRPr="00071A32">
                  <w:rPr>
                    <w:noProof/>
                    <w:webHidden/>
                    <w:sz w:val="24"/>
                  </w:rPr>
                </w:r>
                <w:r w:rsidRPr="00071A32">
                  <w:rPr>
                    <w:noProof/>
                    <w:webHidden/>
                    <w:sz w:val="24"/>
                  </w:rPr>
                  <w:fldChar w:fldCharType="separate"/>
                </w:r>
                <w:r w:rsidRPr="00071A32">
                  <w:rPr>
                    <w:noProof/>
                    <w:webHidden/>
                    <w:sz w:val="24"/>
                  </w:rPr>
                  <w:t>3</w:t>
                </w:r>
                <w:r w:rsidRPr="00071A32">
                  <w:rPr>
                    <w:noProof/>
                    <w:webHidden/>
                    <w:sz w:val="24"/>
                  </w:rPr>
                  <w:fldChar w:fldCharType="end"/>
                </w:r>
              </w:hyperlink>
            </w:p>
            <w:p w14:paraId="02E6276D" w14:textId="77777777" w:rsidR="0078352D" w:rsidRPr="00071A32" w:rsidRDefault="0078352D" w:rsidP="0078352D">
              <w:pPr>
                <w:pStyle w:val="TOC2"/>
                <w:tabs>
                  <w:tab w:val="right" w:leader="dot" w:pos="9350"/>
                </w:tabs>
                <w:spacing w:line="360" w:lineRule="auto"/>
                <w:jc w:val="both"/>
                <w:rPr>
                  <w:noProof/>
                  <w:sz w:val="24"/>
                </w:rPr>
              </w:pPr>
              <w:hyperlink w:anchor="_Toc242123333" w:history="1">
                <w:r w:rsidRPr="00071A32">
                  <w:rPr>
                    <w:rStyle w:val="Hyperlink"/>
                    <w:noProof/>
                    <w:sz w:val="24"/>
                  </w:rPr>
                  <w:t>2. Impact of the Shortage on the Community</w:t>
                </w:r>
                <w:r w:rsidRPr="00071A32">
                  <w:rPr>
                    <w:noProof/>
                    <w:webHidden/>
                    <w:sz w:val="24"/>
                  </w:rPr>
                  <w:tab/>
                </w:r>
                <w:r w:rsidRPr="00071A32">
                  <w:rPr>
                    <w:noProof/>
                    <w:webHidden/>
                    <w:sz w:val="24"/>
                  </w:rPr>
                  <w:fldChar w:fldCharType="begin"/>
                </w:r>
                <w:r w:rsidRPr="00071A32">
                  <w:rPr>
                    <w:noProof/>
                    <w:webHidden/>
                    <w:sz w:val="24"/>
                  </w:rPr>
                  <w:instrText xml:space="preserve"> PAGEREF _Toc242123333 \h </w:instrText>
                </w:r>
                <w:r w:rsidRPr="00071A32">
                  <w:rPr>
                    <w:noProof/>
                    <w:webHidden/>
                    <w:sz w:val="24"/>
                  </w:rPr>
                </w:r>
                <w:r w:rsidRPr="00071A32">
                  <w:rPr>
                    <w:noProof/>
                    <w:webHidden/>
                    <w:sz w:val="24"/>
                  </w:rPr>
                  <w:fldChar w:fldCharType="separate"/>
                </w:r>
                <w:r w:rsidRPr="00071A32">
                  <w:rPr>
                    <w:noProof/>
                    <w:webHidden/>
                    <w:sz w:val="24"/>
                  </w:rPr>
                  <w:t>3</w:t>
                </w:r>
                <w:r w:rsidRPr="00071A32">
                  <w:rPr>
                    <w:noProof/>
                    <w:webHidden/>
                    <w:sz w:val="24"/>
                  </w:rPr>
                  <w:fldChar w:fldCharType="end"/>
                </w:r>
              </w:hyperlink>
            </w:p>
            <w:p w14:paraId="52834275" w14:textId="77777777" w:rsidR="0078352D" w:rsidRPr="00071A32" w:rsidRDefault="0078352D" w:rsidP="0078352D">
              <w:pPr>
                <w:pStyle w:val="TOC2"/>
                <w:tabs>
                  <w:tab w:val="right" w:leader="dot" w:pos="9350"/>
                </w:tabs>
                <w:spacing w:line="360" w:lineRule="auto"/>
                <w:jc w:val="both"/>
                <w:rPr>
                  <w:noProof/>
                  <w:sz w:val="24"/>
                </w:rPr>
              </w:pPr>
              <w:hyperlink w:anchor="_Toc242123334" w:history="1">
                <w:r w:rsidRPr="00071A32">
                  <w:rPr>
                    <w:rStyle w:val="Hyperlink"/>
                    <w:noProof/>
                    <w:sz w:val="24"/>
                  </w:rPr>
                  <w:t>3. Recommendations</w:t>
                </w:r>
                <w:r w:rsidRPr="00071A32">
                  <w:rPr>
                    <w:noProof/>
                    <w:webHidden/>
                    <w:sz w:val="24"/>
                  </w:rPr>
                  <w:tab/>
                </w:r>
                <w:r w:rsidRPr="00071A32">
                  <w:rPr>
                    <w:noProof/>
                    <w:webHidden/>
                    <w:sz w:val="24"/>
                  </w:rPr>
                  <w:fldChar w:fldCharType="begin"/>
                </w:r>
                <w:r w:rsidRPr="00071A32">
                  <w:rPr>
                    <w:noProof/>
                    <w:webHidden/>
                    <w:sz w:val="24"/>
                  </w:rPr>
                  <w:instrText xml:space="preserve"> PAGEREF _Toc242123334 \h </w:instrText>
                </w:r>
                <w:r w:rsidRPr="00071A32">
                  <w:rPr>
                    <w:noProof/>
                    <w:webHidden/>
                    <w:sz w:val="24"/>
                  </w:rPr>
                </w:r>
                <w:r w:rsidRPr="00071A32">
                  <w:rPr>
                    <w:noProof/>
                    <w:webHidden/>
                    <w:sz w:val="24"/>
                  </w:rPr>
                  <w:fldChar w:fldCharType="separate"/>
                </w:r>
                <w:r w:rsidRPr="00071A32">
                  <w:rPr>
                    <w:noProof/>
                    <w:webHidden/>
                    <w:sz w:val="24"/>
                  </w:rPr>
                  <w:t>4</w:t>
                </w:r>
                <w:r w:rsidRPr="00071A32">
                  <w:rPr>
                    <w:noProof/>
                    <w:webHidden/>
                    <w:sz w:val="24"/>
                  </w:rPr>
                  <w:fldChar w:fldCharType="end"/>
                </w:r>
              </w:hyperlink>
            </w:p>
            <w:p w14:paraId="109975C0" w14:textId="77777777" w:rsidR="0078352D" w:rsidRPr="00071A32" w:rsidRDefault="0078352D" w:rsidP="0078352D">
              <w:pPr>
                <w:pStyle w:val="TOC2"/>
                <w:tabs>
                  <w:tab w:val="right" w:leader="dot" w:pos="9350"/>
                </w:tabs>
                <w:spacing w:line="360" w:lineRule="auto"/>
                <w:jc w:val="both"/>
                <w:rPr>
                  <w:noProof/>
                  <w:sz w:val="24"/>
                </w:rPr>
              </w:pPr>
              <w:hyperlink w:anchor="_Toc242123335" w:history="1">
                <w:r w:rsidRPr="00071A32">
                  <w:rPr>
                    <w:rStyle w:val="Hyperlink"/>
                    <w:noProof/>
                    <w:sz w:val="24"/>
                  </w:rPr>
                  <w:t>4. Conclusion</w:t>
                </w:r>
                <w:r w:rsidRPr="00071A32">
                  <w:rPr>
                    <w:noProof/>
                    <w:webHidden/>
                    <w:sz w:val="24"/>
                  </w:rPr>
                  <w:tab/>
                </w:r>
                <w:r w:rsidRPr="00071A32">
                  <w:rPr>
                    <w:noProof/>
                    <w:webHidden/>
                    <w:sz w:val="24"/>
                  </w:rPr>
                  <w:fldChar w:fldCharType="begin"/>
                </w:r>
                <w:r w:rsidRPr="00071A32">
                  <w:rPr>
                    <w:noProof/>
                    <w:webHidden/>
                    <w:sz w:val="24"/>
                  </w:rPr>
                  <w:instrText xml:space="preserve"> PAGEREF _Toc242123335 \h </w:instrText>
                </w:r>
                <w:r w:rsidRPr="00071A32">
                  <w:rPr>
                    <w:noProof/>
                    <w:webHidden/>
                    <w:sz w:val="24"/>
                  </w:rPr>
                </w:r>
                <w:r w:rsidRPr="00071A32">
                  <w:rPr>
                    <w:noProof/>
                    <w:webHidden/>
                    <w:sz w:val="24"/>
                  </w:rPr>
                  <w:fldChar w:fldCharType="separate"/>
                </w:r>
                <w:r w:rsidRPr="00071A32">
                  <w:rPr>
                    <w:noProof/>
                    <w:webHidden/>
                    <w:sz w:val="24"/>
                  </w:rPr>
                  <w:t>5</w:t>
                </w:r>
                <w:r w:rsidRPr="00071A32">
                  <w:rPr>
                    <w:noProof/>
                    <w:webHidden/>
                    <w:sz w:val="24"/>
                  </w:rPr>
                  <w:fldChar w:fldCharType="end"/>
                </w:r>
              </w:hyperlink>
            </w:p>
            <w:p w14:paraId="6A46F8CD" w14:textId="77777777" w:rsidR="0078352D" w:rsidRPr="00071A32" w:rsidRDefault="0078352D" w:rsidP="0078352D">
              <w:pPr>
                <w:pStyle w:val="TOC1"/>
                <w:tabs>
                  <w:tab w:val="right" w:leader="dot" w:pos="9350"/>
                </w:tabs>
                <w:spacing w:line="360" w:lineRule="auto"/>
                <w:jc w:val="both"/>
                <w:rPr>
                  <w:rFonts w:asciiTheme="minorHAnsi" w:hAnsiTheme="minorHAnsi" w:cstheme="minorHAnsi"/>
                  <w:noProof/>
                  <w:szCs w:val="24"/>
                </w:rPr>
              </w:pPr>
              <w:hyperlink w:anchor="_Toc242123336" w:history="1">
                <w:r w:rsidRPr="00071A32">
                  <w:rPr>
                    <w:rStyle w:val="Hyperlink"/>
                    <w:rFonts w:asciiTheme="minorHAnsi" w:hAnsiTheme="minorHAnsi" w:cstheme="minorHAnsi"/>
                    <w:noProof/>
                    <w:szCs w:val="24"/>
                  </w:rPr>
                  <w:t>Task 2: Essay</w:t>
                </w:r>
                <w:r w:rsidRPr="00071A32">
                  <w:rPr>
                    <w:rFonts w:asciiTheme="minorHAnsi" w:hAnsiTheme="minorHAnsi" w:cstheme="minorHAnsi"/>
                    <w:noProof/>
                    <w:webHidden/>
                    <w:szCs w:val="24"/>
                  </w:rPr>
                  <w:tab/>
                </w:r>
                <w:r w:rsidRPr="00071A32">
                  <w:rPr>
                    <w:rFonts w:asciiTheme="minorHAnsi" w:hAnsiTheme="minorHAnsi" w:cstheme="minorHAnsi"/>
                    <w:noProof/>
                    <w:webHidden/>
                    <w:szCs w:val="24"/>
                  </w:rPr>
                  <w:fldChar w:fldCharType="begin"/>
                </w:r>
                <w:r w:rsidRPr="00071A32">
                  <w:rPr>
                    <w:rFonts w:asciiTheme="minorHAnsi" w:hAnsiTheme="minorHAnsi" w:cstheme="minorHAnsi"/>
                    <w:noProof/>
                    <w:webHidden/>
                    <w:szCs w:val="24"/>
                  </w:rPr>
                  <w:instrText xml:space="preserve"> PAGEREF _Toc242123336 \h </w:instrText>
                </w:r>
                <w:r w:rsidRPr="00071A32">
                  <w:rPr>
                    <w:rFonts w:asciiTheme="minorHAnsi" w:hAnsiTheme="minorHAnsi" w:cstheme="minorHAnsi"/>
                    <w:noProof/>
                    <w:webHidden/>
                    <w:szCs w:val="24"/>
                  </w:rPr>
                </w:r>
                <w:r w:rsidRPr="00071A32">
                  <w:rPr>
                    <w:rFonts w:asciiTheme="minorHAnsi" w:hAnsiTheme="minorHAnsi" w:cstheme="minorHAnsi"/>
                    <w:noProof/>
                    <w:webHidden/>
                    <w:szCs w:val="24"/>
                  </w:rPr>
                  <w:fldChar w:fldCharType="separate"/>
                </w:r>
                <w:r w:rsidRPr="00071A32">
                  <w:rPr>
                    <w:rFonts w:asciiTheme="minorHAnsi" w:hAnsiTheme="minorHAnsi" w:cstheme="minorHAnsi"/>
                    <w:noProof/>
                    <w:webHidden/>
                    <w:szCs w:val="24"/>
                  </w:rPr>
                  <w:t>5</w:t>
                </w:r>
                <w:r w:rsidRPr="00071A32">
                  <w:rPr>
                    <w:rFonts w:asciiTheme="minorHAnsi" w:hAnsiTheme="minorHAnsi" w:cstheme="minorHAnsi"/>
                    <w:noProof/>
                    <w:webHidden/>
                    <w:szCs w:val="24"/>
                  </w:rPr>
                  <w:fldChar w:fldCharType="end"/>
                </w:r>
              </w:hyperlink>
            </w:p>
            <w:p w14:paraId="3FC3B733" w14:textId="77777777" w:rsidR="0078352D" w:rsidRPr="00071A32" w:rsidRDefault="0078352D" w:rsidP="0078352D">
              <w:pPr>
                <w:pStyle w:val="TOC2"/>
                <w:tabs>
                  <w:tab w:val="right" w:leader="dot" w:pos="9350"/>
                </w:tabs>
                <w:spacing w:line="360" w:lineRule="auto"/>
                <w:jc w:val="both"/>
                <w:rPr>
                  <w:noProof/>
                  <w:sz w:val="24"/>
                </w:rPr>
              </w:pPr>
              <w:hyperlink w:anchor="_Toc242123337" w:history="1">
                <w:r w:rsidRPr="00071A32">
                  <w:rPr>
                    <w:rStyle w:val="Hyperlink"/>
                    <w:noProof/>
                    <w:sz w:val="24"/>
                  </w:rPr>
                  <w:t>Introduction</w:t>
                </w:r>
                <w:r w:rsidRPr="00071A32">
                  <w:rPr>
                    <w:noProof/>
                    <w:webHidden/>
                    <w:sz w:val="24"/>
                  </w:rPr>
                  <w:tab/>
                </w:r>
                <w:r w:rsidRPr="00071A32">
                  <w:rPr>
                    <w:noProof/>
                    <w:webHidden/>
                    <w:sz w:val="24"/>
                  </w:rPr>
                  <w:fldChar w:fldCharType="begin"/>
                </w:r>
                <w:r w:rsidRPr="00071A32">
                  <w:rPr>
                    <w:noProof/>
                    <w:webHidden/>
                    <w:sz w:val="24"/>
                  </w:rPr>
                  <w:instrText xml:space="preserve"> PAGEREF _Toc242123337 \h </w:instrText>
                </w:r>
                <w:r w:rsidRPr="00071A32">
                  <w:rPr>
                    <w:noProof/>
                    <w:webHidden/>
                    <w:sz w:val="24"/>
                  </w:rPr>
                </w:r>
                <w:r w:rsidRPr="00071A32">
                  <w:rPr>
                    <w:noProof/>
                    <w:webHidden/>
                    <w:sz w:val="24"/>
                  </w:rPr>
                  <w:fldChar w:fldCharType="separate"/>
                </w:r>
                <w:r w:rsidRPr="00071A32">
                  <w:rPr>
                    <w:noProof/>
                    <w:webHidden/>
                    <w:sz w:val="24"/>
                  </w:rPr>
                  <w:t>5</w:t>
                </w:r>
                <w:r w:rsidRPr="00071A32">
                  <w:rPr>
                    <w:noProof/>
                    <w:webHidden/>
                    <w:sz w:val="24"/>
                  </w:rPr>
                  <w:fldChar w:fldCharType="end"/>
                </w:r>
              </w:hyperlink>
            </w:p>
            <w:p w14:paraId="5257FA7D" w14:textId="77777777" w:rsidR="0078352D" w:rsidRPr="00071A32" w:rsidRDefault="0078352D" w:rsidP="0078352D">
              <w:pPr>
                <w:pStyle w:val="TOC2"/>
                <w:tabs>
                  <w:tab w:val="right" w:leader="dot" w:pos="9350"/>
                </w:tabs>
                <w:spacing w:line="360" w:lineRule="auto"/>
                <w:jc w:val="both"/>
                <w:rPr>
                  <w:noProof/>
                  <w:sz w:val="24"/>
                </w:rPr>
              </w:pPr>
              <w:hyperlink w:anchor="_Toc242123338" w:history="1">
                <w:r w:rsidRPr="00071A32">
                  <w:rPr>
                    <w:rStyle w:val="Hyperlink"/>
                    <w:noProof/>
                    <w:sz w:val="24"/>
                  </w:rPr>
                  <w:t>Historical Context and Current Function</w:t>
                </w:r>
                <w:r w:rsidRPr="00071A32">
                  <w:rPr>
                    <w:noProof/>
                    <w:webHidden/>
                    <w:sz w:val="24"/>
                  </w:rPr>
                  <w:tab/>
                </w:r>
                <w:r w:rsidRPr="00071A32">
                  <w:rPr>
                    <w:noProof/>
                    <w:webHidden/>
                    <w:sz w:val="24"/>
                  </w:rPr>
                  <w:fldChar w:fldCharType="begin"/>
                </w:r>
                <w:r w:rsidRPr="00071A32">
                  <w:rPr>
                    <w:noProof/>
                    <w:webHidden/>
                    <w:sz w:val="24"/>
                  </w:rPr>
                  <w:instrText xml:space="preserve"> PAGEREF _Toc242123338 \h </w:instrText>
                </w:r>
                <w:r w:rsidRPr="00071A32">
                  <w:rPr>
                    <w:noProof/>
                    <w:webHidden/>
                    <w:sz w:val="24"/>
                  </w:rPr>
                </w:r>
                <w:r w:rsidRPr="00071A32">
                  <w:rPr>
                    <w:noProof/>
                    <w:webHidden/>
                    <w:sz w:val="24"/>
                  </w:rPr>
                  <w:fldChar w:fldCharType="separate"/>
                </w:r>
                <w:r w:rsidRPr="00071A32">
                  <w:rPr>
                    <w:noProof/>
                    <w:webHidden/>
                    <w:sz w:val="24"/>
                  </w:rPr>
                  <w:t>5</w:t>
                </w:r>
                <w:r w:rsidRPr="00071A32">
                  <w:rPr>
                    <w:noProof/>
                    <w:webHidden/>
                    <w:sz w:val="24"/>
                  </w:rPr>
                  <w:fldChar w:fldCharType="end"/>
                </w:r>
              </w:hyperlink>
            </w:p>
            <w:p w14:paraId="14317AE2" w14:textId="77777777" w:rsidR="0078352D" w:rsidRPr="00071A32" w:rsidRDefault="0078352D" w:rsidP="0078352D">
              <w:pPr>
                <w:pStyle w:val="TOC2"/>
                <w:tabs>
                  <w:tab w:val="right" w:leader="dot" w:pos="9350"/>
                </w:tabs>
                <w:spacing w:line="360" w:lineRule="auto"/>
                <w:jc w:val="both"/>
                <w:rPr>
                  <w:noProof/>
                  <w:sz w:val="24"/>
                </w:rPr>
              </w:pPr>
              <w:hyperlink w:anchor="_Toc242123339" w:history="1">
                <w:r w:rsidRPr="00071A32">
                  <w:rPr>
                    <w:rStyle w:val="Hyperlink"/>
                    <w:noProof/>
                    <w:sz w:val="24"/>
                  </w:rPr>
                  <w:t>Critical Evaluation and Significance for Service Users</w:t>
                </w:r>
                <w:r w:rsidRPr="00071A32">
                  <w:rPr>
                    <w:noProof/>
                    <w:webHidden/>
                    <w:sz w:val="24"/>
                  </w:rPr>
                  <w:tab/>
                </w:r>
                <w:r w:rsidRPr="00071A32">
                  <w:rPr>
                    <w:noProof/>
                    <w:webHidden/>
                    <w:sz w:val="24"/>
                  </w:rPr>
                  <w:fldChar w:fldCharType="begin"/>
                </w:r>
                <w:r w:rsidRPr="00071A32">
                  <w:rPr>
                    <w:noProof/>
                    <w:webHidden/>
                    <w:sz w:val="24"/>
                  </w:rPr>
                  <w:instrText xml:space="preserve"> PAGEREF _Toc242123339 \h </w:instrText>
                </w:r>
                <w:r w:rsidRPr="00071A32">
                  <w:rPr>
                    <w:noProof/>
                    <w:webHidden/>
                    <w:sz w:val="24"/>
                  </w:rPr>
                </w:r>
                <w:r w:rsidRPr="00071A32">
                  <w:rPr>
                    <w:noProof/>
                    <w:webHidden/>
                    <w:sz w:val="24"/>
                  </w:rPr>
                  <w:fldChar w:fldCharType="separate"/>
                </w:r>
                <w:r w:rsidRPr="00071A32">
                  <w:rPr>
                    <w:noProof/>
                    <w:webHidden/>
                    <w:sz w:val="24"/>
                  </w:rPr>
                  <w:t>6</w:t>
                </w:r>
                <w:r w:rsidRPr="00071A32">
                  <w:rPr>
                    <w:noProof/>
                    <w:webHidden/>
                    <w:sz w:val="24"/>
                  </w:rPr>
                  <w:fldChar w:fldCharType="end"/>
                </w:r>
              </w:hyperlink>
            </w:p>
            <w:p w14:paraId="4943F20A" w14:textId="77777777" w:rsidR="0078352D" w:rsidRPr="00071A32" w:rsidRDefault="0078352D" w:rsidP="0078352D">
              <w:pPr>
                <w:pStyle w:val="TOC2"/>
                <w:tabs>
                  <w:tab w:val="right" w:leader="dot" w:pos="9350"/>
                </w:tabs>
                <w:spacing w:line="360" w:lineRule="auto"/>
                <w:jc w:val="both"/>
                <w:rPr>
                  <w:noProof/>
                  <w:sz w:val="24"/>
                </w:rPr>
              </w:pPr>
              <w:hyperlink w:anchor="_Toc242123340" w:history="1">
                <w:r w:rsidRPr="00071A32">
                  <w:rPr>
                    <w:rStyle w:val="Hyperlink"/>
                    <w:noProof/>
                    <w:sz w:val="24"/>
                  </w:rPr>
                  <w:t>Conclusion</w:t>
                </w:r>
                <w:r w:rsidRPr="00071A32">
                  <w:rPr>
                    <w:noProof/>
                    <w:webHidden/>
                    <w:sz w:val="24"/>
                  </w:rPr>
                  <w:tab/>
                </w:r>
                <w:r w:rsidRPr="00071A32">
                  <w:rPr>
                    <w:noProof/>
                    <w:webHidden/>
                    <w:sz w:val="24"/>
                  </w:rPr>
                  <w:fldChar w:fldCharType="begin"/>
                </w:r>
                <w:r w:rsidRPr="00071A32">
                  <w:rPr>
                    <w:noProof/>
                    <w:webHidden/>
                    <w:sz w:val="24"/>
                  </w:rPr>
                  <w:instrText xml:space="preserve"> PAGEREF _Toc242123340 \h </w:instrText>
                </w:r>
                <w:r w:rsidRPr="00071A32">
                  <w:rPr>
                    <w:noProof/>
                    <w:webHidden/>
                    <w:sz w:val="24"/>
                  </w:rPr>
                </w:r>
                <w:r w:rsidRPr="00071A32">
                  <w:rPr>
                    <w:noProof/>
                    <w:webHidden/>
                    <w:sz w:val="24"/>
                  </w:rPr>
                  <w:fldChar w:fldCharType="separate"/>
                </w:r>
                <w:r w:rsidRPr="00071A32">
                  <w:rPr>
                    <w:noProof/>
                    <w:webHidden/>
                    <w:sz w:val="24"/>
                  </w:rPr>
                  <w:t>7</w:t>
                </w:r>
                <w:r w:rsidRPr="00071A32">
                  <w:rPr>
                    <w:noProof/>
                    <w:webHidden/>
                    <w:sz w:val="24"/>
                  </w:rPr>
                  <w:fldChar w:fldCharType="end"/>
                </w:r>
              </w:hyperlink>
            </w:p>
            <w:p w14:paraId="4EA93D7A" w14:textId="77777777" w:rsidR="0078352D" w:rsidRPr="00071A32" w:rsidRDefault="0078352D" w:rsidP="0078352D">
              <w:pPr>
                <w:pStyle w:val="TOC1"/>
                <w:tabs>
                  <w:tab w:val="right" w:leader="dot" w:pos="9350"/>
                </w:tabs>
                <w:spacing w:line="360" w:lineRule="auto"/>
                <w:jc w:val="both"/>
                <w:rPr>
                  <w:rFonts w:asciiTheme="minorHAnsi" w:hAnsiTheme="minorHAnsi" w:cstheme="minorHAnsi"/>
                  <w:noProof/>
                  <w:szCs w:val="24"/>
                </w:rPr>
              </w:pPr>
              <w:hyperlink w:anchor="_Toc242123341" w:history="1">
                <w:r w:rsidRPr="00071A32">
                  <w:rPr>
                    <w:rStyle w:val="Hyperlink"/>
                    <w:rFonts w:asciiTheme="minorHAnsi" w:hAnsiTheme="minorHAnsi" w:cstheme="minorHAnsi"/>
                    <w:noProof/>
                    <w:szCs w:val="24"/>
                  </w:rPr>
                  <w:t>References</w:t>
                </w:r>
                <w:r w:rsidRPr="00071A32">
                  <w:rPr>
                    <w:rFonts w:asciiTheme="minorHAnsi" w:hAnsiTheme="minorHAnsi" w:cstheme="minorHAnsi"/>
                    <w:noProof/>
                    <w:webHidden/>
                    <w:szCs w:val="24"/>
                  </w:rPr>
                  <w:tab/>
                </w:r>
                <w:r w:rsidRPr="00071A32">
                  <w:rPr>
                    <w:rFonts w:asciiTheme="minorHAnsi" w:hAnsiTheme="minorHAnsi" w:cstheme="minorHAnsi"/>
                    <w:noProof/>
                    <w:webHidden/>
                    <w:szCs w:val="24"/>
                  </w:rPr>
                  <w:fldChar w:fldCharType="begin"/>
                </w:r>
                <w:r w:rsidRPr="00071A32">
                  <w:rPr>
                    <w:rFonts w:asciiTheme="minorHAnsi" w:hAnsiTheme="minorHAnsi" w:cstheme="minorHAnsi"/>
                    <w:noProof/>
                    <w:webHidden/>
                    <w:szCs w:val="24"/>
                  </w:rPr>
                  <w:instrText xml:space="preserve"> PAGEREF _Toc242123341 \h </w:instrText>
                </w:r>
                <w:r w:rsidRPr="00071A32">
                  <w:rPr>
                    <w:rFonts w:asciiTheme="minorHAnsi" w:hAnsiTheme="minorHAnsi" w:cstheme="minorHAnsi"/>
                    <w:noProof/>
                    <w:webHidden/>
                    <w:szCs w:val="24"/>
                  </w:rPr>
                </w:r>
                <w:r w:rsidRPr="00071A32">
                  <w:rPr>
                    <w:rFonts w:asciiTheme="minorHAnsi" w:hAnsiTheme="minorHAnsi" w:cstheme="minorHAnsi"/>
                    <w:noProof/>
                    <w:webHidden/>
                    <w:szCs w:val="24"/>
                  </w:rPr>
                  <w:fldChar w:fldCharType="separate"/>
                </w:r>
                <w:r w:rsidRPr="00071A32">
                  <w:rPr>
                    <w:rFonts w:asciiTheme="minorHAnsi" w:hAnsiTheme="minorHAnsi" w:cstheme="minorHAnsi"/>
                    <w:noProof/>
                    <w:webHidden/>
                    <w:szCs w:val="24"/>
                  </w:rPr>
                  <w:t>8</w:t>
                </w:r>
                <w:r w:rsidRPr="00071A32">
                  <w:rPr>
                    <w:rFonts w:asciiTheme="minorHAnsi" w:hAnsiTheme="minorHAnsi" w:cstheme="minorHAnsi"/>
                    <w:noProof/>
                    <w:webHidden/>
                    <w:szCs w:val="24"/>
                  </w:rPr>
                  <w:fldChar w:fldCharType="end"/>
                </w:r>
              </w:hyperlink>
            </w:p>
            <w:p w14:paraId="4DA854F9" w14:textId="77777777" w:rsidR="0078352D" w:rsidRPr="00071A32" w:rsidRDefault="0078352D" w:rsidP="0078352D">
              <w:pPr>
                <w:spacing w:line="360" w:lineRule="auto"/>
                <w:jc w:val="both"/>
                <w:rPr>
                  <w:rFonts w:asciiTheme="minorHAnsi" w:hAnsiTheme="minorHAnsi" w:cstheme="minorHAnsi"/>
                  <w:sz w:val="24"/>
                  <w:szCs w:val="24"/>
                </w:rPr>
              </w:pPr>
              <w:r w:rsidRPr="00071A32">
                <w:rPr>
                  <w:rFonts w:asciiTheme="minorHAnsi" w:hAnsiTheme="minorHAnsi" w:cstheme="minorHAnsi"/>
                  <w:b/>
                  <w:bCs/>
                  <w:noProof/>
                  <w:sz w:val="24"/>
                  <w:szCs w:val="24"/>
                </w:rPr>
                <w:fldChar w:fldCharType="end"/>
              </w:r>
            </w:p>
          </w:sdtContent>
        </w:sdt>
        <w:p w14:paraId="6E6DD0B8" w14:textId="4DD0C4A0" w:rsidR="00E23F08" w:rsidRPr="00071A32" w:rsidRDefault="00DB12FA" w:rsidP="0078352D">
          <w:pPr>
            <w:pStyle w:val="TOCHeading"/>
            <w:jc w:val="center"/>
            <w:rPr>
              <w:rFonts w:asciiTheme="minorHAnsi" w:hAnsiTheme="minorHAnsi" w:cstheme="minorHAnsi"/>
              <w:sz w:val="24"/>
              <w:szCs w:val="24"/>
            </w:rPr>
          </w:pPr>
        </w:p>
      </w:sdtContent>
    </w:sdt>
    <w:p w14:paraId="05ED1C75" w14:textId="77777777" w:rsidR="00184A9A" w:rsidRPr="00071A32" w:rsidRDefault="00184A9A" w:rsidP="00620BBA">
      <w:pPr>
        <w:pStyle w:val="TOCHeading"/>
        <w:rPr>
          <w:rFonts w:asciiTheme="minorHAnsi" w:hAnsiTheme="minorHAnsi" w:cstheme="minorHAnsi"/>
          <w:sz w:val="24"/>
          <w:szCs w:val="24"/>
        </w:rPr>
      </w:pPr>
    </w:p>
    <w:p w14:paraId="7469607C" w14:textId="77777777" w:rsidR="00ED5964" w:rsidRPr="00071A32" w:rsidRDefault="00ED5964" w:rsidP="00ED5964">
      <w:pPr>
        <w:jc w:val="both"/>
        <w:rPr>
          <w:rFonts w:asciiTheme="minorHAnsi" w:hAnsiTheme="minorHAnsi" w:cstheme="minorHAnsi"/>
          <w:b/>
          <w:bCs/>
          <w:sz w:val="24"/>
          <w:szCs w:val="24"/>
        </w:rPr>
      </w:pPr>
    </w:p>
    <w:p w14:paraId="09A766CB" w14:textId="77777777" w:rsidR="00ED5964" w:rsidRPr="00071A32" w:rsidRDefault="00ED5964" w:rsidP="00ED5964">
      <w:pPr>
        <w:jc w:val="both"/>
        <w:rPr>
          <w:rFonts w:asciiTheme="minorHAnsi" w:hAnsiTheme="minorHAnsi" w:cstheme="minorHAnsi"/>
          <w:b/>
          <w:bCs/>
          <w:sz w:val="24"/>
          <w:szCs w:val="24"/>
        </w:rPr>
      </w:pPr>
    </w:p>
    <w:p w14:paraId="761F2307" w14:textId="1A7431DC" w:rsidR="00ED5964" w:rsidRPr="00071A32" w:rsidRDefault="002554B6" w:rsidP="00ED5964">
      <w:pPr>
        <w:jc w:val="both"/>
        <w:rPr>
          <w:rFonts w:asciiTheme="minorHAnsi" w:hAnsiTheme="minorHAnsi" w:cstheme="minorHAnsi"/>
          <w:b/>
          <w:bCs/>
          <w:sz w:val="24"/>
          <w:szCs w:val="24"/>
        </w:rPr>
      </w:pPr>
      <w:r w:rsidRPr="00071A32">
        <w:rPr>
          <w:rFonts w:asciiTheme="minorHAnsi" w:hAnsiTheme="minorHAnsi" w:cstheme="minorHAnsi"/>
          <w:b/>
          <w:bCs/>
          <w:sz w:val="24"/>
          <w:szCs w:val="24"/>
        </w:rPr>
        <w:t xml:space="preserve"> </w:t>
      </w:r>
    </w:p>
    <w:p w14:paraId="238FC6F8" w14:textId="77777777" w:rsidR="00ED5964" w:rsidRPr="00071A32" w:rsidRDefault="00ED5964" w:rsidP="00ED5964">
      <w:pPr>
        <w:jc w:val="both"/>
        <w:rPr>
          <w:rFonts w:asciiTheme="minorHAnsi" w:hAnsiTheme="minorHAnsi" w:cstheme="minorHAnsi"/>
          <w:b/>
          <w:bCs/>
          <w:sz w:val="24"/>
          <w:szCs w:val="24"/>
        </w:rPr>
      </w:pPr>
    </w:p>
    <w:p w14:paraId="5DD0E2A5" w14:textId="77777777" w:rsidR="00ED5964" w:rsidRPr="00071A32" w:rsidRDefault="00ED5964" w:rsidP="00ED5964">
      <w:pPr>
        <w:jc w:val="both"/>
        <w:rPr>
          <w:rFonts w:asciiTheme="minorHAnsi" w:hAnsiTheme="minorHAnsi" w:cstheme="minorHAnsi"/>
          <w:b/>
          <w:bCs/>
          <w:sz w:val="24"/>
          <w:szCs w:val="24"/>
        </w:rPr>
      </w:pPr>
    </w:p>
    <w:p w14:paraId="0B6F10CD" w14:textId="77777777" w:rsidR="008F3C1F" w:rsidRPr="00071A32" w:rsidRDefault="008F3C1F" w:rsidP="008F3C1F">
      <w:pPr>
        <w:pStyle w:val="Heading1"/>
        <w:rPr>
          <w:rFonts w:asciiTheme="minorHAnsi" w:hAnsiTheme="minorHAnsi" w:cstheme="minorHAnsi"/>
          <w:sz w:val="24"/>
          <w:szCs w:val="24"/>
        </w:rPr>
      </w:pPr>
      <w:bookmarkStart w:id="0" w:name="_Toc242123331"/>
      <w:r w:rsidRPr="00071A32">
        <w:rPr>
          <w:rFonts w:asciiTheme="minorHAnsi" w:hAnsiTheme="minorHAnsi" w:cstheme="minorHAnsi"/>
          <w:sz w:val="24"/>
          <w:szCs w:val="24"/>
        </w:rPr>
        <w:lastRenderedPageBreak/>
        <w:t>Task 1:  Mini Report</w:t>
      </w:r>
      <w:bookmarkEnd w:id="0"/>
    </w:p>
    <w:p w14:paraId="3EE44338"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b/>
          <w:bCs/>
          <w:sz w:val="24"/>
          <w:szCs w:val="24"/>
        </w:rPr>
        <w:t>To:</w:t>
      </w:r>
      <w:r w:rsidRPr="00071A32">
        <w:rPr>
          <w:rFonts w:asciiTheme="minorHAnsi" w:eastAsia="Times New Roman" w:hAnsiTheme="minorHAnsi" w:cstheme="minorHAnsi"/>
          <w:sz w:val="24"/>
          <w:szCs w:val="24"/>
        </w:rPr>
        <w:t xml:space="preserve"> Councillor Joanne Green, Executive Member for Health and Social Care, Manchester City Council</w:t>
      </w:r>
    </w:p>
    <w:p w14:paraId="55F37E67"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b/>
          <w:bCs/>
          <w:sz w:val="24"/>
          <w:szCs w:val="24"/>
        </w:rPr>
        <w:t>Subject:</w:t>
      </w:r>
      <w:r w:rsidRPr="00071A32">
        <w:rPr>
          <w:rFonts w:asciiTheme="minorHAnsi" w:eastAsia="Times New Roman" w:hAnsiTheme="minorHAnsi" w:cstheme="minorHAnsi"/>
          <w:sz w:val="24"/>
          <w:szCs w:val="24"/>
        </w:rPr>
        <w:t xml:space="preserve"> Addressing the Shortage of Community Mental Health Services in Manchester</w:t>
      </w:r>
    </w:p>
    <w:p w14:paraId="6CABA303" w14:textId="731CE2AC" w:rsidR="008F3C1F" w:rsidRPr="00071A32" w:rsidRDefault="008F3C1F" w:rsidP="008F3C1F">
      <w:pPr>
        <w:spacing w:before="240" w:line="360" w:lineRule="auto"/>
        <w:jc w:val="both"/>
        <w:rPr>
          <w:rFonts w:asciiTheme="minorHAnsi" w:eastAsia="Times New Roman" w:hAnsiTheme="minorHAnsi" w:cstheme="minorHAnsi"/>
          <w:b/>
          <w:bCs/>
          <w:sz w:val="24"/>
          <w:szCs w:val="24"/>
        </w:rPr>
      </w:pPr>
    </w:p>
    <w:p w14:paraId="0F999FF5" w14:textId="77777777" w:rsidR="008F3C1F" w:rsidRPr="00071A32" w:rsidRDefault="008F3C1F" w:rsidP="008F3C1F">
      <w:pPr>
        <w:pStyle w:val="Heading2"/>
        <w:rPr>
          <w:rFonts w:asciiTheme="minorHAnsi" w:hAnsiTheme="minorHAnsi" w:cstheme="minorHAnsi"/>
          <w:sz w:val="24"/>
          <w:szCs w:val="24"/>
        </w:rPr>
      </w:pPr>
      <w:bookmarkStart w:id="1" w:name="_Toc242123332"/>
      <w:r w:rsidRPr="00071A32">
        <w:rPr>
          <w:rFonts w:asciiTheme="minorHAnsi" w:hAnsiTheme="minorHAnsi" w:cstheme="minorHAnsi"/>
          <w:sz w:val="24"/>
          <w:szCs w:val="24"/>
        </w:rPr>
        <w:t>1. Introduction</w:t>
      </w:r>
      <w:bookmarkEnd w:id="1"/>
    </w:p>
    <w:p w14:paraId="139A22D8" w14:textId="77D34E9B"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mental health services </w:t>
      </w:r>
      <w:r w:rsidR="00583D9A" w:rsidRPr="00071A32">
        <w:rPr>
          <w:rFonts w:asciiTheme="minorHAnsi" w:eastAsia="Times New Roman" w:hAnsiTheme="minorHAnsi" w:cstheme="minorHAnsi"/>
          <w:sz w:val="24"/>
          <w:szCs w:val="24"/>
        </w:rPr>
        <w:t>support</w:t>
      </w:r>
      <w:r w:rsidRPr="00071A32">
        <w:rPr>
          <w:rFonts w:asciiTheme="minorHAnsi" w:eastAsia="Times New Roman" w:hAnsiTheme="minorHAnsi" w:cstheme="minorHAnsi"/>
          <w:sz w:val="24"/>
          <w:szCs w:val="24"/>
        </w:rPr>
        <w:t xml:space="preserve"> individuals with serious or chronic mental health challenges. In Manchester, Community Mental Health Teams (CMHT) offer assessment, diagnosis, treatment and follow-up. The local community faces a significant challenge of insufficiency in mental health services in the given community. These shortages might make it hard to receive prompt assessment and treatment. It may also put a strain on families, GPs and emergency services.   </w:t>
      </w:r>
    </w:p>
    <w:p w14:paraId="1B376BB9" w14:textId="77777777" w:rsidR="008F3C1F" w:rsidRPr="00071A32" w:rsidRDefault="008F3C1F" w:rsidP="008F3C1F">
      <w:pPr>
        <w:pStyle w:val="Heading2"/>
        <w:rPr>
          <w:rFonts w:asciiTheme="minorHAnsi" w:hAnsiTheme="minorHAnsi" w:cstheme="minorHAnsi"/>
          <w:sz w:val="24"/>
          <w:szCs w:val="24"/>
        </w:rPr>
      </w:pPr>
      <w:bookmarkStart w:id="2" w:name="_Toc242123333"/>
      <w:r w:rsidRPr="00071A32">
        <w:rPr>
          <w:rFonts w:asciiTheme="minorHAnsi" w:hAnsiTheme="minorHAnsi" w:cstheme="minorHAnsi"/>
          <w:sz w:val="24"/>
          <w:szCs w:val="24"/>
        </w:rPr>
        <w:t>2. Impact of the Shortage on the Community</w:t>
      </w:r>
      <w:bookmarkEnd w:id="2"/>
    </w:p>
    <w:p w14:paraId="382C54FA" w14:textId="3AB71102"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Lack of community mental health services within Manchester can postpone access to assessment, </w:t>
      </w:r>
      <w:r w:rsidR="008C51AE" w:rsidRPr="00071A32">
        <w:rPr>
          <w:rFonts w:asciiTheme="minorHAnsi" w:eastAsia="Times New Roman" w:hAnsiTheme="minorHAnsi" w:cstheme="minorHAnsi"/>
          <w:sz w:val="24"/>
          <w:szCs w:val="24"/>
        </w:rPr>
        <w:t>t</w:t>
      </w:r>
      <w:r w:rsidR="00B51F6C" w:rsidRPr="00071A32">
        <w:rPr>
          <w:rFonts w:asciiTheme="minorHAnsi" w:eastAsia="Times New Roman" w:hAnsiTheme="minorHAnsi" w:cstheme="minorHAnsi"/>
          <w:sz w:val="24"/>
          <w:szCs w:val="24"/>
        </w:rPr>
        <w:t>reatment</w:t>
      </w:r>
      <w:r w:rsidRPr="00071A32">
        <w:rPr>
          <w:rFonts w:asciiTheme="minorHAnsi" w:eastAsia="Times New Roman" w:hAnsiTheme="minorHAnsi" w:cstheme="minorHAnsi"/>
          <w:sz w:val="24"/>
          <w:szCs w:val="24"/>
        </w:rPr>
        <w:t xml:space="preserve"> and follow-up (Sambrook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2026). Manchester CMHTs offers assessment, diagnosis, treatment and long-term follow-up of adults and older persons with long-term or severe mental health challenges (gmmh.nhs.uk, 2026). When people are restricted in service capacity, they can experience longer wait times to be assisted, and their mental health issues can be harder to resolve. It can raise the demand on crisis intervention and more intensive health or social care. This is the opposite of what the Care Act 2014 states, whereby the local authorities are supposed to ensure that they take measures to prevent or postpone the acquisition of care and support needs (Starns, 2025). Independence and quality of life can also be impacted by the shortage. Individuals who have severe mental health problems might not be able to perform their daily tasks, work, study, socialise, and engage in community activities. Section 1 of the Care Act identifies mental and emotional wellbeing, control over daily life, relationships, work and social participation as important parts of wellbeing (Care Act 2014, s.1) (legislation.gov.uk, 2026). In the absence of appropriate community-based assistance, there is a likelihood of people becoming increasingly socially isolated and reliant on family member support or alternative services (Glasby, 2012). Section </w:t>
      </w:r>
      <w:r w:rsidRPr="00071A32">
        <w:rPr>
          <w:rFonts w:asciiTheme="minorHAnsi" w:eastAsia="Times New Roman" w:hAnsiTheme="minorHAnsi" w:cstheme="minorHAnsi"/>
          <w:sz w:val="24"/>
          <w:szCs w:val="24"/>
        </w:rPr>
        <w:lastRenderedPageBreak/>
        <w:t xml:space="preserve">10 requires local authorities to assess carers who may have support needs (Care Act 2014, s.10). Thus, enhancing the mental health capacity in the community is significant in safeguarding wellbeing, maintaining independence and decreasing the burden on the family and the broader health system. </w:t>
      </w:r>
    </w:p>
    <w:p w14:paraId="17C4BA36" w14:textId="77777777" w:rsidR="008F3C1F" w:rsidRPr="00071A32" w:rsidRDefault="008F3C1F" w:rsidP="008F3C1F">
      <w:pPr>
        <w:pStyle w:val="Heading2"/>
        <w:rPr>
          <w:rFonts w:asciiTheme="minorHAnsi" w:hAnsiTheme="minorHAnsi" w:cstheme="minorHAnsi"/>
          <w:sz w:val="24"/>
          <w:szCs w:val="24"/>
        </w:rPr>
      </w:pPr>
      <w:bookmarkStart w:id="3" w:name="_Toc242123334"/>
      <w:r w:rsidRPr="00071A32">
        <w:rPr>
          <w:rFonts w:asciiTheme="minorHAnsi" w:hAnsiTheme="minorHAnsi" w:cstheme="minorHAnsi"/>
          <w:sz w:val="24"/>
          <w:szCs w:val="24"/>
        </w:rPr>
        <w:t>3. Recommendations</w:t>
      </w:r>
      <w:bookmarkEnd w:id="3"/>
      <w:r w:rsidRPr="00071A32">
        <w:rPr>
          <w:rFonts w:asciiTheme="minorHAnsi" w:hAnsiTheme="minorHAnsi" w:cstheme="minorHAnsi"/>
          <w:sz w:val="24"/>
          <w:szCs w:val="24"/>
        </w:rPr>
        <w:t xml:space="preserve"> </w:t>
      </w:r>
    </w:p>
    <w:p w14:paraId="712876B7"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1: Increase Community-Based Capacity</w:t>
      </w:r>
    </w:p>
    <w:p w14:paraId="385F4729"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NHS mental health services and other local partners should collaborate with Manchester City Council to build the capacity of the community mental health services (Chang, 2022). This must have adequate mental health workers and social care staff to attend to assessment, care planning and continuous care. The addition of capacity would assist in minimising wait times and enhance queuing.  </w:t>
      </w:r>
    </w:p>
    <w:p w14:paraId="3A39D353"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2: Strengthen Early Intervention and Prevention</w:t>
      </w:r>
    </w:p>
    <w:p w14:paraId="576CF26A"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Mental health community services should engage in more early intervention and prevention by the Council (Shah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2022). Section 2 of the Care Act requires local authorities to take steps to prevent, reduce or delay the development of care and support needs. Supporting individuals at an early age, before they become a crisis, can assist them in dealing with their conditions. It may encompass an early appraisal, guidance, community and support as well as contacts with voluntary organisations.  </w:t>
      </w:r>
    </w:p>
    <w:p w14:paraId="099CAF7E"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3: Improve Integrated Health and Social Care</w:t>
      </w:r>
    </w:p>
    <w:p w14:paraId="5B05263A"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Manchester City Council ought to enhance the collaboration between the Council, the NHS mental health services, GPs, social workers, voluntary organisations and carers (Dutton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2023). Implementing integrated working may assist professionals with sharing relevant information and offering a more consistent service.  </w:t>
      </w:r>
    </w:p>
    <w:p w14:paraId="6F985469"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4: Use Person-Centred Assessment</w:t>
      </w:r>
    </w:p>
    <w:p w14:paraId="41EB3C13"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Person-centred care planning and assessment should be applied in community mental health services (Davidson and </w:t>
      </w:r>
      <w:proofErr w:type="spellStart"/>
      <w:r w:rsidRPr="00071A32">
        <w:rPr>
          <w:rFonts w:asciiTheme="minorHAnsi" w:eastAsia="Times New Roman" w:hAnsiTheme="minorHAnsi" w:cstheme="minorHAnsi"/>
          <w:sz w:val="24"/>
          <w:szCs w:val="24"/>
        </w:rPr>
        <w:t>Tondora</w:t>
      </w:r>
      <w:proofErr w:type="spellEnd"/>
      <w:r w:rsidRPr="00071A32">
        <w:rPr>
          <w:rFonts w:asciiTheme="minorHAnsi" w:eastAsia="Times New Roman" w:hAnsiTheme="minorHAnsi" w:cstheme="minorHAnsi"/>
          <w:sz w:val="24"/>
          <w:szCs w:val="24"/>
        </w:rPr>
        <w:t xml:space="preserve">, 2022). Support is supposed to attend to the needs of each person in terms of what goals he or she should reach in his or her day-to-day life as opposed </w:t>
      </w:r>
      <w:r w:rsidRPr="00071A32">
        <w:rPr>
          <w:rFonts w:asciiTheme="minorHAnsi" w:eastAsia="Times New Roman" w:hAnsiTheme="minorHAnsi" w:cstheme="minorHAnsi"/>
          <w:sz w:val="24"/>
          <w:szCs w:val="24"/>
        </w:rPr>
        <w:lastRenderedPageBreak/>
        <w:t xml:space="preserve">to concentrating on diagnosis. Section 9 of the Care Act requires local authorities to assess an adult's care and support needs and consider the outcomes that the person wishes to achieve in daily life.  </w:t>
      </w:r>
    </w:p>
    <w:p w14:paraId="786C8F86"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5: Monitor Service Outcomes</w:t>
      </w:r>
    </w:p>
    <w:p w14:paraId="77CAF3B9"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Council should introduce clear measures to monitor the effectiveness of the response (Dutton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2023). These indicators must cover waiting times, individuals with community support, crisis and hospital admissions, service-user satisfaction and carer outcomes.  </w:t>
      </w:r>
    </w:p>
    <w:p w14:paraId="3FF4FDB6" w14:textId="77777777" w:rsidR="008F3C1F" w:rsidRPr="00071A32" w:rsidRDefault="008F3C1F" w:rsidP="008F3C1F">
      <w:pPr>
        <w:pStyle w:val="Heading2"/>
        <w:rPr>
          <w:rFonts w:asciiTheme="minorHAnsi" w:hAnsiTheme="minorHAnsi" w:cstheme="minorHAnsi"/>
          <w:sz w:val="24"/>
          <w:szCs w:val="24"/>
        </w:rPr>
      </w:pPr>
      <w:bookmarkStart w:id="4" w:name="_Toc242123335"/>
      <w:r w:rsidRPr="00071A32">
        <w:rPr>
          <w:rFonts w:asciiTheme="minorHAnsi" w:hAnsiTheme="minorHAnsi" w:cstheme="minorHAnsi"/>
          <w:sz w:val="24"/>
          <w:szCs w:val="24"/>
        </w:rPr>
        <w:t>4. Conclusion</w:t>
      </w:r>
      <w:bookmarkEnd w:id="4"/>
    </w:p>
    <w:p w14:paraId="34B6128C"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shortage of community mental health services in Manchester is a social care and public health concern. Restricted access may reduce support, independence, put pressure on carers and may demand more of GPs and crisis services. Improving community provision would support the principles of the Care Act 2014, particularly wellbeing, prevention, needs assessment and support for carers. The Manchester City Council must consequently build the capacity of the community, reinforce early intervention, enhance collaboration among the health and social care services and apply person-centred assessments.  </w:t>
      </w:r>
    </w:p>
    <w:p w14:paraId="47F2601F" w14:textId="77777777" w:rsidR="008F3C1F" w:rsidRPr="00071A32" w:rsidRDefault="008F3C1F" w:rsidP="008F3C1F">
      <w:pPr>
        <w:pStyle w:val="Heading1"/>
        <w:rPr>
          <w:rFonts w:asciiTheme="minorHAnsi" w:hAnsiTheme="minorHAnsi" w:cstheme="minorHAnsi"/>
          <w:sz w:val="24"/>
          <w:szCs w:val="24"/>
        </w:rPr>
      </w:pPr>
      <w:bookmarkStart w:id="5" w:name="_Toc242123336"/>
      <w:r w:rsidRPr="00071A32">
        <w:rPr>
          <w:rFonts w:asciiTheme="minorHAnsi" w:hAnsiTheme="minorHAnsi" w:cstheme="minorHAnsi"/>
          <w:sz w:val="24"/>
          <w:szCs w:val="24"/>
        </w:rPr>
        <w:t>Task 2: Essay</w:t>
      </w:r>
      <w:bookmarkEnd w:id="5"/>
    </w:p>
    <w:p w14:paraId="385E683E" w14:textId="77777777" w:rsidR="008F3C1F" w:rsidRPr="00071A32" w:rsidRDefault="008F3C1F" w:rsidP="008F3C1F">
      <w:pPr>
        <w:pStyle w:val="Heading2"/>
        <w:rPr>
          <w:rFonts w:asciiTheme="minorHAnsi" w:hAnsiTheme="minorHAnsi" w:cstheme="minorHAnsi"/>
          <w:sz w:val="24"/>
          <w:szCs w:val="24"/>
        </w:rPr>
      </w:pPr>
      <w:bookmarkStart w:id="6" w:name="_Toc242123337"/>
      <w:r w:rsidRPr="00071A32">
        <w:rPr>
          <w:rFonts w:asciiTheme="minorHAnsi" w:hAnsiTheme="minorHAnsi" w:cstheme="minorHAnsi"/>
          <w:sz w:val="24"/>
          <w:szCs w:val="24"/>
        </w:rPr>
        <w:t>Introduction</w:t>
      </w:r>
      <w:bookmarkEnd w:id="6"/>
    </w:p>
    <w:p w14:paraId="18D1EA58"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traditional apothecary and chemist shops have progressed into community pharmacy services, which are now an essential component of primary healthcare in the UK. The pharmacists are currently supplying drugs besides health counselling, prevention and clinical counselling. This has changed the role of the pharmacist by more direct patient care than dispensing of medicines. This role has also been extended to Pharmacy First in England where the pharmacist is permitted to treat common conditions without referring to a GP. This essay discusses the origin of community pharmacy in history, its power here and utility to the users of the service.   </w:t>
      </w:r>
    </w:p>
    <w:p w14:paraId="4817E0F3" w14:textId="77777777" w:rsidR="008F3C1F" w:rsidRPr="00071A32" w:rsidRDefault="008F3C1F" w:rsidP="008F3C1F">
      <w:pPr>
        <w:pStyle w:val="Heading2"/>
        <w:rPr>
          <w:rFonts w:asciiTheme="minorHAnsi" w:hAnsiTheme="minorHAnsi" w:cstheme="minorHAnsi"/>
          <w:sz w:val="24"/>
          <w:szCs w:val="24"/>
        </w:rPr>
      </w:pPr>
      <w:bookmarkStart w:id="7" w:name="_Toc242123338"/>
      <w:r w:rsidRPr="00071A32">
        <w:rPr>
          <w:rFonts w:asciiTheme="minorHAnsi" w:hAnsiTheme="minorHAnsi" w:cstheme="minorHAnsi"/>
          <w:sz w:val="24"/>
          <w:szCs w:val="24"/>
        </w:rPr>
        <w:t>Historical Context and Current Function</w:t>
      </w:r>
      <w:bookmarkEnd w:id="7"/>
    </w:p>
    <w:p w14:paraId="571D9FD8"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history of the development of community pharmacy in Britain started in the nineteenth century (Benson, 2022). In 1841, the Pharmaceutical Society of Great Britain was founded and assisted in professionalising pharmacy by providing education, exams and registration. That </w:t>
      </w:r>
      <w:r w:rsidRPr="00071A32">
        <w:rPr>
          <w:rFonts w:asciiTheme="minorHAnsi" w:eastAsia="Times New Roman" w:hAnsiTheme="minorHAnsi" w:cstheme="minorHAnsi"/>
          <w:sz w:val="24"/>
          <w:szCs w:val="24"/>
        </w:rPr>
        <w:lastRenderedPageBreak/>
        <w:t xml:space="preserve">was reinforced by the Pharmacy and Poisons Act 1868, which stipulated that individuals taking part in dispensing medicines had to be registered (BSHP, 2026). Medicines and health advice were available through pharmacists who prepared medicines and gave health advice to the local communities. This transformed pharmacies, where people could readily access healthcare in areas where physicians were not easily accessible. The role of community pharmacists was altered with the establishment of the NHS in 1948 (Paniga, 2026). The pharmacists were turned into independent contractors who offered NHS pharmaceutical services, and the primary activity of the pharmacists shifted to dispensing. According to the Nuffield Report of 1986, pharmacists were found to be an under-utilised resource in healthcare, and there should be an expansion of the professional role. Subsequent reforms favoured health promotion and services that were </w:t>
      </w:r>
      <w:proofErr w:type="gramStart"/>
      <w:r w:rsidRPr="00071A32">
        <w:rPr>
          <w:rFonts w:asciiTheme="minorHAnsi" w:eastAsia="Times New Roman" w:hAnsiTheme="minorHAnsi" w:cstheme="minorHAnsi"/>
          <w:sz w:val="24"/>
          <w:szCs w:val="24"/>
        </w:rPr>
        <w:t>patient-oriented</w:t>
      </w:r>
      <w:proofErr w:type="gramEnd"/>
      <w:r w:rsidRPr="00071A32">
        <w:rPr>
          <w:rFonts w:asciiTheme="minorHAnsi" w:eastAsia="Times New Roman" w:hAnsiTheme="minorHAnsi" w:cstheme="minorHAnsi"/>
          <w:sz w:val="24"/>
          <w:szCs w:val="24"/>
        </w:rPr>
        <w:t xml:space="preserve">. </w:t>
      </w:r>
    </w:p>
    <w:p w14:paraId="268A0BF2"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In England, pharmacists were granted independent prescribing in 2006, and thus additional clinical load was placed on them (Fitzpatrick and Borthwick, 2022). In modern times, pharmacies in communities have merged, supplying medications with clinical and community health services. Introduced in England in January 2024, Pharmacy First enables pharmacists to treat seven common conditions using specific clinical pathways, eliminating the necessity of some GP appointments (england.nhs.uk, 2026). Other services offered by pharmacies are blood pressure checks, contraception and vaccination. The Community Pharmacy Contractual Framework 2026 gives an added boost to independent prescribing and increases the role of the pharmacists within primary care.  </w:t>
      </w:r>
    </w:p>
    <w:p w14:paraId="18F8FAAA" w14:textId="77777777" w:rsidR="008F3C1F" w:rsidRPr="00071A32" w:rsidRDefault="008F3C1F" w:rsidP="008F3C1F">
      <w:pPr>
        <w:pStyle w:val="Heading2"/>
        <w:rPr>
          <w:rFonts w:asciiTheme="minorHAnsi" w:hAnsiTheme="minorHAnsi" w:cstheme="minorHAnsi"/>
          <w:sz w:val="24"/>
          <w:szCs w:val="24"/>
        </w:rPr>
      </w:pPr>
      <w:bookmarkStart w:id="8" w:name="_Toc242123339"/>
      <w:r w:rsidRPr="00071A32">
        <w:rPr>
          <w:rFonts w:asciiTheme="minorHAnsi" w:hAnsiTheme="minorHAnsi" w:cstheme="minorHAnsi"/>
          <w:sz w:val="24"/>
          <w:szCs w:val="24"/>
        </w:rPr>
        <w:t>Critical Evaluation and Significance for Service Users</w:t>
      </w:r>
      <w:bookmarkEnd w:id="8"/>
    </w:p>
    <w:p w14:paraId="22B504A1" w14:textId="4E947BD3"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pharmacies </w:t>
      </w:r>
      <w:r w:rsidR="00CD1495" w:rsidRPr="00071A32">
        <w:rPr>
          <w:rFonts w:asciiTheme="minorHAnsi" w:eastAsia="Times New Roman" w:hAnsiTheme="minorHAnsi" w:cstheme="minorHAnsi"/>
          <w:sz w:val="24"/>
          <w:szCs w:val="24"/>
        </w:rPr>
        <w:t xml:space="preserve">can </w:t>
      </w:r>
      <w:r w:rsidRPr="00071A32">
        <w:rPr>
          <w:rFonts w:asciiTheme="minorHAnsi" w:eastAsia="Times New Roman" w:hAnsiTheme="minorHAnsi" w:cstheme="minorHAnsi"/>
          <w:sz w:val="24"/>
          <w:szCs w:val="24"/>
        </w:rPr>
        <w:t xml:space="preserve">enhance quality of life since they offer healthcare near to where individuals reside (Kuo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2024). They can be of special use to individuals who require a consultation regarding minor illnesses or medications but cannot get a GP appointment easily. Pharmacy First enables patients to be treated without attending a GP for eligible conditions. According to NHS England, the service is to offer faster and more convenient services, as GP appointments are reserved for patients with higher clinical needs (england.nhs.uk, 2026). Over 3.3 million Pharmacy First consultations were provided during the period between March 2025 and February 2026, with 86% of its users reporting that they had had a positive experience (gov.uk, 2026).</w:t>
      </w:r>
    </w:p>
    <w:p w14:paraId="157F6929" w14:textId="749138D5"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lastRenderedPageBreak/>
        <w:t xml:space="preserve">Community pharmacies can aid in the prevention and early intervention (DiPietro Mager and Bright, 2023). Family planning, blood pressure testing and vaccination would enable individuals accept their health conditions before they take a more drastic turn. The growing clinical role of pharmacist can thereby improve patient choice and more-integrated primary care. Nonetheless, there are key constraints. The community pharmacies have also been overburdened in terms of finances and manpower and </w:t>
      </w:r>
      <w:r w:rsidR="00A53321" w:rsidRPr="00071A32">
        <w:rPr>
          <w:rFonts w:asciiTheme="minorHAnsi" w:eastAsia="Times New Roman" w:hAnsiTheme="minorHAnsi" w:cstheme="minorHAnsi"/>
          <w:sz w:val="24"/>
          <w:szCs w:val="24"/>
        </w:rPr>
        <w:t>closing</w:t>
      </w:r>
      <w:r w:rsidRPr="00071A32">
        <w:rPr>
          <w:rFonts w:asciiTheme="minorHAnsi" w:eastAsia="Times New Roman" w:hAnsiTheme="minorHAnsi" w:cstheme="minorHAnsi"/>
          <w:sz w:val="24"/>
          <w:szCs w:val="24"/>
        </w:rPr>
        <w:t xml:space="preserve"> a pharmacy can reduce accessibility in select communities. Over 1,000 pharmacies in England had shut down between February 2016 and February 2026, a decrease of 9% (commonslibrary.parliament.uk, 2026). This has been attributed to funding shortage, rising cost of doing business and failure to hire and keep the pharmacists. Therefore, community pharmacy can play a significant role in improving convenience, access and quality, however, long-term investment and manpower plans are needed to ensure that the extended services are safe, equitable and sustainable. </w:t>
      </w:r>
    </w:p>
    <w:p w14:paraId="1CC4390C" w14:textId="77777777" w:rsidR="008F3C1F" w:rsidRPr="00071A32" w:rsidRDefault="008F3C1F" w:rsidP="008F3C1F">
      <w:pPr>
        <w:pStyle w:val="Heading2"/>
        <w:rPr>
          <w:rFonts w:asciiTheme="minorHAnsi" w:hAnsiTheme="minorHAnsi" w:cstheme="minorHAnsi"/>
          <w:sz w:val="24"/>
          <w:szCs w:val="24"/>
        </w:rPr>
      </w:pPr>
      <w:bookmarkStart w:id="9" w:name="_Toc242123340"/>
    </w:p>
    <w:p w14:paraId="71A18CB0" w14:textId="77777777" w:rsidR="00CD0388" w:rsidRPr="00071A32" w:rsidRDefault="00CD0388" w:rsidP="008F3C1F">
      <w:pPr>
        <w:pStyle w:val="Heading2"/>
        <w:rPr>
          <w:rFonts w:asciiTheme="minorHAnsi" w:hAnsiTheme="minorHAnsi" w:cstheme="minorHAnsi"/>
          <w:sz w:val="24"/>
          <w:szCs w:val="24"/>
        </w:rPr>
      </w:pPr>
    </w:p>
    <w:p w14:paraId="53F2071C" w14:textId="4FD320E3" w:rsidR="008F3C1F" w:rsidRPr="00071A32" w:rsidRDefault="008F3C1F" w:rsidP="008F3C1F">
      <w:pPr>
        <w:pStyle w:val="Heading2"/>
        <w:rPr>
          <w:rFonts w:asciiTheme="minorHAnsi" w:hAnsiTheme="minorHAnsi" w:cstheme="minorHAnsi"/>
          <w:sz w:val="24"/>
          <w:szCs w:val="24"/>
        </w:rPr>
      </w:pPr>
      <w:r w:rsidRPr="00071A32">
        <w:rPr>
          <w:rFonts w:asciiTheme="minorHAnsi" w:hAnsiTheme="minorHAnsi" w:cstheme="minorHAnsi"/>
          <w:sz w:val="24"/>
          <w:szCs w:val="24"/>
        </w:rPr>
        <w:t>Conclusion</w:t>
      </w:r>
      <w:bookmarkEnd w:id="9"/>
    </w:p>
    <w:p w14:paraId="0707A660"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pharmacy has evolved greatly concerning the history of its preparation and dispensing of medicines. Professional regulation, the NHS, the Nuffield Report as well as prescribing reforms helped to create a broader clinical role. This has been boosted further with Pharmacy First which has made the pharmacists treat minor ailments in the community. Current evidence shows that patients value the convenience of pharmacy-based care and the service can reduce the burden on general practice. However, employee deficits, economic pressure and closures of pharmacies remain considerable. </w:t>
      </w:r>
    </w:p>
    <w:p w14:paraId="4B866540"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p>
    <w:p w14:paraId="7DE720D0"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p>
    <w:p w14:paraId="26E2C03A"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p>
    <w:p w14:paraId="63F543DD"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br w:type="page"/>
      </w:r>
    </w:p>
    <w:p w14:paraId="53396A79" w14:textId="77777777" w:rsidR="008F3C1F" w:rsidRPr="00071A32" w:rsidRDefault="008F3C1F" w:rsidP="008F3C1F">
      <w:pPr>
        <w:pStyle w:val="Heading1"/>
        <w:rPr>
          <w:rFonts w:asciiTheme="minorHAnsi" w:hAnsiTheme="minorHAnsi" w:cstheme="minorHAnsi"/>
          <w:sz w:val="24"/>
          <w:szCs w:val="24"/>
        </w:rPr>
      </w:pPr>
      <w:bookmarkStart w:id="10" w:name="_Toc242123341"/>
      <w:r w:rsidRPr="00071A32">
        <w:rPr>
          <w:rFonts w:asciiTheme="minorHAnsi" w:hAnsiTheme="minorHAnsi" w:cstheme="minorHAnsi"/>
          <w:sz w:val="24"/>
          <w:szCs w:val="24"/>
        </w:rPr>
        <w:lastRenderedPageBreak/>
        <w:t>References</w:t>
      </w:r>
      <w:bookmarkEnd w:id="10"/>
    </w:p>
    <w:p w14:paraId="5CB68117" w14:textId="77777777" w:rsidR="008F3C1F" w:rsidRPr="00071A32" w:rsidRDefault="008F3C1F" w:rsidP="008F3C1F">
      <w:pPr>
        <w:spacing w:before="240" w:line="360" w:lineRule="auto"/>
        <w:jc w:val="both"/>
        <w:rPr>
          <w:rFonts w:asciiTheme="minorHAnsi" w:hAnsiTheme="minorHAnsi" w:cstheme="minorHAnsi"/>
          <w:b/>
          <w:bCs/>
          <w:sz w:val="24"/>
          <w:szCs w:val="24"/>
        </w:rPr>
      </w:pPr>
      <w:r w:rsidRPr="00071A32">
        <w:rPr>
          <w:rFonts w:asciiTheme="minorHAnsi" w:hAnsiTheme="minorHAnsi" w:cstheme="minorHAnsi"/>
          <w:b/>
          <w:bCs/>
          <w:sz w:val="24"/>
          <w:szCs w:val="24"/>
        </w:rPr>
        <w:t>Task 1</w:t>
      </w:r>
    </w:p>
    <w:p w14:paraId="60834717"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Chang, M.F., (2022). ‘Challenges and chances for local health and social care integration–Lessons from Greater Manchester, England’. </w:t>
      </w:r>
      <w:r w:rsidRPr="00071A32">
        <w:rPr>
          <w:rFonts w:asciiTheme="minorHAnsi" w:hAnsiTheme="minorHAnsi" w:cstheme="minorHAnsi"/>
          <w:i/>
          <w:iCs/>
          <w:sz w:val="24"/>
          <w:szCs w:val="24"/>
        </w:rPr>
        <w:t>Journal of integrated care</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30</w:t>
      </w:r>
      <w:r w:rsidRPr="00071A32">
        <w:rPr>
          <w:rFonts w:asciiTheme="minorHAnsi" w:hAnsiTheme="minorHAnsi" w:cstheme="minorHAnsi"/>
          <w:sz w:val="24"/>
          <w:szCs w:val="24"/>
        </w:rPr>
        <w:t xml:space="preserve">(2), pp.146-159. Available at: </w:t>
      </w:r>
      <w:hyperlink r:id="rId9" w:history="1">
        <w:r w:rsidRPr="00071A32">
          <w:rPr>
            <w:rStyle w:val="Hyperlink"/>
            <w:rFonts w:asciiTheme="minorHAnsi" w:hAnsiTheme="minorHAnsi" w:cstheme="minorHAnsi"/>
            <w:sz w:val="24"/>
            <w:szCs w:val="24"/>
          </w:rPr>
          <w:t>https://www.emerald.com/jica/article/30/2/146/216431</w:t>
        </w:r>
      </w:hyperlink>
    </w:p>
    <w:p w14:paraId="274B213D"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Davidson, L. and </w:t>
      </w:r>
      <w:proofErr w:type="spellStart"/>
      <w:r w:rsidRPr="00071A32">
        <w:rPr>
          <w:rFonts w:asciiTheme="minorHAnsi" w:hAnsiTheme="minorHAnsi" w:cstheme="minorHAnsi"/>
          <w:sz w:val="24"/>
          <w:szCs w:val="24"/>
        </w:rPr>
        <w:t>Tondora</w:t>
      </w:r>
      <w:proofErr w:type="spellEnd"/>
      <w:r w:rsidRPr="00071A32">
        <w:rPr>
          <w:rFonts w:asciiTheme="minorHAnsi" w:hAnsiTheme="minorHAnsi" w:cstheme="minorHAnsi"/>
          <w:sz w:val="24"/>
          <w:szCs w:val="24"/>
        </w:rPr>
        <w:t xml:space="preserve">, J., (2022). ‘Person‐centred care planning as foundational to clinical practice’. </w:t>
      </w:r>
      <w:r w:rsidRPr="00071A32">
        <w:rPr>
          <w:rFonts w:asciiTheme="minorHAnsi" w:hAnsiTheme="minorHAnsi" w:cstheme="minorHAnsi"/>
          <w:i/>
          <w:iCs/>
          <w:sz w:val="24"/>
          <w:szCs w:val="24"/>
        </w:rPr>
        <w:t>World Psychiatry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21</w:t>
      </w:r>
      <w:r w:rsidRPr="00071A32">
        <w:rPr>
          <w:rFonts w:asciiTheme="minorHAnsi" w:hAnsiTheme="minorHAnsi" w:cstheme="minorHAnsi"/>
          <w:sz w:val="24"/>
          <w:szCs w:val="24"/>
        </w:rPr>
        <w:t xml:space="preserve">(1), p.1. Available at: </w:t>
      </w:r>
      <w:hyperlink r:id="rId10" w:history="1">
        <w:r w:rsidRPr="00071A32">
          <w:rPr>
            <w:rStyle w:val="Hyperlink"/>
            <w:rFonts w:asciiTheme="minorHAnsi" w:hAnsiTheme="minorHAnsi" w:cstheme="minorHAnsi"/>
            <w:sz w:val="24"/>
            <w:szCs w:val="24"/>
          </w:rPr>
          <w:t>https://pmc.ncbi.nlm.nih.gov/articles/PMC8751555/</w:t>
        </w:r>
      </w:hyperlink>
    </w:p>
    <w:p w14:paraId="0846D983"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Dutton, B., Humphrey, N. and Qualter, P., (2023). ‘Getting the pieces to fit: NHS and third sector collaboration to enhance crisis mental health service provision for young people’. </w:t>
      </w:r>
      <w:r w:rsidRPr="00071A32">
        <w:rPr>
          <w:rFonts w:asciiTheme="minorHAnsi" w:hAnsiTheme="minorHAnsi" w:cstheme="minorHAnsi"/>
          <w:i/>
          <w:iCs/>
          <w:sz w:val="24"/>
          <w:szCs w:val="24"/>
        </w:rPr>
        <w:t>BMC Health Services Research</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23</w:t>
      </w:r>
      <w:r w:rsidRPr="00071A32">
        <w:rPr>
          <w:rFonts w:asciiTheme="minorHAnsi" w:hAnsiTheme="minorHAnsi" w:cstheme="minorHAnsi"/>
          <w:sz w:val="24"/>
          <w:szCs w:val="24"/>
        </w:rPr>
        <w:t xml:space="preserve">(1), p.307. Available at: </w:t>
      </w:r>
      <w:hyperlink r:id="rId11" w:history="1">
        <w:r w:rsidRPr="00071A32">
          <w:rPr>
            <w:rStyle w:val="Hyperlink"/>
            <w:rFonts w:asciiTheme="minorHAnsi" w:hAnsiTheme="minorHAnsi" w:cstheme="minorHAnsi"/>
            <w:sz w:val="24"/>
            <w:szCs w:val="24"/>
          </w:rPr>
          <w:t>https://link.springer.com/article/10.1186/s12913-023-09198-w</w:t>
        </w:r>
      </w:hyperlink>
    </w:p>
    <w:p w14:paraId="21131A7C" w14:textId="77777777" w:rsidR="008F3C1F" w:rsidRPr="00071A32" w:rsidRDefault="008F3C1F" w:rsidP="008F3C1F">
      <w:pPr>
        <w:spacing w:line="360" w:lineRule="auto"/>
        <w:jc w:val="both"/>
        <w:rPr>
          <w:rFonts w:asciiTheme="minorHAnsi" w:hAnsiTheme="minorHAnsi" w:cstheme="minorHAnsi"/>
          <w:sz w:val="24"/>
          <w:szCs w:val="24"/>
        </w:rPr>
      </w:pPr>
      <w:r w:rsidRPr="00071A32">
        <w:rPr>
          <w:rFonts w:asciiTheme="minorHAnsi" w:hAnsiTheme="minorHAnsi" w:cstheme="minorHAnsi"/>
          <w:sz w:val="24"/>
          <w:szCs w:val="24"/>
        </w:rPr>
        <w:t>Glasby, J. (2012). ‘</w:t>
      </w:r>
      <w:r w:rsidRPr="00071A32">
        <w:rPr>
          <w:rFonts w:asciiTheme="minorHAnsi" w:hAnsiTheme="minorHAnsi" w:cstheme="minorHAnsi"/>
          <w:i/>
          <w:iCs/>
          <w:sz w:val="24"/>
          <w:szCs w:val="24"/>
        </w:rPr>
        <w:t>Understanding health and social care’</w:t>
      </w:r>
      <w:r w:rsidRPr="00071A32">
        <w:rPr>
          <w:rFonts w:asciiTheme="minorHAnsi" w:hAnsiTheme="minorHAnsi" w:cstheme="minorHAnsi"/>
          <w:sz w:val="24"/>
          <w:szCs w:val="24"/>
        </w:rPr>
        <w:t xml:space="preserve">. Policy Press. Available at: </w:t>
      </w:r>
      <w:hyperlink r:id="rId12" w:history="1">
        <w:r w:rsidRPr="00071A32">
          <w:rPr>
            <w:rStyle w:val="Hyperlink"/>
            <w:rFonts w:asciiTheme="minorHAnsi" w:hAnsiTheme="minorHAnsi" w:cstheme="minorHAnsi"/>
            <w:sz w:val="24"/>
            <w:szCs w:val="24"/>
          </w:rPr>
          <w:t>https://books.google.com/books?hl=en&amp;lr=&amp;id=3QZsIy5xXqYC&amp;oi=fnd&amp;pg=PR1&amp;dq=UNDERSTANDING%09HEALTH%09AND%09SOCIAL+CARE+Jon%09Glasby+Second%09Edition&amp;ots=iRPi4CQgTg&amp;sig=az_ju870dOGLygPywv_nXsNqIZc</w:t>
        </w:r>
      </w:hyperlink>
      <w:r w:rsidRPr="00071A32">
        <w:rPr>
          <w:rFonts w:asciiTheme="minorHAnsi" w:hAnsiTheme="minorHAnsi" w:cstheme="minorHAnsi"/>
          <w:sz w:val="24"/>
          <w:szCs w:val="24"/>
        </w:rPr>
        <w:t xml:space="preserve">  </w:t>
      </w:r>
    </w:p>
    <w:p w14:paraId="74EBBABF"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gmmh.nhs.uk, (2026). ‘</w:t>
      </w:r>
      <w:r w:rsidRPr="00071A32">
        <w:rPr>
          <w:rFonts w:asciiTheme="minorHAnsi" w:hAnsiTheme="minorHAnsi" w:cstheme="minorHAnsi"/>
          <w:i/>
          <w:iCs/>
          <w:sz w:val="24"/>
          <w:szCs w:val="24"/>
        </w:rPr>
        <w:t>Community Mental Health Services in Manchester’.</w:t>
      </w:r>
      <w:r w:rsidRPr="00071A32">
        <w:rPr>
          <w:rFonts w:asciiTheme="minorHAnsi" w:hAnsiTheme="minorHAnsi" w:cstheme="minorHAnsi"/>
          <w:sz w:val="24"/>
          <w:szCs w:val="24"/>
        </w:rPr>
        <w:t xml:space="preserve"> Available at: </w:t>
      </w:r>
      <w:hyperlink r:id="rId13" w:history="1">
        <w:r w:rsidRPr="00071A32">
          <w:rPr>
            <w:rStyle w:val="Hyperlink"/>
            <w:rFonts w:asciiTheme="minorHAnsi" w:hAnsiTheme="minorHAnsi" w:cstheme="minorHAnsi"/>
            <w:sz w:val="24"/>
            <w:szCs w:val="24"/>
          </w:rPr>
          <w:t>https://www.gmmh.nhs.uk/manchester-cmhts/</w:t>
        </w:r>
      </w:hyperlink>
      <w:r w:rsidRPr="00071A32">
        <w:rPr>
          <w:rFonts w:asciiTheme="minorHAnsi" w:hAnsiTheme="minorHAnsi" w:cstheme="minorHAnsi"/>
          <w:sz w:val="24"/>
          <w:szCs w:val="24"/>
        </w:rPr>
        <w:t xml:space="preserve"> (Accessed: 5 October 2026).</w:t>
      </w:r>
    </w:p>
    <w:p w14:paraId="126817F7"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legislation.gov.uk, (2026). ‘</w:t>
      </w:r>
      <w:r w:rsidRPr="00071A32">
        <w:rPr>
          <w:rFonts w:asciiTheme="minorHAnsi" w:hAnsiTheme="minorHAnsi" w:cstheme="minorHAnsi"/>
          <w:i/>
          <w:iCs/>
          <w:sz w:val="24"/>
          <w:szCs w:val="24"/>
        </w:rPr>
        <w:t>Care Act 2014’.</w:t>
      </w:r>
      <w:r w:rsidRPr="00071A32">
        <w:rPr>
          <w:rFonts w:asciiTheme="minorHAnsi" w:hAnsiTheme="minorHAnsi" w:cstheme="minorHAnsi"/>
          <w:sz w:val="24"/>
          <w:szCs w:val="24"/>
        </w:rPr>
        <w:t xml:space="preserve"> Available at: </w:t>
      </w:r>
      <w:hyperlink r:id="rId14" w:history="1">
        <w:r w:rsidRPr="00071A32">
          <w:rPr>
            <w:rStyle w:val="Hyperlink"/>
            <w:rFonts w:asciiTheme="minorHAnsi" w:hAnsiTheme="minorHAnsi" w:cstheme="minorHAnsi"/>
            <w:sz w:val="24"/>
            <w:szCs w:val="24"/>
          </w:rPr>
          <w:t>https://www.legislation.gov.uk/ukpga/2014/23/section/1</w:t>
        </w:r>
      </w:hyperlink>
      <w:r w:rsidRPr="00071A32">
        <w:rPr>
          <w:rFonts w:asciiTheme="minorHAnsi" w:hAnsiTheme="minorHAnsi" w:cstheme="minorHAnsi"/>
          <w:sz w:val="24"/>
          <w:szCs w:val="24"/>
        </w:rPr>
        <w:t xml:space="preserve"> (Accessed: 5 October 2026).</w:t>
      </w:r>
    </w:p>
    <w:p w14:paraId="3E6C2BD5"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Sambrook, L., McIntyre, J.C., Nathan, R., </w:t>
      </w:r>
      <w:proofErr w:type="spellStart"/>
      <w:r w:rsidRPr="00071A32">
        <w:rPr>
          <w:rFonts w:asciiTheme="minorHAnsi" w:hAnsiTheme="minorHAnsi" w:cstheme="minorHAnsi"/>
          <w:sz w:val="24"/>
          <w:szCs w:val="24"/>
        </w:rPr>
        <w:t>Bifarin</w:t>
      </w:r>
      <w:proofErr w:type="spellEnd"/>
      <w:r w:rsidRPr="00071A32">
        <w:rPr>
          <w:rFonts w:asciiTheme="minorHAnsi" w:hAnsiTheme="minorHAnsi" w:cstheme="minorHAnsi"/>
          <w:sz w:val="24"/>
          <w:szCs w:val="24"/>
        </w:rPr>
        <w:t xml:space="preserve">, O., Wilson, P., Humphreys, M., Tait, J., Ashley‐Mudie, P. and Saini, P., (2026). ‘“Set up to Fail”: Staff Experiences of Caring for Long‐Stay Patients in Acute Mental Health Wards in England’. </w:t>
      </w:r>
      <w:r w:rsidRPr="00071A32">
        <w:rPr>
          <w:rFonts w:asciiTheme="minorHAnsi" w:hAnsiTheme="minorHAnsi" w:cstheme="minorHAnsi"/>
          <w:i/>
          <w:iCs/>
          <w:sz w:val="24"/>
          <w:szCs w:val="24"/>
        </w:rPr>
        <w:t>International Journal of Mental Health Nursing</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35</w:t>
      </w:r>
      <w:r w:rsidRPr="00071A32">
        <w:rPr>
          <w:rFonts w:asciiTheme="minorHAnsi" w:hAnsiTheme="minorHAnsi" w:cstheme="minorHAnsi"/>
          <w:sz w:val="24"/>
          <w:szCs w:val="24"/>
        </w:rPr>
        <w:t xml:space="preserve">(3), p.e70271. Available at: </w:t>
      </w:r>
      <w:hyperlink r:id="rId15" w:history="1">
        <w:r w:rsidRPr="00071A32">
          <w:rPr>
            <w:rStyle w:val="Hyperlink"/>
            <w:rFonts w:asciiTheme="minorHAnsi" w:hAnsiTheme="minorHAnsi" w:cstheme="minorHAnsi"/>
            <w:sz w:val="24"/>
            <w:szCs w:val="24"/>
          </w:rPr>
          <w:t>https://onlinelibrary.wiley.com/doi/abs/10.1111/inm.70271</w:t>
        </w:r>
      </w:hyperlink>
    </w:p>
    <w:p w14:paraId="56DA60B2"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Shah, J.L., Jones, N., van </w:t>
      </w:r>
      <w:proofErr w:type="spellStart"/>
      <w:r w:rsidRPr="00071A32">
        <w:rPr>
          <w:rFonts w:asciiTheme="minorHAnsi" w:hAnsiTheme="minorHAnsi" w:cstheme="minorHAnsi"/>
          <w:sz w:val="24"/>
          <w:szCs w:val="24"/>
        </w:rPr>
        <w:t>Os</w:t>
      </w:r>
      <w:proofErr w:type="spellEnd"/>
      <w:r w:rsidRPr="00071A32">
        <w:rPr>
          <w:rFonts w:asciiTheme="minorHAnsi" w:hAnsiTheme="minorHAnsi" w:cstheme="minorHAnsi"/>
          <w:sz w:val="24"/>
          <w:szCs w:val="24"/>
        </w:rPr>
        <w:t xml:space="preserve">, J., McGorry, P.D. and </w:t>
      </w:r>
      <w:proofErr w:type="spellStart"/>
      <w:r w:rsidRPr="00071A32">
        <w:rPr>
          <w:rFonts w:asciiTheme="minorHAnsi" w:hAnsiTheme="minorHAnsi" w:cstheme="minorHAnsi"/>
          <w:sz w:val="24"/>
          <w:szCs w:val="24"/>
        </w:rPr>
        <w:t>Gülöksüz</w:t>
      </w:r>
      <w:proofErr w:type="spellEnd"/>
      <w:r w:rsidRPr="00071A32">
        <w:rPr>
          <w:rFonts w:asciiTheme="minorHAnsi" w:hAnsiTheme="minorHAnsi" w:cstheme="minorHAnsi"/>
          <w:sz w:val="24"/>
          <w:szCs w:val="24"/>
        </w:rPr>
        <w:t xml:space="preserve">, S., (2022). ‘Early intervention service systems for youth mental health: integrating </w:t>
      </w:r>
      <w:proofErr w:type="spellStart"/>
      <w:r w:rsidRPr="00071A32">
        <w:rPr>
          <w:rFonts w:asciiTheme="minorHAnsi" w:hAnsiTheme="minorHAnsi" w:cstheme="minorHAnsi"/>
          <w:sz w:val="24"/>
          <w:szCs w:val="24"/>
        </w:rPr>
        <w:t>pluripotentiality</w:t>
      </w:r>
      <w:proofErr w:type="spellEnd"/>
      <w:r w:rsidRPr="00071A32">
        <w:rPr>
          <w:rFonts w:asciiTheme="minorHAnsi" w:hAnsiTheme="minorHAnsi" w:cstheme="minorHAnsi"/>
          <w:sz w:val="24"/>
          <w:szCs w:val="24"/>
        </w:rPr>
        <w:t xml:space="preserve">, clinical staging, and </w:t>
      </w:r>
      <w:r w:rsidRPr="00071A32">
        <w:rPr>
          <w:rFonts w:asciiTheme="minorHAnsi" w:hAnsiTheme="minorHAnsi" w:cstheme="minorHAnsi"/>
          <w:sz w:val="24"/>
          <w:szCs w:val="24"/>
        </w:rPr>
        <w:lastRenderedPageBreak/>
        <w:t xml:space="preserve">transdiagnostic lessons from early psychosis’. </w:t>
      </w:r>
      <w:r w:rsidRPr="00071A32">
        <w:rPr>
          <w:rFonts w:asciiTheme="minorHAnsi" w:hAnsiTheme="minorHAnsi" w:cstheme="minorHAnsi"/>
          <w:i/>
          <w:iCs/>
          <w:sz w:val="24"/>
          <w:szCs w:val="24"/>
        </w:rPr>
        <w:t>The Lancet Psychiatry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9</w:t>
      </w:r>
      <w:r w:rsidRPr="00071A32">
        <w:rPr>
          <w:rFonts w:asciiTheme="minorHAnsi" w:hAnsiTheme="minorHAnsi" w:cstheme="minorHAnsi"/>
          <w:sz w:val="24"/>
          <w:szCs w:val="24"/>
        </w:rPr>
        <w:t xml:space="preserve">(5), pp.413-422. Available at: </w:t>
      </w:r>
      <w:hyperlink r:id="rId16" w:history="1">
        <w:r w:rsidRPr="00071A32">
          <w:rPr>
            <w:rStyle w:val="Hyperlink"/>
            <w:rFonts w:asciiTheme="minorHAnsi" w:hAnsiTheme="minorHAnsi" w:cstheme="minorHAnsi"/>
            <w:sz w:val="24"/>
            <w:szCs w:val="24"/>
          </w:rPr>
          <w:t>https://www.thelancet.com/journals/lanpsy/article/PIIS2215-0366(21)00467-3/abstract</w:t>
        </w:r>
      </w:hyperlink>
    </w:p>
    <w:p w14:paraId="12BC7019"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Starns, B., (2025). ‘</w:t>
      </w:r>
      <w:r w:rsidRPr="00071A32">
        <w:rPr>
          <w:rFonts w:asciiTheme="minorHAnsi" w:hAnsiTheme="minorHAnsi" w:cstheme="minorHAnsi"/>
          <w:i/>
          <w:iCs/>
          <w:sz w:val="24"/>
          <w:szCs w:val="24"/>
        </w:rPr>
        <w:t>Safeguarding Adults Together under the Care Act 2014: A multi-agency practice guide’</w:t>
      </w:r>
      <w:r w:rsidRPr="00071A32">
        <w:rPr>
          <w:rFonts w:asciiTheme="minorHAnsi" w:hAnsiTheme="minorHAnsi" w:cstheme="minorHAnsi"/>
          <w:sz w:val="24"/>
          <w:szCs w:val="24"/>
        </w:rPr>
        <w:t xml:space="preserve">. Taylor &amp; Francis. </w:t>
      </w:r>
      <w:hyperlink r:id="rId17" w:history="1">
        <w:r w:rsidRPr="00071A32">
          <w:rPr>
            <w:rFonts w:asciiTheme="minorHAnsi" w:hAnsiTheme="minorHAnsi" w:cstheme="minorHAnsi"/>
            <w:sz w:val="24"/>
            <w:szCs w:val="24"/>
          </w:rPr>
          <w:t xml:space="preserve">Available at: </w:t>
        </w:r>
        <w:r w:rsidRPr="00071A32">
          <w:rPr>
            <w:rStyle w:val="Hyperlink"/>
            <w:rFonts w:asciiTheme="minorHAnsi" w:hAnsiTheme="minorHAnsi" w:cstheme="minorHAnsi"/>
            <w:sz w:val="24"/>
            <w:szCs w:val="24"/>
          </w:rPr>
          <w:t>https://books.google.com/books?hl=en&amp;lr=&amp;id=HUZLEQAAQBAJ&amp;oi=fnd&amp;pg=PA2004&amp;dq=+Care+Act+2014+states,+whereby+the+local+authorities+are+supposed+to+ensure+that+they+take+measures+to+prevent+or+postpone+the+acquisition+of+care+and+support+needs&amp;ots=DK3tsmwIPT&amp;sig=wMD1SGkk_uLG5JYVfq3LGjFYSb0</w:t>
        </w:r>
      </w:hyperlink>
    </w:p>
    <w:p w14:paraId="622523FB"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b/>
          <w:bCs/>
          <w:sz w:val="24"/>
          <w:szCs w:val="24"/>
        </w:rPr>
        <w:t>Task 2</w:t>
      </w:r>
    </w:p>
    <w:p w14:paraId="45E2372A"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Benson, G.G., (2022). ‘Early pharmaceutical organisations in Manchester, 1826 to 1868’. Pharmaceutical Historian, 52(4), pp.108-114.  Available at: </w:t>
      </w:r>
      <w:hyperlink r:id="rId18" w:history="1">
        <w:r w:rsidRPr="00071A32">
          <w:rPr>
            <w:rStyle w:val="Hyperlink"/>
            <w:rFonts w:asciiTheme="minorHAnsi" w:hAnsiTheme="minorHAnsi" w:cstheme="minorHAnsi"/>
            <w:sz w:val="24"/>
            <w:szCs w:val="24"/>
          </w:rPr>
          <w:t>https://pharmrxiv.de/servlets/MCRFileNodeServlet/pharmrxiv_derivate_00021846/52_4_s2.pdf</w:t>
        </w:r>
      </w:hyperlink>
      <w:r w:rsidRPr="00071A32">
        <w:rPr>
          <w:rFonts w:asciiTheme="minorHAnsi" w:hAnsiTheme="minorHAnsi" w:cstheme="minorHAnsi"/>
          <w:sz w:val="24"/>
          <w:szCs w:val="24"/>
        </w:rPr>
        <w:t xml:space="preserve"> </w:t>
      </w:r>
    </w:p>
    <w:p w14:paraId="126B1E14"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BSHP, (2026). ‘</w:t>
      </w:r>
      <w:r w:rsidRPr="00071A32">
        <w:rPr>
          <w:rFonts w:asciiTheme="minorHAnsi" w:hAnsiTheme="minorHAnsi" w:cstheme="minorHAnsi"/>
          <w:i/>
          <w:iCs/>
          <w:sz w:val="24"/>
          <w:szCs w:val="24"/>
        </w:rPr>
        <w:t>History of Pharmacy in Great Britain 1841-Present’</w:t>
      </w:r>
      <w:r w:rsidRPr="00071A32">
        <w:rPr>
          <w:rFonts w:asciiTheme="minorHAnsi" w:hAnsiTheme="minorHAnsi" w:cstheme="minorHAnsi"/>
          <w:sz w:val="24"/>
          <w:szCs w:val="24"/>
        </w:rPr>
        <w:t xml:space="preserve">. Available at: </w:t>
      </w:r>
      <w:hyperlink r:id="rId19" w:history="1">
        <w:r w:rsidRPr="00071A32">
          <w:rPr>
            <w:rStyle w:val="Hyperlink"/>
            <w:rFonts w:asciiTheme="minorHAnsi" w:hAnsiTheme="minorHAnsi" w:cstheme="minorHAnsi"/>
            <w:sz w:val="24"/>
            <w:szCs w:val="24"/>
          </w:rPr>
          <w:t>https://www.bshp.org/history-of-pharmacy</w:t>
        </w:r>
      </w:hyperlink>
      <w:r w:rsidRPr="00071A32">
        <w:rPr>
          <w:rFonts w:asciiTheme="minorHAnsi" w:hAnsiTheme="minorHAnsi" w:cstheme="minorHAnsi"/>
          <w:sz w:val="24"/>
          <w:szCs w:val="24"/>
        </w:rPr>
        <w:t xml:space="preserve">  (Accessed: 5 October 2026).</w:t>
      </w:r>
    </w:p>
    <w:p w14:paraId="326D943F"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commonslibrary.parliament.uk, (2026).</w:t>
      </w:r>
      <w:r w:rsidRPr="00071A32">
        <w:rPr>
          <w:rFonts w:asciiTheme="minorHAnsi" w:hAnsiTheme="minorHAnsi" w:cstheme="minorHAnsi"/>
          <w:i/>
          <w:iCs/>
          <w:sz w:val="24"/>
          <w:szCs w:val="24"/>
        </w:rPr>
        <w:t xml:space="preserve"> ‘Community pharmacy in England’.</w:t>
      </w:r>
      <w:r w:rsidRPr="00071A32">
        <w:rPr>
          <w:rFonts w:asciiTheme="minorHAnsi" w:hAnsiTheme="minorHAnsi" w:cstheme="minorHAnsi"/>
          <w:sz w:val="24"/>
          <w:szCs w:val="24"/>
        </w:rPr>
        <w:t xml:space="preserve"> Available at: </w:t>
      </w:r>
      <w:hyperlink r:id="rId20" w:history="1">
        <w:r w:rsidRPr="00071A32">
          <w:rPr>
            <w:rStyle w:val="Hyperlink"/>
            <w:rFonts w:asciiTheme="minorHAnsi" w:hAnsiTheme="minorHAnsi" w:cstheme="minorHAnsi"/>
            <w:sz w:val="24"/>
            <w:szCs w:val="24"/>
          </w:rPr>
          <w:t>https://commonslibrary.parliament.uk/research-briefings/cbp-9854/</w:t>
        </w:r>
      </w:hyperlink>
      <w:r w:rsidRPr="00071A32">
        <w:rPr>
          <w:rFonts w:asciiTheme="minorHAnsi" w:hAnsiTheme="minorHAnsi" w:cstheme="minorHAnsi"/>
          <w:sz w:val="24"/>
          <w:szCs w:val="24"/>
        </w:rPr>
        <w:t xml:space="preserve"> (Accessed: 5 October 2026).</w:t>
      </w:r>
    </w:p>
    <w:p w14:paraId="30DD0A75"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DiPietro Mager, N. and Bright, D., (2023). ‘Advancing public health through community pharmacy practice’. </w:t>
      </w:r>
      <w:r w:rsidRPr="00071A32">
        <w:rPr>
          <w:rFonts w:asciiTheme="minorHAnsi" w:hAnsiTheme="minorHAnsi" w:cstheme="minorHAnsi"/>
          <w:i/>
          <w:iCs/>
          <w:sz w:val="24"/>
          <w:szCs w:val="24"/>
        </w:rPr>
        <w:t>Pharmacy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11</w:t>
      </w:r>
      <w:r w:rsidRPr="00071A32">
        <w:rPr>
          <w:rFonts w:asciiTheme="minorHAnsi" w:hAnsiTheme="minorHAnsi" w:cstheme="minorHAnsi"/>
          <w:sz w:val="24"/>
          <w:szCs w:val="24"/>
        </w:rPr>
        <w:t xml:space="preserve">(2), p.56. Available at: </w:t>
      </w:r>
      <w:hyperlink r:id="rId21" w:history="1">
        <w:r w:rsidRPr="00071A32">
          <w:rPr>
            <w:rStyle w:val="Hyperlink"/>
            <w:rFonts w:asciiTheme="minorHAnsi" w:hAnsiTheme="minorHAnsi" w:cstheme="minorHAnsi"/>
            <w:sz w:val="24"/>
            <w:szCs w:val="24"/>
          </w:rPr>
          <w:t>https://www.mdpi.com/2226-4787/11/2/56</w:t>
        </w:r>
      </w:hyperlink>
    </w:p>
    <w:p w14:paraId="2AE6EE9E"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england.nhs.uk, (2026). ‘</w:t>
      </w:r>
      <w:r w:rsidRPr="00071A32">
        <w:rPr>
          <w:rFonts w:asciiTheme="minorHAnsi" w:hAnsiTheme="minorHAnsi" w:cstheme="minorHAnsi"/>
          <w:i/>
          <w:iCs/>
          <w:sz w:val="24"/>
          <w:szCs w:val="24"/>
        </w:rPr>
        <w:t>Launch of NHS Pharmacy First advanced service’.</w:t>
      </w:r>
      <w:r w:rsidRPr="00071A32">
        <w:rPr>
          <w:rFonts w:asciiTheme="minorHAnsi" w:hAnsiTheme="minorHAnsi" w:cstheme="minorHAnsi"/>
          <w:sz w:val="24"/>
          <w:szCs w:val="24"/>
        </w:rPr>
        <w:t xml:space="preserve"> Available at: </w:t>
      </w:r>
      <w:hyperlink r:id="rId22" w:history="1">
        <w:r w:rsidRPr="00071A32">
          <w:rPr>
            <w:rStyle w:val="Hyperlink"/>
            <w:rFonts w:asciiTheme="minorHAnsi" w:hAnsiTheme="minorHAnsi" w:cstheme="minorHAnsi"/>
            <w:sz w:val="24"/>
            <w:szCs w:val="24"/>
          </w:rPr>
          <w:t>https://www.england.nhs.uk/long-read/launch-of-nhs-pharmacy-first-advanced-service/</w:t>
        </w:r>
      </w:hyperlink>
      <w:r w:rsidRPr="00071A32">
        <w:rPr>
          <w:rFonts w:asciiTheme="minorHAnsi" w:hAnsiTheme="minorHAnsi" w:cstheme="minorHAnsi"/>
          <w:sz w:val="24"/>
          <w:szCs w:val="24"/>
        </w:rPr>
        <w:t xml:space="preserve"> (Accessed: 5 October 2026).</w:t>
      </w:r>
    </w:p>
    <w:p w14:paraId="785CDB24"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lastRenderedPageBreak/>
        <w:t xml:space="preserve">Fitzpatrick, M.T. and Borthwick, A.M., (2022). ‘A decade of independent prescribing in the UK: a review of progress’. </w:t>
      </w:r>
      <w:r w:rsidRPr="00071A32">
        <w:rPr>
          <w:rFonts w:asciiTheme="minorHAnsi" w:hAnsiTheme="minorHAnsi" w:cstheme="minorHAnsi"/>
          <w:i/>
          <w:iCs/>
          <w:sz w:val="24"/>
          <w:szCs w:val="24"/>
        </w:rPr>
        <w:t>Journal of Foot and Ankle Research</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15</w:t>
      </w:r>
      <w:r w:rsidRPr="00071A32">
        <w:rPr>
          <w:rFonts w:asciiTheme="minorHAnsi" w:hAnsiTheme="minorHAnsi" w:cstheme="minorHAnsi"/>
          <w:sz w:val="24"/>
          <w:szCs w:val="24"/>
        </w:rPr>
        <w:t xml:space="preserve">(1), p.35. Available at: </w:t>
      </w:r>
      <w:hyperlink r:id="rId23" w:history="1">
        <w:r w:rsidRPr="00071A32">
          <w:rPr>
            <w:rStyle w:val="Hyperlink"/>
            <w:rFonts w:asciiTheme="minorHAnsi" w:hAnsiTheme="minorHAnsi" w:cstheme="minorHAnsi"/>
            <w:sz w:val="24"/>
            <w:szCs w:val="24"/>
          </w:rPr>
          <w:t>https://onlinelibrary.wiley.com/doi/abs/10.1186/s13047-022-00541-8</w:t>
        </w:r>
      </w:hyperlink>
      <w:r w:rsidRPr="00071A32">
        <w:rPr>
          <w:rFonts w:asciiTheme="minorHAnsi" w:hAnsiTheme="minorHAnsi" w:cstheme="minorHAnsi"/>
          <w:sz w:val="24"/>
          <w:szCs w:val="24"/>
        </w:rPr>
        <w:t xml:space="preserve"> </w:t>
      </w:r>
    </w:p>
    <w:p w14:paraId="1D4FF9AD"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gov.uk, (2026). ‘</w:t>
      </w:r>
      <w:r w:rsidRPr="00071A32">
        <w:rPr>
          <w:rFonts w:asciiTheme="minorHAnsi" w:hAnsiTheme="minorHAnsi" w:cstheme="minorHAnsi"/>
          <w:i/>
          <w:iCs/>
          <w:sz w:val="24"/>
          <w:szCs w:val="24"/>
        </w:rPr>
        <w:t>£340 million pharmacy boost brings faster care to the high street’.</w:t>
      </w:r>
      <w:r w:rsidRPr="00071A32">
        <w:rPr>
          <w:rFonts w:asciiTheme="minorHAnsi" w:hAnsiTheme="minorHAnsi" w:cstheme="minorHAnsi"/>
          <w:sz w:val="24"/>
          <w:szCs w:val="24"/>
        </w:rPr>
        <w:t xml:space="preserve"> Available at: </w:t>
      </w:r>
      <w:hyperlink r:id="rId24" w:history="1">
        <w:r w:rsidRPr="00071A32">
          <w:rPr>
            <w:rStyle w:val="Hyperlink"/>
            <w:rFonts w:asciiTheme="minorHAnsi" w:hAnsiTheme="minorHAnsi" w:cstheme="minorHAnsi"/>
            <w:sz w:val="24"/>
            <w:szCs w:val="24"/>
          </w:rPr>
          <w:t>https://www.gov.uk/government/news/340m-pharmacy-boost-brings-faster-care-to-your-high-street</w:t>
        </w:r>
      </w:hyperlink>
      <w:r w:rsidRPr="00071A32">
        <w:rPr>
          <w:rFonts w:asciiTheme="minorHAnsi" w:hAnsiTheme="minorHAnsi" w:cstheme="minorHAnsi"/>
          <w:sz w:val="24"/>
          <w:szCs w:val="24"/>
        </w:rPr>
        <w:t xml:space="preserve"> (Accessed: 5 October 2026).</w:t>
      </w:r>
    </w:p>
    <w:p w14:paraId="202A3698"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Kuo, T., Barragan, N.C. and Chen, S., (2024). ‘Leveraging Community Pharmacies to Address Social Needs: A Promising Practice to Improve Healthcare Quality’. </w:t>
      </w:r>
      <w:r w:rsidRPr="00071A32">
        <w:rPr>
          <w:rFonts w:asciiTheme="minorHAnsi" w:hAnsiTheme="minorHAnsi" w:cstheme="minorHAnsi"/>
          <w:i/>
          <w:iCs/>
          <w:sz w:val="24"/>
          <w:szCs w:val="24"/>
        </w:rPr>
        <w:t>Pharmacy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12</w:t>
      </w:r>
      <w:r w:rsidRPr="00071A32">
        <w:rPr>
          <w:rFonts w:asciiTheme="minorHAnsi" w:hAnsiTheme="minorHAnsi" w:cstheme="minorHAnsi"/>
          <w:sz w:val="24"/>
          <w:szCs w:val="24"/>
        </w:rPr>
        <w:t xml:space="preserve">(5), p.139. Available at: </w:t>
      </w:r>
      <w:hyperlink r:id="rId25" w:history="1">
        <w:r w:rsidRPr="00071A32">
          <w:rPr>
            <w:rStyle w:val="Hyperlink"/>
            <w:rFonts w:asciiTheme="minorHAnsi" w:hAnsiTheme="minorHAnsi" w:cstheme="minorHAnsi"/>
            <w:sz w:val="24"/>
            <w:szCs w:val="24"/>
          </w:rPr>
          <w:t>https://www.mdpi.com/2226-4787/12/5/139</w:t>
        </w:r>
      </w:hyperlink>
      <w:r w:rsidRPr="00071A32">
        <w:rPr>
          <w:rFonts w:asciiTheme="minorHAnsi" w:hAnsiTheme="minorHAnsi" w:cstheme="minorHAnsi"/>
          <w:sz w:val="24"/>
          <w:szCs w:val="24"/>
        </w:rPr>
        <w:t xml:space="preserve"> </w:t>
      </w:r>
    </w:p>
    <w:p w14:paraId="0E7D2968"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Paniga, M. (2026). ‘The Public’s Health and Parliament: The Creation of the National Health Service in Great Britain (1945–1948)’. </w:t>
      </w:r>
      <w:r w:rsidRPr="00071A32">
        <w:rPr>
          <w:rFonts w:asciiTheme="minorHAnsi" w:hAnsiTheme="minorHAnsi" w:cstheme="minorHAnsi"/>
          <w:i/>
          <w:iCs/>
          <w:sz w:val="24"/>
          <w:szCs w:val="24"/>
        </w:rPr>
        <w:t>European Journal for the History of Medicine and Health</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w:t>
      </w:r>
      <w:r w:rsidRPr="00071A32">
        <w:rPr>
          <w:rFonts w:asciiTheme="minorHAnsi" w:hAnsiTheme="minorHAnsi" w:cstheme="minorHAnsi"/>
          <w:sz w:val="24"/>
          <w:szCs w:val="24"/>
        </w:rPr>
        <w:t>(</w:t>
      </w:r>
      <w:proofErr w:type="spellStart"/>
      <w:r w:rsidRPr="00071A32">
        <w:rPr>
          <w:rFonts w:asciiTheme="minorHAnsi" w:hAnsiTheme="minorHAnsi" w:cstheme="minorHAnsi"/>
          <w:sz w:val="24"/>
          <w:szCs w:val="24"/>
        </w:rPr>
        <w:t>aop</w:t>
      </w:r>
      <w:proofErr w:type="spellEnd"/>
      <w:r w:rsidRPr="00071A32">
        <w:rPr>
          <w:rFonts w:asciiTheme="minorHAnsi" w:hAnsiTheme="minorHAnsi" w:cstheme="minorHAnsi"/>
          <w:sz w:val="24"/>
          <w:szCs w:val="24"/>
        </w:rPr>
        <w:t xml:space="preserve">), 1-31. Available at: </w:t>
      </w:r>
      <w:hyperlink r:id="rId26" w:history="1">
        <w:r w:rsidRPr="00071A32">
          <w:rPr>
            <w:rStyle w:val="Hyperlink"/>
            <w:rFonts w:asciiTheme="minorHAnsi" w:hAnsiTheme="minorHAnsi" w:cstheme="minorHAnsi"/>
            <w:sz w:val="24"/>
            <w:szCs w:val="24"/>
          </w:rPr>
          <w:t>https://brill.com/view/journals/ehmh/aop/article-10.1163-26667711-20262009/article-10.1163-26667711-20262009.xml</w:t>
        </w:r>
      </w:hyperlink>
      <w:r w:rsidRPr="00071A32">
        <w:rPr>
          <w:rFonts w:asciiTheme="minorHAnsi" w:hAnsiTheme="minorHAnsi" w:cstheme="minorHAnsi"/>
          <w:sz w:val="24"/>
          <w:szCs w:val="24"/>
        </w:rPr>
        <w:t xml:space="preserve"> </w:t>
      </w:r>
    </w:p>
    <w:p w14:paraId="316EB029" w14:textId="77777777" w:rsidR="004552CE" w:rsidRPr="00071A32" w:rsidRDefault="004552CE" w:rsidP="005E44B5">
      <w:pPr>
        <w:rPr>
          <w:rFonts w:asciiTheme="minorHAnsi" w:hAnsiTheme="minorHAnsi" w:cstheme="minorHAnsi"/>
          <w:color w:val="FF0000"/>
          <w:sz w:val="24"/>
          <w:szCs w:val="24"/>
        </w:rPr>
      </w:pPr>
    </w:p>
    <w:sectPr w:rsidR="004552CE" w:rsidRPr="00071A32" w:rsidSect="008F097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AE19C" w14:textId="77777777" w:rsidR="00DB12FA" w:rsidRDefault="00DB12FA" w:rsidP="003C7C97">
      <w:pPr>
        <w:spacing w:after="0" w:line="240" w:lineRule="auto"/>
      </w:pPr>
      <w:r>
        <w:separator/>
      </w:r>
    </w:p>
  </w:endnote>
  <w:endnote w:type="continuationSeparator" w:id="0">
    <w:p w14:paraId="7589ECF7" w14:textId="77777777" w:rsidR="00DB12FA" w:rsidRDefault="00DB12F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722096"/>
      <w:docPartObj>
        <w:docPartGallery w:val="Page Numbers (Bottom of Page)"/>
        <w:docPartUnique/>
      </w:docPartObj>
    </w:sdtPr>
    <w:sdtEndPr>
      <w:rPr>
        <w:noProof/>
      </w:rPr>
    </w:sdtEndPr>
    <w:sdtContent>
      <w:p w14:paraId="1742DA83" w14:textId="77777777" w:rsidR="00E23F08" w:rsidRDefault="00E23F08">
        <w:pPr>
          <w:pStyle w:val="Footer"/>
          <w:jc w:val="right"/>
        </w:pPr>
        <w:r>
          <w:fldChar w:fldCharType="begin"/>
        </w:r>
        <w:r>
          <w:instrText xml:space="preserve"> PAGE   \* MERGEFORMAT </w:instrText>
        </w:r>
        <w:r>
          <w:fldChar w:fldCharType="separate"/>
        </w:r>
        <w:r w:rsidR="00F9009C">
          <w:rPr>
            <w:noProof/>
          </w:rPr>
          <w:t>1</w:t>
        </w:r>
        <w:r>
          <w:rPr>
            <w:noProof/>
          </w:rPr>
          <w:fldChar w:fldCharType="end"/>
        </w:r>
      </w:p>
    </w:sdtContent>
  </w:sdt>
  <w:p w14:paraId="7AC58710" w14:textId="77777777" w:rsidR="00E23F08" w:rsidRDefault="00E23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B9B05" w14:textId="77777777" w:rsidR="00DB12FA" w:rsidRDefault="00DB12FA" w:rsidP="003C7C97">
      <w:pPr>
        <w:spacing w:after="0" w:line="240" w:lineRule="auto"/>
      </w:pPr>
      <w:r>
        <w:separator/>
      </w:r>
    </w:p>
  </w:footnote>
  <w:footnote w:type="continuationSeparator" w:id="0">
    <w:p w14:paraId="28ED8A11" w14:textId="77777777" w:rsidR="00DB12FA" w:rsidRDefault="00DB12F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418489">
    <w:abstractNumId w:val="5"/>
  </w:num>
  <w:num w:numId="2" w16cid:durableId="453254842">
    <w:abstractNumId w:val="1"/>
  </w:num>
  <w:num w:numId="3" w16cid:durableId="2061250135">
    <w:abstractNumId w:val="8"/>
  </w:num>
  <w:num w:numId="4" w16cid:durableId="1537886536">
    <w:abstractNumId w:val="18"/>
  </w:num>
  <w:num w:numId="5" w16cid:durableId="68043690">
    <w:abstractNumId w:val="15"/>
  </w:num>
  <w:num w:numId="6" w16cid:durableId="69351328">
    <w:abstractNumId w:val="16"/>
  </w:num>
  <w:num w:numId="7" w16cid:durableId="273482284">
    <w:abstractNumId w:val="19"/>
  </w:num>
  <w:num w:numId="8" w16cid:durableId="1742172989">
    <w:abstractNumId w:val="12"/>
  </w:num>
  <w:num w:numId="9" w16cid:durableId="1114516937">
    <w:abstractNumId w:val="3"/>
  </w:num>
  <w:num w:numId="10" w16cid:durableId="198207143">
    <w:abstractNumId w:val="10"/>
  </w:num>
  <w:num w:numId="11" w16cid:durableId="105580918">
    <w:abstractNumId w:val="11"/>
  </w:num>
  <w:num w:numId="12" w16cid:durableId="1698852615">
    <w:abstractNumId w:val="9"/>
  </w:num>
  <w:num w:numId="13" w16cid:durableId="2100517251">
    <w:abstractNumId w:val="14"/>
  </w:num>
  <w:num w:numId="14" w16cid:durableId="863060301">
    <w:abstractNumId w:val="7"/>
  </w:num>
  <w:num w:numId="15" w16cid:durableId="945387373">
    <w:abstractNumId w:val="2"/>
  </w:num>
  <w:num w:numId="16" w16cid:durableId="1637370295">
    <w:abstractNumId w:val="4"/>
  </w:num>
  <w:num w:numId="17" w16cid:durableId="459230831">
    <w:abstractNumId w:val="20"/>
  </w:num>
  <w:num w:numId="18" w16cid:durableId="724062672">
    <w:abstractNumId w:val="17"/>
  </w:num>
  <w:num w:numId="19" w16cid:durableId="1949268806">
    <w:abstractNumId w:val="6"/>
  </w:num>
  <w:num w:numId="20" w16cid:durableId="958727222">
    <w:abstractNumId w:val="13"/>
  </w:num>
  <w:num w:numId="21" w16cid:durableId="830411562">
    <w:abstractNumId w:val="21"/>
  </w:num>
  <w:num w:numId="22" w16cid:durableId="1032804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38A1"/>
    <w:rsid w:val="0005676E"/>
    <w:rsid w:val="00070818"/>
    <w:rsid w:val="00071A32"/>
    <w:rsid w:val="0008238F"/>
    <w:rsid w:val="00082EC6"/>
    <w:rsid w:val="00085388"/>
    <w:rsid w:val="000C2F8A"/>
    <w:rsid w:val="000D41DC"/>
    <w:rsid w:val="000E684B"/>
    <w:rsid w:val="00125D37"/>
    <w:rsid w:val="00127C1A"/>
    <w:rsid w:val="00140A13"/>
    <w:rsid w:val="00150D81"/>
    <w:rsid w:val="00165977"/>
    <w:rsid w:val="00166CEB"/>
    <w:rsid w:val="001730B8"/>
    <w:rsid w:val="00183CB9"/>
    <w:rsid w:val="00184A9A"/>
    <w:rsid w:val="001947DF"/>
    <w:rsid w:val="001B22BB"/>
    <w:rsid w:val="001B278E"/>
    <w:rsid w:val="001B619C"/>
    <w:rsid w:val="001D1D3C"/>
    <w:rsid w:val="001E693B"/>
    <w:rsid w:val="001F4854"/>
    <w:rsid w:val="00203364"/>
    <w:rsid w:val="002205D4"/>
    <w:rsid w:val="00222C3A"/>
    <w:rsid w:val="00226D31"/>
    <w:rsid w:val="00236401"/>
    <w:rsid w:val="002370CE"/>
    <w:rsid w:val="00242974"/>
    <w:rsid w:val="00250C71"/>
    <w:rsid w:val="002554B6"/>
    <w:rsid w:val="002565CF"/>
    <w:rsid w:val="00260D29"/>
    <w:rsid w:val="002976D4"/>
    <w:rsid w:val="002A5577"/>
    <w:rsid w:val="002A5F12"/>
    <w:rsid w:val="002B4AA4"/>
    <w:rsid w:val="002E71BA"/>
    <w:rsid w:val="002F5066"/>
    <w:rsid w:val="003003FD"/>
    <w:rsid w:val="00310245"/>
    <w:rsid w:val="00316C95"/>
    <w:rsid w:val="00331E0E"/>
    <w:rsid w:val="003458DB"/>
    <w:rsid w:val="003523D3"/>
    <w:rsid w:val="00362E8A"/>
    <w:rsid w:val="00364C35"/>
    <w:rsid w:val="003701A5"/>
    <w:rsid w:val="0038300C"/>
    <w:rsid w:val="003843DE"/>
    <w:rsid w:val="00396F60"/>
    <w:rsid w:val="003A51D6"/>
    <w:rsid w:val="003B125E"/>
    <w:rsid w:val="003B2A5E"/>
    <w:rsid w:val="003B3D3B"/>
    <w:rsid w:val="003C7C97"/>
    <w:rsid w:val="003D4FC6"/>
    <w:rsid w:val="003F1CFC"/>
    <w:rsid w:val="00406B8D"/>
    <w:rsid w:val="00410068"/>
    <w:rsid w:val="00412D3A"/>
    <w:rsid w:val="0041618E"/>
    <w:rsid w:val="004218E9"/>
    <w:rsid w:val="0042295C"/>
    <w:rsid w:val="00426EEC"/>
    <w:rsid w:val="00427ACC"/>
    <w:rsid w:val="004466C3"/>
    <w:rsid w:val="004552CE"/>
    <w:rsid w:val="00456508"/>
    <w:rsid w:val="00481FF7"/>
    <w:rsid w:val="00490E67"/>
    <w:rsid w:val="004A22FC"/>
    <w:rsid w:val="004A78DE"/>
    <w:rsid w:val="004B6B8F"/>
    <w:rsid w:val="004D1EE6"/>
    <w:rsid w:val="00500295"/>
    <w:rsid w:val="00501AAF"/>
    <w:rsid w:val="005079ED"/>
    <w:rsid w:val="00512E45"/>
    <w:rsid w:val="00525A9A"/>
    <w:rsid w:val="00527AFA"/>
    <w:rsid w:val="005419DA"/>
    <w:rsid w:val="00557630"/>
    <w:rsid w:val="005678AC"/>
    <w:rsid w:val="005709B1"/>
    <w:rsid w:val="00572B3B"/>
    <w:rsid w:val="005836D2"/>
    <w:rsid w:val="00583D9A"/>
    <w:rsid w:val="00587C58"/>
    <w:rsid w:val="005A7FD4"/>
    <w:rsid w:val="005B035E"/>
    <w:rsid w:val="005B1A84"/>
    <w:rsid w:val="005B5C2E"/>
    <w:rsid w:val="005D1AF9"/>
    <w:rsid w:val="005D5457"/>
    <w:rsid w:val="005E2699"/>
    <w:rsid w:val="005E44B5"/>
    <w:rsid w:val="005F0427"/>
    <w:rsid w:val="00612DEA"/>
    <w:rsid w:val="00614572"/>
    <w:rsid w:val="00620BBA"/>
    <w:rsid w:val="006232DF"/>
    <w:rsid w:val="00631F2E"/>
    <w:rsid w:val="00634D18"/>
    <w:rsid w:val="00642E79"/>
    <w:rsid w:val="006457C0"/>
    <w:rsid w:val="00647041"/>
    <w:rsid w:val="00652BB7"/>
    <w:rsid w:val="00661758"/>
    <w:rsid w:val="00674C59"/>
    <w:rsid w:val="0067612C"/>
    <w:rsid w:val="00676FEB"/>
    <w:rsid w:val="00683A43"/>
    <w:rsid w:val="006912C4"/>
    <w:rsid w:val="006A5CFC"/>
    <w:rsid w:val="006A670F"/>
    <w:rsid w:val="006A6A4B"/>
    <w:rsid w:val="006A72D8"/>
    <w:rsid w:val="006C5138"/>
    <w:rsid w:val="006C689B"/>
    <w:rsid w:val="006E005C"/>
    <w:rsid w:val="006E6EE5"/>
    <w:rsid w:val="006F0029"/>
    <w:rsid w:val="007138EF"/>
    <w:rsid w:val="007632A9"/>
    <w:rsid w:val="00774092"/>
    <w:rsid w:val="00782830"/>
    <w:rsid w:val="0078352D"/>
    <w:rsid w:val="0078664A"/>
    <w:rsid w:val="00792CD2"/>
    <w:rsid w:val="007A7EF7"/>
    <w:rsid w:val="007B0F6D"/>
    <w:rsid w:val="007B2036"/>
    <w:rsid w:val="007C62C3"/>
    <w:rsid w:val="007D25AA"/>
    <w:rsid w:val="007E0354"/>
    <w:rsid w:val="007F0873"/>
    <w:rsid w:val="00804924"/>
    <w:rsid w:val="00805726"/>
    <w:rsid w:val="00815117"/>
    <w:rsid w:val="0084351E"/>
    <w:rsid w:val="008520F8"/>
    <w:rsid w:val="00855F34"/>
    <w:rsid w:val="00872076"/>
    <w:rsid w:val="008826B6"/>
    <w:rsid w:val="008A42D2"/>
    <w:rsid w:val="008B0B22"/>
    <w:rsid w:val="008C51AE"/>
    <w:rsid w:val="008C58B0"/>
    <w:rsid w:val="008C591B"/>
    <w:rsid w:val="008C6182"/>
    <w:rsid w:val="008E1C20"/>
    <w:rsid w:val="008F097B"/>
    <w:rsid w:val="008F3C1F"/>
    <w:rsid w:val="00926458"/>
    <w:rsid w:val="00933720"/>
    <w:rsid w:val="00940B1B"/>
    <w:rsid w:val="009770DB"/>
    <w:rsid w:val="009C7E52"/>
    <w:rsid w:val="009E4934"/>
    <w:rsid w:val="009E51F3"/>
    <w:rsid w:val="009F40A7"/>
    <w:rsid w:val="009F5CE6"/>
    <w:rsid w:val="00A035CD"/>
    <w:rsid w:val="00A04749"/>
    <w:rsid w:val="00A32CFB"/>
    <w:rsid w:val="00A34B2E"/>
    <w:rsid w:val="00A50E80"/>
    <w:rsid w:val="00A513B0"/>
    <w:rsid w:val="00A53321"/>
    <w:rsid w:val="00A63F7F"/>
    <w:rsid w:val="00A667CE"/>
    <w:rsid w:val="00A75042"/>
    <w:rsid w:val="00A774BC"/>
    <w:rsid w:val="00A77632"/>
    <w:rsid w:val="00A8073D"/>
    <w:rsid w:val="00A82678"/>
    <w:rsid w:val="00A946CB"/>
    <w:rsid w:val="00AA77C8"/>
    <w:rsid w:val="00AB7572"/>
    <w:rsid w:val="00AC7BE2"/>
    <w:rsid w:val="00AE35BF"/>
    <w:rsid w:val="00B1067E"/>
    <w:rsid w:val="00B334B6"/>
    <w:rsid w:val="00B51F6C"/>
    <w:rsid w:val="00B81790"/>
    <w:rsid w:val="00B81BBC"/>
    <w:rsid w:val="00BD03D5"/>
    <w:rsid w:val="00BE613E"/>
    <w:rsid w:val="00BF34E1"/>
    <w:rsid w:val="00C10753"/>
    <w:rsid w:val="00C274CC"/>
    <w:rsid w:val="00C318A3"/>
    <w:rsid w:val="00C3215E"/>
    <w:rsid w:val="00C45272"/>
    <w:rsid w:val="00C47770"/>
    <w:rsid w:val="00C54CF0"/>
    <w:rsid w:val="00C661AF"/>
    <w:rsid w:val="00C75856"/>
    <w:rsid w:val="00C76567"/>
    <w:rsid w:val="00C85A7C"/>
    <w:rsid w:val="00C95214"/>
    <w:rsid w:val="00CC3F59"/>
    <w:rsid w:val="00CD0388"/>
    <w:rsid w:val="00CD1495"/>
    <w:rsid w:val="00CD4774"/>
    <w:rsid w:val="00D04AD0"/>
    <w:rsid w:val="00D10AAF"/>
    <w:rsid w:val="00D27540"/>
    <w:rsid w:val="00D4006B"/>
    <w:rsid w:val="00D40D7A"/>
    <w:rsid w:val="00D64A0D"/>
    <w:rsid w:val="00D750B4"/>
    <w:rsid w:val="00D81C18"/>
    <w:rsid w:val="00D8461A"/>
    <w:rsid w:val="00D95CAF"/>
    <w:rsid w:val="00DA2592"/>
    <w:rsid w:val="00DA2B32"/>
    <w:rsid w:val="00DB12FA"/>
    <w:rsid w:val="00DB5A03"/>
    <w:rsid w:val="00DB60B6"/>
    <w:rsid w:val="00DC1CC6"/>
    <w:rsid w:val="00DE3459"/>
    <w:rsid w:val="00E067A8"/>
    <w:rsid w:val="00E13924"/>
    <w:rsid w:val="00E15FD5"/>
    <w:rsid w:val="00E1725A"/>
    <w:rsid w:val="00E23F08"/>
    <w:rsid w:val="00E33758"/>
    <w:rsid w:val="00E47AE5"/>
    <w:rsid w:val="00E53E5E"/>
    <w:rsid w:val="00E64325"/>
    <w:rsid w:val="00E673C5"/>
    <w:rsid w:val="00E67967"/>
    <w:rsid w:val="00E7200F"/>
    <w:rsid w:val="00E82723"/>
    <w:rsid w:val="00E86974"/>
    <w:rsid w:val="00EA29A5"/>
    <w:rsid w:val="00EA7819"/>
    <w:rsid w:val="00EC107C"/>
    <w:rsid w:val="00EC119A"/>
    <w:rsid w:val="00EC60EF"/>
    <w:rsid w:val="00EC7EBE"/>
    <w:rsid w:val="00EC7FD2"/>
    <w:rsid w:val="00ED5964"/>
    <w:rsid w:val="00F1259C"/>
    <w:rsid w:val="00F15412"/>
    <w:rsid w:val="00F1720B"/>
    <w:rsid w:val="00F36ADC"/>
    <w:rsid w:val="00F514B7"/>
    <w:rsid w:val="00F605C6"/>
    <w:rsid w:val="00F6785B"/>
    <w:rsid w:val="00F719E4"/>
    <w:rsid w:val="00F848A9"/>
    <w:rsid w:val="00F85673"/>
    <w:rsid w:val="00F9009C"/>
    <w:rsid w:val="00F915D6"/>
    <w:rsid w:val="00F924AD"/>
    <w:rsid w:val="00FD3CE8"/>
    <w:rsid w:val="00FF2B0A"/>
    <w:rsid w:val="00FF5D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AC6C0"/>
  <w15:docId w15:val="{B5A2E0EC-585D-4F5D-A281-05CA8006A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F125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5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74048289">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mmh.nhs.uk/manchester-cmhts/" TargetMode="External"/><Relationship Id="rId18" Type="http://schemas.openxmlformats.org/officeDocument/2006/relationships/hyperlink" Target="https://pharmrxiv.de/servlets/MCRFileNodeServlet/pharmrxiv_derivate_00021846/52_4_s2.pdf" TargetMode="External"/><Relationship Id="rId26" Type="http://schemas.openxmlformats.org/officeDocument/2006/relationships/hyperlink" Target="https://brill.com/view/journals/ehmh/aop/article-10.1163-26667711-20262009/article-10.1163-26667711-20262009.xml" TargetMode="External"/><Relationship Id="rId3" Type="http://schemas.openxmlformats.org/officeDocument/2006/relationships/styles" Target="styles.xml"/><Relationship Id="rId21" Type="http://schemas.openxmlformats.org/officeDocument/2006/relationships/hyperlink" Target="https://www.mdpi.com/2226-4787/11/2/56" TargetMode="External"/><Relationship Id="rId7" Type="http://schemas.openxmlformats.org/officeDocument/2006/relationships/endnotes" Target="endnotes.xml"/><Relationship Id="rId12" Type="http://schemas.openxmlformats.org/officeDocument/2006/relationships/hyperlink" Target="https://books.google.com/books?hl=en&amp;lr=&amp;id=3QZsIy5xXqYC&amp;oi=fnd&amp;pg=PR1&amp;dq=UNDERSTANDING%09HEALTH%09AND%09SOCIAL+CARE+Jon%09Glasby+Second%09Edition&amp;ots=iRPi4CQgTg&amp;sig=az_ju870dOGLygPywv_nXsNqIZc" TargetMode="External"/><Relationship Id="rId17" Type="http://schemas.openxmlformats.org/officeDocument/2006/relationships/hyperlink" Target="https://books.google.com/books?hl=en&amp;lr=&amp;id=HUZLEQAAQBAJ&amp;oi=fnd&amp;pg=PA2004&amp;dq=+Care+Act+2014+states,+whereby+the+local+authorities+are+supposed+to+ensure+that+they+take+measures+to+prevent+or+postpone+the+acquisition+of+care+and+support+needs&amp;ots=DK3tsmwIPT&amp;sig=wMD1SGkk_uLG5JYVfq3LGjFYSb0" TargetMode="External"/><Relationship Id="rId25" Type="http://schemas.openxmlformats.org/officeDocument/2006/relationships/hyperlink" Target="https://www.mdpi.com/2226-4787/12/5/139" TargetMode="External"/><Relationship Id="rId2" Type="http://schemas.openxmlformats.org/officeDocument/2006/relationships/numbering" Target="numbering.xml"/><Relationship Id="rId16" Type="http://schemas.openxmlformats.org/officeDocument/2006/relationships/hyperlink" Target="https://www.thelancet.com/journals/lanpsy/article/PIIS2215-0366(21)00467-3/abstract" TargetMode="External"/><Relationship Id="rId20" Type="http://schemas.openxmlformats.org/officeDocument/2006/relationships/hyperlink" Target="https://commonslibrary.parliament.uk/research-briefings/cbp-985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913-023-09198-w" TargetMode="External"/><Relationship Id="rId24" Type="http://schemas.openxmlformats.org/officeDocument/2006/relationships/hyperlink" Target="https://www.gov.uk/government/news/340m-pharmacy-boost-brings-faster-care-to-your-high-street" TargetMode="External"/><Relationship Id="rId5" Type="http://schemas.openxmlformats.org/officeDocument/2006/relationships/webSettings" Target="webSettings.xml"/><Relationship Id="rId15" Type="http://schemas.openxmlformats.org/officeDocument/2006/relationships/hyperlink" Target="https://onlinelibrary.wiley.com/doi/abs/10.1111/inm.70271" TargetMode="External"/><Relationship Id="rId23" Type="http://schemas.openxmlformats.org/officeDocument/2006/relationships/hyperlink" Target="https://onlinelibrary.wiley.com/doi/abs/10.1186/s13047-022-00541-8" TargetMode="External"/><Relationship Id="rId28" Type="http://schemas.openxmlformats.org/officeDocument/2006/relationships/fontTable" Target="fontTable.xml"/><Relationship Id="rId10" Type="http://schemas.openxmlformats.org/officeDocument/2006/relationships/hyperlink" Target="https://pmc.ncbi.nlm.nih.gov/articles/PMC8751555/" TargetMode="External"/><Relationship Id="rId19" Type="http://schemas.openxmlformats.org/officeDocument/2006/relationships/hyperlink" Target="https://www.bshp.org/history-of-pharmacy" TargetMode="External"/><Relationship Id="rId4" Type="http://schemas.openxmlformats.org/officeDocument/2006/relationships/settings" Target="settings.xml"/><Relationship Id="rId9" Type="http://schemas.openxmlformats.org/officeDocument/2006/relationships/hyperlink" Target="https://www.emerald.com/jica/article/30/2/146/216431" TargetMode="External"/><Relationship Id="rId14" Type="http://schemas.openxmlformats.org/officeDocument/2006/relationships/hyperlink" Target="https://www.legislation.gov.uk/ukpga/2014/23/section/1" TargetMode="External"/><Relationship Id="rId22" Type="http://schemas.openxmlformats.org/officeDocument/2006/relationships/hyperlink" Target="https://www.england.nhs.uk/long-read/launch-of-nhs-pharmacy-first-advanced-servic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E4610-7CAD-45D5-B6DD-38846FBEC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2695</Words>
  <Characters>15364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dc:creator>
  <cp:keywords/>
  <dc:description/>
  <cp:lastModifiedBy>Florence Amma Bangnira (2537504)</cp:lastModifiedBy>
  <cp:revision>3</cp:revision>
  <dcterms:created xsi:type="dcterms:W3CDTF">2026-10-09T17:54:00Z</dcterms:created>
  <dcterms:modified xsi:type="dcterms:W3CDTF">2026-10-09T18:02:00Z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