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F35B6C" w14:textId="5569E15D" w:rsidR="001F7AD4" w:rsidRPr="000E437E" w:rsidRDefault="001F7AD4" w:rsidP="000E437E">
      <w:pPr>
        <w:spacing w:line="360" w:lineRule="auto"/>
        <w:jc w:val="both"/>
        <w:rPr>
          <w:rFonts w:ascii="Arial" w:hAnsi="Arial" w:cs="Arial"/>
          <w:b/>
          <w:bCs/>
          <w:sz w:val="22"/>
        </w:rPr>
      </w:pPr>
    </w:p>
    <w:p w14:paraId="4098B34D" w14:textId="77777777" w:rsidR="00A00B55" w:rsidRPr="000E437E" w:rsidRDefault="00A00B55" w:rsidP="000E437E">
      <w:pPr>
        <w:jc w:val="both"/>
        <w:rPr>
          <w:rFonts w:ascii="Arial" w:hAnsi="Arial" w:cs="Arial"/>
          <w:b/>
          <w:bCs/>
          <w:sz w:val="22"/>
        </w:rPr>
      </w:pPr>
    </w:p>
    <w:p w14:paraId="13AE54C3" w14:textId="77777777" w:rsidR="00A00B55" w:rsidRPr="000E437E" w:rsidRDefault="00A00B55" w:rsidP="000E437E">
      <w:pPr>
        <w:jc w:val="both"/>
        <w:rPr>
          <w:rFonts w:ascii="Arial" w:hAnsi="Arial" w:cs="Arial"/>
          <w:b/>
          <w:bCs/>
          <w:sz w:val="22"/>
        </w:rPr>
      </w:pPr>
    </w:p>
    <w:p w14:paraId="07E63217" w14:textId="77777777" w:rsidR="00A00B55" w:rsidRPr="000E437E" w:rsidRDefault="00A00B55" w:rsidP="000E437E">
      <w:pPr>
        <w:jc w:val="both"/>
        <w:rPr>
          <w:rFonts w:ascii="Arial" w:hAnsi="Arial" w:cs="Arial"/>
          <w:b/>
          <w:bCs/>
          <w:sz w:val="22"/>
        </w:rPr>
      </w:pPr>
    </w:p>
    <w:p w14:paraId="1B99DABC" w14:textId="5D33034F" w:rsidR="00F12311" w:rsidRPr="000E437E" w:rsidRDefault="0087277E" w:rsidP="000E437E">
      <w:pPr>
        <w:pStyle w:val="ListParagraph"/>
        <w:numPr>
          <w:ilvl w:val="0"/>
          <w:numId w:val="8"/>
        </w:numPr>
        <w:ind w:left="1701" w:hanging="283"/>
        <w:jc w:val="both"/>
        <w:rPr>
          <w:rFonts w:ascii="Arial" w:hAnsi="Arial" w:cs="Arial"/>
          <w:b/>
          <w:bCs/>
          <w:sz w:val="22"/>
        </w:rPr>
      </w:pPr>
      <w:r w:rsidRPr="000E437E">
        <w:rPr>
          <w:rFonts w:ascii="Arial" w:hAnsi="Arial" w:cs="Arial"/>
          <w:b/>
          <w:bCs/>
          <w:sz w:val="22"/>
        </w:rPr>
        <w:t xml:space="preserve">Student </w:t>
      </w:r>
      <w:r w:rsidR="00F12311" w:rsidRPr="000E437E">
        <w:rPr>
          <w:rFonts w:ascii="Arial" w:hAnsi="Arial" w:cs="Arial"/>
          <w:b/>
          <w:bCs/>
          <w:sz w:val="22"/>
        </w:rPr>
        <w:t>Name:</w:t>
      </w:r>
      <w:r w:rsidR="00F243CD" w:rsidRPr="000E437E">
        <w:rPr>
          <w:rFonts w:ascii="Arial" w:hAnsi="Arial" w:cs="Arial"/>
          <w:b/>
          <w:bCs/>
          <w:sz w:val="22"/>
        </w:rPr>
        <w:t xml:space="preserve"> Digvijaysinh dolatsinh solanki</w:t>
      </w:r>
    </w:p>
    <w:p w14:paraId="43C3D73D" w14:textId="7FD4EAF5" w:rsidR="00A00B55" w:rsidRPr="000E437E" w:rsidRDefault="00A32139" w:rsidP="000E437E">
      <w:pPr>
        <w:pStyle w:val="ListParagraph"/>
        <w:numPr>
          <w:ilvl w:val="0"/>
          <w:numId w:val="8"/>
        </w:numPr>
        <w:ind w:left="1701" w:hanging="283"/>
        <w:jc w:val="both"/>
        <w:rPr>
          <w:rFonts w:ascii="Arial" w:hAnsi="Arial" w:cs="Arial"/>
          <w:b/>
          <w:bCs/>
          <w:sz w:val="22"/>
        </w:rPr>
      </w:pPr>
      <w:r w:rsidRPr="000E437E">
        <w:rPr>
          <w:rFonts w:ascii="Arial" w:hAnsi="Arial" w:cs="Arial"/>
          <w:b/>
          <w:bCs/>
          <w:sz w:val="22"/>
        </w:rPr>
        <w:t>Student id:</w:t>
      </w:r>
      <w:r w:rsidR="00F243CD" w:rsidRPr="000E437E">
        <w:rPr>
          <w:rFonts w:ascii="Arial" w:hAnsi="Arial" w:cs="Arial"/>
          <w:b/>
          <w:bCs/>
          <w:sz w:val="22"/>
        </w:rPr>
        <w:t xml:space="preserve"> 2228928</w:t>
      </w:r>
    </w:p>
    <w:p w14:paraId="6B50AEBF" w14:textId="12E5E63C" w:rsidR="00A00B55" w:rsidRPr="000E437E" w:rsidRDefault="00ED7EBB" w:rsidP="000E437E">
      <w:pPr>
        <w:pStyle w:val="ListParagraph"/>
        <w:numPr>
          <w:ilvl w:val="0"/>
          <w:numId w:val="8"/>
        </w:numPr>
        <w:ind w:left="1701" w:hanging="283"/>
        <w:jc w:val="both"/>
        <w:rPr>
          <w:rFonts w:ascii="Arial" w:hAnsi="Arial" w:cs="Arial"/>
          <w:b/>
          <w:bCs/>
          <w:sz w:val="22"/>
        </w:rPr>
      </w:pPr>
      <w:r w:rsidRPr="000E437E">
        <w:rPr>
          <w:rFonts w:ascii="Arial" w:hAnsi="Arial" w:cs="Arial"/>
          <w:b/>
          <w:bCs/>
          <w:sz w:val="22"/>
        </w:rPr>
        <w:t>P</w:t>
      </w:r>
      <w:r w:rsidR="003A337A" w:rsidRPr="000E437E">
        <w:rPr>
          <w:rFonts w:ascii="Arial" w:hAnsi="Arial" w:cs="Arial"/>
          <w:b/>
          <w:bCs/>
          <w:sz w:val="22"/>
        </w:rPr>
        <w:t>ro</w:t>
      </w:r>
      <w:r w:rsidRPr="000E437E">
        <w:rPr>
          <w:rFonts w:ascii="Arial" w:hAnsi="Arial" w:cs="Arial"/>
          <w:b/>
          <w:bCs/>
          <w:sz w:val="22"/>
        </w:rPr>
        <w:t>gramme: MBA</w:t>
      </w:r>
    </w:p>
    <w:p w14:paraId="4694AE43" w14:textId="56152492" w:rsidR="00A00B55" w:rsidRPr="000E437E" w:rsidRDefault="001E36C7" w:rsidP="000E437E">
      <w:pPr>
        <w:pStyle w:val="ListParagraph"/>
        <w:numPr>
          <w:ilvl w:val="0"/>
          <w:numId w:val="8"/>
        </w:numPr>
        <w:ind w:left="1701" w:hanging="283"/>
        <w:jc w:val="both"/>
        <w:rPr>
          <w:rFonts w:ascii="Arial" w:hAnsi="Arial" w:cs="Arial"/>
          <w:b/>
          <w:bCs/>
          <w:sz w:val="22"/>
        </w:rPr>
      </w:pPr>
      <w:r w:rsidRPr="000E437E">
        <w:rPr>
          <w:rFonts w:ascii="Arial" w:hAnsi="Arial" w:cs="Arial"/>
          <w:b/>
          <w:bCs/>
          <w:sz w:val="22"/>
        </w:rPr>
        <w:t>U</w:t>
      </w:r>
      <w:r w:rsidR="00A32139" w:rsidRPr="000E437E">
        <w:rPr>
          <w:rFonts w:ascii="Arial" w:hAnsi="Arial" w:cs="Arial"/>
          <w:b/>
          <w:bCs/>
          <w:sz w:val="22"/>
        </w:rPr>
        <w:t>n</w:t>
      </w:r>
      <w:r w:rsidRPr="000E437E">
        <w:rPr>
          <w:rFonts w:ascii="Arial" w:hAnsi="Arial" w:cs="Arial"/>
          <w:b/>
          <w:bCs/>
          <w:sz w:val="22"/>
        </w:rPr>
        <w:t>iversity:</w:t>
      </w:r>
      <w:r w:rsidR="00ED7EBB" w:rsidRPr="000E437E">
        <w:rPr>
          <w:rFonts w:ascii="Arial" w:hAnsi="Arial" w:cs="Arial"/>
          <w:b/>
          <w:bCs/>
          <w:sz w:val="22"/>
        </w:rPr>
        <w:t xml:space="preserve"> university of wales trinity saint david</w:t>
      </w:r>
    </w:p>
    <w:p w14:paraId="5983477A" w14:textId="15D1B647" w:rsidR="00A00B55" w:rsidRPr="000E437E" w:rsidRDefault="001E36C7" w:rsidP="000E437E">
      <w:pPr>
        <w:pStyle w:val="ListParagraph"/>
        <w:numPr>
          <w:ilvl w:val="0"/>
          <w:numId w:val="8"/>
        </w:numPr>
        <w:ind w:left="1701" w:hanging="283"/>
        <w:jc w:val="both"/>
        <w:rPr>
          <w:rFonts w:ascii="Arial" w:hAnsi="Arial" w:cs="Arial"/>
          <w:b/>
          <w:bCs/>
          <w:sz w:val="22"/>
        </w:rPr>
      </w:pPr>
      <w:r w:rsidRPr="000E437E">
        <w:rPr>
          <w:rFonts w:ascii="Arial" w:hAnsi="Arial" w:cs="Arial"/>
          <w:b/>
          <w:bCs/>
          <w:sz w:val="22"/>
        </w:rPr>
        <w:t xml:space="preserve">Professor: </w:t>
      </w:r>
      <w:r w:rsidR="00C62506" w:rsidRPr="000E437E">
        <w:rPr>
          <w:rFonts w:ascii="Arial" w:hAnsi="Arial" w:cs="Arial"/>
          <w:b/>
          <w:bCs/>
          <w:sz w:val="22"/>
        </w:rPr>
        <w:t xml:space="preserve"> vasilos tavlaridis </w:t>
      </w:r>
    </w:p>
    <w:p w14:paraId="4247DFEB" w14:textId="48C74315" w:rsidR="00A00B55" w:rsidRPr="000E437E" w:rsidRDefault="00552E45" w:rsidP="000E437E">
      <w:pPr>
        <w:pStyle w:val="ListParagraph"/>
        <w:numPr>
          <w:ilvl w:val="0"/>
          <w:numId w:val="8"/>
        </w:numPr>
        <w:ind w:left="1701" w:hanging="283"/>
        <w:jc w:val="both"/>
        <w:rPr>
          <w:rFonts w:ascii="Arial" w:hAnsi="Arial" w:cs="Arial"/>
          <w:b/>
          <w:bCs/>
          <w:sz w:val="22"/>
        </w:rPr>
      </w:pPr>
      <w:r w:rsidRPr="000E437E">
        <w:rPr>
          <w:rFonts w:ascii="Arial" w:hAnsi="Arial" w:cs="Arial"/>
          <w:b/>
          <w:bCs/>
          <w:sz w:val="22"/>
        </w:rPr>
        <w:t>Module code: LCMB</w:t>
      </w:r>
      <w:r w:rsidR="00E52C96" w:rsidRPr="000E437E">
        <w:rPr>
          <w:rFonts w:ascii="Arial" w:hAnsi="Arial" w:cs="Arial"/>
          <w:b/>
          <w:bCs/>
          <w:sz w:val="22"/>
        </w:rPr>
        <w:t>7020</w:t>
      </w:r>
    </w:p>
    <w:p w14:paraId="1913CDF0" w14:textId="77777777" w:rsidR="00A00B55" w:rsidRPr="000E437E" w:rsidRDefault="00A00B55" w:rsidP="000E437E">
      <w:pPr>
        <w:jc w:val="both"/>
        <w:rPr>
          <w:rFonts w:ascii="Arial" w:hAnsi="Arial" w:cs="Arial"/>
          <w:b/>
          <w:bCs/>
          <w:sz w:val="22"/>
        </w:rPr>
      </w:pPr>
    </w:p>
    <w:p w14:paraId="79FA3FA3" w14:textId="77777777" w:rsidR="00A00B55" w:rsidRPr="000E437E" w:rsidRDefault="00A00B55" w:rsidP="000E437E">
      <w:pPr>
        <w:jc w:val="both"/>
        <w:rPr>
          <w:rFonts w:ascii="Arial" w:hAnsi="Arial" w:cs="Arial"/>
          <w:b/>
          <w:bCs/>
          <w:sz w:val="22"/>
        </w:rPr>
      </w:pPr>
    </w:p>
    <w:p w14:paraId="0D69049E" w14:textId="77777777" w:rsidR="00A00B55" w:rsidRPr="000E437E" w:rsidRDefault="00A00B55" w:rsidP="000E437E">
      <w:pPr>
        <w:jc w:val="both"/>
        <w:rPr>
          <w:rFonts w:ascii="Arial" w:hAnsi="Arial" w:cs="Arial"/>
          <w:b/>
          <w:bCs/>
          <w:sz w:val="22"/>
        </w:rPr>
      </w:pPr>
    </w:p>
    <w:p w14:paraId="6ACAF300" w14:textId="77777777" w:rsidR="00A00B55" w:rsidRPr="000E437E" w:rsidRDefault="00A00B55" w:rsidP="000E437E">
      <w:pPr>
        <w:jc w:val="both"/>
        <w:rPr>
          <w:rFonts w:ascii="Arial" w:hAnsi="Arial" w:cs="Arial"/>
          <w:b/>
          <w:bCs/>
          <w:sz w:val="22"/>
        </w:rPr>
      </w:pPr>
    </w:p>
    <w:p w14:paraId="54BEF367" w14:textId="77777777" w:rsidR="00A00B55" w:rsidRPr="000E437E" w:rsidRDefault="00A00B55" w:rsidP="000E437E">
      <w:pPr>
        <w:jc w:val="both"/>
        <w:rPr>
          <w:rFonts w:ascii="Arial" w:hAnsi="Arial" w:cs="Arial"/>
          <w:b/>
          <w:bCs/>
          <w:sz w:val="22"/>
        </w:rPr>
      </w:pPr>
    </w:p>
    <w:p w14:paraId="79DA0AE0" w14:textId="77777777" w:rsidR="00A00B55" w:rsidRPr="000E437E" w:rsidRDefault="00A00B55" w:rsidP="000E437E">
      <w:pPr>
        <w:jc w:val="both"/>
        <w:rPr>
          <w:rFonts w:ascii="Arial" w:hAnsi="Arial" w:cs="Arial"/>
          <w:b/>
          <w:bCs/>
          <w:sz w:val="22"/>
        </w:rPr>
      </w:pPr>
    </w:p>
    <w:p w14:paraId="7EBA76DC" w14:textId="77777777" w:rsidR="00A00B55" w:rsidRPr="000E437E" w:rsidRDefault="00A00B55" w:rsidP="000E437E">
      <w:pPr>
        <w:jc w:val="both"/>
        <w:rPr>
          <w:rFonts w:ascii="Arial" w:hAnsi="Arial" w:cs="Arial"/>
          <w:b/>
          <w:bCs/>
          <w:sz w:val="22"/>
        </w:rPr>
      </w:pPr>
    </w:p>
    <w:p w14:paraId="7EFA13E3" w14:textId="77777777" w:rsidR="00A00B55" w:rsidRPr="000E437E" w:rsidRDefault="00A00B55" w:rsidP="000E437E">
      <w:pPr>
        <w:jc w:val="both"/>
        <w:rPr>
          <w:rFonts w:ascii="Arial" w:hAnsi="Arial" w:cs="Arial"/>
          <w:b/>
          <w:bCs/>
          <w:sz w:val="22"/>
        </w:rPr>
      </w:pPr>
    </w:p>
    <w:p w14:paraId="3ABFB0B7" w14:textId="7AC4981E" w:rsidR="00A00B55" w:rsidRPr="000E437E" w:rsidRDefault="00A00B55" w:rsidP="000E437E">
      <w:pPr>
        <w:jc w:val="both"/>
        <w:rPr>
          <w:rFonts w:ascii="Arial" w:hAnsi="Arial" w:cs="Arial"/>
          <w:b/>
          <w:bCs/>
          <w:sz w:val="22"/>
        </w:rPr>
      </w:pPr>
      <w:r w:rsidRPr="000E437E">
        <w:rPr>
          <w:rFonts w:ascii="Arial" w:hAnsi="Arial" w:cs="Arial"/>
          <w:b/>
          <w:bCs/>
          <w:sz w:val="22"/>
        </w:rPr>
        <w:t>I, Digvijaysinh  Dolatsinh solanki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66EB375E" w14:textId="67A05C58" w:rsidR="00A00B55" w:rsidRPr="000E437E" w:rsidRDefault="00A00B55" w:rsidP="000E437E">
      <w:pPr>
        <w:jc w:val="both"/>
        <w:rPr>
          <w:rFonts w:ascii="Arial" w:hAnsi="Arial" w:cs="Arial"/>
          <w:b/>
          <w:bCs/>
          <w:sz w:val="22"/>
        </w:rPr>
      </w:pPr>
      <w:r w:rsidRPr="000E437E">
        <w:rPr>
          <w:rFonts w:ascii="Arial" w:hAnsi="Arial" w:cs="Arial"/>
          <w:b/>
          <w:bCs/>
          <w:sz w:val="22"/>
        </w:rPr>
        <w:t xml:space="preserve"> </w:t>
      </w:r>
    </w:p>
    <w:p w14:paraId="68B7F7A6" w14:textId="0074777F" w:rsidR="00A00B55" w:rsidRPr="000E437E" w:rsidRDefault="00A00B55" w:rsidP="000E437E">
      <w:pPr>
        <w:jc w:val="both"/>
        <w:rPr>
          <w:rFonts w:ascii="Arial" w:hAnsi="Arial" w:cs="Arial"/>
          <w:b/>
          <w:bCs/>
          <w:sz w:val="22"/>
        </w:rPr>
      </w:pPr>
      <w:r w:rsidRPr="000E437E">
        <w:rPr>
          <w:rFonts w:ascii="Arial" w:hAnsi="Arial" w:cs="Arial"/>
          <w:b/>
          <w:bCs/>
          <w:sz w:val="22"/>
        </w:rPr>
        <w:t>Signature</w:t>
      </w:r>
      <w:r w:rsidR="00572F90" w:rsidRPr="000E437E">
        <w:rPr>
          <w:rFonts w:ascii="Arial" w:hAnsi="Arial" w:cs="Arial"/>
          <w:b/>
          <w:bCs/>
          <w:sz w:val="22"/>
        </w:rPr>
        <w:t xml:space="preserve">     </w:t>
      </w:r>
      <w:r w:rsidR="00B32A3A" w:rsidRPr="000E437E">
        <w:rPr>
          <w:rFonts w:ascii="Arial" w:hAnsi="Arial" w:cs="Arial"/>
          <w:b/>
          <w:bCs/>
          <w:noProof/>
          <w:sz w:val="22"/>
        </w:rPr>
        <w:drawing>
          <wp:inline distT="0" distB="0" distL="0" distR="0" wp14:anchorId="389BB2A6" wp14:editId="75D6BD40">
            <wp:extent cx="1455979" cy="324000"/>
            <wp:effectExtent l="0" t="0" r="0" b="0"/>
            <wp:docPr id="1426205597" name="Picture 2" descr="A close-up of a handwritte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205597" name="Picture 2" descr="A close-up of a handwritten word&#10;&#10;Description automatically generated"/>
                    <pic:cNvPicPr/>
                  </pic:nvPicPr>
                  <pic:blipFill rotWithShape="1">
                    <a:blip r:embed="rId8" cstate="print">
                      <a:alphaModFix/>
                      <a:extLst>
                        <a:ext uri="{BEBA8EAE-BF5A-486C-A8C5-ECC9F3942E4B}">
                          <a14:imgProps xmlns:a14="http://schemas.microsoft.com/office/drawing/2010/main">
                            <a14:imgLayer r:embed="rId9">
                              <a14:imgEffect>
                                <a14:sharpenSoften amount="50000"/>
                              </a14:imgEffect>
                              <a14:imgEffect>
                                <a14:brightnessContrast bright="5000" contrast="39000"/>
                              </a14:imgEffect>
                            </a14:imgLayer>
                          </a14:imgProps>
                        </a:ext>
                        <a:ext uri="{28A0092B-C50C-407E-A947-70E740481C1C}">
                          <a14:useLocalDpi xmlns:a14="http://schemas.microsoft.com/office/drawing/2010/main" val="0"/>
                        </a:ext>
                      </a:extLst>
                    </a:blip>
                    <a:srcRect l="18759" t="-6699" r="-5730" b="11864"/>
                    <a:stretch/>
                  </pic:blipFill>
                  <pic:spPr bwMode="auto">
                    <a:xfrm>
                      <a:off x="0" y="0"/>
                      <a:ext cx="1534168" cy="341399"/>
                    </a:xfrm>
                    <a:prstGeom prst="rect">
                      <a:avLst/>
                    </a:prstGeom>
                    <a:ln>
                      <a:noFill/>
                    </a:ln>
                    <a:extLst>
                      <a:ext uri="{53640926-AAD7-44D8-BBD7-CCE9431645EC}">
                        <a14:shadowObscured xmlns:a14="http://schemas.microsoft.com/office/drawing/2010/main"/>
                      </a:ext>
                    </a:extLst>
                  </pic:spPr>
                </pic:pic>
              </a:graphicData>
            </a:graphic>
          </wp:inline>
        </w:drawing>
      </w:r>
    </w:p>
    <w:p w14:paraId="59F79B87" w14:textId="32BF0658" w:rsidR="001F7AD4" w:rsidRPr="000E437E" w:rsidRDefault="00F12311" w:rsidP="000E437E">
      <w:pPr>
        <w:jc w:val="both"/>
        <w:rPr>
          <w:rFonts w:ascii="Arial" w:hAnsi="Arial" w:cs="Arial"/>
          <w:b/>
          <w:bCs/>
          <w:sz w:val="22"/>
        </w:rPr>
      </w:pPr>
      <w:r w:rsidRPr="000E437E">
        <w:rPr>
          <w:rFonts w:ascii="Arial" w:hAnsi="Arial" w:cs="Arial"/>
          <w:b/>
          <w:bCs/>
          <w:sz w:val="22"/>
        </w:rPr>
        <w:t xml:space="preserve">       </w:t>
      </w:r>
      <w:r w:rsidR="00A00B55" w:rsidRPr="000E437E">
        <w:rPr>
          <w:rFonts w:ascii="Arial" w:hAnsi="Arial" w:cs="Arial"/>
          <w:b/>
          <w:bCs/>
          <w:sz w:val="22"/>
        </w:rPr>
        <w:t>Date:</w:t>
      </w:r>
      <w:r w:rsidRPr="000E437E">
        <w:rPr>
          <w:rFonts w:ascii="Arial" w:hAnsi="Arial" w:cs="Arial"/>
          <w:b/>
          <w:bCs/>
          <w:sz w:val="22"/>
        </w:rPr>
        <w:t xml:space="preserve">    </w:t>
      </w:r>
      <w:r w:rsidR="00572F90" w:rsidRPr="000E437E">
        <w:rPr>
          <w:rFonts w:ascii="Arial" w:hAnsi="Arial" w:cs="Arial"/>
          <w:b/>
          <w:bCs/>
          <w:sz w:val="22"/>
        </w:rPr>
        <w:t>05/05/2024</w:t>
      </w:r>
      <w:r w:rsidR="001F7AD4" w:rsidRPr="000E437E">
        <w:rPr>
          <w:rFonts w:ascii="Arial" w:hAnsi="Arial" w:cs="Arial"/>
          <w:b/>
          <w:bCs/>
          <w:sz w:val="22"/>
        </w:rPr>
        <w:br w:type="page"/>
      </w:r>
    </w:p>
    <w:p w14:paraId="04DE0B73" w14:textId="77777777" w:rsidR="00B2053A" w:rsidRPr="000E437E" w:rsidRDefault="00B2053A" w:rsidP="000E437E">
      <w:pPr>
        <w:spacing w:line="360" w:lineRule="auto"/>
        <w:jc w:val="both"/>
        <w:rPr>
          <w:rFonts w:ascii="Arial" w:hAnsi="Arial" w:cs="Arial"/>
          <w:b/>
          <w:bCs/>
          <w:sz w:val="22"/>
        </w:rPr>
      </w:pPr>
    </w:p>
    <w:p w14:paraId="5E316CE2" w14:textId="77777777" w:rsidR="000E437E" w:rsidRPr="000E437E" w:rsidRDefault="000E437E" w:rsidP="000E437E">
      <w:pPr>
        <w:spacing w:line="360" w:lineRule="auto"/>
        <w:jc w:val="both"/>
        <w:rPr>
          <w:rFonts w:ascii="Arial" w:hAnsi="Arial" w:cs="Arial"/>
          <w:b/>
          <w:bCs/>
          <w:sz w:val="22"/>
        </w:rPr>
      </w:pPr>
    </w:p>
    <w:p w14:paraId="7010F3E4" w14:textId="77777777" w:rsidR="000E437E" w:rsidRPr="000E437E" w:rsidRDefault="000E437E" w:rsidP="000E437E">
      <w:pPr>
        <w:spacing w:line="360" w:lineRule="auto"/>
        <w:jc w:val="both"/>
        <w:rPr>
          <w:rFonts w:ascii="Arial" w:hAnsi="Arial" w:cs="Arial"/>
          <w:b/>
          <w:bCs/>
          <w:sz w:val="22"/>
        </w:rPr>
      </w:pPr>
    </w:p>
    <w:p w14:paraId="4998EB08" w14:textId="77777777" w:rsidR="000E437E" w:rsidRPr="000E437E" w:rsidRDefault="000E437E" w:rsidP="000E437E">
      <w:pPr>
        <w:spacing w:line="360" w:lineRule="auto"/>
        <w:jc w:val="both"/>
        <w:rPr>
          <w:rFonts w:ascii="Arial" w:hAnsi="Arial" w:cs="Arial"/>
          <w:b/>
          <w:bCs/>
          <w:sz w:val="22"/>
        </w:rPr>
      </w:pPr>
    </w:p>
    <w:p w14:paraId="0989E554" w14:textId="77777777" w:rsidR="000E437E" w:rsidRPr="000E437E" w:rsidRDefault="000E437E" w:rsidP="000E437E">
      <w:pPr>
        <w:spacing w:line="360" w:lineRule="auto"/>
        <w:jc w:val="both"/>
        <w:rPr>
          <w:rFonts w:ascii="Arial" w:hAnsi="Arial" w:cs="Arial"/>
          <w:b/>
          <w:bCs/>
          <w:sz w:val="22"/>
        </w:rPr>
      </w:pPr>
    </w:p>
    <w:p w14:paraId="5AF88F29" w14:textId="77777777" w:rsidR="000E437E" w:rsidRPr="000E437E" w:rsidRDefault="000E437E" w:rsidP="000E437E">
      <w:pPr>
        <w:spacing w:line="360" w:lineRule="auto"/>
        <w:jc w:val="both"/>
        <w:rPr>
          <w:rFonts w:ascii="Arial" w:hAnsi="Arial" w:cs="Arial"/>
          <w:b/>
          <w:bCs/>
          <w:sz w:val="22"/>
        </w:rPr>
      </w:pPr>
    </w:p>
    <w:p w14:paraId="6292AA10" w14:textId="77777777" w:rsidR="000E437E" w:rsidRPr="000E437E" w:rsidRDefault="000E437E" w:rsidP="000E437E">
      <w:pPr>
        <w:spacing w:line="360" w:lineRule="auto"/>
        <w:jc w:val="both"/>
        <w:rPr>
          <w:rFonts w:ascii="Arial" w:hAnsi="Arial" w:cs="Arial"/>
          <w:b/>
          <w:bCs/>
          <w:sz w:val="22"/>
        </w:rPr>
      </w:pPr>
    </w:p>
    <w:p w14:paraId="370F05B1" w14:textId="77777777" w:rsidR="000E437E" w:rsidRPr="000E437E" w:rsidRDefault="000E437E" w:rsidP="000E437E">
      <w:pPr>
        <w:spacing w:line="360" w:lineRule="auto"/>
        <w:jc w:val="both"/>
        <w:rPr>
          <w:rFonts w:ascii="Arial" w:hAnsi="Arial" w:cs="Arial"/>
          <w:b/>
          <w:bCs/>
          <w:sz w:val="22"/>
        </w:rPr>
      </w:pPr>
    </w:p>
    <w:p w14:paraId="5D0DA465" w14:textId="77777777" w:rsidR="000E437E" w:rsidRPr="000E437E" w:rsidRDefault="000E437E" w:rsidP="000E437E">
      <w:pPr>
        <w:spacing w:line="360" w:lineRule="auto"/>
        <w:jc w:val="both"/>
        <w:rPr>
          <w:rFonts w:ascii="Arial" w:hAnsi="Arial" w:cs="Arial"/>
          <w:b/>
          <w:bCs/>
          <w:sz w:val="22"/>
        </w:rPr>
      </w:pPr>
    </w:p>
    <w:p w14:paraId="1C82C04B" w14:textId="77777777" w:rsidR="000E437E" w:rsidRPr="000E437E" w:rsidRDefault="000E437E" w:rsidP="000E437E">
      <w:pPr>
        <w:spacing w:line="360" w:lineRule="auto"/>
        <w:jc w:val="both"/>
        <w:rPr>
          <w:rFonts w:ascii="Arial" w:hAnsi="Arial" w:cs="Arial"/>
          <w:b/>
          <w:bCs/>
          <w:sz w:val="22"/>
        </w:rPr>
      </w:pPr>
    </w:p>
    <w:p w14:paraId="2B6D74AC" w14:textId="77777777" w:rsidR="000E437E" w:rsidRPr="000E437E" w:rsidRDefault="000E437E" w:rsidP="000E437E">
      <w:pPr>
        <w:spacing w:line="360" w:lineRule="auto"/>
        <w:jc w:val="both"/>
        <w:rPr>
          <w:rFonts w:ascii="Arial" w:hAnsi="Arial" w:cs="Arial"/>
          <w:b/>
          <w:bCs/>
          <w:sz w:val="22"/>
        </w:rPr>
      </w:pPr>
    </w:p>
    <w:p w14:paraId="060AD1DE" w14:textId="5F17B451" w:rsidR="0091563A" w:rsidRPr="000E437E" w:rsidRDefault="00B54B1D" w:rsidP="000E437E">
      <w:pPr>
        <w:spacing w:line="360" w:lineRule="auto"/>
        <w:jc w:val="both"/>
        <w:rPr>
          <w:rFonts w:ascii="Arial" w:hAnsi="Arial" w:cs="Arial"/>
          <w:b/>
          <w:bCs/>
          <w:sz w:val="22"/>
        </w:rPr>
      </w:pPr>
      <w:r w:rsidRPr="000E437E">
        <w:rPr>
          <w:rFonts w:ascii="Arial" w:hAnsi="Arial" w:cs="Arial"/>
          <w:b/>
          <w:bCs/>
          <w:sz w:val="22"/>
        </w:rPr>
        <w:t>A Study on The Impact of Remote Work on Employee Engagement and Organizational Culture at HSBC Holdings Plc in the Post-Pandemic Era in the UK</w:t>
      </w:r>
    </w:p>
    <w:p w14:paraId="4A5E8BB2" w14:textId="77777777" w:rsidR="0091563A" w:rsidRPr="000E437E" w:rsidRDefault="0091563A" w:rsidP="000E437E">
      <w:pPr>
        <w:spacing w:line="360" w:lineRule="auto"/>
        <w:jc w:val="both"/>
        <w:rPr>
          <w:rFonts w:ascii="Arial" w:hAnsi="Arial" w:cs="Arial"/>
          <w:b/>
          <w:bCs/>
          <w:sz w:val="22"/>
        </w:rPr>
      </w:pPr>
      <w:r w:rsidRPr="000E437E">
        <w:rPr>
          <w:rFonts w:ascii="Arial" w:hAnsi="Arial" w:cs="Arial"/>
          <w:b/>
          <w:bCs/>
          <w:sz w:val="22"/>
        </w:rPr>
        <w:br w:type="page"/>
      </w:r>
    </w:p>
    <w:sdt>
      <w:sdtPr>
        <w:rPr>
          <w:rFonts w:ascii="Arial" w:eastAsiaTheme="minorHAnsi" w:hAnsi="Arial" w:cs="Arial"/>
          <w:b/>
          <w:bCs/>
          <w:color w:val="auto"/>
          <w:sz w:val="22"/>
          <w:szCs w:val="22"/>
          <w:lang w:val="en-IN"/>
        </w:rPr>
        <w:id w:val="1083563384"/>
        <w:docPartObj>
          <w:docPartGallery w:val="Table of Contents"/>
          <w:docPartUnique/>
        </w:docPartObj>
      </w:sdtPr>
      <w:sdtEndPr>
        <w:rPr>
          <w:noProof/>
        </w:rPr>
      </w:sdtEndPr>
      <w:sdtContent>
        <w:p w14:paraId="28220A00" w14:textId="0FF0B48A" w:rsidR="0091563A" w:rsidRPr="000E437E" w:rsidRDefault="0091563A" w:rsidP="000E437E">
          <w:pPr>
            <w:pStyle w:val="TOCHeading"/>
            <w:spacing w:line="360" w:lineRule="auto"/>
            <w:jc w:val="both"/>
            <w:rPr>
              <w:rFonts w:ascii="Arial" w:hAnsi="Arial" w:cs="Arial"/>
              <w:b/>
              <w:bCs/>
              <w:color w:val="auto"/>
              <w:sz w:val="22"/>
              <w:szCs w:val="22"/>
            </w:rPr>
          </w:pPr>
          <w:r w:rsidRPr="000E437E">
            <w:rPr>
              <w:rFonts w:ascii="Arial" w:hAnsi="Arial" w:cs="Arial"/>
              <w:b/>
              <w:bCs/>
              <w:color w:val="auto"/>
              <w:sz w:val="22"/>
              <w:szCs w:val="22"/>
            </w:rPr>
            <w:t>Table of Contents</w:t>
          </w:r>
        </w:p>
        <w:p w14:paraId="19D6C1BA" w14:textId="411DEF7A" w:rsidR="007125BE" w:rsidRPr="000E437E" w:rsidRDefault="0091563A" w:rsidP="000E437E">
          <w:pPr>
            <w:pStyle w:val="TOC1"/>
            <w:tabs>
              <w:tab w:val="right" w:leader="dot" w:pos="9350"/>
            </w:tabs>
            <w:jc w:val="both"/>
            <w:rPr>
              <w:rFonts w:ascii="Arial" w:eastAsiaTheme="minorEastAsia" w:hAnsi="Arial" w:cs="Arial"/>
              <w:noProof/>
              <w:kern w:val="2"/>
              <w:sz w:val="22"/>
              <w:lang w:val="en-GB" w:eastAsia="en-GB"/>
            </w:rPr>
          </w:pPr>
          <w:r w:rsidRPr="000E437E">
            <w:rPr>
              <w:rFonts w:ascii="Arial" w:hAnsi="Arial" w:cs="Arial"/>
              <w:sz w:val="22"/>
            </w:rPr>
            <w:fldChar w:fldCharType="begin"/>
          </w:r>
          <w:r w:rsidRPr="000E437E">
            <w:rPr>
              <w:rFonts w:ascii="Arial" w:hAnsi="Arial" w:cs="Arial"/>
              <w:sz w:val="22"/>
            </w:rPr>
            <w:instrText xml:space="preserve"> TOC \o "1-3" \h \z \u </w:instrText>
          </w:r>
          <w:r w:rsidRPr="000E437E">
            <w:rPr>
              <w:rFonts w:ascii="Arial" w:hAnsi="Arial" w:cs="Arial"/>
              <w:sz w:val="22"/>
            </w:rPr>
            <w:fldChar w:fldCharType="separate"/>
          </w:r>
          <w:hyperlink w:anchor="_Toc165886041" w:history="1">
            <w:r w:rsidR="007125BE" w:rsidRPr="000E437E">
              <w:rPr>
                <w:rStyle w:val="Hyperlink"/>
                <w:rFonts w:ascii="Arial" w:hAnsi="Arial" w:cs="Arial"/>
                <w:noProof/>
                <w:sz w:val="22"/>
                <w:lang w:bidi="th-TH"/>
              </w:rPr>
              <w:t>CHAPTER 1. INTRODUCTION</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_Toc165886041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5</w:t>
            </w:r>
            <w:r w:rsidR="007125BE" w:rsidRPr="000E437E">
              <w:rPr>
                <w:rFonts w:ascii="Arial" w:hAnsi="Arial" w:cs="Arial"/>
                <w:noProof/>
                <w:webHidden/>
                <w:sz w:val="22"/>
              </w:rPr>
              <w:fldChar w:fldCharType="end"/>
            </w:r>
          </w:hyperlink>
        </w:p>
        <w:p w14:paraId="5ED2BE6E" w14:textId="49C7332F"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42" w:history="1">
            <w:r w:rsidR="007125BE" w:rsidRPr="000E437E">
              <w:rPr>
                <w:rStyle w:val="Hyperlink"/>
                <w:rFonts w:ascii="Arial" w:hAnsi="Arial" w:cs="Arial"/>
                <w:noProof/>
                <w:sz w:val="22"/>
                <w:lang w:bidi="th-TH"/>
              </w:rPr>
              <w:t>1.1 Background of the Study</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_Toc165886042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5</w:t>
            </w:r>
            <w:r w:rsidR="007125BE" w:rsidRPr="000E437E">
              <w:rPr>
                <w:rFonts w:ascii="Arial" w:hAnsi="Arial" w:cs="Arial"/>
                <w:noProof/>
                <w:webHidden/>
                <w:sz w:val="22"/>
              </w:rPr>
              <w:fldChar w:fldCharType="end"/>
            </w:r>
          </w:hyperlink>
        </w:p>
        <w:p w14:paraId="55E07533" w14:textId="46BEF140"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43" w:history="1">
            <w:r w:rsidR="007125BE" w:rsidRPr="000E437E">
              <w:rPr>
                <w:rStyle w:val="Hyperlink"/>
                <w:rFonts w:ascii="Arial" w:hAnsi="Arial" w:cs="Arial"/>
                <w:noProof/>
                <w:sz w:val="22"/>
                <w:lang w:bidi="th-TH"/>
              </w:rPr>
              <w:t>1.2 Problem Statement</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_Toc165886043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5</w:t>
            </w:r>
            <w:r w:rsidR="007125BE" w:rsidRPr="000E437E">
              <w:rPr>
                <w:rFonts w:ascii="Arial" w:hAnsi="Arial" w:cs="Arial"/>
                <w:noProof/>
                <w:webHidden/>
                <w:sz w:val="22"/>
              </w:rPr>
              <w:fldChar w:fldCharType="end"/>
            </w:r>
          </w:hyperlink>
        </w:p>
        <w:p w14:paraId="1EFD0D4E" w14:textId="1E061A81"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44" w:history="1">
            <w:r w:rsidR="007125BE" w:rsidRPr="000E437E">
              <w:rPr>
                <w:rStyle w:val="Hyperlink"/>
                <w:rFonts w:ascii="Arial" w:hAnsi="Arial" w:cs="Arial"/>
                <w:noProof/>
                <w:sz w:val="22"/>
                <w:lang w:bidi="th-TH"/>
              </w:rPr>
              <w:t>1.3 Research Aim</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_Toc165886044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6</w:t>
            </w:r>
            <w:r w:rsidR="007125BE" w:rsidRPr="000E437E">
              <w:rPr>
                <w:rFonts w:ascii="Arial" w:hAnsi="Arial" w:cs="Arial"/>
                <w:noProof/>
                <w:webHidden/>
                <w:sz w:val="22"/>
              </w:rPr>
              <w:fldChar w:fldCharType="end"/>
            </w:r>
          </w:hyperlink>
        </w:p>
        <w:p w14:paraId="6CF432C3" w14:textId="50924E09"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45" w:history="1">
            <w:r w:rsidR="007125BE" w:rsidRPr="000E437E">
              <w:rPr>
                <w:rStyle w:val="Hyperlink"/>
                <w:rFonts w:ascii="Arial" w:hAnsi="Arial" w:cs="Arial"/>
                <w:noProof/>
                <w:sz w:val="22"/>
                <w:lang w:bidi="th-TH"/>
              </w:rPr>
              <w:t>1.4 Research Objectives</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_Toc165886045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6</w:t>
            </w:r>
            <w:r w:rsidR="007125BE" w:rsidRPr="000E437E">
              <w:rPr>
                <w:rFonts w:ascii="Arial" w:hAnsi="Arial" w:cs="Arial"/>
                <w:noProof/>
                <w:webHidden/>
                <w:sz w:val="22"/>
              </w:rPr>
              <w:fldChar w:fldCharType="end"/>
            </w:r>
          </w:hyperlink>
        </w:p>
        <w:p w14:paraId="6F4C6357" w14:textId="30523978"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46" w:history="1">
            <w:r w:rsidR="007125BE" w:rsidRPr="000E437E">
              <w:rPr>
                <w:rStyle w:val="Hyperlink"/>
                <w:rFonts w:ascii="Arial" w:hAnsi="Arial" w:cs="Arial"/>
                <w:noProof/>
                <w:sz w:val="22"/>
                <w:lang w:bidi="th-TH"/>
              </w:rPr>
              <w:t>1.5 Research Questions</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_Toc165886046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6</w:t>
            </w:r>
            <w:r w:rsidR="007125BE" w:rsidRPr="000E437E">
              <w:rPr>
                <w:rFonts w:ascii="Arial" w:hAnsi="Arial" w:cs="Arial"/>
                <w:noProof/>
                <w:webHidden/>
                <w:sz w:val="22"/>
              </w:rPr>
              <w:fldChar w:fldCharType="end"/>
            </w:r>
          </w:hyperlink>
        </w:p>
        <w:p w14:paraId="608BEE39" w14:textId="21FF4C50"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47" w:history="1">
            <w:r w:rsidR="007125BE" w:rsidRPr="000E437E">
              <w:rPr>
                <w:rStyle w:val="Hyperlink"/>
                <w:rFonts w:ascii="Arial" w:hAnsi="Arial" w:cs="Arial"/>
                <w:noProof/>
                <w:sz w:val="22"/>
                <w:lang w:bidi="th-TH"/>
              </w:rPr>
              <w:t>1.6 Significant/ Relevance of the Study</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_Toc165886047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6</w:t>
            </w:r>
            <w:r w:rsidR="007125BE" w:rsidRPr="000E437E">
              <w:rPr>
                <w:rFonts w:ascii="Arial" w:hAnsi="Arial" w:cs="Arial"/>
                <w:noProof/>
                <w:webHidden/>
                <w:sz w:val="22"/>
              </w:rPr>
              <w:fldChar w:fldCharType="end"/>
            </w:r>
          </w:hyperlink>
        </w:p>
        <w:p w14:paraId="733EF704" w14:textId="747D45FC"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48" w:history="1">
            <w:r w:rsidR="007125BE" w:rsidRPr="000E437E">
              <w:rPr>
                <w:rStyle w:val="Hyperlink"/>
                <w:rFonts w:ascii="Arial" w:hAnsi="Arial" w:cs="Arial"/>
                <w:noProof/>
                <w:sz w:val="22"/>
                <w:lang w:bidi="th-TH"/>
              </w:rPr>
              <w:t>1.7 Research Methodology</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_Toc165886048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7</w:t>
            </w:r>
            <w:r w:rsidR="007125BE" w:rsidRPr="000E437E">
              <w:rPr>
                <w:rFonts w:ascii="Arial" w:hAnsi="Arial" w:cs="Arial"/>
                <w:noProof/>
                <w:webHidden/>
                <w:sz w:val="22"/>
              </w:rPr>
              <w:fldChar w:fldCharType="end"/>
            </w:r>
          </w:hyperlink>
        </w:p>
        <w:p w14:paraId="51974D63" w14:textId="53814867"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49" w:history="1">
            <w:r w:rsidR="007125BE" w:rsidRPr="000E437E">
              <w:rPr>
                <w:rStyle w:val="Hyperlink"/>
                <w:rFonts w:ascii="Arial" w:hAnsi="Arial" w:cs="Arial"/>
                <w:noProof/>
                <w:sz w:val="22"/>
                <w:lang w:bidi="th-TH"/>
              </w:rPr>
              <w:t>1.8 Structure of the Project</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_Toc165886049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7</w:t>
            </w:r>
            <w:r w:rsidR="007125BE" w:rsidRPr="000E437E">
              <w:rPr>
                <w:rFonts w:ascii="Arial" w:hAnsi="Arial" w:cs="Arial"/>
                <w:noProof/>
                <w:webHidden/>
                <w:sz w:val="22"/>
              </w:rPr>
              <w:fldChar w:fldCharType="end"/>
            </w:r>
          </w:hyperlink>
        </w:p>
        <w:p w14:paraId="3480AF66" w14:textId="415AC894" w:rsidR="007125BE" w:rsidRPr="000E437E" w:rsidRDefault="00000000" w:rsidP="000E437E">
          <w:pPr>
            <w:pStyle w:val="TOC1"/>
            <w:tabs>
              <w:tab w:val="right" w:leader="dot" w:pos="9350"/>
            </w:tabs>
            <w:jc w:val="both"/>
            <w:rPr>
              <w:rFonts w:ascii="Arial" w:eastAsiaTheme="minorEastAsia" w:hAnsi="Arial" w:cs="Arial"/>
              <w:noProof/>
              <w:kern w:val="2"/>
              <w:sz w:val="22"/>
              <w:lang w:val="en-GB" w:eastAsia="en-GB"/>
            </w:rPr>
          </w:pPr>
          <w:hyperlink w:anchor="_Toc165886050" w:history="1">
            <w:r w:rsidR="007125BE" w:rsidRPr="000E437E">
              <w:rPr>
                <w:rStyle w:val="Hyperlink"/>
                <w:rFonts w:ascii="Arial" w:hAnsi="Arial" w:cs="Arial"/>
                <w:noProof/>
                <w:sz w:val="22"/>
                <w:lang w:bidi="th-TH"/>
              </w:rPr>
              <w:t>CHAPTER 2. LITERATURE REVIEW</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_Toc165886050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7</w:t>
            </w:r>
            <w:r w:rsidR="007125BE" w:rsidRPr="000E437E">
              <w:rPr>
                <w:rFonts w:ascii="Arial" w:hAnsi="Arial" w:cs="Arial"/>
                <w:noProof/>
                <w:webHidden/>
                <w:sz w:val="22"/>
              </w:rPr>
              <w:fldChar w:fldCharType="end"/>
            </w:r>
          </w:hyperlink>
        </w:p>
        <w:p w14:paraId="47D5AD20" w14:textId="066517E8"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51" w:history="1">
            <w:r w:rsidR="007125BE" w:rsidRPr="000E437E">
              <w:rPr>
                <w:rStyle w:val="Hyperlink"/>
                <w:rFonts w:ascii="Arial" w:hAnsi="Arial" w:cs="Arial"/>
                <w:noProof/>
                <w:sz w:val="22"/>
                <w:lang w:bidi="th-TH"/>
              </w:rPr>
              <w:t>2.1 Introduction</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_Toc165886051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7</w:t>
            </w:r>
            <w:r w:rsidR="007125BE" w:rsidRPr="000E437E">
              <w:rPr>
                <w:rFonts w:ascii="Arial" w:hAnsi="Arial" w:cs="Arial"/>
                <w:noProof/>
                <w:webHidden/>
                <w:sz w:val="22"/>
              </w:rPr>
              <w:fldChar w:fldCharType="end"/>
            </w:r>
          </w:hyperlink>
        </w:p>
        <w:p w14:paraId="6B5F92FE" w14:textId="09754CCC"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52" w:history="1">
            <w:r w:rsidR="007125BE" w:rsidRPr="000E437E">
              <w:rPr>
                <w:rStyle w:val="Hyperlink"/>
                <w:rFonts w:ascii="Arial" w:hAnsi="Arial" w:cs="Arial"/>
                <w:noProof/>
                <w:sz w:val="22"/>
                <w:lang w:bidi="th-TH"/>
              </w:rPr>
              <w:t>2.2 Level of remote working implementation and Trends and Adoption in the Post-Pandemic Era HSBC Holdings plc in the United Kingdom</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_Toc165886052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8</w:t>
            </w:r>
            <w:r w:rsidR="007125BE" w:rsidRPr="000E437E">
              <w:rPr>
                <w:rFonts w:ascii="Arial" w:hAnsi="Arial" w:cs="Arial"/>
                <w:noProof/>
                <w:webHidden/>
                <w:sz w:val="22"/>
              </w:rPr>
              <w:fldChar w:fldCharType="end"/>
            </w:r>
          </w:hyperlink>
        </w:p>
        <w:p w14:paraId="4C970977" w14:textId="2D96BEA6"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53" w:history="1">
            <w:r w:rsidR="007125BE" w:rsidRPr="000E437E">
              <w:rPr>
                <w:rStyle w:val="Hyperlink"/>
                <w:rFonts w:ascii="Arial" w:hAnsi="Arial" w:cs="Arial"/>
                <w:noProof/>
                <w:sz w:val="22"/>
                <w:lang w:bidi="th-TH"/>
              </w:rPr>
              <w:t>2.3 Level of Employee Engagement in Remote Work: Analyzing Concepts, Drivers, and Measurement</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_Toc165886053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10</w:t>
            </w:r>
            <w:r w:rsidR="007125BE" w:rsidRPr="000E437E">
              <w:rPr>
                <w:rFonts w:ascii="Arial" w:hAnsi="Arial" w:cs="Arial"/>
                <w:noProof/>
                <w:webHidden/>
                <w:sz w:val="22"/>
              </w:rPr>
              <w:fldChar w:fldCharType="end"/>
            </w:r>
          </w:hyperlink>
        </w:p>
        <w:p w14:paraId="59530959" w14:textId="6021F64F"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54" w:history="1">
            <w:r w:rsidR="007125BE" w:rsidRPr="000E437E">
              <w:rPr>
                <w:rStyle w:val="Hyperlink"/>
                <w:rFonts w:ascii="Arial" w:hAnsi="Arial" w:cs="Arial"/>
                <w:noProof/>
                <w:sz w:val="22"/>
                <w:lang w:bidi="th-TH"/>
              </w:rPr>
              <w:t>2.4 Analysis of influence of remote working on the organizational culture through Dynamics and Importance in Remote Work Environments in the UK</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_Toc165886054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12</w:t>
            </w:r>
            <w:r w:rsidR="007125BE" w:rsidRPr="000E437E">
              <w:rPr>
                <w:rFonts w:ascii="Arial" w:hAnsi="Arial" w:cs="Arial"/>
                <w:noProof/>
                <w:webHidden/>
                <w:sz w:val="22"/>
              </w:rPr>
              <w:fldChar w:fldCharType="end"/>
            </w:r>
          </w:hyperlink>
        </w:p>
        <w:p w14:paraId="619A837B" w14:textId="4AB77522"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55" w:history="1">
            <w:r w:rsidR="007125BE" w:rsidRPr="000E437E">
              <w:rPr>
                <w:rStyle w:val="Hyperlink"/>
                <w:rFonts w:ascii="Arial" w:hAnsi="Arial" w:cs="Arial"/>
                <w:noProof/>
                <w:sz w:val="22"/>
                <w:lang w:bidi="th-TH"/>
              </w:rPr>
              <w:t>2.5 Analysis of The Connection Between Remote Work, Employee Participation, and Organizational Culture</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_Toc165886055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13</w:t>
            </w:r>
            <w:r w:rsidR="007125BE" w:rsidRPr="000E437E">
              <w:rPr>
                <w:rFonts w:ascii="Arial" w:hAnsi="Arial" w:cs="Arial"/>
                <w:noProof/>
                <w:webHidden/>
                <w:sz w:val="22"/>
              </w:rPr>
              <w:fldChar w:fldCharType="end"/>
            </w:r>
          </w:hyperlink>
        </w:p>
        <w:p w14:paraId="7FB2F1F4" w14:textId="536919EA"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56" w:history="1">
            <w:r w:rsidR="007125BE" w:rsidRPr="000E437E">
              <w:rPr>
                <w:rStyle w:val="Hyperlink"/>
                <w:rFonts w:ascii="Arial" w:hAnsi="Arial" w:cs="Arial"/>
                <w:noProof/>
                <w:sz w:val="22"/>
                <w:lang w:bidi="th-TH"/>
              </w:rPr>
              <w:t>2.6 Conceptual Framework Analysis</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_Toc165886056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15</w:t>
            </w:r>
            <w:r w:rsidR="007125BE" w:rsidRPr="000E437E">
              <w:rPr>
                <w:rFonts w:ascii="Arial" w:hAnsi="Arial" w:cs="Arial"/>
                <w:noProof/>
                <w:webHidden/>
                <w:sz w:val="22"/>
              </w:rPr>
              <w:fldChar w:fldCharType="end"/>
            </w:r>
          </w:hyperlink>
        </w:p>
        <w:p w14:paraId="0EF9098A" w14:textId="1E4C1676"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57" w:history="1">
            <w:r w:rsidR="007125BE" w:rsidRPr="000E437E">
              <w:rPr>
                <w:rStyle w:val="Hyperlink"/>
                <w:rFonts w:ascii="Arial" w:hAnsi="Arial" w:cs="Arial"/>
                <w:noProof/>
                <w:sz w:val="22"/>
                <w:lang w:bidi="th-TH"/>
              </w:rPr>
              <w:t>2.7 Research Gap</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_Toc165886057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18</w:t>
            </w:r>
            <w:r w:rsidR="007125BE" w:rsidRPr="000E437E">
              <w:rPr>
                <w:rFonts w:ascii="Arial" w:hAnsi="Arial" w:cs="Arial"/>
                <w:noProof/>
                <w:webHidden/>
                <w:sz w:val="22"/>
              </w:rPr>
              <w:fldChar w:fldCharType="end"/>
            </w:r>
          </w:hyperlink>
        </w:p>
        <w:p w14:paraId="02EFBC31" w14:textId="1A4D495D"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58" w:history="1">
            <w:r w:rsidR="007125BE" w:rsidRPr="000E437E">
              <w:rPr>
                <w:rStyle w:val="Hyperlink"/>
                <w:rFonts w:ascii="Arial" w:hAnsi="Arial" w:cs="Arial"/>
                <w:noProof/>
                <w:sz w:val="22"/>
                <w:lang w:bidi="th-TH"/>
              </w:rPr>
              <w:t>2.8 Conclusion of the Chapter</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_Toc165886058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19</w:t>
            </w:r>
            <w:r w:rsidR="007125BE" w:rsidRPr="000E437E">
              <w:rPr>
                <w:rFonts w:ascii="Arial" w:hAnsi="Arial" w:cs="Arial"/>
                <w:noProof/>
                <w:webHidden/>
                <w:sz w:val="22"/>
              </w:rPr>
              <w:fldChar w:fldCharType="end"/>
            </w:r>
          </w:hyperlink>
        </w:p>
        <w:p w14:paraId="42135B19" w14:textId="1C932067" w:rsidR="007125BE" w:rsidRPr="000E437E" w:rsidRDefault="00000000" w:rsidP="000E437E">
          <w:pPr>
            <w:pStyle w:val="TOC1"/>
            <w:tabs>
              <w:tab w:val="right" w:leader="dot" w:pos="9350"/>
            </w:tabs>
            <w:jc w:val="both"/>
            <w:rPr>
              <w:rFonts w:ascii="Arial" w:eastAsiaTheme="minorEastAsia" w:hAnsi="Arial" w:cs="Arial"/>
              <w:noProof/>
              <w:kern w:val="2"/>
              <w:sz w:val="22"/>
              <w:lang w:val="en-GB" w:eastAsia="en-GB"/>
            </w:rPr>
          </w:pPr>
          <w:hyperlink w:anchor="_Toc165886059" w:history="1">
            <w:r w:rsidR="007125BE" w:rsidRPr="000E437E">
              <w:rPr>
                <w:rStyle w:val="Hyperlink"/>
                <w:rFonts w:ascii="Arial" w:hAnsi="Arial" w:cs="Arial"/>
                <w:noProof/>
                <w:sz w:val="22"/>
                <w:lang w:bidi="th-TH"/>
              </w:rPr>
              <w:t>CHAPTER 3. METHODOLOGY</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_Toc165886059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19</w:t>
            </w:r>
            <w:r w:rsidR="007125BE" w:rsidRPr="000E437E">
              <w:rPr>
                <w:rFonts w:ascii="Arial" w:hAnsi="Arial" w:cs="Arial"/>
                <w:noProof/>
                <w:webHidden/>
                <w:sz w:val="22"/>
              </w:rPr>
              <w:fldChar w:fldCharType="end"/>
            </w:r>
          </w:hyperlink>
        </w:p>
        <w:p w14:paraId="7B9AA9DE" w14:textId="1D22AE29"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60" w:history="1">
            <w:r w:rsidR="007125BE" w:rsidRPr="000E437E">
              <w:rPr>
                <w:rStyle w:val="Hyperlink"/>
                <w:rFonts w:ascii="Arial" w:hAnsi="Arial" w:cs="Arial"/>
                <w:noProof/>
                <w:sz w:val="22"/>
                <w:lang w:bidi="th-TH"/>
              </w:rPr>
              <w:t>3.1 Introduction</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_Toc165886060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19</w:t>
            </w:r>
            <w:r w:rsidR="007125BE" w:rsidRPr="000E437E">
              <w:rPr>
                <w:rFonts w:ascii="Arial" w:hAnsi="Arial" w:cs="Arial"/>
                <w:noProof/>
                <w:webHidden/>
                <w:sz w:val="22"/>
              </w:rPr>
              <w:fldChar w:fldCharType="end"/>
            </w:r>
          </w:hyperlink>
        </w:p>
        <w:p w14:paraId="7773AE0B" w14:textId="58ABD7D8"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61" w:history="1">
            <w:r w:rsidR="007125BE" w:rsidRPr="000E437E">
              <w:rPr>
                <w:rStyle w:val="Hyperlink"/>
                <w:rFonts w:ascii="Arial" w:hAnsi="Arial" w:cs="Arial"/>
                <w:noProof/>
                <w:sz w:val="22"/>
                <w:lang w:bidi="th-TH"/>
              </w:rPr>
              <w:t>3.2 Research Philosophies and Assumptions</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_Toc165886061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21</w:t>
            </w:r>
            <w:r w:rsidR="007125BE" w:rsidRPr="000E437E">
              <w:rPr>
                <w:rFonts w:ascii="Arial" w:hAnsi="Arial" w:cs="Arial"/>
                <w:noProof/>
                <w:webHidden/>
                <w:sz w:val="22"/>
              </w:rPr>
              <w:fldChar w:fldCharType="end"/>
            </w:r>
          </w:hyperlink>
        </w:p>
        <w:p w14:paraId="2BE8DAB4" w14:textId="5CC0C0BB"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62" w:history="1">
            <w:r w:rsidR="007125BE" w:rsidRPr="000E437E">
              <w:rPr>
                <w:rStyle w:val="Hyperlink"/>
                <w:rFonts w:ascii="Arial" w:hAnsi="Arial" w:cs="Arial"/>
                <w:noProof/>
                <w:sz w:val="22"/>
                <w:lang w:bidi="th-TH"/>
              </w:rPr>
              <w:t>3.3 Research Design</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_Toc165886062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21</w:t>
            </w:r>
            <w:r w:rsidR="007125BE" w:rsidRPr="000E437E">
              <w:rPr>
                <w:rFonts w:ascii="Arial" w:hAnsi="Arial" w:cs="Arial"/>
                <w:noProof/>
                <w:webHidden/>
                <w:sz w:val="22"/>
              </w:rPr>
              <w:fldChar w:fldCharType="end"/>
            </w:r>
          </w:hyperlink>
        </w:p>
        <w:p w14:paraId="1F1AE4DD" w14:textId="57E36770"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63" w:history="1">
            <w:r w:rsidR="007125BE" w:rsidRPr="000E437E">
              <w:rPr>
                <w:rStyle w:val="Hyperlink"/>
                <w:rFonts w:ascii="Arial" w:hAnsi="Arial" w:cs="Arial"/>
                <w:noProof/>
                <w:sz w:val="22"/>
                <w:lang w:bidi="th-TH"/>
              </w:rPr>
              <w:t>3.4 Research Approach</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_Toc165886063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22</w:t>
            </w:r>
            <w:r w:rsidR="007125BE" w:rsidRPr="000E437E">
              <w:rPr>
                <w:rFonts w:ascii="Arial" w:hAnsi="Arial" w:cs="Arial"/>
                <w:noProof/>
                <w:webHidden/>
                <w:sz w:val="22"/>
              </w:rPr>
              <w:fldChar w:fldCharType="end"/>
            </w:r>
          </w:hyperlink>
        </w:p>
        <w:p w14:paraId="65CAB1F9" w14:textId="6A0AB632"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64" w:history="1">
            <w:r w:rsidR="007125BE" w:rsidRPr="000E437E">
              <w:rPr>
                <w:rStyle w:val="Hyperlink"/>
                <w:rFonts w:ascii="Arial" w:hAnsi="Arial" w:cs="Arial"/>
                <w:noProof/>
                <w:sz w:val="22"/>
                <w:lang w:bidi="th-TH"/>
              </w:rPr>
              <w:t>3.5 Data Collection Methods</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_Toc165886064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23</w:t>
            </w:r>
            <w:r w:rsidR="007125BE" w:rsidRPr="000E437E">
              <w:rPr>
                <w:rFonts w:ascii="Arial" w:hAnsi="Arial" w:cs="Arial"/>
                <w:noProof/>
                <w:webHidden/>
                <w:sz w:val="22"/>
              </w:rPr>
              <w:fldChar w:fldCharType="end"/>
            </w:r>
          </w:hyperlink>
        </w:p>
        <w:p w14:paraId="2C1A866F" w14:textId="0A66D82F"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65" w:history="1">
            <w:r w:rsidR="007125BE" w:rsidRPr="000E437E">
              <w:rPr>
                <w:rStyle w:val="Hyperlink"/>
                <w:rFonts w:ascii="Arial" w:hAnsi="Arial" w:cs="Arial"/>
                <w:noProof/>
                <w:sz w:val="22"/>
                <w:lang w:bidi="th-TH"/>
              </w:rPr>
              <w:t>3.6 Ethical Consideration</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_Toc165886065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24</w:t>
            </w:r>
            <w:r w:rsidR="007125BE" w:rsidRPr="000E437E">
              <w:rPr>
                <w:rFonts w:ascii="Arial" w:hAnsi="Arial" w:cs="Arial"/>
                <w:noProof/>
                <w:webHidden/>
                <w:sz w:val="22"/>
              </w:rPr>
              <w:fldChar w:fldCharType="end"/>
            </w:r>
          </w:hyperlink>
        </w:p>
        <w:p w14:paraId="10A41629" w14:textId="367AEEE7"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66" w:history="1">
            <w:r w:rsidR="007125BE" w:rsidRPr="000E437E">
              <w:rPr>
                <w:rStyle w:val="Hyperlink"/>
                <w:rFonts w:ascii="Arial" w:hAnsi="Arial" w:cs="Arial"/>
                <w:noProof/>
                <w:sz w:val="22"/>
                <w:lang w:bidi="th-TH"/>
              </w:rPr>
              <w:t>3.7 Conclusion</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_Toc165886066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25</w:t>
            </w:r>
            <w:r w:rsidR="007125BE" w:rsidRPr="000E437E">
              <w:rPr>
                <w:rFonts w:ascii="Arial" w:hAnsi="Arial" w:cs="Arial"/>
                <w:noProof/>
                <w:webHidden/>
                <w:sz w:val="22"/>
              </w:rPr>
              <w:fldChar w:fldCharType="end"/>
            </w:r>
          </w:hyperlink>
        </w:p>
        <w:p w14:paraId="01F2E177" w14:textId="72DB0CB2" w:rsidR="007125BE" w:rsidRPr="000E437E" w:rsidRDefault="00000000" w:rsidP="000E437E">
          <w:pPr>
            <w:pStyle w:val="TOC1"/>
            <w:tabs>
              <w:tab w:val="right" w:leader="dot" w:pos="9350"/>
            </w:tabs>
            <w:jc w:val="both"/>
            <w:rPr>
              <w:rFonts w:ascii="Arial" w:eastAsiaTheme="minorEastAsia" w:hAnsi="Arial" w:cs="Arial"/>
              <w:noProof/>
              <w:kern w:val="2"/>
              <w:sz w:val="22"/>
              <w:lang w:val="en-GB" w:eastAsia="en-GB"/>
            </w:rPr>
          </w:pPr>
          <w:hyperlink w:anchor="_Toc165886067" w:history="1">
            <w:r w:rsidR="007125BE" w:rsidRPr="000E437E">
              <w:rPr>
                <w:rStyle w:val="Hyperlink"/>
                <w:rFonts w:ascii="Arial" w:hAnsi="Arial" w:cs="Arial"/>
                <w:noProof/>
                <w:sz w:val="22"/>
                <w:lang w:bidi="th-TH"/>
              </w:rPr>
              <w:t>CHAPTER 4. FINDINGS / RESULTS, ANALYSIS AND DISCUSSION</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_Toc165886067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26</w:t>
            </w:r>
            <w:r w:rsidR="007125BE" w:rsidRPr="000E437E">
              <w:rPr>
                <w:rFonts w:ascii="Arial" w:hAnsi="Arial" w:cs="Arial"/>
                <w:noProof/>
                <w:webHidden/>
                <w:sz w:val="22"/>
              </w:rPr>
              <w:fldChar w:fldCharType="end"/>
            </w:r>
          </w:hyperlink>
        </w:p>
        <w:p w14:paraId="5DC0390B" w14:textId="7E0D7E94"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68" w:history="1">
            <w:r w:rsidR="007125BE" w:rsidRPr="000E437E">
              <w:rPr>
                <w:rStyle w:val="Hyperlink"/>
                <w:rFonts w:ascii="Arial" w:hAnsi="Arial" w:cs="Arial"/>
                <w:noProof/>
                <w:sz w:val="22"/>
                <w:lang w:bidi="th-TH"/>
              </w:rPr>
              <w:t>4.1 Result</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_Toc165886068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26</w:t>
            </w:r>
            <w:r w:rsidR="007125BE" w:rsidRPr="000E437E">
              <w:rPr>
                <w:rFonts w:ascii="Arial" w:hAnsi="Arial" w:cs="Arial"/>
                <w:noProof/>
                <w:webHidden/>
                <w:sz w:val="22"/>
              </w:rPr>
              <w:fldChar w:fldCharType="end"/>
            </w:r>
          </w:hyperlink>
        </w:p>
        <w:p w14:paraId="32593849" w14:textId="7F1E4113"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69" w:history="1">
            <w:r w:rsidR="007125BE" w:rsidRPr="000E437E">
              <w:rPr>
                <w:rStyle w:val="Hyperlink"/>
                <w:rFonts w:ascii="Arial" w:hAnsi="Arial" w:cs="Arial"/>
                <w:noProof/>
                <w:sz w:val="22"/>
                <w:lang w:bidi="th-TH"/>
              </w:rPr>
              <w:t>4.2 Analysis of Result</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_Toc165886069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29</w:t>
            </w:r>
            <w:r w:rsidR="007125BE" w:rsidRPr="000E437E">
              <w:rPr>
                <w:rFonts w:ascii="Arial" w:hAnsi="Arial" w:cs="Arial"/>
                <w:noProof/>
                <w:webHidden/>
                <w:sz w:val="22"/>
              </w:rPr>
              <w:fldChar w:fldCharType="end"/>
            </w:r>
          </w:hyperlink>
        </w:p>
        <w:p w14:paraId="23D11878" w14:textId="1BBB7B0A" w:rsidR="007125BE" w:rsidRPr="000E437E" w:rsidRDefault="00000000" w:rsidP="000E437E">
          <w:pPr>
            <w:pStyle w:val="TOC2"/>
            <w:tabs>
              <w:tab w:val="right" w:leader="dot" w:pos="9350"/>
            </w:tabs>
            <w:jc w:val="both"/>
            <w:rPr>
              <w:rFonts w:ascii="Arial" w:eastAsiaTheme="minorEastAsia" w:hAnsi="Arial" w:cs="Arial"/>
              <w:noProof/>
              <w:kern w:val="2"/>
              <w:sz w:val="22"/>
              <w:lang w:val="en-GB" w:eastAsia="en-GB"/>
            </w:rPr>
          </w:pPr>
          <w:hyperlink w:anchor="_Toc165886070" w:history="1">
            <w:r w:rsidR="007125BE" w:rsidRPr="000E437E">
              <w:rPr>
                <w:rStyle w:val="Hyperlink"/>
                <w:rFonts w:ascii="Arial" w:hAnsi="Arial" w:cs="Arial"/>
                <w:noProof/>
                <w:sz w:val="22"/>
                <w:lang w:bidi="th-TH"/>
              </w:rPr>
              <w:t>4.3 Discussion of Result</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_Toc165886070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30</w:t>
            </w:r>
            <w:r w:rsidR="007125BE" w:rsidRPr="000E437E">
              <w:rPr>
                <w:rFonts w:ascii="Arial" w:hAnsi="Arial" w:cs="Arial"/>
                <w:noProof/>
                <w:webHidden/>
                <w:sz w:val="22"/>
              </w:rPr>
              <w:fldChar w:fldCharType="end"/>
            </w:r>
          </w:hyperlink>
        </w:p>
        <w:p w14:paraId="27A4862B" w14:textId="56A7A04B" w:rsidR="007125BE" w:rsidRPr="000E437E" w:rsidRDefault="00000000" w:rsidP="000E437E">
          <w:pPr>
            <w:pStyle w:val="TOC1"/>
            <w:tabs>
              <w:tab w:val="right" w:leader="dot" w:pos="9350"/>
            </w:tabs>
            <w:jc w:val="both"/>
            <w:rPr>
              <w:rFonts w:ascii="Arial" w:eastAsiaTheme="minorEastAsia" w:hAnsi="Arial" w:cs="Arial"/>
              <w:noProof/>
              <w:kern w:val="2"/>
              <w:sz w:val="22"/>
              <w:lang w:val="en-GB" w:eastAsia="en-GB"/>
            </w:rPr>
          </w:pPr>
          <w:hyperlink w:anchor="_Toc165886071" w:history="1">
            <w:r w:rsidR="007125BE" w:rsidRPr="000E437E">
              <w:rPr>
                <w:rStyle w:val="Hyperlink"/>
                <w:rFonts w:ascii="Arial" w:hAnsi="Arial" w:cs="Arial"/>
                <w:noProof/>
                <w:sz w:val="22"/>
                <w:lang w:bidi="th-TH"/>
              </w:rPr>
              <w:t>CHAPTER 5: CONCLUSION</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_Toc165886071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41</w:t>
            </w:r>
            <w:r w:rsidR="007125BE" w:rsidRPr="000E437E">
              <w:rPr>
                <w:rFonts w:ascii="Arial" w:hAnsi="Arial" w:cs="Arial"/>
                <w:noProof/>
                <w:webHidden/>
                <w:sz w:val="22"/>
              </w:rPr>
              <w:fldChar w:fldCharType="end"/>
            </w:r>
          </w:hyperlink>
        </w:p>
        <w:p w14:paraId="6DBBD98A" w14:textId="23980FE0" w:rsidR="007125BE" w:rsidRPr="000E437E" w:rsidRDefault="00000000" w:rsidP="000E437E">
          <w:pPr>
            <w:pStyle w:val="TOC1"/>
            <w:tabs>
              <w:tab w:val="right" w:leader="dot" w:pos="9350"/>
            </w:tabs>
            <w:jc w:val="both"/>
            <w:rPr>
              <w:rFonts w:ascii="Arial" w:eastAsiaTheme="minorEastAsia" w:hAnsi="Arial" w:cs="Arial"/>
              <w:noProof/>
              <w:kern w:val="2"/>
              <w:sz w:val="22"/>
              <w:lang w:val="en-GB" w:eastAsia="en-GB"/>
            </w:rPr>
          </w:pPr>
          <w:hyperlink w:anchor="_Toc165886072" w:history="1">
            <w:r w:rsidR="007125BE" w:rsidRPr="000E437E">
              <w:rPr>
                <w:rStyle w:val="Hyperlink"/>
                <w:rFonts w:ascii="Arial" w:hAnsi="Arial" w:cs="Arial"/>
                <w:noProof/>
                <w:sz w:val="22"/>
                <w:lang w:bidi="th-TH"/>
              </w:rPr>
              <w:t>References</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_Toc165886072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54</w:t>
            </w:r>
            <w:r w:rsidR="007125BE" w:rsidRPr="000E437E">
              <w:rPr>
                <w:rFonts w:ascii="Arial" w:hAnsi="Arial" w:cs="Arial"/>
                <w:noProof/>
                <w:webHidden/>
                <w:sz w:val="22"/>
              </w:rPr>
              <w:fldChar w:fldCharType="end"/>
            </w:r>
          </w:hyperlink>
        </w:p>
        <w:p w14:paraId="5A956CA1" w14:textId="5AF56A76" w:rsidR="007125BE" w:rsidRPr="000E437E" w:rsidRDefault="00000000" w:rsidP="000E437E">
          <w:pPr>
            <w:pStyle w:val="TOC1"/>
            <w:tabs>
              <w:tab w:val="right" w:leader="dot" w:pos="9350"/>
            </w:tabs>
            <w:jc w:val="both"/>
            <w:rPr>
              <w:rFonts w:ascii="Arial" w:eastAsiaTheme="minorEastAsia" w:hAnsi="Arial" w:cs="Arial"/>
              <w:noProof/>
              <w:kern w:val="2"/>
              <w:sz w:val="22"/>
              <w:lang w:val="en-GB" w:eastAsia="en-GB"/>
            </w:rPr>
          </w:pPr>
          <w:hyperlink w:anchor="_Toc165886073" w:history="1">
            <w:r w:rsidR="007125BE" w:rsidRPr="000E437E">
              <w:rPr>
                <w:rStyle w:val="Hyperlink"/>
                <w:rFonts w:ascii="Arial" w:hAnsi="Arial" w:cs="Arial"/>
                <w:noProof/>
                <w:sz w:val="22"/>
                <w:lang w:bidi="th-TH"/>
              </w:rPr>
              <w:t>Appendices</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_Toc165886073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62</w:t>
            </w:r>
            <w:r w:rsidR="007125BE" w:rsidRPr="000E437E">
              <w:rPr>
                <w:rFonts w:ascii="Arial" w:hAnsi="Arial" w:cs="Arial"/>
                <w:noProof/>
                <w:webHidden/>
                <w:sz w:val="22"/>
              </w:rPr>
              <w:fldChar w:fldCharType="end"/>
            </w:r>
          </w:hyperlink>
        </w:p>
        <w:p w14:paraId="3CE66FC7" w14:textId="3175531A" w:rsidR="0091563A" w:rsidRPr="000E437E" w:rsidRDefault="0091563A" w:rsidP="000E437E">
          <w:pPr>
            <w:spacing w:line="360" w:lineRule="auto"/>
            <w:jc w:val="both"/>
            <w:rPr>
              <w:rFonts w:ascii="Arial" w:hAnsi="Arial" w:cs="Arial"/>
              <w:sz w:val="22"/>
            </w:rPr>
          </w:pPr>
          <w:r w:rsidRPr="000E437E">
            <w:rPr>
              <w:rFonts w:ascii="Arial" w:hAnsi="Arial" w:cs="Arial"/>
              <w:b/>
              <w:bCs/>
              <w:noProof/>
              <w:sz w:val="22"/>
            </w:rPr>
            <w:fldChar w:fldCharType="end"/>
          </w:r>
        </w:p>
      </w:sdtContent>
    </w:sdt>
    <w:p w14:paraId="45A2A969" w14:textId="7118D78B" w:rsidR="00781EB4" w:rsidRPr="000E437E" w:rsidRDefault="00781EB4" w:rsidP="000E437E">
      <w:pPr>
        <w:spacing w:line="360" w:lineRule="auto"/>
        <w:jc w:val="both"/>
        <w:rPr>
          <w:rFonts w:ascii="Arial" w:hAnsi="Arial" w:cs="Arial"/>
          <w:b/>
          <w:bCs/>
          <w:sz w:val="22"/>
        </w:rPr>
      </w:pPr>
    </w:p>
    <w:p w14:paraId="26E0CCEA" w14:textId="77777777" w:rsidR="00E56487" w:rsidRPr="000E437E" w:rsidRDefault="00261501" w:rsidP="000E437E">
      <w:pPr>
        <w:spacing w:line="360" w:lineRule="auto"/>
        <w:jc w:val="both"/>
        <w:rPr>
          <w:rFonts w:ascii="Arial" w:hAnsi="Arial" w:cs="Arial"/>
          <w:b/>
          <w:bCs/>
          <w:sz w:val="22"/>
        </w:rPr>
      </w:pPr>
      <w:r w:rsidRPr="000E437E">
        <w:rPr>
          <w:rFonts w:ascii="Arial" w:hAnsi="Arial" w:cs="Arial"/>
          <w:b/>
          <w:bCs/>
          <w:sz w:val="22"/>
        </w:rPr>
        <w:t>List of table</w:t>
      </w:r>
      <w:r w:rsidR="00E56487" w:rsidRPr="000E437E">
        <w:rPr>
          <w:rFonts w:ascii="Arial" w:hAnsi="Arial" w:cs="Arial"/>
          <w:b/>
          <w:bCs/>
          <w:sz w:val="22"/>
        </w:rPr>
        <w:t>;</w:t>
      </w:r>
    </w:p>
    <w:p w14:paraId="00E40871" w14:textId="3AAA54D6" w:rsidR="007125BE" w:rsidRPr="000E437E" w:rsidRDefault="007125BE" w:rsidP="000E437E">
      <w:pPr>
        <w:pStyle w:val="TableofFigures"/>
        <w:tabs>
          <w:tab w:val="right" w:leader="dot" w:pos="9350"/>
        </w:tabs>
        <w:jc w:val="both"/>
        <w:rPr>
          <w:rFonts w:ascii="Arial" w:hAnsi="Arial" w:cs="Arial"/>
          <w:noProof/>
          <w:sz w:val="22"/>
        </w:rPr>
      </w:pPr>
      <w:r w:rsidRPr="000E437E">
        <w:rPr>
          <w:rFonts w:ascii="Arial" w:hAnsi="Arial" w:cs="Arial"/>
          <w:sz w:val="22"/>
        </w:rPr>
        <w:fldChar w:fldCharType="begin"/>
      </w:r>
      <w:r w:rsidRPr="000E437E">
        <w:rPr>
          <w:rFonts w:ascii="Arial" w:hAnsi="Arial" w:cs="Arial"/>
          <w:sz w:val="22"/>
        </w:rPr>
        <w:instrText xml:space="preserve"> TOC \h \z \c "Table" </w:instrText>
      </w:r>
      <w:r w:rsidRPr="000E437E">
        <w:rPr>
          <w:rFonts w:ascii="Arial" w:hAnsi="Arial" w:cs="Arial"/>
          <w:sz w:val="22"/>
        </w:rPr>
        <w:fldChar w:fldCharType="separate"/>
      </w:r>
      <w:hyperlink w:anchor="_Toc165886001" w:history="1">
        <w:r w:rsidRPr="000E437E">
          <w:rPr>
            <w:rStyle w:val="Hyperlink"/>
            <w:rFonts w:ascii="Arial" w:hAnsi="Arial" w:cs="Arial"/>
            <w:noProof/>
            <w:sz w:val="22"/>
          </w:rPr>
          <w:t>Table 1</w:t>
        </w:r>
        <w:r w:rsidRPr="000E437E">
          <w:rPr>
            <w:rStyle w:val="Hyperlink"/>
            <w:rFonts w:ascii="Arial" w:hAnsi="Arial" w:cs="Arial"/>
            <w:noProof/>
            <w:sz w:val="22"/>
            <w:lang w:val="en-US" w:bidi="th-TH"/>
          </w:rPr>
          <w:t>. Employee Well-being in the Organization</w:t>
        </w:r>
        <w:r w:rsidRPr="000E437E">
          <w:rPr>
            <w:rFonts w:ascii="Arial" w:hAnsi="Arial" w:cs="Arial"/>
            <w:noProof/>
            <w:webHidden/>
            <w:sz w:val="22"/>
          </w:rPr>
          <w:tab/>
        </w:r>
        <w:r w:rsidRPr="000E437E">
          <w:rPr>
            <w:rFonts w:ascii="Arial" w:hAnsi="Arial" w:cs="Arial"/>
            <w:noProof/>
            <w:webHidden/>
            <w:sz w:val="22"/>
          </w:rPr>
          <w:fldChar w:fldCharType="begin"/>
        </w:r>
        <w:r w:rsidRPr="000E437E">
          <w:rPr>
            <w:rFonts w:ascii="Arial" w:hAnsi="Arial" w:cs="Arial"/>
            <w:noProof/>
            <w:webHidden/>
            <w:sz w:val="22"/>
          </w:rPr>
          <w:instrText xml:space="preserve"> PAGEREF _Toc165886001 \h </w:instrText>
        </w:r>
        <w:r w:rsidRPr="000E437E">
          <w:rPr>
            <w:rFonts w:ascii="Arial" w:hAnsi="Arial" w:cs="Arial"/>
            <w:noProof/>
            <w:webHidden/>
            <w:sz w:val="22"/>
          </w:rPr>
        </w:r>
        <w:r w:rsidRPr="000E437E">
          <w:rPr>
            <w:rFonts w:ascii="Arial" w:hAnsi="Arial" w:cs="Arial"/>
            <w:noProof/>
            <w:webHidden/>
            <w:sz w:val="22"/>
          </w:rPr>
          <w:fldChar w:fldCharType="separate"/>
        </w:r>
        <w:r w:rsidRPr="000E437E">
          <w:rPr>
            <w:rFonts w:ascii="Arial" w:hAnsi="Arial" w:cs="Arial"/>
            <w:noProof/>
            <w:webHidden/>
            <w:sz w:val="22"/>
          </w:rPr>
          <w:t>29</w:t>
        </w:r>
        <w:r w:rsidRPr="000E437E">
          <w:rPr>
            <w:rFonts w:ascii="Arial" w:hAnsi="Arial" w:cs="Arial"/>
            <w:noProof/>
            <w:webHidden/>
            <w:sz w:val="22"/>
          </w:rPr>
          <w:fldChar w:fldCharType="end"/>
        </w:r>
      </w:hyperlink>
    </w:p>
    <w:p w14:paraId="472487C1" w14:textId="09C5A40A" w:rsidR="007125BE" w:rsidRPr="000E437E" w:rsidRDefault="00000000" w:rsidP="000E437E">
      <w:pPr>
        <w:pStyle w:val="TableofFigures"/>
        <w:tabs>
          <w:tab w:val="right" w:leader="dot" w:pos="9350"/>
        </w:tabs>
        <w:jc w:val="both"/>
        <w:rPr>
          <w:rFonts w:ascii="Arial" w:hAnsi="Arial" w:cs="Arial"/>
          <w:noProof/>
          <w:sz w:val="22"/>
        </w:rPr>
      </w:pPr>
      <w:hyperlink w:anchor="_Toc165886002" w:history="1">
        <w:r w:rsidR="007125BE" w:rsidRPr="000E437E">
          <w:rPr>
            <w:rStyle w:val="Hyperlink"/>
            <w:rFonts w:ascii="Arial" w:hAnsi="Arial" w:cs="Arial"/>
            <w:noProof/>
            <w:sz w:val="22"/>
          </w:rPr>
          <w:t>Table 2</w:t>
        </w:r>
        <w:r w:rsidR="007125BE" w:rsidRPr="000E437E">
          <w:rPr>
            <w:rStyle w:val="Hyperlink"/>
            <w:rFonts w:ascii="Arial" w:hAnsi="Arial" w:cs="Arial"/>
            <w:noProof/>
            <w:sz w:val="22"/>
            <w:lang w:val="en-US" w:bidi="th-TH"/>
          </w:rPr>
          <w:t xml:space="preserve"> (reference list )</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_Toc165886002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53</w:t>
        </w:r>
        <w:r w:rsidR="007125BE" w:rsidRPr="000E437E">
          <w:rPr>
            <w:rFonts w:ascii="Arial" w:hAnsi="Arial" w:cs="Arial"/>
            <w:noProof/>
            <w:webHidden/>
            <w:sz w:val="22"/>
          </w:rPr>
          <w:fldChar w:fldCharType="end"/>
        </w:r>
      </w:hyperlink>
    </w:p>
    <w:p w14:paraId="3EC51615" w14:textId="5F78D380" w:rsidR="007125BE" w:rsidRPr="000E437E" w:rsidRDefault="007125BE" w:rsidP="000E437E">
      <w:pPr>
        <w:spacing w:line="360" w:lineRule="auto"/>
        <w:jc w:val="both"/>
        <w:rPr>
          <w:rFonts w:ascii="Arial" w:hAnsi="Arial" w:cs="Arial"/>
          <w:sz w:val="22"/>
        </w:rPr>
      </w:pPr>
      <w:r w:rsidRPr="000E437E">
        <w:rPr>
          <w:rFonts w:ascii="Arial" w:hAnsi="Arial" w:cs="Arial"/>
          <w:sz w:val="22"/>
        </w:rPr>
        <w:fldChar w:fldCharType="end"/>
      </w:r>
    </w:p>
    <w:p w14:paraId="70B640DB" w14:textId="77777777" w:rsidR="007125BE" w:rsidRPr="000E437E" w:rsidRDefault="00E56487" w:rsidP="000E437E">
      <w:pPr>
        <w:spacing w:line="360" w:lineRule="auto"/>
        <w:jc w:val="both"/>
        <w:rPr>
          <w:rFonts w:ascii="Arial" w:hAnsi="Arial" w:cs="Arial"/>
          <w:b/>
          <w:bCs/>
          <w:sz w:val="22"/>
        </w:rPr>
      </w:pPr>
      <w:r w:rsidRPr="000E437E">
        <w:rPr>
          <w:rFonts w:ascii="Arial" w:hAnsi="Arial" w:cs="Arial"/>
          <w:b/>
          <w:bCs/>
          <w:sz w:val="22"/>
        </w:rPr>
        <w:t>List of figure</w:t>
      </w:r>
    </w:p>
    <w:p w14:paraId="43574C16" w14:textId="4D75C690" w:rsidR="007125BE" w:rsidRPr="000E437E" w:rsidRDefault="007125BE" w:rsidP="000E437E">
      <w:pPr>
        <w:pStyle w:val="TableofFigures"/>
        <w:tabs>
          <w:tab w:val="right" w:leader="dot" w:pos="9350"/>
        </w:tabs>
        <w:jc w:val="both"/>
        <w:rPr>
          <w:rFonts w:ascii="Arial" w:eastAsiaTheme="minorEastAsia" w:hAnsi="Arial" w:cs="Arial"/>
          <w:noProof/>
          <w:kern w:val="2"/>
          <w:sz w:val="22"/>
          <w:lang w:val="en-GB" w:eastAsia="en-GB"/>
        </w:rPr>
      </w:pPr>
      <w:r w:rsidRPr="000E437E">
        <w:rPr>
          <w:rFonts w:ascii="Arial" w:hAnsi="Arial" w:cs="Arial"/>
          <w:sz w:val="22"/>
        </w:rPr>
        <w:fldChar w:fldCharType="begin"/>
      </w:r>
      <w:r w:rsidRPr="000E437E">
        <w:rPr>
          <w:rFonts w:ascii="Arial" w:hAnsi="Arial" w:cs="Arial"/>
          <w:sz w:val="22"/>
        </w:rPr>
        <w:instrText xml:space="preserve"> TOC \h \z \c "Figure" </w:instrText>
      </w:r>
      <w:r w:rsidRPr="000E437E">
        <w:rPr>
          <w:rFonts w:ascii="Arial" w:hAnsi="Arial" w:cs="Arial"/>
          <w:sz w:val="22"/>
        </w:rPr>
        <w:fldChar w:fldCharType="separate"/>
      </w:r>
      <w:hyperlink w:anchor="_Toc165886024" w:history="1">
        <w:r w:rsidRPr="000E437E">
          <w:rPr>
            <w:rStyle w:val="Hyperlink"/>
            <w:rFonts w:ascii="Arial" w:hAnsi="Arial" w:cs="Arial"/>
            <w:noProof/>
            <w:sz w:val="22"/>
          </w:rPr>
          <w:t>Figure 1</w:t>
        </w:r>
        <w:r w:rsidRPr="000E437E">
          <w:rPr>
            <w:rStyle w:val="Hyperlink"/>
            <w:rFonts w:ascii="Arial" w:hAnsi="Arial" w:cs="Arial"/>
            <w:noProof/>
            <w:sz w:val="22"/>
            <w:lang w:val="en-US" w:bidi="th-TH"/>
          </w:rPr>
          <w:t>. Trends in Remote Work Adoption and Preferences</w:t>
        </w:r>
        <w:r w:rsidRPr="000E437E">
          <w:rPr>
            <w:rFonts w:ascii="Arial" w:hAnsi="Arial" w:cs="Arial"/>
            <w:noProof/>
            <w:webHidden/>
            <w:sz w:val="22"/>
          </w:rPr>
          <w:tab/>
        </w:r>
        <w:r w:rsidRPr="000E437E">
          <w:rPr>
            <w:rFonts w:ascii="Arial" w:hAnsi="Arial" w:cs="Arial"/>
            <w:noProof/>
            <w:webHidden/>
            <w:sz w:val="22"/>
          </w:rPr>
          <w:fldChar w:fldCharType="begin"/>
        </w:r>
        <w:r w:rsidRPr="000E437E">
          <w:rPr>
            <w:rFonts w:ascii="Arial" w:hAnsi="Arial" w:cs="Arial"/>
            <w:noProof/>
            <w:webHidden/>
            <w:sz w:val="22"/>
          </w:rPr>
          <w:instrText xml:space="preserve"> PAGEREF _Toc165886024 \h </w:instrText>
        </w:r>
        <w:r w:rsidRPr="000E437E">
          <w:rPr>
            <w:rFonts w:ascii="Arial" w:hAnsi="Arial" w:cs="Arial"/>
            <w:noProof/>
            <w:webHidden/>
            <w:sz w:val="22"/>
          </w:rPr>
        </w:r>
        <w:r w:rsidRPr="000E437E">
          <w:rPr>
            <w:rFonts w:ascii="Arial" w:hAnsi="Arial" w:cs="Arial"/>
            <w:noProof/>
            <w:webHidden/>
            <w:sz w:val="22"/>
          </w:rPr>
          <w:fldChar w:fldCharType="separate"/>
        </w:r>
        <w:r w:rsidRPr="000E437E">
          <w:rPr>
            <w:rFonts w:ascii="Arial" w:hAnsi="Arial" w:cs="Arial"/>
            <w:noProof/>
            <w:webHidden/>
            <w:sz w:val="22"/>
          </w:rPr>
          <w:t>9</w:t>
        </w:r>
        <w:r w:rsidRPr="000E437E">
          <w:rPr>
            <w:rFonts w:ascii="Arial" w:hAnsi="Arial" w:cs="Arial"/>
            <w:noProof/>
            <w:webHidden/>
            <w:sz w:val="22"/>
          </w:rPr>
          <w:fldChar w:fldCharType="end"/>
        </w:r>
      </w:hyperlink>
    </w:p>
    <w:p w14:paraId="070EAF8D" w14:textId="64546EF8" w:rsidR="007125BE" w:rsidRPr="000E437E" w:rsidRDefault="00000000" w:rsidP="000E437E">
      <w:pPr>
        <w:pStyle w:val="TableofFigures"/>
        <w:tabs>
          <w:tab w:val="right" w:leader="dot" w:pos="9350"/>
        </w:tabs>
        <w:jc w:val="both"/>
        <w:rPr>
          <w:rFonts w:ascii="Arial" w:eastAsiaTheme="minorEastAsia" w:hAnsi="Arial" w:cs="Arial"/>
          <w:noProof/>
          <w:kern w:val="2"/>
          <w:sz w:val="22"/>
          <w:lang w:val="en-GB" w:eastAsia="en-GB"/>
        </w:rPr>
      </w:pPr>
      <w:hyperlink w:anchor="_Toc165886025" w:history="1">
        <w:r w:rsidR="007125BE" w:rsidRPr="000E437E">
          <w:rPr>
            <w:rStyle w:val="Hyperlink"/>
            <w:rFonts w:ascii="Arial" w:hAnsi="Arial" w:cs="Arial"/>
            <w:noProof/>
            <w:sz w:val="22"/>
          </w:rPr>
          <w:t>Figure 2</w:t>
        </w:r>
        <w:r w:rsidR="007125BE" w:rsidRPr="000E437E">
          <w:rPr>
            <w:rStyle w:val="Hyperlink"/>
            <w:rFonts w:ascii="Arial" w:hAnsi="Arial" w:cs="Arial"/>
            <w:noProof/>
            <w:sz w:val="22"/>
            <w:lang w:val="en-US" w:bidi="th-TH"/>
          </w:rPr>
          <w:t xml:space="preserve"> Employee engagement levels</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_Toc165886025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10</w:t>
        </w:r>
        <w:r w:rsidR="007125BE" w:rsidRPr="000E437E">
          <w:rPr>
            <w:rFonts w:ascii="Arial" w:hAnsi="Arial" w:cs="Arial"/>
            <w:noProof/>
            <w:webHidden/>
            <w:sz w:val="22"/>
          </w:rPr>
          <w:fldChar w:fldCharType="end"/>
        </w:r>
      </w:hyperlink>
    </w:p>
    <w:p w14:paraId="5971799B" w14:textId="52BC05D3" w:rsidR="007125BE" w:rsidRPr="000E437E" w:rsidRDefault="00000000" w:rsidP="000E437E">
      <w:pPr>
        <w:pStyle w:val="TableofFigures"/>
        <w:tabs>
          <w:tab w:val="right" w:leader="dot" w:pos="9350"/>
        </w:tabs>
        <w:jc w:val="both"/>
        <w:rPr>
          <w:rFonts w:ascii="Arial" w:eastAsiaTheme="minorEastAsia" w:hAnsi="Arial" w:cs="Arial"/>
          <w:noProof/>
          <w:kern w:val="2"/>
          <w:sz w:val="22"/>
          <w:lang w:val="en-GB" w:eastAsia="en-GB"/>
        </w:rPr>
      </w:pPr>
      <w:hyperlink w:anchor="_Toc165886026" w:history="1">
        <w:r w:rsidR="007125BE" w:rsidRPr="000E437E">
          <w:rPr>
            <w:rStyle w:val="Hyperlink"/>
            <w:rFonts w:ascii="Arial" w:hAnsi="Arial" w:cs="Arial"/>
            <w:noProof/>
            <w:sz w:val="22"/>
          </w:rPr>
          <w:t>Figure 3</w:t>
        </w:r>
        <w:r w:rsidR="007125BE" w:rsidRPr="000E437E">
          <w:rPr>
            <w:rStyle w:val="Hyperlink"/>
            <w:rFonts w:ascii="Arial" w:hAnsi="Arial" w:cs="Arial"/>
            <w:noProof/>
            <w:sz w:val="22"/>
            <w:lang w:val="en-US" w:bidi="th-TH"/>
          </w:rPr>
          <w:t>. Drivers of Employee Engagement</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_Toc165886026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11</w:t>
        </w:r>
        <w:r w:rsidR="007125BE" w:rsidRPr="000E437E">
          <w:rPr>
            <w:rFonts w:ascii="Arial" w:hAnsi="Arial" w:cs="Arial"/>
            <w:noProof/>
            <w:webHidden/>
            <w:sz w:val="22"/>
          </w:rPr>
          <w:fldChar w:fldCharType="end"/>
        </w:r>
      </w:hyperlink>
    </w:p>
    <w:p w14:paraId="715310CA" w14:textId="55CB183E" w:rsidR="007125BE" w:rsidRPr="000E437E" w:rsidRDefault="00000000" w:rsidP="000E437E">
      <w:pPr>
        <w:pStyle w:val="TableofFigures"/>
        <w:tabs>
          <w:tab w:val="right" w:leader="dot" w:pos="9350"/>
        </w:tabs>
        <w:jc w:val="both"/>
        <w:rPr>
          <w:rFonts w:ascii="Arial" w:eastAsiaTheme="minorEastAsia" w:hAnsi="Arial" w:cs="Arial"/>
          <w:noProof/>
          <w:kern w:val="2"/>
          <w:sz w:val="22"/>
          <w:lang w:val="en-GB" w:eastAsia="en-GB"/>
        </w:rPr>
      </w:pPr>
      <w:hyperlink w:anchor="_Toc165886027" w:history="1">
        <w:r w:rsidR="007125BE" w:rsidRPr="000E437E">
          <w:rPr>
            <w:rStyle w:val="Hyperlink"/>
            <w:rFonts w:ascii="Arial" w:hAnsi="Arial" w:cs="Arial"/>
            <w:noProof/>
            <w:sz w:val="22"/>
          </w:rPr>
          <w:t>Figure 4</w:t>
        </w:r>
        <w:r w:rsidR="007125BE" w:rsidRPr="000E437E">
          <w:rPr>
            <w:rStyle w:val="Hyperlink"/>
            <w:rFonts w:ascii="Arial" w:hAnsi="Arial" w:cs="Arial"/>
            <w:noProof/>
            <w:sz w:val="22"/>
            <w:lang w:val="en-US" w:bidi="th-TH"/>
          </w:rPr>
          <w:t>. Remote Work Contribution in Employee Satisfaction and Improved Company Culture</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_Toc165886027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13</w:t>
        </w:r>
        <w:r w:rsidR="007125BE" w:rsidRPr="000E437E">
          <w:rPr>
            <w:rFonts w:ascii="Arial" w:hAnsi="Arial" w:cs="Arial"/>
            <w:noProof/>
            <w:webHidden/>
            <w:sz w:val="22"/>
          </w:rPr>
          <w:fldChar w:fldCharType="end"/>
        </w:r>
      </w:hyperlink>
    </w:p>
    <w:p w14:paraId="1AB7FB4A" w14:textId="7B0C351C" w:rsidR="007125BE" w:rsidRPr="000E437E" w:rsidRDefault="00000000" w:rsidP="000E437E">
      <w:pPr>
        <w:pStyle w:val="TableofFigures"/>
        <w:tabs>
          <w:tab w:val="right" w:leader="dot" w:pos="9350"/>
        </w:tabs>
        <w:jc w:val="both"/>
        <w:rPr>
          <w:rFonts w:ascii="Arial" w:eastAsiaTheme="minorEastAsia" w:hAnsi="Arial" w:cs="Arial"/>
          <w:noProof/>
          <w:kern w:val="2"/>
          <w:sz w:val="22"/>
          <w:lang w:val="en-GB" w:eastAsia="en-GB"/>
        </w:rPr>
      </w:pPr>
      <w:hyperlink w:anchor="_Toc165886028" w:history="1">
        <w:r w:rsidR="007125BE" w:rsidRPr="000E437E">
          <w:rPr>
            <w:rStyle w:val="Hyperlink"/>
            <w:rFonts w:ascii="Arial" w:hAnsi="Arial" w:cs="Arial"/>
            <w:noProof/>
            <w:sz w:val="22"/>
          </w:rPr>
          <w:t>Figure 5</w:t>
        </w:r>
        <w:r w:rsidR="007125BE" w:rsidRPr="000E437E">
          <w:rPr>
            <w:rStyle w:val="Hyperlink"/>
            <w:rFonts w:ascii="Arial" w:hAnsi="Arial" w:cs="Arial"/>
            <w:noProof/>
            <w:sz w:val="22"/>
            <w:lang w:val="en-US" w:bidi="th-TH"/>
          </w:rPr>
          <w:t xml:space="preserve"> Organisational outcome flow chart</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_Toc165886028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15</w:t>
        </w:r>
        <w:r w:rsidR="007125BE" w:rsidRPr="000E437E">
          <w:rPr>
            <w:rFonts w:ascii="Arial" w:hAnsi="Arial" w:cs="Arial"/>
            <w:noProof/>
            <w:webHidden/>
            <w:sz w:val="22"/>
          </w:rPr>
          <w:fldChar w:fldCharType="end"/>
        </w:r>
      </w:hyperlink>
    </w:p>
    <w:p w14:paraId="1F2FFA8F" w14:textId="579CC280" w:rsidR="007125BE" w:rsidRPr="000E437E" w:rsidRDefault="00000000" w:rsidP="000E437E">
      <w:pPr>
        <w:pStyle w:val="TableofFigures"/>
        <w:tabs>
          <w:tab w:val="right" w:leader="dot" w:pos="9350"/>
        </w:tabs>
        <w:jc w:val="both"/>
        <w:rPr>
          <w:rFonts w:ascii="Arial" w:eastAsiaTheme="minorEastAsia" w:hAnsi="Arial" w:cs="Arial"/>
          <w:noProof/>
          <w:kern w:val="2"/>
          <w:sz w:val="22"/>
          <w:lang w:val="en-GB" w:eastAsia="en-GB"/>
        </w:rPr>
      </w:pPr>
      <w:hyperlink w:anchor="_Toc165886029" w:history="1">
        <w:r w:rsidR="007125BE" w:rsidRPr="000E437E">
          <w:rPr>
            <w:rStyle w:val="Hyperlink"/>
            <w:rFonts w:ascii="Arial" w:hAnsi="Arial" w:cs="Arial"/>
            <w:noProof/>
            <w:sz w:val="22"/>
          </w:rPr>
          <w:t>Figure 6</w:t>
        </w:r>
        <w:r w:rsidR="007125BE" w:rsidRPr="000E437E">
          <w:rPr>
            <w:rStyle w:val="Hyperlink"/>
            <w:rFonts w:ascii="Arial" w:hAnsi="Arial" w:cs="Arial"/>
            <w:noProof/>
            <w:sz w:val="22"/>
            <w:lang w:val="en-US" w:bidi="th-TH"/>
          </w:rPr>
          <w:t>. Job Demands-Resource Model</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_Toc165886029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16</w:t>
        </w:r>
        <w:r w:rsidR="007125BE" w:rsidRPr="000E437E">
          <w:rPr>
            <w:rFonts w:ascii="Arial" w:hAnsi="Arial" w:cs="Arial"/>
            <w:noProof/>
            <w:webHidden/>
            <w:sz w:val="22"/>
          </w:rPr>
          <w:fldChar w:fldCharType="end"/>
        </w:r>
      </w:hyperlink>
    </w:p>
    <w:p w14:paraId="0EAC0E07" w14:textId="261FD608" w:rsidR="007125BE" w:rsidRPr="000E437E" w:rsidRDefault="00000000" w:rsidP="000E437E">
      <w:pPr>
        <w:pStyle w:val="TableofFigures"/>
        <w:tabs>
          <w:tab w:val="right" w:leader="dot" w:pos="9350"/>
        </w:tabs>
        <w:jc w:val="both"/>
        <w:rPr>
          <w:rFonts w:ascii="Arial" w:eastAsiaTheme="minorEastAsia" w:hAnsi="Arial" w:cs="Arial"/>
          <w:noProof/>
          <w:kern w:val="2"/>
          <w:sz w:val="22"/>
          <w:lang w:val="en-GB" w:eastAsia="en-GB"/>
        </w:rPr>
      </w:pPr>
      <w:hyperlink w:anchor="_Toc165886030" w:history="1">
        <w:r w:rsidR="007125BE" w:rsidRPr="000E437E">
          <w:rPr>
            <w:rStyle w:val="Hyperlink"/>
            <w:rFonts w:ascii="Arial" w:hAnsi="Arial" w:cs="Arial"/>
            <w:noProof/>
            <w:sz w:val="22"/>
          </w:rPr>
          <w:t>Figure 7. Psychological Contract Theory</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_Toc165886030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17</w:t>
        </w:r>
        <w:r w:rsidR="007125BE" w:rsidRPr="000E437E">
          <w:rPr>
            <w:rFonts w:ascii="Arial" w:hAnsi="Arial" w:cs="Arial"/>
            <w:noProof/>
            <w:webHidden/>
            <w:sz w:val="22"/>
          </w:rPr>
          <w:fldChar w:fldCharType="end"/>
        </w:r>
      </w:hyperlink>
    </w:p>
    <w:p w14:paraId="79A2E05B" w14:textId="25A8DBE3" w:rsidR="007125BE" w:rsidRPr="000E437E" w:rsidRDefault="00000000" w:rsidP="000E437E">
      <w:pPr>
        <w:pStyle w:val="TableofFigures"/>
        <w:tabs>
          <w:tab w:val="right" w:leader="dot" w:pos="9350"/>
        </w:tabs>
        <w:jc w:val="both"/>
        <w:rPr>
          <w:rFonts w:ascii="Arial" w:eastAsiaTheme="minorEastAsia" w:hAnsi="Arial" w:cs="Arial"/>
          <w:noProof/>
          <w:kern w:val="2"/>
          <w:sz w:val="22"/>
          <w:lang w:val="en-GB" w:eastAsia="en-GB"/>
        </w:rPr>
      </w:pPr>
      <w:hyperlink w:anchor="_Toc165886031" w:history="1">
        <w:r w:rsidR="007125BE" w:rsidRPr="000E437E">
          <w:rPr>
            <w:rStyle w:val="Hyperlink"/>
            <w:rFonts w:ascii="Arial" w:hAnsi="Arial" w:cs="Arial"/>
            <w:noProof/>
            <w:sz w:val="22"/>
          </w:rPr>
          <w:t>Figure 8. The research "onion" framwork</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_Toc165886031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20</w:t>
        </w:r>
        <w:r w:rsidR="007125BE" w:rsidRPr="000E437E">
          <w:rPr>
            <w:rFonts w:ascii="Arial" w:hAnsi="Arial" w:cs="Arial"/>
            <w:noProof/>
            <w:webHidden/>
            <w:sz w:val="22"/>
          </w:rPr>
          <w:fldChar w:fldCharType="end"/>
        </w:r>
      </w:hyperlink>
    </w:p>
    <w:p w14:paraId="7885FDA3" w14:textId="0A63845E" w:rsidR="007125BE" w:rsidRPr="000E437E" w:rsidRDefault="00000000" w:rsidP="000E437E">
      <w:pPr>
        <w:pStyle w:val="TableofFigures"/>
        <w:tabs>
          <w:tab w:val="right" w:leader="dot" w:pos="9350"/>
        </w:tabs>
        <w:jc w:val="both"/>
        <w:rPr>
          <w:rFonts w:ascii="Arial" w:eastAsiaTheme="minorEastAsia" w:hAnsi="Arial" w:cs="Arial"/>
          <w:noProof/>
          <w:kern w:val="2"/>
          <w:sz w:val="22"/>
          <w:lang w:val="en-GB" w:eastAsia="en-GB"/>
        </w:rPr>
      </w:pPr>
      <w:hyperlink w:anchor="_Toc165886032" w:history="1">
        <w:r w:rsidR="007125BE" w:rsidRPr="000E437E">
          <w:rPr>
            <w:rStyle w:val="Hyperlink"/>
            <w:rFonts w:ascii="Arial" w:hAnsi="Arial" w:cs="Arial"/>
            <w:noProof/>
            <w:sz w:val="22"/>
          </w:rPr>
          <w:t>Figure 9</w:t>
        </w:r>
        <w:r w:rsidR="007125BE" w:rsidRPr="000E437E">
          <w:rPr>
            <w:rStyle w:val="Hyperlink"/>
            <w:rFonts w:ascii="Arial" w:eastAsia="Times New Roman" w:hAnsi="Arial" w:cs="Arial"/>
            <w:noProof/>
            <w:sz w:val="22"/>
            <w:lang w:val="en-US"/>
          </w:rPr>
          <w:t>. PRISMA Chart</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_Toc165886032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24</w:t>
        </w:r>
        <w:r w:rsidR="007125BE" w:rsidRPr="000E437E">
          <w:rPr>
            <w:rFonts w:ascii="Arial" w:hAnsi="Arial" w:cs="Arial"/>
            <w:noProof/>
            <w:webHidden/>
            <w:sz w:val="22"/>
          </w:rPr>
          <w:fldChar w:fldCharType="end"/>
        </w:r>
      </w:hyperlink>
    </w:p>
    <w:p w14:paraId="47605CB6" w14:textId="45E926C7" w:rsidR="007125BE" w:rsidRPr="000E437E" w:rsidRDefault="00000000" w:rsidP="000E437E">
      <w:pPr>
        <w:pStyle w:val="TableofFigures"/>
        <w:tabs>
          <w:tab w:val="right" w:leader="dot" w:pos="9350"/>
        </w:tabs>
        <w:jc w:val="both"/>
        <w:rPr>
          <w:rFonts w:ascii="Arial" w:eastAsiaTheme="minorEastAsia" w:hAnsi="Arial" w:cs="Arial"/>
          <w:noProof/>
          <w:kern w:val="2"/>
          <w:sz w:val="22"/>
          <w:lang w:val="en-GB" w:eastAsia="en-GB"/>
        </w:rPr>
      </w:pPr>
      <w:hyperlink w:anchor="_Toc165886033" w:history="1">
        <w:r w:rsidR="007125BE" w:rsidRPr="000E437E">
          <w:rPr>
            <w:rStyle w:val="Hyperlink"/>
            <w:rFonts w:ascii="Arial" w:hAnsi="Arial" w:cs="Arial"/>
            <w:noProof/>
            <w:sz w:val="22"/>
          </w:rPr>
          <w:t>Figure 10</w:t>
        </w:r>
        <w:r w:rsidR="007125BE" w:rsidRPr="000E437E">
          <w:rPr>
            <w:rStyle w:val="Hyperlink"/>
            <w:rFonts w:ascii="Arial" w:hAnsi="Arial" w:cs="Arial"/>
            <w:noProof/>
            <w:sz w:val="22"/>
            <w:lang w:val="en-US" w:bidi="th-TH"/>
          </w:rPr>
          <w:t>: Employee Engagement Levels</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_Toc165886033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27</w:t>
        </w:r>
        <w:r w:rsidR="007125BE" w:rsidRPr="000E437E">
          <w:rPr>
            <w:rFonts w:ascii="Arial" w:hAnsi="Arial" w:cs="Arial"/>
            <w:noProof/>
            <w:webHidden/>
            <w:sz w:val="22"/>
          </w:rPr>
          <w:fldChar w:fldCharType="end"/>
        </w:r>
      </w:hyperlink>
    </w:p>
    <w:p w14:paraId="56D18DC1" w14:textId="42F62AF0" w:rsidR="007125BE" w:rsidRPr="000E437E" w:rsidRDefault="00000000" w:rsidP="000E437E">
      <w:pPr>
        <w:pStyle w:val="TableofFigures"/>
        <w:tabs>
          <w:tab w:val="right" w:leader="dot" w:pos="9350"/>
        </w:tabs>
        <w:jc w:val="both"/>
        <w:rPr>
          <w:rFonts w:ascii="Arial" w:eastAsiaTheme="minorEastAsia" w:hAnsi="Arial" w:cs="Arial"/>
          <w:noProof/>
          <w:kern w:val="2"/>
          <w:sz w:val="22"/>
          <w:lang w:val="en-GB" w:eastAsia="en-GB"/>
        </w:rPr>
      </w:pPr>
      <w:hyperlink w:anchor="_Toc165886034" w:history="1">
        <w:r w:rsidR="007125BE" w:rsidRPr="000E437E">
          <w:rPr>
            <w:rStyle w:val="Hyperlink"/>
            <w:rFonts w:ascii="Arial" w:hAnsi="Arial" w:cs="Arial"/>
            <w:noProof/>
            <w:sz w:val="22"/>
          </w:rPr>
          <w:t>Figure 11</w:t>
        </w:r>
        <w:r w:rsidR="007125BE" w:rsidRPr="000E437E">
          <w:rPr>
            <w:rStyle w:val="Hyperlink"/>
            <w:rFonts w:ascii="Arial" w:hAnsi="Arial" w:cs="Arial"/>
            <w:noProof/>
            <w:sz w:val="22"/>
            <w:lang w:val="en-US" w:bidi="th-TH"/>
          </w:rPr>
          <w:t>. Employees Productivity Metrics</w:t>
        </w:r>
        <w:r w:rsidR="007125BE" w:rsidRPr="000E437E">
          <w:rPr>
            <w:rFonts w:ascii="Arial" w:hAnsi="Arial" w:cs="Arial"/>
            <w:noProof/>
            <w:webHidden/>
            <w:sz w:val="22"/>
          </w:rPr>
          <w:tab/>
        </w:r>
        <w:r w:rsidR="007125BE" w:rsidRPr="000E437E">
          <w:rPr>
            <w:rFonts w:ascii="Arial" w:hAnsi="Arial" w:cs="Arial"/>
            <w:noProof/>
            <w:webHidden/>
            <w:sz w:val="22"/>
          </w:rPr>
          <w:fldChar w:fldCharType="begin"/>
        </w:r>
        <w:r w:rsidR="007125BE" w:rsidRPr="000E437E">
          <w:rPr>
            <w:rFonts w:ascii="Arial" w:hAnsi="Arial" w:cs="Arial"/>
            <w:noProof/>
            <w:webHidden/>
            <w:sz w:val="22"/>
          </w:rPr>
          <w:instrText xml:space="preserve"> PAGEREF _Toc165886034 \h </w:instrText>
        </w:r>
        <w:r w:rsidR="007125BE" w:rsidRPr="000E437E">
          <w:rPr>
            <w:rFonts w:ascii="Arial" w:hAnsi="Arial" w:cs="Arial"/>
            <w:noProof/>
            <w:webHidden/>
            <w:sz w:val="22"/>
          </w:rPr>
        </w:r>
        <w:r w:rsidR="007125BE" w:rsidRPr="000E437E">
          <w:rPr>
            <w:rFonts w:ascii="Arial" w:hAnsi="Arial" w:cs="Arial"/>
            <w:noProof/>
            <w:webHidden/>
            <w:sz w:val="22"/>
          </w:rPr>
          <w:fldChar w:fldCharType="separate"/>
        </w:r>
        <w:r w:rsidR="007125BE" w:rsidRPr="000E437E">
          <w:rPr>
            <w:rFonts w:ascii="Arial" w:hAnsi="Arial" w:cs="Arial"/>
            <w:noProof/>
            <w:webHidden/>
            <w:sz w:val="22"/>
          </w:rPr>
          <w:t>28</w:t>
        </w:r>
        <w:r w:rsidR="007125BE" w:rsidRPr="000E437E">
          <w:rPr>
            <w:rFonts w:ascii="Arial" w:hAnsi="Arial" w:cs="Arial"/>
            <w:noProof/>
            <w:webHidden/>
            <w:sz w:val="22"/>
          </w:rPr>
          <w:fldChar w:fldCharType="end"/>
        </w:r>
      </w:hyperlink>
    </w:p>
    <w:p w14:paraId="77882AAF" w14:textId="40380492" w:rsidR="00261501" w:rsidRPr="000E437E" w:rsidRDefault="007125BE" w:rsidP="000E437E">
      <w:pPr>
        <w:spacing w:line="360" w:lineRule="auto"/>
        <w:jc w:val="both"/>
        <w:rPr>
          <w:rFonts w:ascii="Arial" w:hAnsi="Arial" w:cs="Arial"/>
          <w:sz w:val="22"/>
        </w:rPr>
      </w:pPr>
      <w:r w:rsidRPr="000E437E">
        <w:rPr>
          <w:rFonts w:ascii="Arial" w:hAnsi="Arial" w:cs="Arial"/>
          <w:sz w:val="22"/>
        </w:rPr>
        <w:fldChar w:fldCharType="end"/>
      </w:r>
      <w:r w:rsidR="00E35324" w:rsidRPr="000E437E">
        <w:rPr>
          <w:rFonts w:ascii="Arial" w:hAnsi="Arial" w:cs="Arial"/>
          <w:sz w:val="22"/>
        </w:rPr>
        <w:br w:type="page"/>
      </w:r>
    </w:p>
    <w:p w14:paraId="56B083C8" w14:textId="47A13CB3" w:rsidR="00F96A13" w:rsidRPr="000E437E" w:rsidRDefault="00F96A13" w:rsidP="000E437E">
      <w:pPr>
        <w:pStyle w:val="Heading1"/>
        <w:spacing w:line="360" w:lineRule="auto"/>
        <w:jc w:val="both"/>
        <w:rPr>
          <w:rFonts w:ascii="Arial" w:hAnsi="Arial" w:cs="Arial"/>
          <w:color w:val="auto"/>
          <w:sz w:val="22"/>
          <w:szCs w:val="22"/>
        </w:rPr>
      </w:pPr>
      <w:bookmarkStart w:id="0" w:name="_Toc165886041"/>
      <w:r w:rsidRPr="000E437E">
        <w:rPr>
          <w:rFonts w:ascii="Arial" w:hAnsi="Arial" w:cs="Arial"/>
          <w:color w:val="auto"/>
          <w:sz w:val="22"/>
          <w:szCs w:val="22"/>
        </w:rPr>
        <w:lastRenderedPageBreak/>
        <w:t>CHAPTER 1. INTRODUCTION</w:t>
      </w:r>
      <w:bookmarkEnd w:id="0"/>
    </w:p>
    <w:p w14:paraId="4CBC6659" w14:textId="77777777" w:rsidR="00F96A13" w:rsidRPr="000E437E" w:rsidRDefault="00F96A13" w:rsidP="000E437E">
      <w:pPr>
        <w:pStyle w:val="Heading2"/>
        <w:spacing w:line="360" w:lineRule="auto"/>
        <w:jc w:val="both"/>
        <w:rPr>
          <w:rFonts w:ascii="Arial" w:hAnsi="Arial" w:cs="Arial"/>
          <w:color w:val="auto"/>
          <w:sz w:val="22"/>
          <w:szCs w:val="22"/>
        </w:rPr>
      </w:pPr>
      <w:bookmarkStart w:id="1" w:name="_Toc165886042"/>
      <w:r w:rsidRPr="000E437E">
        <w:rPr>
          <w:rFonts w:ascii="Arial" w:hAnsi="Arial" w:cs="Arial"/>
          <w:color w:val="auto"/>
          <w:sz w:val="22"/>
          <w:szCs w:val="22"/>
        </w:rPr>
        <w:t>1.1 Background of the Study</w:t>
      </w:r>
      <w:bookmarkEnd w:id="1"/>
    </w:p>
    <w:p w14:paraId="72AF443D"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The current workforce landscape throughout the world has experienced a phenomenal modulation catalyzed by the pandemic and its long-term consequences; this has brought on a huge change in work environment dynamics. It is among those remarkable changes; the most pronounced one has been the opening of the virtual office for work </w:t>
      </w:r>
      <w:r w:rsidRPr="000E437E">
        <w:rPr>
          <w:rFonts w:ascii="Arial" w:hAnsi="Arial" w:cs="Arial"/>
          <w:sz w:val="22"/>
        </w:rPr>
        <w:t>(Amoils, 2021)</w:t>
      </w:r>
      <w:r w:rsidRPr="000E437E">
        <w:rPr>
          <w:rFonts w:ascii="Arial" w:hAnsi="Arial" w:cs="Arial"/>
          <w:sz w:val="22"/>
          <w:lang w:val="en-US" w:bidi="th-TH"/>
        </w:rPr>
        <w:t xml:space="preserve">. This trend made companies all over the world reconsider their operational strategies, among them, HSBC Holdings plc, which is one of the most widely recognized banking and financial services organizations globally in the United Kingdom. Along with the others, HSBC has decisively adopted a work-from-home policy after the pandemic to support business continuity and safe service to the staff </w:t>
      </w:r>
      <w:r w:rsidRPr="000E437E">
        <w:rPr>
          <w:rFonts w:ascii="Arial" w:hAnsi="Arial" w:cs="Arial"/>
          <w:sz w:val="22"/>
        </w:rPr>
        <w:t>(Amoils, 2021)</w:t>
      </w:r>
      <w:r w:rsidRPr="000E437E">
        <w:rPr>
          <w:rFonts w:ascii="Arial" w:hAnsi="Arial" w:cs="Arial"/>
          <w:sz w:val="22"/>
          <w:lang w:val="en-US" w:bidi="th-TH"/>
        </w:rPr>
        <w:t xml:space="preserve">. The sudden prohibition of going to the office is not only a vital element in the transformation of the physical workplace but also leads to changes in organizational culture and employee engagement. </w:t>
      </w:r>
    </w:p>
    <w:p w14:paraId="48D9C52E"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Workforce engagement which entails employee's emotional commitment to the organization and its goals has become a new factor that businesses aim to maintain in the era of remote work where workforce success is crucial. The remote work system has two sides in terms of creating employee commitment: new chances and struggles at HSBC </w:t>
      </w:r>
      <w:r w:rsidRPr="000E437E">
        <w:rPr>
          <w:rFonts w:ascii="Arial" w:hAnsi="Arial" w:cs="Arial"/>
          <w:sz w:val="22"/>
        </w:rPr>
        <w:t>(Surma et al., 2021)</w:t>
      </w:r>
      <w:r w:rsidRPr="000E437E">
        <w:rPr>
          <w:rFonts w:ascii="Arial" w:hAnsi="Arial" w:cs="Arial"/>
          <w:sz w:val="22"/>
          <w:lang w:val="en-US" w:bidi="th-TH"/>
        </w:rPr>
        <w:t xml:space="preserve">. On one hand, remote work arrangements can provide some level of increased autonomy and work-life balance which can contribute much to the employee’s job satisfaction and motivation. On the other hand, those working remotely could see a growth in the sense of isolation, reduced communication, or a weak sense of feeling that belong to the company among the employees which may slow down their engagement level </w:t>
      </w:r>
      <w:r w:rsidRPr="000E437E">
        <w:rPr>
          <w:rFonts w:ascii="Arial" w:hAnsi="Arial" w:cs="Arial"/>
          <w:sz w:val="22"/>
        </w:rPr>
        <w:t>(Surma et al., 2021)</w:t>
      </w:r>
      <w:r w:rsidRPr="000E437E">
        <w:rPr>
          <w:rFonts w:ascii="Arial" w:hAnsi="Arial" w:cs="Arial"/>
          <w:sz w:val="22"/>
          <w:lang w:val="en-US" w:bidi="th-TH"/>
        </w:rPr>
        <w:t xml:space="preserve">. Another change brought about by the transition to remote culture is that there is a revaluation of the organizational culture at HSBC. Organizational culture that is made up of common values, norms, and behavior is the key determinant of both the employee experience and the whole organization’s performance </w:t>
      </w:r>
      <w:r w:rsidRPr="000E437E">
        <w:rPr>
          <w:rFonts w:ascii="Arial" w:hAnsi="Arial" w:cs="Arial"/>
          <w:sz w:val="22"/>
        </w:rPr>
        <w:t>(Amoils, 2021)</w:t>
      </w:r>
      <w:r w:rsidRPr="000E437E">
        <w:rPr>
          <w:rFonts w:ascii="Arial" w:hAnsi="Arial" w:cs="Arial"/>
          <w:sz w:val="22"/>
          <w:lang w:val="en-US" w:bidi="th-TH"/>
        </w:rPr>
        <w:t xml:space="preserve">. </w:t>
      </w:r>
    </w:p>
    <w:p w14:paraId="656E5AA3" w14:textId="77777777" w:rsidR="00F96A13" w:rsidRPr="000E437E" w:rsidRDefault="00F96A13" w:rsidP="000E437E">
      <w:pPr>
        <w:pStyle w:val="Heading2"/>
        <w:spacing w:line="360" w:lineRule="auto"/>
        <w:jc w:val="both"/>
        <w:rPr>
          <w:rFonts w:ascii="Arial" w:hAnsi="Arial" w:cs="Arial"/>
          <w:color w:val="auto"/>
          <w:sz w:val="22"/>
          <w:szCs w:val="22"/>
        </w:rPr>
      </w:pPr>
      <w:bookmarkStart w:id="2" w:name="_Toc165886043"/>
      <w:r w:rsidRPr="000E437E">
        <w:rPr>
          <w:rFonts w:ascii="Arial" w:hAnsi="Arial" w:cs="Arial"/>
          <w:color w:val="auto"/>
          <w:sz w:val="22"/>
          <w:szCs w:val="22"/>
        </w:rPr>
        <w:t>1.2 Problem Statement</w:t>
      </w:r>
      <w:bookmarkEnd w:id="2"/>
    </w:p>
    <w:p w14:paraId="559812C1"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The ultimate purpose of this study is to find a solution to two main problems inside HSBC Holdings plc in the UK. Firstly, it will define some terms such as remote working level, nature of remote work, and some complexities that come along with it </w:t>
      </w:r>
      <w:r w:rsidRPr="000E437E">
        <w:rPr>
          <w:rFonts w:ascii="Arial" w:hAnsi="Arial" w:cs="Arial"/>
          <w:sz w:val="22"/>
        </w:rPr>
        <w:t>(Raghuram, 2021)</w:t>
      </w:r>
      <w:r w:rsidRPr="000E437E">
        <w:rPr>
          <w:rFonts w:ascii="Arial" w:hAnsi="Arial" w:cs="Arial"/>
          <w:sz w:val="22"/>
          <w:lang w:val="en-US" w:bidi="th-TH"/>
        </w:rPr>
        <w:t xml:space="preserve">. This awareness is key for an understanding of the consequences of its activities, which mainly take place face-to-face with potential clients who are familiar in this sector with carrying out personal operations and usually the most reliable and safest security measures. </w:t>
      </w:r>
    </w:p>
    <w:p w14:paraId="46145366"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lastRenderedPageBreak/>
        <w:t xml:space="preserve">The next aspect of the project aims to address the correlation between remote work, employee engagement, and the culture of the company. As employee engagement is vital for organizational performance and culture forms the backbone of personality and behavior, the effects of remote work on these indicators must be studied </w:t>
      </w:r>
      <w:r w:rsidRPr="000E437E">
        <w:rPr>
          <w:rFonts w:ascii="Arial" w:hAnsi="Arial" w:cs="Arial"/>
          <w:sz w:val="22"/>
        </w:rPr>
        <w:t>(Raghuram, 2021)</w:t>
      </w:r>
      <w:r w:rsidRPr="000E437E">
        <w:rPr>
          <w:rFonts w:ascii="Arial" w:hAnsi="Arial" w:cs="Arial"/>
          <w:sz w:val="22"/>
          <w:lang w:val="en-US" w:bidi="th-TH"/>
        </w:rPr>
        <w:t xml:space="preserve">. This research will focus on whether the freedom created by remote work improved workers' engagement or diminished it and to what extent it modifies the banking community's entrenched culture. </w:t>
      </w:r>
    </w:p>
    <w:p w14:paraId="14D04F5E" w14:textId="77777777" w:rsidR="00F96A13" w:rsidRPr="000E437E" w:rsidRDefault="00F96A13" w:rsidP="000E437E">
      <w:pPr>
        <w:pStyle w:val="Heading2"/>
        <w:spacing w:line="360" w:lineRule="auto"/>
        <w:jc w:val="both"/>
        <w:rPr>
          <w:rFonts w:ascii="Arial" w:hAnsi="Arial" w:cs="Arial"/>
          <w:color w:val="auto"/>
          <w:sz w:val="22"/>
          <w:szCs w:val="22"/>
        </w:rPr>
      </w:pPr>
      <w:bookmarkStart w:id="3" w:name="_Toc165886044"/>
      <w:r w:rsidRPr="000E437E">
        <w:rPr>
          <w:rFonts w:ascii="Arial" w:hAnsi="Arial" w:cs="Arial"/>
          <w:color w:val="auto"/>
          <w:sz w:val="22"/>
          <w:szCs w:val="22"/>
        </w:rPr>
        <w:t>1.3 Research Aim</w:t>
      </w:r>
      <w:bookmarkEnd w:id="3"/>
    </w:p>
    <w:p w14:paraId="16817E6D"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This study aims to evaluate the effect of remote work on employee engagement and organizational culture at HSBC Holdings plc in the United Kingdom’s post-pandemic period.</w:t>
      </w:r>
    </w:p>
    <w:p w14:paraId="00DBD4B2" w14:textId="77777777" w:rsidR="00F96A13" w:rsidRPr="000E437E" w:rsidRDefault="00F96A13" w:rsidP="000E437E">
      <w:pPr>
        <w:pStyle w:val="Heading2"/>
        <w:spacing w:line="360" w:lineRule="auto"/>
        <w:jc w:val="both"/>
        <w:rPr>
          <w:rFonts w:ascii="Arial" w:hAnsi="Arial" w:cs="Arial"/>
          <w:color w:val="auto"/>
          <w:sz w:val="22"/>
          <w:szCs w:val="22"/>
        </w:rPr>
      </w:pPr>
      <w:bookmarkStart w:id="4" w:name="_Toc165886045"/>
      <w:r w:rsidRPr="000E437E">
        <w:rPr>
          <w:rFonts w:ascii="Arial" w:hAnsi="Arial" w:cs="Arial"/>
          <w:color w:val="auto"/>
          <w:sz w:val="22"/>
          <w:szCs w:val="22"/>
        </w:rPr>
        <w:t>1.4 Research Objectives</w:t>
      </w:r>
      <w:bookmarkEnd w:id="4"/>
    </w:p>
    <w:p w14:paraId="0C7B73E1"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1. To Assess the level of remote working implementation at HSBC Holdings plc in the United Kingdom in terms of the frequency, duration, and departmental spread.</w:t>
      </w:r>
    </w:p>
    <w:p w14:paraId="77192F97"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2. To Assess the change in the level of employee engagement after the shift to remote work introducing factors like satisfaction, motivation, and connection to the organizational mission.</w:t>
      </w:r>
    </w:p>
    <w:p w14:paraId="1C43A9AF"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3. To Examine the </w:t>
      </w:r>
      <w:bookmarkStart w:id="5" w:name="_Hlk161928330"/>
      <w:r w:rsidRPr="000E437E">
        <w:rPr>
          <w:rFonts w:ascii="Arial" w:hAnsi="Arial" w:cs="Arial"/>
          <w:sz w:val="22"/>
          <w:lang w:val="en-US" w:bidi="th-TH"/>
        </w:rPr>
        <w:t xml:space="preserve">influence of remote working on the organizational culture </w:t>
      </w:r>
      <w:bookmarkEnd w:id="5"/>
      <w:r w:rsidRPr="000E437E">
        <w:rPr>
          <w:rFonts w:ascii="Arial" w:hAnsi="Arial" w:cs="Arial"/>
          <w:sz w:val="22"/>
          <w:lang w:val="en-US" w:bidi="th-TH"/>
        </w:rPr>
        <w:t>at HSBC Holdings plc in the UK, focusing on changes within communication patterns, collaboration dynamics, and adherence to the company’s values.</w:t>
      </w:r>
    </w:p>
    <w:p w14:paraId="6AD15725" w14:textId="77777777" w:rsidR="00F96A13" w:rsidRPr="000E437E" w:rsidRDefault="00F96A13" w:rsidP="000E437E">
      <w:pPr>
        <w:pStyle w:val="Heading2"/>
        <w:spacing w:line="360" w:lineRule="auto"/>
        <w:jc w:val="both"/>
        <w:rPr>
          <w:rFonts w:ascii="Arial" w:hAnsi="Arial" w:cs="Arial"/>
          <w:color w:val="auto"/>
          <w:sz w:val="22"/>
          <w:szCs w:val="22"/>
        </w:rPr>
      </w:pPr>
      <w:bookmarkStart w:id="6" w:name="_Toc165886046"/>
      <w:r w:rsidRPr="000E437E">
        <w:rPr>
          <w:rFonts w:ascii="Arial" w:hAnsi="Arial" w:cs="Arial"/>
          <w:color w:val="auto"/>
          <w:sz w:val="22"/>
          <w:szCs w:val="22"/>
        </w:rPr>
        <w:t>1.5 Research Questions</w:t>
      </w:r>
      <w:bookmarkEnd w:id="6"/>
    </w:p>
    <w:p w14:paraId="7C090599"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1. What is the extent of remote working adoption at HSBC Holdings plc in the UK, including the frequency, duration, and distribution across departments?</w:t>
      </w:r>
    </w:p>
    <w:p w14:paraId="0128B2CD"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2. How has the shift to remote work impacted employee engagement levels at HSBC Holdings plc in the UK, specifically in terms of satisfaction, motivation, and alignment with the organizational mission?</w:t>
      </w:r>
    </w:p>
    <w:p w14:paraId="11600B76"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3. What are the observed changes in organizational culture at HSBC Holdings plc in the UK following the implementation of remote working, particularly regarding communication patterns, collaboration dynamics, and adherence to company values?</w:t>
      </w:r>
    </w:p>
    <w:p w14:paraId="2CA46F0F" w14:textId="77777777" w:rsidR="00F96A13" w:rsidRPr="000E437E" w:rsidRDefault="00F96A13" w:rsidP="000E437E">
      <w:pPr>
        <w:pStyle w:val="Heading2"/>
        <w:spacing w:line="360" w:lineRule="auto"/>
        <w:jc w:val="both"/>
        <w:rPr>
          <w:rFonts w:ascii="Arial" w:hAnsi="Arial" w:cs="Arial"/>
          <w:color w:val="auto"/>
          <w:sz w:val="22"/>
          <w:szCs w:val="22"/>
        </w:rPr>
      </w:pPr>
      <w:bookmarkStart w:id="7" w:name="_Toc165886047"/>
      <w:r w:rsidRPr="000E437E">
        <w:rPr>
          <w:rFonts w:ascii="Arial" w:hAnsi="Arial" w:cs="Arial"/>
          <w:color w:val="auto"/>
          <w:sz w:val="22"/>
          <w:szCs w:val="22"/>
        </w:rPr>
        <w:t>1.6 Significant/ Relevance of the Study</w:t>
      </w:r>
      <w:bookmarkEnd w:id="7"/>
    </w:p>
    <w:p w14:paraId="3B45527A"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The importance of this study is its contribution to the investigation of what ways remote work affects employee engagement and organizational culture within the global banking and financial services company HSBC Holdings plc in the United Kingdom in the post-pandemic period </w:t>
      </w:r>
      <w:r w:rsidRPr="000E437E">
        <w:rPr>
          <w:rFonts w:ascii="Arial" w:hAnsi="Arial" w:cs="Arial"/>
          <w:sz w:val="22"/>
        </w:rPr>
        <w:t>(Luthia and Sathiamoorthy, 2021)</w:t>
      </w:r>
      <w:r w:rsidRPr="000E437E">
        <w:rPr>
          <w:rFonts w:ascii="Arial" w:hAnsi="Arial" w:cs="Arial"/>
          <w:sz w:val="22"/>
          <w:lang w:val="en-US" w:bidi="th-TH"/>
        </w:rPr>
        <w:t xml:space="preserve">. Since remote work is likely to have an impact on these key aspects, </w:t>
      </w:r>
      <w:r w:rsidRPr="000E437E">
        <w:rPr>
          <w:rFonts w:ascii="Arial" w:hAnsi="Arial" w:cs="Arial"/>
          <w:sz w:val="22"/>
          <w:lang w:val="en-US" w:bidi="th-TH"/>
        </w:rPr>
        <w:lastRenderedPageBreak/>
        <w:t xml:space="preserve">HSBC needs to have them in mind when changing the way, they do business. What makes the HSBC research results particularly relevant is that many other organizations around the world have also switched to remote working, making the findings applicable not only to HSBC but also to invoke discussion on developing ways to optimize remote work practices that enhance employee engagement and company culture on a global scale </w:t>
      </w:r>
      <w:r w:rsidRPr="000E437E">
        <w:rPr>
          <w:rFonts w:ascii="Arial" w:hAnsi="Arial" w:cs="Arial"/>
          <w:sz w:val="22"/>
        </w:rPr>
        <w:t>(Luthia and Sathiamoorthy, 2021)</w:t>
      </w:r>
      <w:r w:rsidRPr="000E437E">
        <w:rPr>
          <w:rFonts w:ascii="Arial" w:hAnsi="Arial" w:cs="Arial"/>
          <w:sz w:val="22"/>
          <w:lang w:val="en-US" w:bidi="th-TH"/>
        </w:rPr>
        <w:t>.</w:t>
      </w:r>
    </w:p>
    <w:p w14:paraId="6D79E11B" w14:textId="77777777" w:rsidR="00F96A13" w:rsidRPr="000E437E" w:rsidRDefault="00F96A13" w:rsidP="000E437E">
      <w:pPr>
        <w:pStyle w:val="Heading2"/>
        <w:spacing w:line="360" w:lineRule="auto"/>
        <w:jc w:val="both"/>
        <w:rPr>
          <w:rFonts w:ascii="Arial" w:hAnsi="Arial" w:cs="Arial"/>
          <w:color w:val="auto"/>
          <w:sz w:val="22"/>
          <w:szCs w:val="22"/>
        </w:rPr>
      </w:pPr>
      <w:bookmarkStart w:id="8" w:name="_Toc165886048"/>
      <w:r w:rsidRPr="000E437E">
        <w:rPr>
          <w:rFonts w:ascii="Arial" w:hAnsi="Arial" w:cs="Arial"/>
          <w:color w:val="auto"/>
          <w:sz w:val="22"/>
          <w:szCs w:val="22"/>
        </w:rPr>
        <w:t>1.7 Research Methodology</w:t>
      </w:r>
      <w:bookmarkEnd w:id="8"/>
    </w:p>
    <w:p w14:paraId="77BDB59A"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The research methodology that is used for the research purpose was secondary research methodology which, examined the fact that remote work has harmed the employee engagement and organizational culture at HSBC Holdings plc in the UK in recent future. Data gathering was drawn from academic journals, trade reports, as well as company documentation </w:t>
      </w:r>
      <w:r w:rsidRPr="000E437E">
        <w:rPr>
          <w:rFonts w:ascii="Arial" w:hAnsi="Arial" w:cs="Arial"/>
          <w:sz w:val="22"/>
        </w:rPr>
        <w:t>(Largan and Morris, 2019)</w:t>
      </w:r>
      <w:r w:rsidRPr="000E437E">
        <w:rPr>
          <w:rFonts w:ascii="Arial" w:hAnsi="Arial" w:cs="Arial"/>
          <w:sz w:val="22"/>
          <w:lang w:val="en-US" w:bidi="th-TH"/>
        </w:rPr>
        <w:t xml:space="preserve">. Pattern recognition was employed to assess common themes and trends. Increasing the knowledge of ways that remote work enhances or diminishes employee engagement or cultural aspects among HSBC employees was done by this method </w:t>
      </w:r>
      <w:r w:rsidRPr="000E437E">
        <w:rPr>
          <w:rFonts w:ascii="Arial" w:hAnsi="Arial" w:cs="Arial"/>
          <w:sz w:val="22"/>
        </w:rPr>
        <w:t>(Largan and Morris, 2019)</w:t>
      </w:r>
      <w:r w:rsidRPr="000E437E">
        <w:rPr>
          <w:rFonts w:ascii="Arial" w:hAnsi="Arial" w:cs="Arial"/>
          <w:sz w:val="22"/>
          <w:lang w:val="en-US" w:bidi="th-TH"/>
        </w:rPr>
        <w:t>.</w:t>
      </w:r>
    </w:p>
    <w:p w14:paraId="43ECCB42" w14:textId="77777777" w:rsidR="00F96A13" w:rsidRPr="000E437E" w:rsidRDefault="00F96A13" w:rsidP="000E437E">
      <w:pPr>
        <w:pStyle w:val="Heading2"/>
        <w:spacing w:line="360" w:lineRule="auto"/>
        <w:jc w:val="both"/>
        <w:rPr>
          <w:rFonts w:ascii="Arial" w:hAnsi="Arial" w:cs="Arial"/>
          <w:color w:val="auto"/>
          <w:sz w:val="22"/>
          <w:szCs w:val="22"/>
        </w:rPr>
      </w:pPr>
      <w:bookmarkStart w:id="9" w:name="_Toc165886049"/>
      <w:r w:rsidRPr="000E437E">
        <w:rPr>
          <w:rFonts w:ascii="Arial" w:hAnsi="Arial" w:cs="Arial"/>
          <w:color w:val="auto"/>
          <w:sz w:val="22"/>
          <w:szCs w:val="22"/>
        </w:rPr>
        <w:t>1.8 Structure of the Project</w:t>
      </w:r>
      <w:bookmarkEnd w:id="9"/>
      <w:r w:rsidRPr="000E437E">
        <w:rPr>
          <w:rFonts w:ascii="Arial" w:hAnsi="Arial" w:cs="Arial"/>
          <w:color w:val="auto"/>
          <w:sz w:val="22"/>
          <w:szCs w:val="22"/>
        </w:rPr>
        <w:t xml:space="preserve"> </w:t>
      </w:r>
    </w:p>
    <w:p w14:paraId="6E3E759F"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The research is divided into five chapters that together represent a thorough structure. Chapter 1 sets up the scene in which this study stands and the aims. The other chapter of this study is the literature review of Chapter 2, which is the analysis of close research areas and the generation of a conceptual framework </w:t>
      </w:r>
      <w:r w:rsidRPr="000E437E">
        <w:rPr>
          <w:rFonts w:ascii="Arial" w:hAnsi="Arial" w:cs="Arial"/>
          <w:sz w:val="22"/>
        </w:rPr>
        <w:t>(Negi, 2021)</w:t>
      </w:r>
      <w:r w:rsidRPr="000E437E">
        <w:rPr>
          <w:rFonts w:ascii="Arial" w:hAnsi="Arial" w:cs="Arial"/>
          <w:sz w:val="22"/>
          <w:lang w:val="en-US" w:bidi="th-TH"/>
        </w:rPr>
        <w:t xml:space="preserve">. In Chapter 3, relevant research methodologies are presented and supported by the assumptions of philosophy that are adopted. Further, the design and the approaches used to gather data are outlined. Ethical issues must be resolved as well. Chapter 4 gives an account that touches on the outcomes and findings of the study using related literature </w:t>
      </w:r>
      <w:r w:rsidRPr="000E437E">
        <w:rPr>
          <w:rFonts w:ascii="Arial" w:hAnsi="Arial" w:cs="Arial"/>
          <w:sz w:val="22"/>
        </w:rPr>
        <w:t>(Negi, 2021)</w:t>
      </w:r>
      <w:r w:rsidRPr="000E437E">
        <w:rPr>
          <w:rFonts w:ascii="Arial" w:hAnsi="Arial" w:cs="Arial"/>
          <w:sz w:val="22"/>
          <w:lang w:val="en-US" w:bidi="th-TH"/>
        </w:rPr>
        <w:t>. The final chapter, 5, includes the concluding section, which is comprised of summarizing findings, answering research questions, offering suggestions and recommendations on practice and theory, addressing the limitations, and proposing the areas for future research.</w:t>
      </w:r>
    </w:p>
    <w:p w14:paraId="6D333C03" w14:textId="77777777" w:rsidR="00F96A13" w:rsidRPr="000E437E" w:rsidRDefault="00F96A13" w:rsidP="000E437E">
      <w:pPr>
        <w:pStyle w:val="Heading1"/>
        <w:spacing w:line="360" w:lineRule="auto"/>
        <w:jc w:val="both"/>
        <w:rPr>
          <w:rFonts w:ascii="Arial" w:hAnsi="Arial" w:cs="Arial"/>
          <w:color w:val="auto"/>
          <w:sz w:val="22"/>
          <w:szCs w:val="22"/>
        </w:rPr>
      </w:pPr>
      <w:bookmarkStart w:id="10" w:name="_Toc165886050"/>
      <w:r w:rsidRPr="000E437E">
        <w:rPr>
          <w:rFonts w:ascii="Arial" w:hAnsi="Arial" w:cs="Arial"/>
          <w:color w:val="auto"/>
          <w:sz w:val="22"/>
          <w:szCs w:val="22"/>
        </w:rPr>
        <w:t>CHAPTER 2. LITERATURE REVIEW</w:t>
      </w:r>
      <w:bookmarkEnd w:id="10"/>
    </w:p>
    <w:p w14:paraId="6192249E" w14:textId="77777777" w:rsidR="00F96A13" w:rsidRPr="000E437E" w:rsidRDefault="00F96A13" w:rsidP="000E437E">
      <w:pPr>
        <w:pStyle w:val="Heading2"/>
        <w:spacing w:line="360" w:lineRule="auto"/>
        <w:jc w:val="both"/>
        <w:rPr>
          <w:rFonts w:ascii="Arial" w:hAnsi="Arial" w:cs="Arial"/>
          <w:color w:val="auto"/>
          <w:sz w:val="22"/>
          <w:szCs w:val="22"/>
        </w:rPr>
      </w:pPr>
      <w:bookmarkStart w:id="11" w:name="_Toc165886051"/>
      <w:r w:rsidRPr="000E437E">
        <w:rPr>
          <w:rFonts w:ascii="Arial" w:hAnsi="Arial" w:cs="Arial"/>
          <w:color w:val="auto"/>
          <w:sz w:val="22"/>
          <w:szCs w:val="22"/>
        </w:rPr>
        <w:t>2.1 Introduction</w:t>
      </w:r>
      <w:bookmarkEnd w:id="11"/>
    </w:p>
    <w:p w14:paraId="3E93A009"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The literature review deals with the main ideas associated with remote workers, work-related engagement, and organizational culture, in particular the post-COVID-19 era. The paper starts by looking at the shifts and burgeoning of the remote work model after the worldwide pandemic and its effects on organizational structures and employee experience. The review, continuing, </w:t>
      </w:r>
      <w:r w:rsidRPr="000E437E">
        <w:rPr>
          <w:rFonts w:ascii="Arial" w:hAnsi="Arial" w:cs="Arial"/>
          <w:sz w:val="22"/>
          <w:lang w:val="en-US" w:bidi="th-TH"/>
        </w:rPr>
        <w:lastRenderedPageBreak/>
        <w:t xml:space="preserve">emphasizes the multi-dimensional aspect of employee engagement by highlighting the foundations, driving forces and measurement approaches it employs </w:t>
      </w:r>
      <w:r w:rsidRPr="000E437E">
        <w:rPr>
          <w:rFonts w:ascii="Arial" w:hAnsi="Arial" w:cs="Arial"/>
          <w:sz w:val="22"/>
        </w:rPr>
        <w:t>(Pass and Ridgway, 2022)</w:t>
      </w:r>
      <w:r w:rsidRPr="000E437E">
        <w:rPr>
          <w:rFonts w:ascii="Arial" w:hAnsi="Arial" w:cs="Arial"/>
          <w:sz w:val="22"/>
          <w:lang w:val="en-US" w:bidi="th-TH"/>
        </w:rPr>
        <w:t xml:space="preserve">. Ostensibly, it focuses on the role and importance of workplace culture in a remote setting, taking into account the fact that this culture has an impact on the actions of employees and the results of the organization as a whole. Last but not least, the paper will assess the joint effect of remote work, employee engagement as well as organizational culture based on conceptual frameworks such as the Job Demands-Resources Model and Psychological Contract Theory to offer a theoretical approach to those relationships </w:t>
      </w:r>
      <w:r w:rsidRPr="000E437E">
        <w:rPr>
          <w:rFonts w:ascii="Arial" w:hAnsi="Arial" w:cs="Arial"/>
          <w:sz w:val="22"/>
        </w:rPr>
        <w:t>(Pass and Ridgway, 2022)</w:t>
      </w:r>
      <w:r w:rsidRPr="000E437E">
        <w:rPr>
          <w:rFonts w:ascii="Arial" w:hAnsi="Arial" w:cs="Arial"/>
          <w:sz w:val="22"/>
          <w:lang w:val="en-US" w:bidi="th-TH"/>
        </w:rPr>
        <w:t>.</w:t>
      </w:r>
    </w:p>
    <w:p w14:paraId="4839ED79" w14:textId="21432D21" w:rsidR="00E35324" w:rsidRPr="000E437E" w:rsidRDefault="00F96A13" w:rsidP="000E437E">
      <w:pPr>
        <w:pStyle w:val="Heading2"/>
        <w:spacing w:line="360" w:lineRule="auto"/>
        <w:jc w:val="both"/>
        <w:rPr>
          <w:rFonts w:ascii="Arial" w:hAnsi="Arial" w:cs="Arial"/>
          <w:color w:val="auto"/>
          <w:sz w:val="22"/>
          <w:szCs w:val="22"/>
        </w:rPr>
      </w:pPr>
      <w:bookmarkStart w:id="12" w:name="_Toc165886052"/>
      <w:r w:rsidRPr="000E437E">
        <w:rPr>
          <w:rFonts w:ascii="Arial" w:hAnsi="Arial" w:cs="Arial"/>
          <w:color w:val="auto"/>
          <w:sz w:val="22"/>
          <w:szCs w:val="22"/>
        </w:rPr>
        <w:t>2.2</w:t>
      </w:r>
      <w:r w:rsidR="00E35324" w:rsidRPr="000E437E">
        <w:rPr>
          <w:rFonts w:ascii="Arial" w:hAnsi="Arial" w:cs="Arial"/>
          <w:color w:val="auto"/>
          <w:sz w:val="22"/>
          <w:szCs w:val="22"/>
        </w:rPr>
        <w:t xml:space="preserve"> Level of remote working implementation and Trends and Adoption in the Post-Pandemic Era HSBC Holdings plc in the United Kingdom</w:t>
      </w:r>
      <w:bookmarkEnd w:id="12"/>
      <w:r w:rsidRPr="000E437E">
        <w:rPr>
          <w:rFonts w:ascii="Arial" w:hAnsi="Arial" w:cs="Arial"/>
          <w:color w:val="auto"/>
          <w:sz w:val="22"/>
          <w:szCs w:val="22"/>
        </w:rPr>
        <w:t xml:space="preserve"> </w:t>
      </w:r>
    </w:p>
    <w:p w14:paraId="0672F1C6" w14:textId="6C15012D"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In the post-pandemic United Kingdom, remote work has undergone a significant transition, and the number of people using it has tripled compared with just 2-3 years ago as the COVID-19 virus hit. Sharing recent information from the UK's Office for National Statistics (ONS) now, the proportion of people coming to work at home shot up to 45% during lockdowns in 2020 from just 27% before the pandemic </w:t>
      </w:r>
      <w:r w:rsidRPr="000E437E">
        <w:rPr>
          <w:rFonts w:ascii="Arial" w:hAnsi="Arial" w:cs="Arial"/>
          <w:sz w:val="22"/>
        </w:rPr>
        <w:t>(Mantesi, Chmutina and Goodier, 2022)</w:t>
      </w:r>
      <w:r w:rsidRPr="000E437E">
        <w:rPr>
          <w:rFonts w:ascii="Arial" w:hAnsi="Arial" w:cs="Arial"/>
          <w:sz w:val="22"/>
          <w:lang w:val="en-US" w:bidi="th-TH"/>
        </w:rPr>
        <w:t xml:space="preserve">. These factors were manifold and they included the enforcement of laws, health issues, and the appearance of technology, which made it possible to do business from a distance. In the wake of the pandemic, the hybrid work models, when employees spend part of their time at remote work and the rest in-office, have gained much prominence. According to data collected from businesses surveyed by YouGov in 2021, 63% of UK employees wowed to have preferred a hybrid direction </w:t>
      </w:r>
      <w:r w:rsidRPr="000E437E">
        <w:rPr>
          <w:rFonts w:ascii="Arial" w:hAnsi="Arial" w:cs="Arial"/>
          <w:sz w:val="22"/>
        </w:rPr>
        <w:t>(Mantesi, Chmutina and Goodier, 2022)</w:t>
      </w:r>
      <w:r w:rsidRPr="000E437E">
        <w:rPr>
          <w:rFonts w:ascii="Arial" w:hAnsi="Arial" w:cs="Arial"/>
          <w:sz w:val="22"/>
          <w:lang w:val="en-US" w:bidi="th-TH"/>
        </w:rPr>
        <w:t>. This is an implication that the workers had a desire for flexibility in their working environment. This trend shows that employment is going through a process of transformation; finding that companies are often keen to provide their staff members with the opportunity to work remotely as an incentive to both attract and retain talent</w:t>
      </w:r>
      <w:r w:rsidR="00E35324" w:rsidRPr="000E437E">
        <w:rPr>
          <w:rFonts w:ascii="Arial" w:hAnsi="Arial" w:cs="Arial"/>
          <w:sz w:val="22"/>
          <w:lang w:val="en-US" w:bidi="th-TH"/>
        </w:rPr>
        <w:t xml:space="preserve"> (Yang et al., 2021)</w:t>
      </w:r>
      <w:r w:rsidRPr="000E437E">
        <w:rPr>
          <w:rFonts w:ascii="Arial" w:hAnsi="Arial" w:cs="Arial"/>
          <w:sz w:val="22"/>
          <w:lang w:val="en-US" w:bidi="th-TH"/>
        </w:rPr>
        <w:t>.</w:t>
      </w:r>
    </w:p>
    <w:p w14:paraId="02B1F8C6" w14:textId="596C4B09" w:rsidR="00F96A13" w:rsidRPr="000E437E" w:rsidRDefault="00F96A13" w:rsidP="000E437E">
      <w:pPr>
        <w:spacing w:line="360" w:lineRule="auto"/>
        <w:jc w:val="both"/>
        <w:rPr>
          <w:rFonts w:ascii="Arial" w:hAnsi="Arial" w:cs="Arial"/>
          <w:sz w:val="22"/>
          <w:lang w:val="en-US" w:bidi="th-TH"/>
        </w:rPr>
      </w:pPr>
      <w:r w:rsidRPr="000E437E">
        <w:rPr>
          <w:rFonts w:ascii="Arial" w:hAnsi="Arial" w:cs="Arial"/>
          <w:noProof/>
          <w:sz w:val="22"/>
          <w:lang w:val="en-US" w:bidi="th-TH"/>
        </w:rPr>
        <w:drawing>
          <wp:inline distT="0" distB="0" distL="0" distR="0" wp14:anchorId="0BC3349C" wp14:editId="4F99C6CB">
            <wp:extent cx="3524250" cy="2133600"/>
            <wp:effectExtent l="0" t="0" r="0" b="0"/>
            <wp:docPr id="3229358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4250" cy="2133600"/>
                    </a:xfrm>
                    <a:prstGeom prst="rect">
                      <a:avLst/>
                    </a:prstGeom>
                    <a:noFill/>
                    <a:ln>
                      <a:noFill/>
                    </a:ln>
                  </pic:spPr>
                </pic:pic>
              </a:graphicData>
            </a:graphic>
          </wp:inline>
        </w:drawing>
      </w:r>
    </w:p>
    <w:p w14:paraId="00A16E1E" w14:textId="2AF33F85" w:rsidR="00F96A13" w:rsidRPr="000E437E" w:rsidRDefault="00B638AC" w:rsidP="000E437E">
      <w:pPr>
        <w:pStyle w:val="Caption"/>
        <w:jc w:val="both"/>
        <w:rPr>
          <w:rFonts w:ascii="Arial" w:hAnsi="Arial" w:cs="Arial"/>
          <w:sz w:val="22"/>
          <w:szCs w:val="22"/>
          <w:lang w:val="en-US" w:bidi="th-TH"/>
        </w:rPr>
      </w:pPr>
      <w:bookmarkStart w:id="13" w:name="_Toc165886024"/>
      <w:r w:rsidRPr="000E437E">
        <w:rPr>
          <w:rFonts w:ascii="Arial" w:hAnsi="Arial" w:cs="Arial"/>
          <w:sz w:val="22"/>
          <w:szCs w:val="22"/>
        </w:rPr>
        <w:lastRenderedPageBreak/>
        <w:t xml:space="preserve">Figure </w:t>
      </w:r>
      <w:r w:rsidRPr="000E437E">
        <w:rPr>
          <w:rFonts w:ascii="Arial" w:hAnsi="Arial" w:cs="Arial"/>
          <w:sz w:val="22"/>
          <w:szCs w:val="22"/>
        </w:rPr>
        <w:fldChar w:fldCharType="begin"/>
      </w:r>
      <w:r w:rsidRPr="000E437E">
        <w:rPr>
          <w:rFonts w:ascii="Arial" w:hAnsi="Arial" w:cs="Arial"/>
          <w:sz w:val="22"/>
          <w:szCs w:val="22"/>
        </w:rPr>
        <w:instrText xml:space="preserve"> SEQ Figure \* ARABIC </w:instrText>
      </w:r>
      <w:r w:rsidRPr="000E437E">
        <w:rPr>
          <w:rFonts w:ascii="Arial" w:hAnsi="Arial" w:cs="Arial"/>
          <w:sz w:val="22"/>
          <w:szCs w:val="22"/>
        </w:rPr>
        <w:fldChar w:fldCharType="separate"/>
      </w:r>
      <w:r w:rsidR="0096349E" w:rsidRPr="000E437E">
        <w:rPr>
          <w:rFonts w:ascii="Arial" w:hAnsi="Arial" w:cs="Arial"/>
          <w:noProof/>
          <w:sz w:val="22"/>
          <w:szCs w:val="22"/>
        </w:rPr>
        <w:t>1</w:t>
      </w:r>
      <w:r w:rsidRPr="000E437E">
        <w:rPr>
          <w:rFonts w:ascii="Arial" w:hAnsi="Arial" w:cs="Arial"/>
          <w:sz w:val="22"/>
          <w:szCs w:val="22"/>
        </w:rPr>
        <w:fldChar w:fldCharType="end"/>
      </w:r>
      <w:r w:rsidR="00F96A13" w:rsidRPr="000E437E">
        <w:rPr>
          <w:rFonts w:ascii="Arial" w:hAnsi="Arial" w:cs="Arial"/>
          <w:sz w:val="22"/>
          <w:szCs w:val="22"/>
          <w:lang w:val="en-US" w:bidi="th-TH"/>
        </w:rPr>
        <w:t>. Trends in Remote Work Adoption and Preferences</w:t>
      </w:r>
      <w:bookmarkEnd w:id="13"/>
    </w:p>
    <w:p w14:paraId="4C0A327E"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Source: </w:t>
      </w:r>
      <w:r w:rsidRPr="000E437E">
        <w:rPr>
          <w:rFonts w:ascii="Arial" w:hAnsi="Arial" w:cs="Arial"/>
          <w:sz w:val="22"/>
        </w:rPr>
        <w:t>(Bogason, Brynteson and Salonen, 2024)</w:t>
      </w:r>
    </w:p>
    <w:p w14:paraId="3E3FE216" w14:textId="4AE377CD"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One of the most experienced industries in adapting to remote work is probably here. As a case in point, the distance-based work models of the economy in the UK, more specifically the financial and professional services, have significantly increased in the recent period. An analysis by PwC showed that 77% of the financial services companies in the UK are due to maintain increased working from home even after the pandemic is over </w:t>
      </w:r>
      <w:r w:rsidRPr="000E437E">
        <w:rPr>
          <w:rFonts w:ascii="Arial" w:hAnsi="Arial" w:cs="Arial"/>
          <w:sz w:val="22"/>
        </w:rPr>
        <w:t>(Bogason, Brynteson and Salonen, 2024)</w:t>
      </w:r>
      <w:r w:rsidRPr="000E437E">
        <w:rPr>
          <w:rFonts w:ascii="Arial" w:hAnsi="Arial" w:cs="Arial"/>
          <w:sz w:val="22"/>
          <w:lang w:val="en-US" w:bidi="th-TH"/>
        </w:rPr>
        <w:t>. Additionally, UK tech companies, inclusive of those with addresses in Silicon Roundabout in London, are not reluctant to make it a permanent feature for remote work. Supporting technologies have notably contributed to easing the current prevalence of remote work</w:t>
      </w:r>
      <w:r w:rsidR="00E35324" w:rsidRPr="000E437E">
        <w:rPr>
          <w:rFonts w:ascii="Arial" w:hAnsi="Arial" w:cs="Arial"/>
          <w:sz w:val="22"/>
          <w:lang w:val="en-US" w:bidi="th-TH"/>
        </w:rPr>
        <w:t xml:space="preserve"> (Yang et al., 2021)</w:t>
      </w:r>
      <w:r w:rsidRPr="000E437E">
        <w:rPr>
          <w:rFonts w:ascii="Arial" w:hAnsi="Arial" w:cs="Arial"/>
          <w:sz w:val="22"/>
          <w:lang w:val="en-US" w:bidi="th-TH"/>
        </w:rPr>
        <w:t xml:space="preserve">. Today, remote working has been made convenient by the omnipresence of high-speed internet connectivity, cloud-based collaboration tools, and video conferencing platforms that allow employees to work without experiencing major work interruptions </w:t>
      </w:r>
      <w:r w:rsidRPr="000E437E">
        <w:rPr>
          <w:rFonts w:ascii="Arial" w:hAnsi="Arial" w:cs="Arial"/>
          <w:sz w:val="22"/>
        </w:rPr>
        <w:t>(Bogason, Brynteson and Salonen, 2024)</w:t>
      </w:r>
      <w:r w:rsidRPr="000E437E">
        <w:rPr>
          <w:rFonts w:ascii="Arial" w:hAnsi="Arial" w:cs="Arial"/>
          <w:sz w:val="22"/>
          <w:lang w:val="en-US" w:bidi="th-TH"/>
        </w:rPr>
        <w:t>. The Ofcom data, which is responsible for the UK communications regulator, show that due to the pandemic, the broadband usage in the residential areas has by this volume, which is a wake-up call for society that needs digital infrastructure for remote tasks</w:t>
      </w:r>
      <w:r w:rsidR="00E35324" w:rsidRPr="000E437E">
        <w:rPr>
          <w:rFonts w:ascii="Arial" w:hAnsi="Arial" w:cs="Arial"/>
          <w:sz w:val="22"/>
          <w:lang w:val="en-US" w:bidi="th-TH"/>
        </w:rPr>
        <w:t xml:space="preserve"> (Madero Gómez et al., 2020)</w:t>
      </w:r>
      <w:r w:rsidRPr="000E437E">
        <w:rPr>
          <w:rFonts w:ascii="Arial" w:hAnsi="Arial" w:cs="Arial"/>
          <w:sz w:val="22"/>
          <w:lang w:val="en-US" w:bidi="th-TH"/>
        </w:rPr>
        <w:t>.</w:t>
      </w:r>
    </w:p>
    <w:p w14:paraId="33D13651" w14:textId="0720A502"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Yet, the spread of remote work is not a uniform effect across all professions and income groups. Particular companies, such as retail, hospitality, and manufacturing, have faced some difficulties in adopting remote work as a result of their activities’ nature. Meanwhile, as regards the adoption of remote work a wide gap is observed due to the factors such as income, education, and geographic areas </w:t>
      </w:r>
      <w:r w:rsidRPr="000E437E">
        <w:rPr>
          <w:rFonts w:ascii="Arial" w:hAnsi="Arial" w:cs="Arial"/>
          <w:sz w:val="22"/>
        </w:rPr>
        <w:t>(Bogason, Brynteson and Salonen, 2024)</w:t>
      </w:r>
      <w:r w:rsidRPr="000E437E">
        <w:rPr>
          <w:rFonts w:ascii="Arial" w:hAnsi="Arial" w:cs="Arial"/>
          <w:sz w:val="22"/>
          <w:lang w:val="en-US" w:bidi="th-TH"/>
        </w:rPr>
        <w:t xml:space="preserve">. A Digital Economy and Jobs report by ONS revealed that high-income earners and city dwellers constitute the group of people with jobs more supportive of remote work. Moving forward, the UK's remote working trend is yet to usher in clarity. Notwithstanding many companies publicizing their intention of continuing remote work as a preference, there are worries about outcomes such as productivity, collaboration, and employees' well-being </w:t>
      </w:r>
      <w:r w:rsidR="00E35324" w:rsidRPr="000E437E">
        <w:rPr>
          <w:rFonts w:ascii="Arial" w:hAnsi="Arial" w:cs="Arial"/>
          <w:sz w:val="22"/>
        </w:rPr>
        <w:t>(Madero Gómez et al., 2020)</w:t>
      </w:r>
      <w:r w:rsidRPr="000E437E">
        <w:rPr>
          <w:rFonts w:ascii="Arial" w:hAnsi="Arial" w:cs="Arial"/>
          <w:sz w:val="22"/>
          <w:lang w:val="en-US" w:bidi="th-TH"/>
        </w:rPr>
        <w:t xml:space="preserve">. Companies are faced with the issues of how they will create the company culture, teamwork, and a level playing field for the remote and on-site workers. </w:t>
      </w:r>
    </w:p>
    <w:p w14:paraId="7C1D9079" w14:textId="0C37C507" w:rsidR="00F96A13" w:rsidRPr="000E437E" w:rsidRDefault="00F96A13" w:rsidP="000E437E">
      <w:pPr>
        <w:pStyle w:val="Heading2"/>
        <w:spacing w:line="360" w:lineRule="auto"/>
        <w:jc w:val="both"/>
        <w:rPr>
          <w:rFonts w:ascii="Arial" w:hAnsi="Arial" w:cs="Arial"/>
          <w:color w:val="auto"/>
          <w:sz w:val="22"/>
          <w:szCs w:val="22"/>
        </w:rPr>
      </w:pPr>
      <w:bookmarkStart w:id="14" w:name="_Toc165886053"/>
      <w:r w:rsidRPr="000E437E">
        <w:rPr>
          <w:rFonts w:ascii="Arial" w:hAnsi="Arial" w:cs="Arial"/>
          <w:color w:val="auto"/>
          <w:sz w:val="22"/>
          <w:szCs w:val="22"/>
        </w:rPr>
        <w:t xml:space="preserve">2.3 </w:t>
      </w:r>
      <w:r w:rsidR="00D029DF" w:rsidRPr="000E437E">
        <w:rPr>
          <w:rFonts w:ascii="Arial" w:hAnsi="Arial" w:cs="Arial"/>
          <w:color w:val="auto"/>
          <w:sz w:val="22"/>
          <w:szCs w:val="22"/>
        </w:rPr>
        <w:t xml:space="preserve">Level of </w:t>
      </w:r>
      <w:r w:rsidRPr="000E437E">
        <w:rPr>
          <w:rFonts w:ascii="Arial" w:hAnsi="Arial" w:cs="Arial"/>
          <w:color w:val="auto"/>
          <w:sz w:val="22"/>
          <w:szCs w:val="22"/>
        </w:rPr>
        <w:t>Employee Engagement in Remote Work: Analyzing Concepts, Drivers, and Measurement</w:t>
      </w:r>
      <w:bookmarkEnd w:id="14"/>
    </w:p>
    <w:p w14:paraId="153C6400" w14:textId="77777777" w:rsidR="00F96A13" w:rsidRPr="000E437E" w:rsidRDefault="00F96A13"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Concepts</w:t>
      </w:r>
    </w:p>
    <w:p w14:paraId="48D51929" w14:textId="198FCE91" w:rsidR="00F96A13" w:rsidRPr="000E437E" w:rsidRDefault="00F96A13" w:rsidP="000E437E">
      <w:pPr>
        <w:spacing w:line="360" w:lineRule="auto"/>
        <w:jc w:val="both"/>
        <w:rPr>
          <w:rFonts w:ascii="Arial" w:hAnsi="Arial" w:cs="Arial"/>
          <w:b/>
          <w:bCs/>
          <w:sz w:val="22"/>
          <w:lang w:val="en-US" w:bidi="th-TH"/>
        </w:rPr>
      </w:pPr>
      <w:r w:rsidRPr="000E437E">
        <w:rPr>
          <w:rFonts w:ascii="Arial" w:hAnsi="Arial" w:cs="Arial"/>
          <w:b/>
          <w:noProof/>
          <w:sz w:val="22"/>
          <w:lang w:val="en-US" w:bidi="th-TH"/>
        </w:rPr>
        <w:lastRenderedPageBreak/>
        <w:drawing>
          <wp:inline distT="0" distB="0" distL="0" distR="0" wp14:anchorId="5AC5F945" wp14:editId="1F910594">
            <wp:extent cx="2838450" cy="2781300"/>
            <wp:effectExtent l="0" t="0" r="0" b="0"/>
            <wp:docPr id="4404192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8450" cy="2781300"/>
                    </a:xfrm>
                    <a:prstGeom prst="rect">
                      <a:avLst/>
                    </a:prstGeom>
                    <a:noFill/>
                    <a:ln>
                      <a:noFill/>
                    </a:ln>
                  </pic:spPr>
                </pic:pic>
              </a:graphicData>
            </a:graphic>
          </wp:inline>
        </w:drawing>
      </w:r>
    </w:p>
    <w:p w14:paraId="32330679" w14:textId="6D7E08CC" w:rsidR="00F96A13" w:rsidRPr="000E437E" w:rsidRDefault="006571B0" w:rsidP="000E437E">
      <w:pPr>
        <w:pStyle w:val="Caption"/>
        <w:jc w:val="both"/>
        <w:rPr>
          <w:rFonts w:ascii="Arial" w:hAnsi="Arial" w:cs="Arial"/>
          <w:sz w:val="22"/>
          <w:szCs w:val="22"/>
          <w:lang w:val="en-US" w:bidi="th-TH"/>
        </w:rPr>
      </w:pPr>
      <w:bookmarkStart w:id="15" w:name="_Toc165886025"/>
      <w:r w:rsidRPr="000E437E">
        <w:rPr>
          <w:rFonts w:ascii="Arial" w:hAnsi="Arial" w:cs="Arial"/>
          <w:sz w:val="22"/>
          <w:szCs w:val="22"/>
        </w:rPr>
        <w:t xml:space="preserve">Figure </w:t>
      </w:r>
      <w:r w:rsidRPr="000E437E">
        <w:rPr>
          <w:rFonts w:ascii="Arial" w:hAnsi="Arial" w:cs="Arial"/>
          <w:sz w:val="22"/>
          <w:szCs w:val="22"/>
        </w:rPr>
        <w:fldChar w:fldCharType="begin"/>
      </w:r>
      <w:r w:rsidRPr="000E437E">
        <w:rPr>
          <w:rFonts w:ascii="Arial" w:hAnsi="Arial" w:cs="Arial"/>
          <w:sz w:val="22"/>
          <w:szCs w:val="22"/>
        </w:rPr>
        <w:instrText xml:space="preserve"> SEQ Figure \* ARABIC </w:instrText>
      </w:r>
      <w:r w:rsidRPr="000E437E">
        <w:rPr>
          <w:rFonts w:ascii="Arial" w:hAnsi="Arial" w:cs="Arial"/>
          <w:sz w:val="22"/>
          <w:szCs w:val="22"/>
        </w:rPr>
        <w:fldChar w:fldCharType="separate"/>
      </w:r>
      <w:r w:rsidR="0096349E" w:rsidRPr="000E437E">
        <w:rPr>
          <w:rFonts w:ascii="Arial" w:hAnsi="Arial" w:cs="Arial"/>
          <w:noProof/>
          <w:sz w:val="22"/>
          <w:szCs w:val="22"/>
        </w:rPr>
        <w:t>2</w:t>
      </w:r>
      <w:r w:rsidRPr="000E437E">
        <w:rPr>
          <w:rFonts w:ascii="Arial" w:hAnsi="Arial" w:cs="Arial"/>
          <w:sz w:val="22"/>
          <w:szCs w:val="22"/>
        </w:rPr>
        <w:fldChar w:fldCharType="end"/>
      </w:r>
      <w:r w:rsidR="00F96A13" w:rsidRPr="000E437E">
        <w:rPr>
          <w:rFonts w:ascii="Arial" w:hAnsi="Arial" w:cs="Arial"/>
          <w:sz w:val="22"/>
          <w:szCs w:val="22"/>
          <w:lang w:val="en-US" w:bidi="th-TH"/>
        </w:rPr>
        <w:t xml:space="preserve"> Employee engagement levels</w:t>
      </w:r>
      <w:bookmarkEnd w:id="15"/>
    </w:p>
    <w:p w14:paraId="6A8C1BDB"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Source: </w:t>
      </w:r>
      <w:r w:rsidRPr="000E437E">
        <w:rPr>
          <w:rFonts w:ascii="Arial" w:hAnsi="Arial" w:cs="Arial"/>
          <w:sz w:val="22"/>
        </w:rPr>
        <w:t>(Gratton, 2022)</w:t>
      </w:r>
    </w:p>
    <w:p w14:paraId="1C15A0D7" w14:textId="5EE6E416"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Employee engagement among employees is a crucial notion for organizational performance which is applicable for HSBC Holdings plc in the UK after this pandemic era. The concept of employee engagement relates to the involvement and emotional commitment of employees to their work, organization, and tasks </w:t>
      </w:r>
      <w:r w:rsidRPr="000E437E">
        <w:rPr>
          <w:rFonts w:ascii="Arial" w:hAnsi="Arial" w:cs="Arial"/>
          <w:sz w:val="22"/>
        </w:rPr>
        <w:t>(Dr. Chintala Lakshmana Rao and Dr Veena Prasad Vemuri, 2023)</w:t>
      </w:r>
      <w:r w:rsidRPr="000E437E">
        <w:rPr>
          <w:rFonts w:ascii="Arial" w:hAnsi="Arial" w:cs="Arial"/>
          <w:sz w:val="22"/>
          <w:lang w:val="en-US" w:bidi="th-TH"/>
        </w:rPr>
        <w:t>. In the UK context where remote work has recently become one of the popular things, being aware of the working principles, motivators and gauging factors of employee engagement will be so useful for HSBC to bring the best from the employees</w:t>
      </w:r>
      <w:r w:rsidR="00A40304" w:rsidRPr="000E437E">
        <w:rPr>
          <w:rFonts w:ascii="Arial" w:hAnsi="Arial" w:cs="Arial"/>
          <w:sz w:val="22"/>
          <w:lang w:val="en-US" w:bidi="th-TH"/>
        </w:rPr>
        <w:t xml:space="preserve"> (Soroui, 2020)</w:t>
      </w:r>
      <w:r w:rsidRPr="000E437E">
        <w:rPr>
          <w:rFonts w:ascii="Arial" w:hAnsi="Arial" w:cs="Arial"/>
          <w:sz w:val="22"/>
          <w:lang w:val="en-US" w:bidi="th-TH"/>
        </w:rPr>
        <w:t xml:space="preserve">. Taken conceptually, engagement of employees covers various factors including job satisfaction, organizational commitment, and a feeling of belonging, all of which are fundamental to sustaining high levels of performance and wellness among workers. Research has pointed out that in the UK those employees with whom they are engaged tend to surpass their colleagues by showing discretionary effort, innovative thinking, and loyalty to the organization which results in better organizational performances such as profitability and customer satisfaction </w:t>
      </w:r>
      <w:r w:rsidR="00A40304" w:rsidRPr="000E437E">
        <w:rPr>
          <w:rFonts w:ascii="Arial" w:hAnsi="Arial" w:cs="Arial"/>
          <w:sz w:val="22"/>
        </w:rPr>
        <w:t>(Soroui, 2020)</w:t>
      </w:r>
      <w:r w:rsidRPr="000E437E">
        <w:rPr>
          <w:rFonts w:ascii="Arial" w:hAnsi="Arial" w:cs="Arial"/>
          <w:sz w:val="22"/>
          <w:lang w:val="en-US" w:bidi="th-TH"/>
        </w:rPr>
        <w:t>.</w:t>
      </w:r>
    </w:p>
    <w:p w14:paraId="04C80A63" w14:textId="77777777" w:rsidR="00F96A13" w:rsidRPr="000E437E" w:rsidRDefault="00F96A13"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Drivers</w:t>
      </w:r>
    </w:p>
    <w:p w14:paraId="094326E0" w14:textId="33B906A7" w:rsidR="00F96A13" w:rsidRPr="000E437E" w:rsidRDefault="00F96A13" w:rsidP="000E437E">
      <w:pPr>
        <w:spacing w:line="360" w:lineRule="auto"/>
        <w:jc w:val="both"/>
        <w:rPr>
          <w:rFonts w:ascii="Arial" w:hAnsi="Arial" w:cs="Arial"/>
          <w:b/>
          <w:bCs/>
          <w:sz w:val="22"/>
          <w:lang w:val="en-US" w:bidi="th-TH"/>
        </w:rPr>
      </w:pPr>
      <w:r w:rsidRPr="000E437E">
        <w:rPr>
          <w:rFonts w:ascii="Arial" w:hAnsi="Arial" w:cs="Arial"/>
          <w:noProof/>
          <w:sz w:val="22"/>
        </w:rPr>
        <w:lastRenderedPageBreak/>
        <w:drawing>
          <wp:inline distT="0" distB="0" distL="0" distR="0" wp14:anchorId="77F8B989" wp14:editId="4546662A">
            <wp:extent cx="2790825" cy="1733550"/>
            <wp:effectExtent l="0" t="0" r="9525" b="0"/>
            <wp:docPr id="2142832782" name="Picture 4" descr="Drivers of Employee Engagement: Top 8 drivers + Fre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vers of Employee Engagement: Top 8 drivers + Free Guide"/>
                    <pic:cNvPicPr>
                      <a:picLocks noChangeAspect="1" noChangeArrowheads="1"/>
                    </pic:cNvPicPr>
                  </pic:nvPicPr>
                  <pic:blipFill>
                    <a:blip r:embed="rId12" cstate="print">
                      <a:extLst>
                        <a:ext uri="{28A0092B-C50C-407E-A947-70E740481C1C}">
                          <a14:useLocalDpi xmlns:a14="http://schemas.microsoft.com/office/drawing/2010/main" val="0"/>
                        </a:ext>
                      </a:extLst>
                    </a:blip>
                    <a:srcRect l="11859" t="8296" r="13461" b="14362"/>
                    <a:stretch>
                      <a:fillRect/>
                    </a:stretch>
                  </pic:blipFill>
                  <pic:spPr bwMode="auto">
                    <a:xfrm>
                      <a:off x="0" y="0"/>
                      <a:ext cx="2790825" cy="1733550"/>
                    </a:xfrm>
                    <a:prstGeom prst="rect">
                      <a:avLst/>
                    </a:prstGeom>
                    <a:noFill/>
                    <a:ln>
                      <a:noFill/>
                    </a:ln>
                  </pic:spPr>
                </pic:pic>
              </a:graphicData>
            </a:graphic>
          </wp:inline>
        </w:drawing>
      </w:r>
    </w:p>
    <w:p w14:paraId="7037079C" w14:textId="2FF21FBA" w:rsidR="00F96A13" w:rsidRPr="000E437E" w:rsidRDefault="006571B0" w:rsidP="000E437E">
      <w:pPr>
        <w:pStyle w:val="Caption"/>
        <w:jc w:val="both"/>
        <w:rPr>
          <w:rFonts w:ascii="Arial" w:hAnsi="Arial" w:cs="Arial"/>
          <w:sz w:val="22"/>
          <w:szCs w:val="22"/>
          <w:lang w:val="en-US" w:bidi="th-TH"/>
        </w:rPr>
      </w:pPr>
      <w:bookmarkStart w:id="16" w:name="_Toc165886026"/>
      <w:r w:rsidRPr="000E437E">
        <w:rPr>
          <w:rFonts w:ascii="Arial" w:hAnsi="Arial" w:cs="Arial"/>
          <w:sz w:val="22"/>
          <w:szCs w:val="22"/>
        </w:rPr>
        <w:t xml:space="preserve">Figure </w:t>
      </w:r>
      <w:r w:rsidRPr="000E437E">
        <w:rPr>
          <w:rFonts w:ascii="Arial" w:hAnsi="Arial" w:cs="Arial"/>
          <w:sz w:val="22"/>
          <w:szCs w:val="22"/>
        </w:rPr>
        <w:fldChar w:fldCharType="begin"/>
      </w:r>
      <w:r w:rsidRPr="000E437E">
        <w:rPr>
          <w:rFonts w:ascii="Arial" w:hAnsi="Arial" w:cs="Arial"/>
          <w:sz w:val="22"/>
          <w:szCs w:val="22"/>
        </w:rPr>
        <w:instrText xml:space="preserve"> SEQ Figure \* ARABIC </w:instrText>
      </w:r>
      <w:r w:rsidRPr="000E437E">
        <w:rPr>
          <w:rFonts w:ascii="Arial" w:hAnsi="Arial" w:cs="Arial"/>
          <w:sz w:val="22"/>
          <w:szCs w:val="22"/>
        </w:rPr>
        <w:fldChar w:fldCharType="separate"/>
      </w:r>
      <w:r w:rsidR="0096349E" w:rsidRPr="000E437E">
        <w:rPr>
          <w:rFonts w:ascii="Arial" w:hAnsi="Arial" w:cs="Arial"/>
          <w:noProof/>
          <w:sz w:val="22"/>
          <w:szCs w:val="22"/>
        </w:rPr>
        <w:t>3</w:t>
      </w:r>
      <w:r w:rsidRPr="000E437E">
        <w:rPr>
          <w:rFonts w:ascii="Arial" w:hAnsi="Arial" w:cs="Arial"/>
          <w:sz w:val="22"/>
          <w:szCs w:val="22"/>
        </w:rPr>
        <w:fldChar w:fldCharType="end"/>
      </w:r>
      <w:r w:rsidR="00F96A13" w:rsidRPr="000E437E">
        <w:rPr>
          <w:rFonts w:ascii="Arial" w:hAnsi="Arial" w:cs="Arial"/>
          <w:sz w:val="22"/>
          <w:szCs w:val="22"/>
          <w:lang w:val="en-US" w:bidi="th-TH"/>
        </w:rPr>
        <w:t>. Drivers of Employee Engagement</w:t>
      </w:r>
      <w:bookmarkEnd w:id="16"/>
    </w:p>
    <w:p w14:paraId="0A2BDA45"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Source: </w:t>
      </w:r>
      <w:r w:rsidRPr="000E437E">
        <w:rPr>
          <w:rFonts w:ascii="Arial" w:hAnsi="Arial" w:cs="Arial"/>
          <w:sz w:val="22"/>
        </w:rPr>
        <w:t>(Gratton, 2022)</w:t>
      </w:r>
    </w:p>
    <w:p w14:paraId="4F614070"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Several factors determine the level of employee engagement both within the organization and in remote work setups. Engagement of employees in the UK can be affected by factors developing, like quality leadership, good communication, and professional growth </w:t>
      </w:r>
      <w:r w:rsidRPr="000E437E">
        <w:rPr>
          <w:rFonts w:ascii="Arial" w:hAnsi="Arial" w:cs="Arial"/>
          <w:sz w:val="22"/>
        </w:rPr>
        <w:t>(Gratton, 2022)</w:t>
      </w:r>
      <w:r w:rsidRPr="000E437E">
        <w:rPr>
          <w:rFonts w:ascii="Arial" w:hAnsi="Arial" w:cs="Arial"/>
          <w:sz w:val="22"/>
          <w:lang w:val="en-US" w:bidi="th-TH"/>
        </w:rPr>
        <w:t xml:space="preserve">. Trust, transparency, and empowerment leadership with special reference to remote work situations where physical separation can intensify the feelings of isolation and disconnection are the most important leadership qualities. Also, it is of course necessary to give them the chance for skill development and career growth to keep the high level of staff commitment </w:t>
      </w:r>
      <w:r w:rsidRPr="000E437E">
        <w:rPr>
          <w:rFonts w:ascii="Arial" w:hAnsi="Arial" w:cs="Arial"/>
          <w:sz w:val="22"/>
        </w:rPr>
        <w:t>(Gratton, 2022)</w:t>
      </w:r>
      <w:r w:rsidRPr="000E437E">
        <w:rPr>
          <w:rFonts w:ascii="Arial" w:hAnsi="Arial" w:cs="Arial"/>
          <w:sz w:val="22"/>
          <w:lang w:val="en-US" w:bidi="th-TH"/>
        </w:rPr>
        <w:t>. Workplaces in the UK, where such a management policy is applied and includes feedback and recognition of employees’ achievements regularly, have demonstrated higher levels of employee engagement.</w:t>
      </w:r>
    </w:p>
    <w:p w14:paraId="60F1EB71" w14:textId="77777777" w:rsidR="00F96A13" w:rsidRPr="000E437E" w:rsidRDefault="00F96A13"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Measurement</w:t>
      </w:r>
    </w:p>
    <w:p w14:paraId="3BE23753" w14:textId="55E98DEB"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Engagement of the staff is a great metric to evaluate the efficiency of the organization’s policies and to track improvement needs. In the UK, multiple assessment methods including surveys, interviews, and performance indicators (KPIs) are used to evaluate employee engagement </w:t>
      </w:r>
      <w:r w:rsidRPr="000E437E">
        <w:rPr>
          <w:rFonts w:ascii="Arial" w:hAnsi="Arial" w:cs="Arial"/>
          <w:sz w:val="22"/>
        </w:rPr>
        <w:t>(Cox and Soobiah, 2018)</w:t>
      </w:r>
      <w:r w:rsidRPr="000E437E">
        <w:rPr>
          <w:rFonts w:ascii="Arial" w:hAnsi="Arial" w:cs="Arial"/>
          <w:sz w:val="22"/>
          <w:lang w:val="en-US" w:bidi="th-TH"/>
        </w:rPr>
        <w:t>. Employee engagement surveys, for instance, the Gallup Q12 survey, are increasingly in use by British companies to get a better look at those numerous facets of employee engagement, like job satisfaction, organizational commitment, and identification with the basic principles of the organization</w:t>
      </w:r>
      <w:r w:rsidR="00271B28" w:rsidRPr="000E437E">
        <w:rPr>
          <w:rFonts w:ascii="Arial" w:hAnsi="Arial" w:cs="Arial"/>
          <w:sz w:val="22"/>
          <w:lang w:val="en-US" w:bidi="th-TH"/>
        </w:rPr>
        <w:t xml:space="preserve"> (Mäkikangas et al., 2022)</w:t>
      </w:r>
      <w:r w:rsidRPr="000E437E">
        <w:rPr>
          <w:rFonts w:ascii="Arial" w:hAnsi="Arial" w:cs="Arial"/>
          <w:sz w:val="22"/>
          <w:lang w:val="en-US" w:bidi="th-TH"/>
        </w:rPr>
        <w:t xml:space="preserve">. Through these surveys, we can obtain empirical data on the employees' opinions, what they feel, and where the organization should improve. These surveys help us evolve from only intuitions and subjective positions </w:t>
      </w:r>
      <w:r w:rsidRPr="000E437E">
        <w:rPr>
          <w:rFonts w:ascii="Arial" w:hAnsi="Arial" w:cs="Arial"/>
          <w:sz w:val="22"/>
        </w:rPr>
        <w:t>(Cox and Soobiah, 2018)</w:t>
      </w:r>
      <w:r w:rsidRPr="000E437E">
        <w:rPr>
          <w:rFonts w:ascii="Arial" w:hAnsi="Arial" w:cs="Arial"/>
          <w:sz w:val="22"/>
          <w:lang w:val="en-US" w:bidi="th-TH"/>
        </w:rPr>
        <w:t xml:space="preserve">. Furthermore, qualitative approaches such as interviews and focus groups can provide the explanatory factors leading to engagement and spot the exact pieces that can help improve the engagement rate. </w:t>
      </w:r>
    </w:p>
    <w:p w14:paraId="70714CDB" w14:textId="16574D1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lastRenderedPageBreak/>
        <w:t xml:space="preserve">In the context of remote workers within UK-based HSBC, metrics situated in this area are very different from the ones back in the office </w:t>
      </w:r>
      <w:r w:rsidRPr="000E437E">
        <w:rPr>
          <w:rFonts w:ascii="Arial" w:hAnsi="Arial" w:cs="Arial"/>
          <w:sz w:val="22"/>
        </w:rPr>
        <w:t>(Laker, 2020)</w:t>
      </w:r>
      <w:r w:rsidRPr="000E437E">
        <w:rPr>
          <w:rFonts w:ascii="Arial" w:hAnsi="Arial" w:cs="Arial"/>
          <w:sz w:val="22"/>
          <w:lang w:val="en-US" w:bidi="th-TH"/>
        </w:rPr>
        <w:t xml:space="preserve">. Remote work can affect employee engagement in different ways where factors including communication hurdles, feelings of isolation, and privacy life issues determine the level of engagement. Yet, apart from the downsides, telework provides employees with the chance to have autonomy, flexibility, and job satisfaction, which results in higher engagement among workers </w:t>
      </w:r>
      <w:r w:rsidR="00271B28" w:rsidRPr="000E437E">
        <w:rPr>
          <w:rFonts w:ascii="Arial" w:hAnsi="Arial" w:cs="Arial"/>
          <w:sz w:val="22"/>
        </w:rPr>
        <w:t>(Mäkikangas et al., 2022)</w:t>
      </w:r>
      <w:r w:rsidRPr="000E437E">
        <w:rPr>
          <w:rFonts w:ascii="Arial" w:hAnsi="Arial" w:cs="Arial"/>
          <w:sz w:val="22"/>
          <w:lang w:val="en-US" w:bidi="th-TH"/>
        </w:rPr>
        <w:t xml:space="preserve">. To make certain that the engagement of employees within the remote work setting is adequately measured, HSBC has to use technology that can send surveys and gather feedback from workers in different locations. </w:t>
      </w:r>
    </w:p>
    <w:p w14:paraId="459E685E" w14:textId="2C1B5F29" w:rsidR="00F96A13" w:rsidRPr="000E437E" w:rsidRDefault="00F96A13" w:rsidP="000E437E">
      <w:pPr>
        <w:pStyle w:val="Heading2"/>
        <w:spacing w:line="360" w:lineRule="auto"/>
        <w:jc w:val="both"/>
        <w:rPr>
          <w:rFonts w:ascii="Arial" w:hAnsi="Arial" w:cs="Arial"/>
          <w:color w:val="auto"/>
          <w:sz w:val="22"/>
          <w:szCs w:val="22"/>
        </w:rPr>
      </w:pPr>
      <w:bookmarkStart w:id="17" w:name="_Toc165886054"/>
      <w:r w:rsidRPr="000E437E">
        <w:rPr>
          <w:rFonts w:ascii="Arial" w:hAnsi="Arial" w:cs="Arial"/>
          <w:color w:val="auto"/>
          <w:sz w:val="22"/>
          <w:szCs w:val="22"/>
        </w:rPr>
        <w:t xml:space="preserve">2.4 Analysis of </w:t>
      </w:r>
      <w:r w:rsidR="00464AE0" w:rsidRPr="000E437E">
        <w:rPr>
          <w:rFonts w:ascii="Arial" w:hAnsi="Arial" w:cs="Arial"/>
          <w:color w:val="auto"/>
          <w:sz w:val="22"/>
          <w:szCs w:val="22"/>
        </w:rPr>
        <w:t xml:space="preserve">influence of remote working on the organizational culture </w:t>
      </w:r>
      <w:r w:rsidRPr="000E437E">
        <w:rPr>
          <w:rFonts w:ascii="Arial" w:hAnsi="Arial" w:cs="Arial"/>
          <w:color w:val="auto"/>
          <w:sz w:val="22"/>
          <w:szCs w:val="22"/>
        </w:rPr>
        <w:t>through Dynamics and Importance in Remote Work Environments in the UK</w:t>
      </w:r>
      <w:bookmarkEnd w:id="17"/>
    </w:p>
    <w:p w14:paraId="10A3DAC5" w14:textId="77777777" w:rsidR="000870A9" w:rsidRPr="000E437E" w:rsidRDefault="000870A9" w:rsidP="000E437E">
      <w:pPr>
        <w:jc w:val="both"/>
        <w:rPr>
          <w:rFonts w:ascii="Arial" w:hAnsi="Arial" w:cs="Arial"/>
          <w:sz w:val="22"/>
          <w:lang w:val="en-US" w:bidi="th-TH"/>
        </w:rPr>
      </w:pPr>
      <w:r w:rsidRPr="000E437E">
        <w:rPr>
          <w:rFonts w:ascii="Arial" w:hAnsi="Arial" w:cs="Arial"/>
          <w:sz w:val="22"/>
          <w:lang w:val="en-US" w:bidi="th-TH"/>
        </w:rPr>
        <w:t>Organizational culture is critical in remote work settings, shaping employee dynamics and productivity, especially at organizations like HSBC Holdings plc post-COVID. The culture in remote environments, characterized by virtual communication, acts as a guiding force for employee behavior, underscoring the importance of understanding and maintaining it to ensure workforce cohesion and motivation (Spicer, 2020; Bagga, Gera, and Haque, 2022).</w:t>
      </w:r>
    </w:p>
    <w:p w14:paraId="6F16D846" w14:textId="77777777" w:rsidR="000870A9" w:rsidRPr="000E437E" w:rsidRDefault="000870A9" w:rsidP="000E437E">
      <w:pPr>
        <w:jc w:val="both"/>
        <w:rPr>
          <w:rFonts w:ascii="Arial" w:hAnsi="Arial" w:cs="Arial"/>
          <w:sz w:val="22"/>
          <w:lang w:val="en-US" w:bidi="th-TH"/>
        </w:rPr>
      </w:pPr>
      <w:r w:rsidRPr="000E437E">
        <w:rPr>
          <w:rFonts w:ascii="Arial" w:hAnsi="Arial" w:cs="Arial"/>
          <w:sz w:val="22"/>
          <w:lang w:val="en-US" w:bidi="th-TH"/>
        </w:rPr>
        <w:t>Remote work challenges traditional cultural development due to the lack of physical interaction. Therefore, HSBC must adapt its cultural framework to support effective remote operations. Key elements include communication, collaboration, and trust. Proper communication is vital. HSBC can employ digital tools to facilitate transparent exchanges and regular virtual meetings, which help strengthen team bonds and inclusivity (Spicer, 2020).</w:t>
      </w:r>
    </w:p>
    <w:p w14:paraId="2C2D6A6A" w14:textId="77777777" w:rsidR="000870A9" w:rsidRPr="000E437E" w:rsidRDefault="000870A9" w:rsidP="000E437E">
      <w:pPr>
        <w:jc w:val="both"/>
        <w:rPr>
          <w:rFonts w:ascii="Arial" w:hAnsi="Arial" w:cs="Arial"/>
          <w:sz w:val="22"/>
          <w:lang w:val="en-US" w:bidi="th-TH"/>
        </w:rPr>
      </w:pPr>
      <w:r w:rsidRPr="000E437E">
        <w:rPr>
          <w:rFonts w:ascii="Arial" w:hAnsi="Arial" w:cs="Arial"/>
          <w:sz w:val="22"/>
          <w:lang w:val="en-US" w:bidi="th-TH"/>
        </w:rPr>
        <w:t>Collaboration is also essential. Promoting a cooperative culture where employees can easily share ideas and resources remotely will enhance creativity and collective productivity (Spicer, 2020). Trust is paramount. By cultivating a culture where trust and autonomy are emphasized, HSBC will empower employees to take initiative and feel valued, which boosts morale and productivity (Spicer, 2020).</w:t>
      </w:r>
    </w:p>
    <w:p w14:paraId="65581D27" w14:textId="77777777" w:rsidR="000870A9" w:rsidRPr="000E437E" w:rsidRDefault="000870A9" w:rsidP="000E437E">
      <w:pPr>
        <w:jc w:val="both"/>
        <w:rPr>
          <w:rFonts w:ascii="Arial" w:hAnsi="Arial" w:cs="Arial"/>
          <w:sz w:val="22"/>
          <w:lang w:val="en-US" w:bidi="th-TH"/>
        </w:rPr>
      </w:pPr>
    </w:p>
    <w:p w14:paraId="1E4AFFDC" w14:textId="0063474D" w:rsidR="000870A9" w:rsidRPr="000E437E" w:rsidRDefault="000870A9" w:rsidP="000E437E">
      <w:pPr>
        <w:jc w:val="both"/>
        <w:rPr>
          <w:rFonts w:ascii="Arial" w:hAnsi="Arial" w:cs="Arial"/>
          <w:sz w:val="22"/>
          <w:lang w:val="en-US" w:bidi="th-TH"/>
        </w:rPr>
      </w:pPr>
      <w:r w:rsidRPr="000E437E">
        <w:rPr>
          <w:rFonts w:ascii="Arial" w:hAnsi="Arial" w:cs="Arial"/>
          <w:sz w:val="22"/>
          <w:lang w:val="en-US" w:bidi="th-TH"/>
        </w:rPr>
        <w:t>In conclusion, maintaining a robust organizational culture in remote settings is crucial for employee connection, satisfaction, and retention, as well as for organizational growth. HSBC should strive to build and nurture a positive and inclusive cultural environment that fosters a sense of community among its remote workforce.</w:t>
      </w:r>
    </w:p>
    <w:p w14:paraId="3CC51D88" w14:textId="77777777" w:rsidR="00F96A13" w:rsidRPr="000E437E" w:rsidRDefault="00F96A13" w:rsidP="000E437E">
      <w:pPr>
        <w:pStyle w:val="Heading2"/>
        <w:spacing w:line="360" w:lineRule="auto"/>
        <w:jc w:val="both"/>
        <w:rPr>
          <w:rFonts w:ascii="Arial" w:hAnsi="Arial" w:cs="Arial"/>
          <w:color w:val="auto"/>
          <w:sz w:val="22"/>
          <w:szCs w:val="22"/>
        </w:rPr>
      </w:pPr>
      <w:bookmarkStart w:id="18" w:name="_Toc165886055"/>
      <w:r w:rsidRPr="000E437E">
        <w:rPr>
          <w:rFonts w:ascii="Arial" w:hAnsi="Arial" w:cs="Arial"/>
          <w:color w:val="auto"/>
          <w:sz w:val="22"/>
          <w:szCs w:val="22"/>
        </w:rPr>
        <w:t>2.5 Analysis of The Connection Between Remote Work, Employee Participation, and Organizational Culture</w:t>
      </w:r>
      <w:bookmarkEnd w:id="18"/>
    </w:p>
    <w:p w14:paraId="710ACCA2" w14:textId="719387F0"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The connection between remote work, employee participation, and organizational culture is very complicated, especially in HSBC Holdings plc UK in the post-pandemic era. From remote work, there are deep changes not only in the way employees relate to each other but also in the organization’s culture as the space for interaction is different. The impact of remote working on </w:t>
      </w:r>
      <w:r w:rsidRPr="000E437E">
        <w:rPr>
          <w:rFonts w:ascii="Arial" w:hAnsi="Arial" w:cs="Arial"/>
          <w:sz w:val="22"/>
          <w:lang w:val="en-US" w:bidi="th-TH"/>
        </w:rPr>
        <w:lastRenderedPageBreak/>
        <w:t xml:space="preserve">employee engagement is obvious in several facets </w:t>
      </w:r>
      <w:r w:rsidRPr="000E437E">
        <w:rPr>
          <w:rFonts w:ascii="Arial" w:hAnsi="Arial" w:cs="Arial"/>
          <w:sz w:val="22"/>
        </w:rPr>
        <w:t>(Adisa, Ogbonnaya and Adekoya, 2021)</w:t>
      </w:r>
      <w:r w:rsidRPr="000E437E">
        <w:rPr>
          <w:rFonts w:ascii="Arial" w:hAnsi="Arial" w:cs="Arial"/>
          <w:sz w:val="22"/>
          <w:lang w:val="en-US" w:bidi="th-TH"/>
        </w:rPr>
        <w:t xml:space="preserve">. However, the answer could be both: on one hand, autonomous remote work adds to the engagement of employees; but on the other hand, it could even lead to higher levels. Personnel who are given the freedom to organize their work schedules and can work from any place may feel more powerful and enthusiastic in performing their responsibilities. Moreover, remote working can offer additional chances for work-life balance, which can, therefore, aid stress reduction and overall job satisfaction </w:t>
      </w:r>
      <w:r w:rsidR="00C93E35" w:rsidRPr="000E437E">
        <w:rPr>
          <w:rFonts w:ascii="Arial" w:hAnsi="Arial" w:cs="Arial"/>
          <w:sz w:val="22"/>
        </w:rPr>
        <w:t>(Asatiani et al., 2020)</w:t>
      </w:r>
      <w:r w:rsidRPr="000E437E">
        <w:rPr>
          <w:rFonts w:ascii="Arial" w:hAnsi="Arial" w:cs="Arial"/>
          <w:sz w:val="22"/>
          <w:lang w:val="en-US" w:bidi="th-TH"/>
        </w:rPr>
        <w:t xml:space="preserve">. On the contrary, one may encounter engagement issues during remote working which manifest in loneliness, decreased communication, and the loss of a feeling of belonging to the organization. People do not have the daily encounters and nonverbal cues that are present in traditional office settings. Hence, remote workers may find it challenging to feel connected and engaged with their peers and the company in general </w:t>
      </w:r>
      <w:r w:rsidRPr="000E437E">
        <w:rPr>
          <w:rFonts w:ascii="Arial" w:hAnsi="Arial" w:cs="Arial"/>
          <w:sz w:val="22"/>
        </w:rPr>
        <w:t>(Chanana and Sangeeta, 2020)</w:t>
      </w:r>
      <w:r w:rsidRPr="000E437E">
        <w:rPr>
          <w:rFonts w:ascii="Arial" w:hAnsi="Arial" w:cs="Arial"/>
          <w:sz w:val="22"/>
          <w:lang w:val="en-US" w:bidi="th-TH"/>
        </w:rPr>
        <w:t>.</w:t>
      </w:r>
    </w:p>
    <w:p w14:paraId="46596813" w14:textId="510D757A" w:rsidR="00F96A13" w:rsidRPr="000E437E" w:rsidRDefault="00F96A13" w:rsidP="000E437E">
      <w:pPr>
        <w:spacing w:line="360" w:lineRule="auto"/>
        <w:jc w:val="both"/>
        <w:rPr>
          <w:rFonts w:ascii="Arial" w:hAnsi="Arial" w:cs="Arial"/>
          <w:sz w:val="22"/>
          <w:lang w:val="en-US" w:bidi="th-TH"/>
        </w:rPr>
      </w:pPr>
      <w:r w:rsidRPr="000E437E">
        <w:rPr>
          <w:rFonts w:ascii="Arial" w:hAnsi="Arial" w:cs="Arial"/>
          <w:noProof/>
          <w:sz w:val="22"/>
        </w:rPr>
        <w:drawing>
          <wp:inline distT="0" distB="0" distL="0" distR="0" wp14:anchorId="1BF2A512" wp14:editId="0396F3A3">
            <wp:extent cx="4495800" cy="1304925"/>
            <wp:effectExtent l="0" t="0" r="0" b="9525"/>
            <wp:docPr id="267791816" name="Picture 3" descr="5 ways how Remote Work can improve your Company Culture | CustomerTh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 ways how Remote Work can improve your Company Culture | CustomerThin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95800" cy="1304925"/>
                    </a:xfrm>
                    <a:prstGeom prst="rect">
                      <a:avLst/>
                    </a:prstGeom>
                    <a:noFill/>
                    <a:ln>
                      <a:noFill/>
                    </a:ln>
                  </pic:spPr>
                </pic:pic>
              </a:graphicData>
            </a:graphic>
          </wp:inline>
        </w:drawing>
      </w:r>
    </w:p>
    <w:p w14:paraId="6EFA793E" w14:textId="7B42A39A" w:rsidR="00F96A13" w:rsidRPr="000E437E" w:rsidRDefault="009F27D0" w:rsidP="000E437E">
      <w:pPr>
        <w:pStyle w:val="Caption"/>
        <w:jc w:val="both"/>
        <w:rPr>
          <w:rFonts w:ascii="Arial" w:hAnsi="Arial" w:cs="Arial"/>
          <w:sz w:val="22"/>
          <w:szCs w:val="22"/>
          <w:lang w:val="en-US" w:bidi="th-TH"/>
        </w:rPr>
      </w:pPr>
      <w:bookmarkStart w:id="19" w:name="_Toc165886027"/>
      <w:r w:rsidRPr="000E437E">
        <w:rPr>
          <w:rFonts w:ascii="Arial" w:hAnsi="Arial" w:cs="Arial"/>
          <w:sz w:val="22"/>
          <w:szCs w:val="22"/>
        </w:rPr>
        <w:t xml:space="preserve">Figure </w:t>
      </w:r>
      <w:r w:rsidRPr="000E437E">
        <w:rPr>
          <w:rFonts w:ascii="Arial" w:hAnsi="Arial" w:cs="Arial"/>
          <w:sz w:val="22"/>
          <w:szCs w:val="22"/>
        </w:rPr>
        <w:fldChar w:fldCharType="begin"/>
      </w:r>
      <w:r w:rsidRPr="000E437E">
        <w:rPr>
          <w:rFonts w:ascii="Arial" w:hAnsi="Arial" w:cs="Arial"/>
          <w:sz w:val="22"/>
          <w:szCs w:val="22"/>
        </w:rPr>
        <w:instrText xml:space="preserve"> SEQ Figure \* ARABIC </w:instrText>
      </w:r>
      <w:r w:rsidRPr="000E437E">
        <w:rPr>
          <w:rFonts w:ascii="Arial" w:hAnsi="Arial" w:cs="Arial"/>
          <w:sz w:val="22"/>
          <w:szCs w:val="22"/>
        </w:rPr>
        <w:fldChar w:fldCharType="separate"/>
      </w:r>
      <w:r w:rsidR="0096349E" w:rsidRPr="000E437E">
        <w:rPr>
          <w:rFonts w:ascii="Arial" w:hAnsi="Arial" w:cs="Arial"/>
          <w:noProof/>
          <w:sz w:val="22"/>
          <w:szCs w:val="22"/>
        </w:rPr>
        <w:t>4</w:t>
      </w:r>
      <w:r w:rsidRPr="000E437E">
        <w:rPr>
          <w:rFonts w:ascii="Arial" w:hAnsi="Arial" w:cs="Arial"/>
          <w:sz w:val="22"/>
          <w:szCs w:val="22"/>
        </w:rPr>
        <w:fldChar w:fldCharType="end"/>
      </w:r>
      <w:r w:rsidR="00F96A13" w:rsidRPr="000E437E">
        <w:rPr>
          <w:rFonts w:ascii="Arial" w:hAnsi="Arial" w:cs="Arial"/>
          <w:sz w:val="22"/>
          <w:szCs w:val="22"/>
          <w:lang w:val="en-US" w:bidi="th-TH"/>
        </w:rPr>
        <w:t>. Remote Work Contribution in Employee Satisfaction and Improved Company Culture</w:t>
      </w:r>
      <w:bookmarkEnd w:id="19"/>
    </w:p>
    <w:p w14:paraId="1A0A1F49" w14:textId="77777777" w:rsidR="00F96A13" w:rsidRPr="000E437E" w:rsidRDefault="00F96A13" w:rsidP="000E437E">
      <w:pPr>
        <w:spacing w:line="360" w:lineRule="auto"/>
        <w:jc w:val="both"/>
        <w:rPr>
          <w:rFonts w:ascii="Arial" w:hAnsi="Arial" w:cs="Arial"/>
          <w:sz w:val="22"/>
        </w:rPr>
      </w:pPr>
      <w:r w:rsidRPr="000E437E">
        <w:rPr>
          <w:rFonts w:ascii="Arial" w:hAnsi="Arial" w:cs="Arial"/>
          <w:sz w:val="22"/>
          <w:lang w:val="en-US" w:bidi="th-TH"/>
        </w:rPr>
        <w:t xml:space="preserve">Source: </w:t>
      </w:r>
      <w:r w:rsidRPr="000E437E">
        <w:rPr>
          <w:rFonts w:ascii="Arial" w:hAnsi="Arial" w:cs="Arial"/>
          <w:sz w:val="22"/>
        </w:rPr>
        <w:t>(Chanana and Sangeeta, 2020)</w:t>
      </w:r>
    </w:p>
    <w:p w14:paraId="3C479392" w14:textId="77777777" w:rsidR="00A02D79" w:rsidRPr="000E437E" w:rsidRDefault="00A02D79" w:rsidP="000E437E">
      <w:pPr>
        <w:spacing w:line="360" w:lineRule="auto"/>
        <w:jc w:val="both"/>
        <w:rPr>
          <w:rFonts w:ascii="Arial" w:hAnsi="Arial" w:cs="Arial"/>
          <w:sz w:val="22"/>
          <w:lang w:val="en-US" w:bidi="th-TH"/>
        </w:rPr>
      </w:pPr>
      <w:r w:rsidRPr="000E437E">
        <w:rPr>
          <w:rFonts w:ascii="Arial" w:hAnsi="Arial" w:cs="Arial"/>
          <w:sz w:val="22"/>
          <w:lang w:val="en-US" w:bidi="th-TH"/>
        </w:rPr>
        <w:t>Organizational culture is vital in remote work environments, particularly for companies like HSBC Holdings plc post-COVID. In such settings, characterized by virtual communication, culture guides employee behavior and is essential for maintaining workforce cohesion and motivation (Spicer, 2020; Bagga, Gera, and Haque, 2022).</w:t>
      </w:r>
    </w:p>
    <w:p w14:paraId="20F50A6E" w14:textId="77777777" w:rsidR="00A02D79" w:rsidRPr="000E437E" w:rsidRDefault="00A02D79" w:rsidP="000E437E">
      <w:pPr>
        <w:spacing w:line="360" w:lineRule="auto"/>
        <w:jc w:val="both"/>
        <w:rPr>
          <w:rFonts w:ascii="Arial" w:hAnsi="Arial" w:cs="Arial"/>
          <w:sz w:val="22"/>
          <w:lang w:val="en-US" w:bidi="th-TH"/>
        </w:rPr>
      </w:pPr>
    </w:p>
    <w:p w14:paraId="739DCEE3" w14:textId="77777777" w:rsidR="00A02D79" w:rsidRPr="000E437E" w:rsidRDefault="00A02D79" w:rsidP="000E437E">
      <w:pPr>
        <w:spacing w:line="360" w:lineRule="auto"/>
        <w:jc w:val="both"/>
        <w:rPr>
          <w:rFonts w:ascii="Arial" w:hAnsi="Arial" w:cs="Arial"/>
          <w:sz w:val="22"/>
          <w:lang w:val="en-US" w:bidi="th-TH"/>
        </w:rPr>
      </w:pPr>
      <w:r w:rsidRPr="000E437E">
        <w:rPr>
          <w:rFonts w:ascii="Arial" w:hAnsi="Arial" w:cs="Arial"/>
          <w:sz w:val="22"/>
          <w:lang w:val="en-US" w:bidi="th-TH"/>
        </w:rPr>
        <w:t>Remote work diminishes traditional cultural development due to limited physical interaction. Consequently, HSBC needs to adjust its cultural framework to effectively manage remote operations, focusing on communication, collaboration, and trust. Effective communication is crucial; HSBC can use digital tools to promote transparent exchanges and regular virtual meetings, enhancing team unity and inclusivity (Spicer, 2020).</w:t>
      </w:r>
    </w:p>
    <w:p w14:paraId="0816CBC3" w14:textId="77777777" w:rsidR="00A02D79" w:rsidRPr="000E437E" w:rsidRDefault="00A02D79" w:rsidP="000E437E">
      <w:pPr>
        <w:spacing w:line="360" w:lineRule="auto"/>
        <w:jc w:val="both"/>
        <w:rPr>
          <w:rFonts w:ascii="Arial" w:hAnsi="Arial" w:cs="Arial"/>
          <w:sz w:val="22"/>
          <w:lang w:val="en-US" w:bidi="th-TH"/>
        </w:rPr>
      </w:pPr>
    </w:p>
    <w:p w14:paraId="6D939D87" w14:textId="77777777" w:rsidR="00A02D79" w:rsidRPr="000E437E" w:rsidRDefault="00A02D79" w:rsidP="000E437E">
      <w:pPr>
        <w:spacing w:line="360" w:lineRule="auto"/>
        <w:jc w:val="both"/>
        <w:rPr>
          <w:rFonts w:ascii="Arial" w:hAnsi="Arial" w:cs="Arial"/>
          <w:sz w:val="22"/>
          <w:lang w:val="en-US" w:bidi="th-TH"/>
        </w:rPr>
      </w:pPr>
      <w:r w:rsidRPr="000E437E">
        <w:rPr>
          <w:rFonts w:ascii="Arial" w:hAnsi="Arial" w:cs="Arial"/>
          <w:sz w:val="22"/>
          <w:lang w:val="en-US" w:bidi="th-TH"/>
        </w:rPr>
        <w:lastRenderedPageBreak/>
        <w:t>Collaboration is critical. A culture that encourages sharing ideas and resources remotely can boost creativity and productivity (Spicer, 2020). Trust is equally important. Fostering a culture where trust and autonomy are prioritized allows employees to feel empowered and valued, improving morale and productivity (Spicer, 2020).</w:t>
      </w:r>
    </w:p>
    <w:p w14:paraId="530F2BE5" w14:textId="77777777" w:rsidR="00A02D79" w:rsidRPr="000E437E" w:rsidRDefault="00A02D79" w:rsidP="000E437E">
      <w:pPr>
        <w:spacing w:line="360" w:lineRule="auto"/>
        <w:jc w:val="both"/>
        <w:rPr>
          <w:rFonts w:ascii="Arial" w:hAnsi="Arial" w:cs="Arial"/>
          <w:sz w:val="22"/>
          <w:lang w:val="en-US" w:bidi="th-TH"/>
        </w:rPr>
      </w:pPr>
    </w:p>
    <w:p w14:paraId="0E648BDB" w14:textId="0813C0BE" w:rsidR="00A02D79" w:rsidRPr="000E437E" w:rsidRDefault="00A02D79" w:rsidP="000E437E">
      <w:pPr>
        <w:spacing w:line="360" w:lineRule="auto"/>
        <w:jc w:val="both"/>
        <w:rPr>
          <w:rFonts w:ascii="Arial" w:hAnsi="Arial" w:cs="Arial"/>
          <w:sz w:val="22"/>
          <w:lang w:val="en-US" w:bidi="th-TH"/>
        </w:rPr>
      </w:pPr>
      <w:r w:rsidRPr="000E437E">
        <w:rPr>
          <w:rFonts w:ascii="Arial" w:hAnsi="Arial" w:cs="Arial"/>
          <w:sz w:val="22"/>
          <w:lang w:val="en-US" w:bidi="th-TH"/>
        </w:rPr>
        <w:t>In summary, a strong organizational culture in remote settings is essential for enhancing employee connection, satisfaction, and retention, and for driving organizational growth. HSBC should focus on creating and sustaining a positive, inclusive culture that builds a sense of community among its remote workforce.</w:t>
      </w:r>
    </w:p>
    <w:p w14:paraId="60F0F637" w14:textId="4C9BEBA9" w:rsidR="00F96A13" w:rsidRPr="000E437E" w:rsidRDefault="00F96A13" w:rsidP="000E437E">
      <w:pPr>
        <w:pStyle w:val="Heading2"/>
        <w:spacing w:line="360" w:lineRule="auto"/>
        <w:jc w:val="both"/>
        <w:rPr>
          <w:rFonts w:ascii="Arial" w:hAnsi="Arial" w:cs="Arial"/>
          <w:color w:val="auto"/>
          <w:sz w:val="22"/>
          <w:szCs w:val="22"/>
        </w:rPr>
      </w:pPr>
      <w:bookmarkStart w:id="20" w:name="_Toc165886056"/>
      <w:r w:rsidRPr="000E437E">
        <w:rPr>
          <w:rFonts w:ascii="Arial" w:hAnsi="Arial" w:cs="Arial"/>
          <w:color w:val="auto"/>
          <w:sz w:val="22"/>
          <w:szCs w:val="22"/>
        </w:rPr>
        <w:t>2.6 Conceptual Framework Analysis</w:t>
      </w:r>
      <w:bookmarkEnd w:id="20"/>
    </w:p>
    <w:p w14:paraId="5926AF36" w14:textId="77777777" w:rsidR="009F27D0" w:rsidRPr="000E437E" w:rsidRDefault="000C1D89" w:rsidP="000E437E">
      <w:pPr>
        <w:jc w:val="both"/>
        <w:rPr>
          <w:rFonts w:ascii="Arial" w:hAnsi="Arial" w:cs="Arial"/>
          <w:sz w:val="22"/>
          <w:lang w:val="en-US" w:bidi="th-TH"/>
        </w:rPr>
      </w:pPr>
      <w:r w:rsidRPr="000E437E">
        <w:rPr>
          <w:rFonts w:ascii="Arial" w:hAnsi="Arial" w:cs="Arial"/>
          <w:noProof/>
          <w:sz w:val="22"/>
        </w:rPr>
        <w:drawing>
          <wp:inline distT="0" distB="0" distL="0" distR="0" wp14:anchorId="23D55D0D" wp14:editId="4B5F8F7E">
            <wp:extent cx="2790497" cy="3121611"/>
            <wp:effectExtent l="0" t="0" r="0" b="0"/>
            <wp:docPr id="73525821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258210" name="Picture 1" descr="A diagram of a 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99305" cy="3131464"/>
                    </a:xfrm>
                    <a:prstGeom prst="rect">
                      <a:avLst/>
                    </a:prstGeom>
                    <a:noFill/>
                    <a:ln>
                      <a:noFill/>
                    </a:ln>
                  </pic:spPr>
                </pic:pic>
              </a:graphicData>
            </a:graphic>
          </wp:inline>
        </w:drawing>
      </w:r>
    </w:p>
    <w:p w14:paraId="04E3A557" w14:textId="78EDEA5B" w:rsidR="003512AA" w:rsidRPr="000E437E" w:rsidRDefault="009F27D0" w:rsidP="000E437E">
      <w:pPr>
        <w:pStyle w:val="Caption"/>
        <w:jc w:val="both"/>
        <w:rPr>
          <w:rFonts w:ascii="Arial" w:hAnsi="Arial" w:cs="Arial"/>
          <w:sz w:val="22"/>
          <w:szCs w:val="22"/>
          <w:lang w:val="en-US" w:bidi="th-TH"/>
        </w:rPr>
      </w:pPr>
      <w:bookmarkStart w:id="21" w:name="_Toc165886028"/>
      <w:r w:rsidRPr="000E437E">
        <w:rPr>
          <w:rFonts w:ascii="Arial" w:hAnsi="Arial" w:cs="Arial"/>
          <w:sz w:val="22"/>
          <w:szCs w:val="22"/>
        </w:rPr>
        <w:t xml:space="preserve">Figure </w:t>
      </w:r>
      <w:r w:rsidRPr="000E437E">
        <w:rPr>
          <w:rFonts w:ascii="Arial" w:hAnsi="Arial" w:cs="Arial"/>
          <w:sz w:val="22"/>
          <w:szCs w:val="22"/>
        </w:rPr>
        <w:fldChar w:fldCharType="begin"/>
      </w:r>
      <w:r w:rsidRPr="000E437E">
        <w:rPr>
          <w:rFonts w:ascii="Arial" w:hAnsi="Arial" w:cs="Arial"/>
          <w:sz w:val="22"/>
          <w:szCs w:val="22"/>
        </w:rPr>
        <w:instrText xml:space="preserve"> SEQ Figure \* ARABIC </w:instrText>
      </w:r>
      <w:r w:rsidRPr="000E437E">
        <w:rPr>
          <w:rFonts w:ascii="Arial" w:hAnsi="Arial" w:cs="Arial"/>
          <w:sz w:val="22"/>
          <w:szCs w:val="22"/>
        </w:rPr>
        <w:fldChar w:fldCharType="separate"/>
      </w:r>
      <w:r w:rsidR="0096349E" w:rsidRPr="000E437E">
        <w:rPr>
          <w:rFonts w:ascii="Arial" w:hAnsi="Arial" w:cs="Arial"/>
          <w:noProof/>
          <w:sz w:val="22"/>
          <w:szCs w:val="22"/>
        </w:rPr>
        <w:t>5</w:t>
      </w:r>
      <w:r w:rsidRPr="000E437E">
        <w:rPr>
          <w:rFonts w:ascii="Arial" w:hAnsi="Arial" w:cs="Arial"/>
          <w:sz w:val="22"/>
          <w:szCs w:val="22"/>
        </w:rPr>
        <w:fldChar w:fldCharType="end"/>
      </w:r>
      <w:r w:rsidR="003512AA" w:rsidRPr="000E437E">
        <w:rPr>
          <w:rFonts w:ascii="Arial" w:hAnsi="Arial" w:cs="Arial"/>
          <w:sz w:val="22"/>
          <w:szCs w:val="22"/>
          <w:lang w:val="en-US" w:bidi="th-TH"/>
        </w:rPr>
        <w:t xml:space="preserve"> Organisational outcome flow chart</w:t>
      </w:r>
      <w:bookmarkEnd w:id="21"/>
      <w:r w:rsidR="003512AA" w:rsidRPr="000E437E">
        <w:rPr>
          <w:rFonts w:ascii="Arial" w:hAnsi="Arial" w:cs="Arial"/>
          <w:sz w:val="22"/>
          <w:szCs w:val="22"/>
          <w:lang w:val="en-US" w:bidi="th-TH"/>
        </w:rPr>
        <w:t xml:space="preserve"> </w:t>
      </w:r>
    </w:p>
    <w:p w14:paraId="2A111C76" w14:textId="77777777" w:rsidR="003512AA" w:rsidRPr="000E437E" w:rsidRDefault="003512AA" w:rsidP="000E437E">
      <w:pPr>
        <w:numPr>
          <w:ilvl w:val="0"/>
          <w:numId w:val="6"/>
        </w:numPr>
        <w:spacing w:line="360" w:lineRule="auto"/>
        <w:jc w:val="both"/>
        <w:rPr>
          <w:rFonts w:ascii="Arial" w:hAnsi="Arial" w:cs="Arial"/>
          <w:b/>
          <w:bCs/>
          <w:sz w:val="22"/>
          <w:lang w:val="en-GB" w:bidi="th-TH"/>
        </w:rPr>
      </w:pPr>
      <w:r w:rsidRPr="000E437E">
        <w:rPr>
          <w:rFonts w:ascii="Arial" w:hAnsi="Arial" w:cs="Arial"/>
          <w:b/>
          <w:bCs/>
          <w:sz w:val="22"/>
          <w:lang w:val="en-GB" w:bidi="th-TH"/>
        </w:rPr>
        <w:t>Remote Work Implementation:</w:t>
      </w:r>
    </w:p>
    <w:p w14:paraId="6D7DB11B" w14:textId="77777777" w:rsidR="003512AA" w:rsidRPr="000E437E" w:rsidRDefault="003512AA" w:rsidP="000E437E">
      <w:pPr>
        <w:numPr>
          <w:ilvl w:val="1"/>
          <w:numId w:val="6"/>
        </w:numPr>
        <w:spacing w:line="360" w:lineRule="auto"/>
        <w:jc w:val="both"/>
        <w:rPr>
          <w:rFonts w:ascii="Arial" w:hAnsi="Arial" w:cs="Arial"/>
          <w:sz w:val="22"/>
          <w:lang w:val="en-GB" w:bidi="th-TH"/>
        </w:rPr>
      </w:pPr>
      <w:r w:rsidRPr="000E437E">
        <w:rPr>
          <w:rFonts w:ascii="Arial" w:hAnsi="Arial" w:cs="Arial"/>
          <w:sz w:val="22"/>
          <w:lang w:val="en-GB" w:bidi="th-TH"/>
        </w:rPr>
        <w:t>Variables: Frequency of remote work, digital work practices, communication tools.</w:t>
      </w:r>
    </w:p>
    <w:p w14:paraId="0A005BA3" w14:textId="77777777" w:rsidR="003512AA" w:rsidRPr="000E437E" w:rsidRDefault="003512AA" w:rsidP="000E437E">
      <w:pPr>
        <w:numPr>
          <w:ilvl w:val="1"/>
          <w:numId w:val="6"/>
        </w:numPr>
        <w:spacing w:line="360" w:lineRule="auto"/>
        <w:jc w:val="both"/>
        <w:rPr>
          <w:rFonts w:ascii="Arial" w:hAnsi="Arial" w:cs="Arial"/>
          <w:sz w:val="22"/>
          <w:lang w:val="en-GB" w:bidi="th-TH"/>
        </w:rPr>
      </w:pPr>
      <w:r w:rsidRPr="000E437E">
        <w:rPr>
          <w:rFonts w:ascii="Arial" w:hAnsi="Arial" w:cs="Arial"/>
          <w:sz w:val="22"/>
          <w:lang w:val="en-GB" w:bidi="th-TH"/>
        </w:rPr>
        <w:t>Description: Represents the introduction and management of remote work within HSBC.</w:t>
      </w:r>
    </w:p>
    <w:p w14:paraId="4AC83563" w14:textId="77777777" w:rsidR="003512AA" w:rsidRPr="000E437E" w:rsidRDefault="003512AA" w:rsidP="000E437E">
      <w:pPr>
        <w:numPr>
          <w:ilvl w:val="0"/>
          <w:numId w:val="6"/>
        </w:numPr>
        <w:spacing w:line="360" w:lineRule="auto"/>
        <w:jc w:val="both"/>
        <w:rPr>
          <w:rFonts w:ascii="Arial" w:hAnsi="Arial" w:cs="Arial"/>
          <w:b/>
          <w:bCs/>
          <w:sz w:val="22"/>
          <w:lang w:val="en-GB" w:bidi="th-TH"/>
        </w:rPr>
      </w:pPr>
      <w:r w:rsidRPr="000E437E">
        <w:rPr>
          <w:rFonts w:ascii="Arial" w:hAnsi="Arial" w:cs="Arial"/>
          <w:b/>
          <w:bCs/>
          <w:sz w:val="22"/>
          <w:lang w:val="en-GB" w:bidi="th-TH"/>
        </w:rPr>
        <w:t>Employee Perceptions and Behavioural Responses:</w:t>
      </w:r>
    </w:p>
    <w:p w14:paraId="7DB4E124" w14:textId="77777777" w:rsidR="003512AA" w:rsidRPr="000E437E" w:rsidRDefault="003512AA" w:rsidP="000E437E">
      <w:pPr>
        <w:numPr>
          <w:ilvl w:val="1"/>
          <w:numId w:val="6"/>
        </w:numPr>
        <w:spacing w:line="360" w:lineRule="auto"/>
        <w:jc w:val="both"/>
        <w:rPr>
          <w:rFonts w:ascii="Arial" w:hAnsi="Arial" w:cs="Arial"/>
          <w:sz w:val="22"/>
          <w:lang w:val="en-GB" w:bidi="th-TH"/>
        </w:rPr>
      </w:pPr>
      <w:r w:rsidRPr="000E437E">
        <w:rPr>
          <w:rFonts w:ascii="Arial" w:hAnsi="Arial" w:cs="Arial"/>
          <w:sz w:val="22"/>
          <w:lang w:val="en-GB" w:bidi="th-TH"/>
        </w:rPr>
        <w:lastRenderedPageBreak/>
        <w:t>Variables: Alignment with organisational values, perceived autonomy, trust and inclusion, motivation.</w:t>
      </w:r>
    </w:p>
    <w:p w14:paraId="1F2E1B8A" w14:textId="77777777" w:rsidR="003512AA" w:rsidRPr="000E437E" w:rsidRDefault="003512AA" w:rsidP="000E437E">
      <w:pPr>
        <w:numPr>
          <w:ilvl w:val="1"/>
          <w:numId w:val="6"/>
        </w:numPr>
        <w:spacing w:line="360" w:lineRule="auto"/>
        <w:jc w:val="both"/>
        <w:rPr>
          <w:rFonts w:ascii="Arial" w:hAnsi="Arial" w:cs="Arial"/>
          <w:sz w:val="22"/>
          <w:lang w:val="en-GB" w:bidi="th-TH"/>
        </w:rPr>
      </w:pPr>
      <w:r w:rsidRPr="000E437E">
        <w:rPr>
          <w:rFonts w:ascii="Arial" w:hAnsi="Arial" w:cs="Arial"/>
          <w:sz w:val="22"/>
          <w:lang w:val="en-GB" w:bidi="th-TH"/>
        </w:rPr>
        <w:t>Description: How employees perceive and react to remote work practices and their effects on motivation and alignment with company values.</w:t>
      </w:r>
    </w:p>
    <w:p w14:paraId="46E3418B" w14:textId="77777777" w:rsidR="003512AA" w:rsidRPr="000E437E" w:rsidRDefault="003512AA" w:rsidP="000E437E">
      <w:pPr>
        <w:numPr>
          <w:ilvl w:val="0"/>
          <w:numId w:val="6"/>
        </w:numPr>
        <w:spacing w:line="360" w:lineRule="auto"/>
        <w:jc w:val="both"/>
        <w:rPr>
          <w:rFonts w:ascii="Arial" w:hAnsi="Arial" w:cs="Arial"/>
          <w:b/>
          <w:bCs/>
          <w:sz w:val="22"/>
          <w:lang w:val="en-GB" w:bidi="th-TH"/>
        </w:rPr>
      </w:pPr>
      <w:r w:rsidRPr="000E437E">
        <w:rPr>
          <w:rFonts w:ascii="Arial" w:hAnsi="Arial" w:cs="Arial"/>
          <w:b/>
          <w:bCs/>
          <w:sz w:val="22"/>
          <w:lang w:val="en-GB" w:bidi="th-TH"/>
        </w:rPr>
        <w:t>Organisational Outcomes:</w:t>
      </w:r>
    </w:p>
    <w:p w14:paraId="1756451E" w14:textId="77777777" w:rsidR="003512AA" w:rsidRPr="000E437E" w:rsidRDefault="003512AA" w:rsidP="000E437E">
      <w:pPr>
        <w:numPr>
          <w:ilvl w:val="1"/>
          <w:numId w:val="6"/>
        </w:numPr>
        <w:spacing w:line="360" w:lineRule="auto"/>
        <w:jc w:val="both"/>
        <w:rPr>
          <w:rFonts w:ascii="Arial" w:hAnsi="Arial" w:cs="Arial"/>
          <w:sz w:val="22"/>
          <w:lang w:val="en-GB" w:bidi="th-TH"/>
        </w:rPr>
      </w:pPr>
      <w:r w:rsidRPr="000E437E">
        <w:rPr>
          <w:rFonts w:ascii="Arial" w:hAnsi="Arial" w:cs="Arial"/>
          <w:sz w:val="22"/>
          <w:lang w:val="en-GB" w:bidi="th-TH"/>
        </w:rPr>
        <w:t>Variables: Employee engagement, productivity, company value alignment.</w:t>
      </w:r>
    </w:p>
    <w:p w14:paraId="63A65EA5" w14:textId="77777777" w:rsidR="003512AA" w:rsidRPr="000E437E" w:rsidRDefault="003512AA" w:rsidP="000E437E">
      <w:pPr>
        <w:numPr>
          <w:ilvl w:val="1"/>
          <w:numId w:val="6"/>
        </w:numPr>
        <w:spacing w:line="360" w:lineRule="auto"/>
        <w:jc w:val="both"/>
        <w:rPr>
          <w:rFonts w:ascii="Arial" w:hAnsi="Arial" w:cs="Arial"/>
          <w:sz w:val="22"/>
          <w:lang w:val="en-GB" w:bidi="th-TH"/>
        </w:rPr>
      </w:pPr>
      <w:r w:rsidRPr="000E437E">
        <w:rPr>
          <w:rFonts w:ascii="Arial" w:hAnsi="Arial" w:cs="Arial"/>
          <w:sz w:val="22"/>
          <w:lang w:val="en-GB" w:bidi="th-TH"/>
        </w:rPr>
        <w:t>Description: The observable outputs from the implementation of remote work in terms of overall employee output and alignment with organisational missions.</w:t>
      </w:r>
    </w:p>
    <w:p w14:paraId="0089DC7A" w14:textId="77777777" w:rsidR="003512AA" w:rsidRPr="000E437E" w:rsidRDefault="003512AA" w:rsidP="000E437E">
      <w:pPr>
        <w:numPr>
          <w:ilvl w:val="0"/>
          <w:numId w:val="6"/>
        </w:numPr>
        <w:spacing w:line="360" w:lineRule="auto"/>
        <w:jc w:val="both"/>
        <w:rPr>
          <w:rFonts w:ascii="Arial" w:hAnsi="Arial" w:cs="Arial"/>
          <w:b/>
          <w:bCs/>
          <w:sz w:val="22"/>
          <w:lang w:val="en-GB" w:bidi="th-TH"/>
        </w:rPr>
      </w:pPr>
      <w:r w:rsidRPr="000E437E">
        <w:rPr>
          <w:rFonts w:ascii="Arial" w:hAnsi="Arial" w:cs="Arial"/>
          <w:b/>
          <w:bCs/>
          <w:sz w:val="22"/>
          <w:lang w:val="en-GB" w:bidi="th-TH"/>
        </w:rPr>
        <w:t>Performance Metrics:</w:t>
      </w:r>
    </w:p>
    <w:p w14:paraId="43DBE373" w14:textId="77777777" w:rsidR="003512AA" w:rsidRPr="000E437E" w:rsidRDefault="003512AA" w:rsidP="000E437E">
      <w:pPr>
        <w:numPr>
          <w:ilvl w:val="1"/>
          <w:numId w:val="6"/>
        </w:numPr>
        <w:spacing w:line="360" w:lineRule="auto"/>
        <w:jc w:val="both"/>
        <w:rPr>
          <w:rFonts w:ascii="Arial" w:hAnsi="Arial" w:cs="Arial"/>
          <w:sz w:val="22"/>
          <w:lang w:val="en-GB" w:bidi="th-TH"/>
        </w:rPr>
      </w:pPr>
      <w:r w:rsidRPr="000E437E">
        <w:rPr>
          <w:rFonts w:ascii="Arial" w:hAnsi="Arial" w:cs="Arial"/>
          <w:sz w:val="22"/>
          <w:lang w:val="en-GB" w:bidi="th-TH"/>
        </w:rPr>
        <w:t>Variables: Sales revenue, customer satisfaction scores, efficiency.</w:t>
      </w:r>
    </w:p>
    <w:p w14:paraId="65B19648" w14:textId="77777777" w:rsidR="003512AA" w:rsidRPr="000E437E" w:rsidRDefault="003512AA" w:rsidP="000E437E">
      <w:pPr>
        <w:numPr>
          <w:ilvl w:val="1"/>
          <w:numId w:val="6"/>
        </w:numPr>
        <w:spacing w:line="360" w:lineRule="auto"/>
        <w:jc w:val="both"/>
        <w:rPr>
          <w:rFonts w:ascii="Arial" w:hAnsi="Arial" w:cs="Arial"/>
          <w:b/>
          <w:bCs/>
          <w:sz w:val="22"/>
          <w:lang w:val="en-GB" w:bidi="th-TH"/>
        </w:rPr>
      </w:pPr>
      <w:r w:rsidRPr="000E437E">
        <w:rPr>
          <w:rFonts w:ascii="Arial" w:hAnsi="Arial" w:cs="Arial"/>
          <w:sz w:val="22"/>
          <w:lang w:val="en-GB" w:bidi="th-TH"/>
        </w:rPr>
        <w:t>Description: Concrete measures that indicate the success and efficacy of remote work practices</w:t>
      </w:r>
      <w:r w:rsidRPr="000E437E">
        <w:rPr>
          <w:rFonts w:ascii="Arial" w:hAnsi="Arial" w:cs="Arial"/>
          <w:b/>
          <w:bCs/>
          <w:sz w:val="22"/>
          <w:lang w:val="en-GB" w:bidi="th-TH"/>
        </w:rPr>
        <w:t>.</w:t>
      </w:r>
    </w:p>
    <w:p w14:paraId="68DF35D9" w14:textId="77777777" w:rsidR="003512AA" w:rsidRPr="000E437E" w:rsidRDefault="003512AA" w:rsidP="000E437E">
      <w:pPr>
        <w:numPr>
          <w:ilvl w:val="0"/>
          <w:numId w:val="6"/>
        </w:numPr>
        <w:spacing w:line="360" w:lineRule="auto"/>
        <w:jc w:val="both"/>
        <w:rPr>
          <w:rFonts w:ascii="Arial" w:hAnsi="Arial" w:cs="Arial"/>
          <w:b/>
          <w:bCs/>
          <w:sz w:val="22"/>
          <w:lang w:val="en-GB" w:bidi="th-TH"/>
        </w:rPr>
      </w:pPr>
      <w:r w:rsidRPr="000E437E">
        <w:rPr>
          <w:rFonts w:ascii="Arial" w:hAnsi="Arial" w:cs="Arial"/>
          <w:b/>
          <w:bCs/>
          <w:sz w:val="22"/>
          <w:lang w:val="en-GB" w:bidi="th-TH"/>
        </w:rPr>
        <w:t>Leadership and Communication:</w:t>
      </w:r>
    </w:p>
    <w:p w14:paraId="5621C309" w14:textId="77777777" w:rsidR="003512AA" w:rsidRPr="000E437E" w:rsidRDefault="003512AA" w:rsidP="000E437E">
      <w:pPr>
        <w:numPr>
          <w:ilvl w:val="1"/>
          <w:numId w:val="6"/>
        </w:numPr>
        <w:spacing w:line="360" w:lineRule="auto"/>
        <w:jc w:val="both"/>
        <w:rPr>
          <w:rFonts w:ascii="Arial" w:hAnsi="Arial" w:cs="Arial"/>
          <w:sz w:val="22"/>
          <w:lang w:val="en-GB" w:bidi="th-TH"/>
        </w:rPr>
      </w:pPr>
      <w:r w:rsidRPr="000E437E">
        <w:rPr>
          <w:rFonts w:ascii="Arial" w:hAnsi="Arial" w:cs="Arial"/>
          <w:sz w:val="22"/>
          <w:lang w:val="en-GB" w:bidi="th-TH"/>
        </w:rPr>
        <w:t>Variables: Transparency, goal communication.</w:t>
      </w:r>
    </w:p>
    <w:p w14:paraId="68441E1D" w14:textId="77777777" w:rsidR="003512AA" w:rsidRPr="000E437E" w:rsidRDefault="003512AA" w:rsidP="000E437E">
      <w:pPr>
        <w:numPr>
          <w:ilvl w:val="1"/>
          <w:numId w:val="6"/>
        </w:numPr>
        <w:spacing w:line="360" w:lineRule="auto"/>
        <w:jc w:val="both"/>
        <w:rPr>
          <w:rFonts w:ascii="Arial" w:hAnsi="Arial" w:cs="Arial"/>
          <w:sz w:val="22"/>
          <w:lang w:val="en-GB" w:bidi="th-TH"/>
        </w:rPr>
      </w:pPr>
      <w:r w:rsidRPr="000E437E">
        <w:rPr>
          <w:rFonts w:ascii="Arial" w:hAnsi="Arial" w:cs="Arial"/>
          <w:sz w:val="22"/>
          <w:lang w:val="en-GB" w:bidi="th-TH"/>
        </w:rPr>
        <w:t>Description: How leadership and management practices influence the success of remote work.</w:t>
      </w:r>
    </w:p>
    <w:p w14:paraId="4713D02F" w14:textId="77777777" w:rsidR="003512AA" w:rsidRPr="000E437E" w:rsidRDefault="003512AA" w:rsidP="000E437E">
      <w:pPr>
        <w:spacing w:line="360" w:lineRule="auto"/>
        <w:jc w:val="both"/>
        <w:rPr>
          <w:rFonts w:ascii="Arial" w:hAnsi="Arial" w:cs="Arial"/>
          <w:b/>
          <w:bCs/>
          <w:sz w:val="22"/>
          <w:lang w:val="en-US" w:bidi="th-TH"/>
        </w:rPr>
      </w:pPr>
    </w:p>
    <w:p w14:paraId="75DD2E71" w14:textId="77777777" w:rsidR="00A55421" w:rsidRPr="000E437E" w:rsidRDefault="00A55421" w:rsidP="000E437E">
      <w:pPr>
        <w:spacing w:line="360" w:lineRule="auto"/>
        <w:jc w:val="both"/>
        <w:rPr>
          <w:rFonts w:ascii="Arial" w:hAnsi="Arial" w:cs="Arial"/>
          <w:b/>
          <w:bCs/>
          <w:sz w:val="22"/>
          <w:lang w:val="en-US" w:bidi="th-TH"/>
        </w:rPr>
      </w:pPr>
    </w:p>
    <w:p w14:paraId="0AD3A59C" w14:textId="77777777" w:rsidR="00A55421" w:rsidRPr="000E437E" w:rsidRDefault="00A55421" w:rsidP="000E437E">
      <w:pPr>
        <w:spacing w:line="360" w:lineRule="auto"/>
        <w:jc w:val="both"/>
        <w:rPr>
          <w:rFonts w:ascii="Arial" w:hAnsi="Arial" w:cs="Arial"/>
          <w:b/>
          <w:bCs/>
          <w:sz w:val="22"/>
          <w:lang w:val="en-US" w:bidi="th-TH"/>
        </w:rPr>
      </w:pPr>
    </w:p>
    <w:p w14:paraId="2EC16D5D" w14:textId="77777777" w:rsidR="00A55421" w:rsidRPr="000E437E" w:rsidRDefault="00A55421" w:rsidP="000E437E">
      <w:pPr>
        <w:spacing w:line="360" w:lineRule="auto"/>
        <w:jc w:val="both"/>
        <w:rPr>
          <w:rFonts w:ascii="Arial" w:hAnsi="Arial" w:cs="Arial"/>
          <w:b/>
          <w:bCs/>
          <w:sz w:val="22"/>
          <w:lang w:val="en-US" w:bidi="th-TH"/>
        </w:rPr>
      </w:pPr>
    </w:p>
    <w:p w14:paraId="4486205D" w14:textId="77777777" w:rsidR="00A55421" w:rsidRPr="000E437E" w:rsidRDefault="00A55421" w:rsidP="000E437E">
      <w:pPr>
        <w:spacing w:line="360" w:lineRule="auto"/>
        <w:jc w:val="both"/>
        <w:rPr>
          <w:rFonts w:ascii="Arial" w:hAnsi="Arial" w:cs="Arial"/>
          <w:b/>
          <w:bCs/>
          <w:sz w:val="22"/>
          <w:lang w:val="en-US" w:bidi="th-TH"/>
        </w:rPr>
      </w:pPr>
    </w:p>
    <w:p w14:paraId="4870598F" w14:textId="77777777" w:rsidR="00D5276F" w:rsidRDefault="00D5276F" w:rsidP="000E437E">
      <w:pPr>
        <w:spacing w:line="360" w:lineRule="auto"/>
        <w:jc w:val="both"/>
        <w:rPr>
          <w:rFonts w:ascii="Arial" w:hAnsi="Arial" w:cs="Arial"/>
          <w:b/>
          <w:bCs/>
          <w:sz w:val="22"/>
          <w:lang w:val="en-US" w:bidi="th-TH"/>
        </w:rPr>
      </w:pPr>
    </w:p>
    <w:p w14:paraId="45AC47B6" w14:textId="77777777" w:rsidR="00D5276F" w:rsidRDefault="00D5276F" w:rsidP="000E437E">
      <w:pPr>
        <w:spacing w:line="360" w:lineRule="auto"/>
        <w:jc w:val="both"/>
        <w:rPr>
          <w:rFonts w:ascii="Arial" w:hAnsi="Arial" w:cs="Arial"/>
          <w:b/>
          <w:bCs/>
          <w:sz w:val="22"/>
          <w:lang w:val="en-US" w:bidi="th-TH"/>
        </w:rPr>
      </w:pPr>
    </w:p>
    <w:p w14:paraId="4A38D43F" w14:textId="77777777" w:rsidR="00D5276F" w:rsidRDefault="00D5276F" w:rsidP="000E437E">
      <w:pPr>
        <w:spacing w:line="360" w:lineRule="auto"/>
        <w:jc w:val="both"/>
        <w:rPr>
          <w:rFonts w:ascii="Arial" w:hAnsi="Arial" w:cs="Arial"/>
          <w:b/>
          <w:bCs/>
          <w:sz w:val="22"/>
          <w:lang w:val="en-US" w:bidi="th-TH"/>
        </w:rPr>
      </w:pPr>
    </w:p>
    <w:p w14:paraId="28040B62" w14:textId="77777777" w:rsidR="00D5276F" w:rsidRDefault="00D5276F" w:rsidP="000E437E">
      <w:pPr>
        <w:spacing w:line="360" w:lineRule="auto"/>
        <w:jc w:val="both"/>
        <w:rPr>
          <w:rFonts w:ascii="Arial" w:hAnsi="Arial" w:cs="Arial"/>
          <w:b/>
          <w:bCs/>
          <w:sz w:val="22"/>
          <w:lang w:val="en-US" w:bidi="th-TH"/>
        </w:rPr>
      </w:pPr>
    </w:p>
    <w:p w14:paraId="23731A3F" w14:textId="77777777" w:rsidR="00D5276F" w:rsidRDefault="00D5276F" w:rsidP="000E437E">
      <w:pPr>
        <w:spacing w:line="360" w:lineRule="auto"/>
        <w:jc w:val="both"/>
        <w:rPr>
          <w:rFonts w:ascii="Arial" w:hAnsi="Arial" w:cs="Arial"/>
          <w:b/>
          <w:bCs/>
          <w:sz w:val="22"/>
          <w:lang w:val="en-US" w:bidi="th-TH"/>
        </w:rPr>
      </w:pPr>
    </w:p>
    <w:p w14:paraId="76872079" w14:textId="77777777" w:rsidR="00D5276F" w:rsidRDefault="00D5276F" w:rsidP="000E437E">
      <w:pPr>
        <w:spacing w:line="360" w:lineRule="auto"/>
        <w:jc w:val="both"/>
        <w:rPr>
          <w:rFonts w:ascii="Arial" w:hAnsi="Arial" w:cs="Arial"/>
          <w:b/>
          <w:bCs/>
          <w:sz w:val="22"/>
          <w:lang w:val="en-US" w:bidi="th-TH"/>
        </w:rPr>
      </w:pPr>
    </w:p>
    <w:p w14:paraId="1722852F" w14:textId="11C2BADB" w:rsidR="00F96A13" w:rsidRPr="000E437E" w:rsidRDefault="00F96A13"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1. Job Demands-Resources (JDR) Model</w:t>
      </w:r>
    </w:p>
    <w:p w14:paraId="225C1BEA" w14:textId="58F914C2" w:rsidR="00F96A13" w:rsidRPr="000E437E" w:rsidRDefault="00F96A13" w:rsidP="000E437E">
      <w:pPr>
        <w:spacing w:line="360" w:lineRule="auto"/>
        <w:jc w:val="both"/>
        <w:rPr>
          <w:rFonts w:ascii="Arial" w:hAnsi="Arial" w:cs="Arial"/>
          <w:b/>
          <w:bCs/>
          <w:sz w:val="22"/>
          <w:lang w:val="en-US" w:bidi="th-TH"/>
        </w:rPr>
      </w:pPr>
      <w:r w:rsidRPr="000E437E">
        <w:rPr>
          <w:rFonts w:ascii="Arial" w:hAnsi="Arial" w:cs="Arial"/>
          <w:noProof/>
          <w:sz w:val="22"/>
        </w:rPr>
        <w:drawing>
          <wp:inline distT="0" distB="0" distL="0" distR="0" wp14:anchorId="46B37762" wp14:editId="32877CFF">
            <wp:extent cx="2686050" cy="2019300"/>
            <wp:effectExtent l="0" t="0" r="0" b="0"/>
            <wp:docPr id="1777279755" name="Picture 2" descr="Job demands-resources theory in times of crises: New propositions -  Evangelia Demerouti, Arnold B. Bakker,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b demands-resources theory in times of crises: New propositions -  Evangelia Demerouti, Arnold B. Bakker, 20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86050" cy="2019300"/>
                    </a:xfrm>
                    <a:prstGeom prst="rect">
                      <a:avLst/>
                    </a:prstGeom>
                    <a:noFill/>
                    <a:ln>
                      <a:noFill/>
                    </a:ln>
                  </pic:spPr>
                </pic:pic>
              </a:graphicData>
            </a:graphic>
          </wp:inline>
        </w:drawing>
      </w:r>
    </w:p>
    <w:p w14:paraId="42A7B08E" w14:textId="551AA2E7" w:rsidR="00F96A13" w:rsidRPr="000E437E" w:rsidRDefault="009F27D0" w:rsidP="000E437E">
      <w:pPr>
        <w:pStyle w:val="Caption"/>
        <w:jc w:val="both"/>
        <w:rPr>
          <w:rFonts w:ascii="Arial" w:hAnsi="Arial" w:cs="Arial"/>
          <w:sz w:val="22"/>
          <w:szCs w:val="22"/>
          <w:lang w:val="en-US" w:bidi="th-TH"/>
        </w:rPr>
      </w:pPr>
      <w:bookmarkStart w:id="22" w:name="_Toc165886029"/>
      <w:r w:rsidRPr="000E437E">
        <w:rPr>
          <w:rFonts w:ascii="Arial" w:hAnsi="Arial" w:cs="Arial"/>
          <w:sz w:val="22"/>
          <w:szCs w:val="22"/>
        </w:rPr>
        <w:t xml:space="preserve">Figure </w:t>
      </w:r>
      <w:r w:rsidRPr="000E437E">
        <w:rPr>
          <w:rFonts w:ascii="Arial" w:hAnsi="Arial" w:cs="Arial"/>
          <w:sz w:val="22"/>
          <w:szCs w:val="22"/>
        </w:rPr>
        <w:fldChar w:fldCharType="begin"/>
      </w:r>
      <w:r w:rsidRPr="000E437E">
        <w:rPr>
          <w:rFonts w:ascii="Arial" w:hAnsi="Arial" w:cs="Arial"/>
          <w:sz w:val="22"/>
          <w:szCs w:val="22"/>
        </w:rPr>
        <w:instrText xml:space="preserve"> SEQ Figure \* ARABIC </w:instrText>
      </w:r>
      <w:r w:rsidRPr="000E437E">
        <w:rPr>
          <w:rFonts w:ascii="Arial" w:hAnsi="Arial" w:cs="Arial"/>
          <w:sz w:val="22"/>
          <w:szCs w:val="22"/>
        </w:rPr>
        <w:fldChar w:fldCharType="separate"/>
      </w:r>
      <w:r w:rsidR="0096349E" w:rsidRPr="000E437E">
        <w:rPr>
          <w:rFonts w:ascii="Arial" w:hAnsi="Arial" w:cs="Arial"/>
          <w:noProof/>
          <w:sz w:val="22"/>
          <w:szCs w:val="22"/>
        </w:rPr>
        <w:t>6</w:t>
      </w:r>
      <w:r w:rsidRPr="000E437E">
        <w:rPr>
          <w:rFonts w:ascii="Arial" w:hAnsi="Arial" w:cs="Arial"/>
          <w:sz w:val="22"/>
          <w:szCs w:val="22"/>
        </w:rPr>
        <w:fldChar w:fldCharType="end"/>
      </w:r>
      <w:r w:rsidR="00F96A13" w:rsidRPr="000E437E">
        <w:rPr>
          <w:rFonts w:ascii="Arial" w:hAnsi="Arial" w:cs="Arial"/>
          <w:sz w:val="22"/>
          <w:szCs w:val="22"/>
          <w:lang w:val="en-US" w:bidi="th-TH"/>
        </w:rPr>
        <w:t>. Job Demands-Resource Model</w:t>
      </w:r>
      <w:bookmarkEnd w:id="22"/>
    </w:p>
    <w:p w14:paraId="362D1B8B"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Source: </w:t>
      </w:r>
      <w:r w:rsidRPr="000E437E">
        <w:rPr>
          <w:rFonts w:ascii="Arial" w:hAnsi="Arial" w:cs="Arial"/>
          <w:sz w:val="22"/>
        </w:rPr>
        <w:t>(Lesener, Gusy and Wolter, 2018)</w:t>
      </w:r>
    </w:p>
    <w:p w14:paraId="7B8662CF"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b/>
          <w:bCs/>
          <w:sz w:val="22"/>
          <w:lang w:val="en-US" w:bidi="th-TH"/>
        </w:rPr>
        <w:t>Job Demands:</w:t>
      </w:r>
      <w:r w:rsidRPr="000E437E">
        <w:rPr>
          <w:rFonts w:ascii="Arial" w:hAnsi="Arial" w:cs="Arial"/>
          <w:sz w:val="22"/>
          <w:lang w:val="en-US" w:bidi="th-TH"/>
        </w:rPr>
        <w:t xml:space="preserve"> Sprucing up the job description, some jobs cannot be done only by mental power. Pushing machines is also a case of colored jobs. Working with HSBC based at home means having increased tasks due to the intangible limits between work and home </w:t>
      </w:r>
      <w:r w:rsidRPr="000E437E">
        <w:rPr>
          <w:rFonts w:ascii="Arial" w:hAnsi="Arial" w:cs="Arial"/>
          <w:sz w:val="22"/>
        </w:rPr>
        <w:t>(Lesener, Gusy and Wolter, 2018)</w:t>
      </w:r>
      <w:r w:rsidRPr="000E437E">
        <w:rPr>
          <w:rFonts w:ascii="Arial" w:hAnsi="Arial" w:cs="Arial"/>
          <w:sz w:val="22"/>
          <w:lang w:val="en-US" w:bidi="th-TH"/>
        </w:rPr>
        <w:t>. Problems related to the use of technology, the stress of working by oneself, and the feeling of being isolated are also the main concerns.</w:t>
      </w:r>
    </w:p>
    <w:p w14:paraId="6D898BB1"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b/>
          <w:bCs/>
          <w:sz w:val="22"/>
          <w:lang w:val="en-US" w:bidi="th-TH"/>
        </w:rPr>
        <w:t>Job Resources:</w:t>
      </w:r>
      <w:r w:rsidRPr="000E437E">
        <w:rPr>
          <w:rFonts w:ascii="Arial" w:hAnsi="Arial" w:cs="Arial"/>
          <w:sz w:val="22"/>
          <w:lang w:val="en-US" w:bidi="th-TH"/>
        </w:rPr>
        <w:t xml:space="preserve"> These are the physical, psychological, social, or organizational resources that help employees fulfill their work goals, and alleviate their job pressures while at the same time, promoting their personal growth </w:t>
      </w:r>
      <w:r w:rsidRPr="000E437E">
        <w:rPr>
          <w:rFonts w:ascii="Arial" w:hAnsi="Arial" w:cs="Arial"/>
          <w:sz w:val="22"/>
        </w:rPr>
        <w:t>(Lesener, Gusy and Wolter, 2018)</w:t>
      </w:r>
      <w:r w:rsidRPr="000E437E">
        <w:rPr>
          <w:rFonts w:ascii="Arial" w:hAnsi="Arial" w:cs="Arial"/>
          <w:sz w:val="22"/>
          <w:lang w:val="en-US" w:bidi="th-TH"/>
        </w:rPr>
        <w:t>. The job resources available for HSBC's remote workers can involve supportive technology, flexible work schedules, social relationships with colleagues and supervisors, and access to skills training and career growth.</w:t>
      </w:r>
    </w:p>
    <w:p w14:paraId="50C1061A"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b/>
          <w:bCs/>
          <w:sz w:val="22"/>
          <w:lang w:val="en-US" w:bidi="th-TH"/>
        </w:rPr>
        <w:t>Impact on Employee Engagement:</w:t>
      </w:r>
      <w:r w:rsidRPr="000E437E">
        <w:rPr>
          <w:rFonts w:ascii="Arial" w:hAnsi="Arial" w:cs="Arial"/>
          <w:sz w:val="22"/>
          <w:lang w:val="en-US" w:bidi="th-TH"/>
        </w:rPr>
        <w:t xml:space="preserve"> JDR theorists have forwarded the idea that workers experiencing elevated job demands but at the same time with inadequate job resources are vulnerable to developing burnout and disengagement </w:t>
      </w:r>
      <w:r w:rsidRPr="000E437E">
        <w:rPr>
          <w:rFonts w:ascii="Arial" w:hAnsi="Arial" w:cs="Arial"/>
          <w:sz w:val="22"/>
        </w:rPr>
        <w:t>(Mazzetti et al., 2021)</w:t>
      </w:r>
      <w:r w:rsidRPr="000E437E">
        <w:rPr>
          <w:rFonts w:ascii="Arial" w:hAnsi="Arial" w:cs="Arial"/>
          <w:sz w:val="22"/>
          <w:lang w:val="en-US" w:bidi="th-TH"/>
        </w:rPr>
        <w:t xml:space="preserve">. On the other, hand, if employees’ behaviors are supported by adequate job resources to handle their demanding jobs' requirements they are more likely to experience engagement and well-being. Hence, for the HSBC remote work policy, it is paramount to make sure employees have the requisite tools, including technology, backing, and working conditions that can effectively help them to fulfill the workplace requirements and evaluate engagement </w:t>
      </w:r>
      <w:r w:rsidRPr="000E437E">
        <w:rPr>
          <w:rFonts w:ascii="Arial" w:hAnsi="Arial" w:cs="Arial"/>
          <w:sz w:val="22"/>
        </w:rPr>
        <w:t>(Mazzetti et al., 2021)</w:t>
      </w:r>
      <w:r w:rsidRPr="000E437E">
        <w:rPr>
          <w:rFonts w:ascii="Arial" w:hAnsi="Arial" w:cs="Arial"/>
          <w:sz w:val="22"/>
          <w:lang w:val="en-US" w:bidi="th-TH"/>
        </w:rPr>
        <w:t>.</w:t>
      </w:r>
    </w:p>
    <w:p w14:paraId="1813F694" w14:textId="77777777" w:rsidR="00F96A13" w:rsidRPr="000E437E" w:rsidRDefault="00F96A13"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lastRenderedPageBreak/>
        <w:t>2. Psychological Contract Theory</w:t>
      </w:r>
    </w:p>
    <w:p w14:paraId="50E74B27"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Psychological Contract Theory focuses on the implicit obligations and expectations that are at work between employees and their organizations </w:t>
      </w:r>
      <w:r w:rsidRPr="000E437E">
        <w:rPr>
          <w:rFonts w:ascii="Arial" w:hAnsi="Arial" w:cs="Arial"/>
          <w:sz w:val="22"/>
        </w:rPr>
        <w:t>(Kutaula, Gillani and Budhwar, 2019)</w:t>
      </w:r>
      <w:r w:rsidRPr="000E437E">
        <w:rPr>
          <w:rFonts w:ascii="Arial" w:hAnsi="Arial" w:cs="Arial"/>
          <w:sz w:val="22"/>
          <w:lang w:val="en-US" w:bidi="th-TH"/>
        </w:rPr>
        <w:t>. These may encompass a variety of dimensions, for example, career protection, staff mobility, and the level of organizational culture values. Remote work at HSBC can be the reason for alterations in the psychological contract that is between employees and the organization due to the shift to remote work.</w:t>
      </w:r>
    </w:p>
    <w:p w14:paraId="543B0AA2" w14:textId="6FCE0D26" w:rsidR="00F96A13" w:rsidRPr="000E437E" w:rsidRDefault="00F96A13" w:rsidP="000E437E">
      <w:pPr>
        <w:spacing w:line="360" w:lineRule="auto"/>
        <w:jc w:val="both"/>
        <w:rPr>
          <w:rFonts w:ascii="Arial" w:hAnsi="Arial" w:cs="Arial"/>
          <w:b/>
          <w:bCs/>
          <w:sz w:val="22"/>
          <w:lang w:val="en-US" w:bidi="th-TH"/>
        </w:rPr>
      </w:pPr>
      <w:r w:rsidRPr="000E437E">
        <w:rPr>
          <w:rFonts w:ascii="Arial" w:hAnsi="Arial" w:cs="Arial"/>
          <w:b/>
          <w:noProof/>
          <w:sz w:val="22"/>
          <w:lang w:val="en-US" w:bidi="th-TH"/>
        </w:rPr>
        <w:drawing>
          <wp:inline distT="0" distB="0" distL="0" distR="0" wp14:anchorId="6DF7CE41" wp14:editId="673177CE">
            <wp:extent cx="3657600" cy="1495425"/>
            <wp:effectExtent l="0" t="0" r="0" b="9525"/>
            <wp:docPr id="151810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57600" cy="1495425"/>
                    </a:xfrm>
                    <a:prstGeom prst="rect">
                      <a:avLst/>
                    </a:prstGeom>
                    <a:noFill/>
                    <a:ln>
                      <a:noFill/>
                    </a:ln>
                  </pic:spPr>
                </pic:pic>
              </a:graphicData>
            </a:graphic>
          </wp:inline>
        </w:drawing>
      </w:r>
    </w:p>
    <w:p w14:paraId="7813BF2A" w14:textId="7A42B825" w:rsidR="00F96A13" w:rsidRPr="000E437E" w:rsidRDefault="009F27D0" w:rsidP="000E437E">
      <w:pPr>
        <w:pStyle w:val="Caption"/>
        <w:jc w:val="both"/>
        <w:rPr>
          <w:rFonts w:ascii="Arial" w:hAnsi="Arial" w:cs="Arial"/>
          <w:sz w:val="22"/>
          <w:szCs w:val="22"/>
        </w:rPr>
      </w:pPr>
      <w:bookmarkStart w:id="23" w:name="_Toc165886030"/>
      <w:r w:rsidRPr="000E437E">
        <w:rPr>
          <w:rFonts w:ascii="Arial" w:hAnsi="Arial" w:cs="Arial"/>
          <w:sz w:val="22"/>
          <w:szCs w:val="22"/>
        </w:rPr>
        <w:t xml:space="preserve">Figure </w:t>
      </w:r>
      <w:r w:rsidRPr="000E437E">
        <w:rPr>
          <w:rFonts w:ascii="Arial" w:hAnsi="Arial" w:cs="Arial"/>
          <w:sz w:val="22"/>
          <w:szCs w:val="22"/>
        </w:rPr>
        <w:fldChar w:fldCharType="begin"/>
      </w:r>
      <w:r w:rsidRPr="000E437E">
        <w:rPr>
          <w:rFonts w:ascii="Arial" w:hAnsi="Arial" w:cs="Arial"/>
          <w:sz w:val="22"/>
          <w:szCs w:val="22"/>
        </w:rPr>
        <w:instrText xml:space="preserve"> SEQ Figure \* ARABIC </w:instrText>
      </w:r>
      <w:r w:rsidRPr="000E437E">
        <w:rPr>
          <w:rFonts w:ascii="Arial" w:hAnsi="Arial" w:cs="Arial"/>
          <w:sz w:val="22"/>
          <w:szCs w:val="22"/>
        </w:rPr>
        <w:fldChar w:fldCharType="separate"/>
      </w:r>
      <w:r w:rsidR="0096349E" w:rsidRPr="000E437E">
        <w:rPr>
          <w:rFonts w:ascii="Arial" w:hAnsi="Arial" w:cs="Arial"/>
          <w:noProof/>
          <w:sz w:val="22"/>
          <w:szCs w:val="22"/>
        </w:rPr>
        <w:t>7</w:t>
      </w:r>
      <w:r w:rsidRPr="000E437E">
        <w:rPr>
          <w:rFonts w:ascii="Arial" w:hAnsi="Arial" w:cs="Arial"/>
          <w:sz w:val="22"/>
          <w:szCs w:val="22"/>
        </w:rPr>
        <w:fldChar w:fldCharType="end"/>
      </w:r>
      <w:r w:rsidR="00F96A13" w:rsidRPr="000E437E">
        <w:rPr>
          <w:rFonts w:ascii="Arial" w:hAnsi="Arial" w:cs="Arial"/>
          <w:sz w:val="22"/>
          <w:szCs w:val="22"/>
        </w:rPr>
        <w:t>. Psychological Contract Theory</w:t>
      </w:r>
      <w:bookmarkEnd w:id="23"/>
    </w:p>
    <w:p w14:paraId="2899B80D"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Source: </w:t>
      </w:r>
      <w:r w:rsidRPr="000E437E">
        <w:rPr>
          <w:rFonts w:ascii="Arial" w:hAnsi="Arial" w:cs="Arial"/>
          <w:sz w:val="22"/>
        </w:rPr>
        <w:t>(Kutaula, Gillani and Budhwar, 2019)</w:t>
      </w:r>
    </w:p>
    <w:p w14:paraId="2C36A610"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b/>
          <w:bCs/>
          <w:sz w:val="22"/>
          <w:lang w:val="en-US" w:bidi="th-TH"/>
        </w:rPr>
        <w:t>Mutuality:</w:t>
      </w:r>
      <w:r w:rsidRPr="000E437E">
        <w:rPr>
          <w:rFonts w:ascii="Arial" w:hAnsi="Arial" w:cs="Arial"/>
          <w:sz w:val="22"/>
          <w:lang w:val="en-US" w:bidi="th-TH"/>
        </w:rPr>
        <w:t xml:space="preserve"> The term Psychological Contract Theory considers the two-way agreement between the employees and the organization in terms of understanding and the fulfillment of obligations </w:t>
      </w:r>
      <w:r w:rsidRPr="000E437E">
        <w:rPr>
          <w:rFonts w:ascii="Arial" w:hAnsi="Arial" w:cs="Arial"/>
          <w:sz w:val="22"/>
        </w:rPr>
        <w:t>(Kutaula, Gillani and Budhwar, 2019)</w:t>
      </w:r>
      <w:r w:rsidRPr="000E437E">
        <w:rPr>
          <w:rFonts w:ascii="Arial" w:hAnsi="Arial" w:cs="Arial"/>
          <w:sz w:val="22"/>
          <w:lang w:val="en-US" w:bidi="th-TH"/>
        </w:rPr>
        <w:t>. In the case of remote work, HSBC has to ensure that the psychological contract is still implemented by delivering on the promises made to the employee about support, resources, and opportunities for improvement, even though they may be working from home.</w:t>
      </w:r>
    </w:p>
    <w:p w14:paraId="478D7766"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b/>
          <w:bCs/>
          <w:sz w:val="22"/>
          <w:lang w:val="en-US" w:bidi="th-TH"/>
        </w:rPr>
        <w:t>Trust and Communication:</w:t>
      </w:r>
      <w:r w:rsidRPr="000E437E">
        <w:rPr>
          <w:rFonts w:ascii="Arial" w:hAnsi="Arial" w:cs="Arial"/>
          <w:sz w:val="22"/>
          <w:lang w:val="en-US" w:bidi="th-TH"/>
        </w:rPr>
        <w:t xml:space="preserve"> The psychological contract consists of mutual trust and communication which are cornerstones of any organized work environment while these interactions are not impossible the risk of breaching them increases in those environments </w:t>
      </w:r>
      <w:r w:rsidRPr="000E437E">
        <w:rPr>
          <w:rFonts w:ascii="Arial" w:hAnsi="Arial" w:cs="Arial"/>
          <w:sz w:val="22"/>
        </w:rPr>
        <w:t>(Soares and Mosquera, 2019)</w:t>
      </w:r>
      <w:r w:rsidRPr="000E437E">
        <w:rPr>
          <w:rFonts w:ascii="Arial" w:hAnsi="Arial" w:cs="Arial"/>
          <w:sz w:val="22"/>
          <w:lang w:val="en-US" w:bidi="th-TH"/>
        </w:rPr>
        <w:t>. HSBC should ensure transparent communication lines with remote team members to avoid trust breakdown and make remote staff feel included.</w:t>
      </w:r>
    </w:p>
    <w:p w14:paraId="192A57C1"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b/>
          <w:bCs/>
          <w:sz w:val="22"/>
          <w:lang w:val="en-US" w:bidi="th-TH"/>
        </w:rPr>
        <w:t>Impact on Organizational Culture:</w:t>
      </w:r>
      <w:r w:rsidRPr="000E437E">
        <w:rPr>
          <w:rFonts w:ascii="Arial" w:hAnsi="Arial" w:cs="Arial"/>
          <w:sz w:val="22"/>
          <w:lang w:val="en-US" w:bidi="th-TH"/>
        </w:rPr>
        <w:t xml:space="preserve"> Reflexes in the mental agreement could be as well one of the factors that can impact organizational culture. Likewise, when employees’ expectations of the organization are not being fulfilled and with no support in a remote working environment, it can all lead to a distrust level that will be a factor in the culture of the organization </w:t>
      </w:r>
      <w:r w:rsidRPr="000E437E">
        <w:rPr>
          <w:rFonts w:ascii="Arial" w:hAnsi="Arial" w:cs="Arial"/>
          <w:sz w:val="22"/>
        </w:rPr>
        <w:t>(Soares and Mosquera, 2019)</w:t>
      </w:r>
      <w:r w:rsidRPr="000E437E">
        <w:rPr>
          <w:rFonts w:ascii="Arial" w:hAnsi="Arial" w:cs="Arial"/>
          <w:sz w:val="22"/>
          <w:lang w:val="en-US" w:bidi="th-TH"/>
        </w:rPr>
        <w:t>.</w:t>
      </w:r>
    </w:p>
    <w:p w14:paraId="08753679"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lastRenderedPageBreak/>
        <w:t xml:space="preserve">Overall, both the Job Demands-Resources Model and the Psychological Contract Theory provide useful findings that highlight the influence of remote work on employee engagement and the organizational culture of the HSBC Bank. The number one function of HSBC now is to remove job demands and to provide employees with requisite job resources as well as to implement the psychological contract terms </w:t>
      </w:r>
      <w:r w:rsidRPr="000E437E">
        <w:rPr>
          <w:rFonts w:ascii="Arial" w:hAnsi="Arial" w:cs="Arial"/>
          <w:sz w:val="22"/>
        </w:rPr>
        <w:t>(Kutaula, Gillani and Budhwar, 2019)</w:t>
      </w:r>
      <w:r w:rsidRPr="000E437E">
        <w:rPr>
          <w:rFonts w:ascii="Arial" w:hAnsi="Arial" w:cs="Arial"/>
          <w:sz w:val="22"/>
          <w:lang w:val="en-US" w:bidi="th-TH"/>
        </w:rPr>
        <w:t>. A remote work environment can become more supportive and engaging resulting in employees’ well-being and a better organizational culture.</w:t>
      </w:r>
    </w:p>
    <w:p w14:paraId="13B76BA5" w14:textId="77777777" w:rsidR="00F96A13" w:rsidRPr="000E437E" w:rsidRDefault="00F96A13" w:rsidP="000E437E">
      <w:pPr>
        <w:pStyle w:val="Heading2"/>
        <w:spacing w:line="360" w:lineRule="auto"/>
        <w:jc w:val="both"/>
        <w:rPr>
          <w:rFonts w:ascii="Arial" w:hAnsi="Arial" w:cs="Arial"/>
          <w:color w:val="auto"/>
          <w:sz w:val="22"/>
          <w:szCs w:val="22"/>
        </w:rPr>
      </w:pPr>
      <w:bookmarkStart w:id="24" w:name="_Toc165886057"/>
      <w:r w:rsidRPr="000E437E">
        <w:rPr>
          <w:rFonts w:ascii="Arial" w:hAnsi="Arial" w:cs="Arial"/>
          <w:color w:val="auto"/>
          <w:sz w:val="22"/>
          <w:szCs w:val="22"/>
        </w:rPr>
        <w:t>2.7 Research Gap</w:t>
      </w:r>
      <w:bookmarkEnd w:id="24"/>
    </w:p>
    <w:p w14:paraId="7EA94871" w14:textId="77777777" w:rsidR="00F96A13"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With the general persistence of remote work after the pandemic, there is a serious void concerning the particular influence of remote work on employee engagement and organizational culture generally at HSBC Holdings plc in the UK. Existing research is usually about the generalized effect of remote work, which does not take the specific dynamics and difficulties in context to the large multinational corporations like HSBC </w:t>
      </w:r>
      <w:r w:rsidRPr="000E437E">
        <w:rPr>
          <w:rFonts w:ascii="Arial" w:hAnsi="Arial" w:cs="Arial"/>
          <w:sz w:val="22"/>
        </w:rPr>
        <w:t>(Shaik and Makhecha, 2019)</w:t>
      </w:r>
      <w:r w:rsidRPr="000E437E">
        <w:rPr>
          <w:rFonts w:ascii="Arial" w:hAnsi="Arial" w:cs="Arial"/>
          <w:sz w:val="22"/>
          <w:lang w:val="en-US" w:bidi="th-TH"/>
        </w:rPr>
        <w:t xml:space="preserve">. Further, existing researches either highlight the implication of remote work on employee engagement or organizational culture alone, but no study has ever attempted to understand the connections among all these factors within the organizational context of HSBC. This research gap needs to be filled for a better understanding of all the fine nuances how whose remote work no longer is as engaged and/or there isn’t a smooth part so that the right measures are in place so that the employees are engaged but at the same time HSBC can provide the best service as a result </w:t>
      </w:r>
      <w:r w:rsidRPr="000E437E">
        <w:rPr>
          <w:rFonts w:ascii="Arial" w:hAnsi="Arial" w:cs="Arial"/>
          <w:sz w:val="22"/>
        </w:rPr>
        <w:t>(Shaik and Makhecha, 2019)</w:t>
      </w:r>
      <w:r w:rsidRPr="000E437E">
        <w:rPr>
          <w:rFonts w:ascii="Arial" w:hAnsi="Arial" w:cs="Arial"/>
          <w:sz w:val="22"/>
          <w:lang w:val="en-US" w:bidi="th-TH"/>
        </w:rPr>
        <w:t>.</w:t>
      </w:r>
    </w:p>
    <w:p w14:paraId="3F4D1D66" w14:textId="77777777" w:rsidR="00F96A13" w:rsidRPr="000E437E" w:rsidRDefault="00F96A13" w:rsidP="000E437E">
      <w:pPr>
        <w:pStyle w:val="Heading2"/>
        <w:spacing w:line="360" w:lineRule="auto"/>
        <w:jc w:val="both"/>
        <w:rPr>
          <w:rFonts w:ascii="Arial" w:hAnsi="Arial" w:cs="Arial"/>
          <w:color w:val="auto"/>
          <w:sz w:val="22"/>
          <w:szCs w:val="22"/>
        </w:rPr>
      </w:pPr>
      <w:bookmarkStart w:id="25" w:name="_Toc165886058"/>
      <w:r w:rsidRPr="000E437E">
        <w:rPr>
          <w:rFonts w:ascii="Arial" w:hAnsi="Arial" w:cs="Arial"/>
          <w:color w:val="auto"/>
          <w:sz w:val="22"/>
          <w:szCs w:val="22"/>
        </w:rPr>
        <w:t>2.8 Conclusion of the Chapter</w:t>
      </w:r>
      <w:bookmarkEnd w:id="25"/>
    </w:p>
    <w:p w14:paraId="3026C9CF" w14:textId="2CE0436D" w:rsidR="00DC51DB" w:rsidRPr="000E437E" w:rsidRDefault="00F96A13"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Thus, the review assesses the complex dynamics of remote work, employee engagement, and organizational culture of HSBC Holdings plc in post-pandemic UK from the business perspective. On another note, remote job statistics prove that hybrid models have become the new norm, requiring a new approach towards employee engagement and company culture </w:t>
      </w:r>
      <w:r w:rsidRPr="000E437E">
        <w:rPr>
          <w:rFonts w:ascii="Arial" w:hAnsi="Arial" w:cs="Arial"/>
          <w:sz w:val="22"/>
        </w:rPr>
        <w:t>(Shaik and Makhecha, 2019)</w:t>
      </w:r>
      <w:r w:rsidRPr="000E437E">
        <w:rPr>
          <w:rFonts w:ascii="Arial" w:hAnsi="Arial" w:cs="Arial"/>
          <w:sz w:val="22"/>
          <w:lang w:val="en-US" w:bidi="th-TH"/>
        </w:rPr>
        <w:t xml:space="preserve">. These models exemplify briefly the Psychosocial Job Demands-Resources Model and the Psychological Contract Theory which assist in the analysis of this issue. Even though, a gap in the research regarding how remote work will have a very direct impact on employee engagement and organizational culture at HSBC. It is important to reduce the area of this gap by designing strategies that specifically aim to create a loyal and involved workforce remotely and thus strengthen the organization that performs well amid the changes in the working environment </w:t>
      </w:r>
      <w:r w:rsidRPr="000E437E">
        <w:rPr>
          <w:rFonts w:ascii="Arial" w:hAnsi="Arial" w:cs="Arial"/>
          <w:sz w:val="22"/>
        </w:rPr>
        <w:t>(Shaik and Makhecha, 2019)</w:t>
      </w:r>
      <w:r w:rsidRPr="000E437E">
        <w:rPr>
          <w:rFonts w:ascii="Arial" w:hAnsi="Arial" w:cs="Arial"/>
          <w:sz w:val="22"/>
          <w:lang w:val="en-US" w:bidi="th-TH"/>
        </w:rPr>
        <w:t>.</w:t>
      </w:r>
    </w:p>
    <w:p w14:paraId="3B54F044" w14:textId="11BBAFDE" w:rsidR="00205B25" w:rsidRPr="000E437E" w:rsidRDefault="00205B25" w:rsidP="000E437E">
      <w:pPr>
        <w:pStyle w:val="Heading1"/>
        <w:spacing w:line="360" w:lineRule="auto"/>
        <w:jc w:val="both"/>
        <w:rPr>
          <w:rFonts w:ascii="Arial" w:hAnsi="Arial" w:cs="Arial"/>
          <w:color w:val="auto"/>
          <w:sz w:val="22"/>
          <w:szCs w:val="22"/>
        </w:rPr>
      </w:pPr>
      <w:bookmarkStart w:id="26" w:name="_Toc165886059"/>
      <w:r w:rsidRPr="000E437E">
        <w:rPr>
          <w:rFonts w:ascii="Arial" w:hAnsi="Arial" w:cs="Arial"/>
          <w:color w:val="auto"/>
          <w:sz w:val="22"/>
          <w:szCs w:val="22"/>
        </w:rPr>
        <w:lastRenderedPageBreak/>
        <w:t>CHAPTER 3. METHODOLOGY</w:t>
      </w:r>
      <w:bookmarkEnd w:id="26"/>
      <w:r w:rsidRPr="000E437E">
        <w:rPr>
          <w:rFonts w:ascii="Arial" w:hAnsi="Arial" w:cs="Arial"/>
          <w:color w:val="auto"/>
          <w:sz w:val="22"/>
          <w:szCs w:val="22"/>
        </w:rPr>
        <w:t xml:space="preserve"> </w:t>
      </w:r>
    </w:p>
    <w:p w14:paraId="44923FF0" w14:textId="77777777" w:rsidR="00205B25" w:rsidRPr="000E437E" w:rsidRDefault="00205B25" w:rsidP="000E437E">
      <w:pPr>
        <w:pStyle w:val="Heading2"/>
        <w:spacing w:line="360" w:lineRule="auto"/>
        <w:jc w:val="both"/>
        <w:rPr>
          <w:rFonts w:ascii="Arial" w:hAnsi="Arial" w:cs="Arial"/>
          <w:color w:val="auto"/>
          <w:sz w:val="22"/>
          <w:szCs w:val="22"/>
        </w:rPr>
      </w:pPr>
      <w:bookmarkStart w:id="27" w:name="_Toc165886060"/>
      <w:r w:rsidRPr="000E437E">
        <w:rPr>
          <w:rFonts w:ascii="Arial" w:hAnsi="Arial" w:cs="Arial"/>
          <w:color w:val="auto"/>
          <w:sz w:val="22"/>
          <w:szCs w:val="22"/>
        </w:rPr>
        <w:t>3.1 Introduction</w:t>
      </w:r>
      <w:bookmarkEnd w:id="27"/>
    </w:p>
    <w:p w14:paraId="39ABAEDB" w14:textId="77777777" w:rsidR="00205B25" w:rsidRPr="000E437E" w:rsidRDefault="00205B25"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In light of the COVID-19 pandemic, working remotely is gaining its ground as a new normal mode of work for most organizations, influencing how employees’ engagement and organizational culture are perceived. This research dives into the role of remote work on these principal features of HSBC Holdings Plc, a big-time institution financially located in the UK </w:t>
      </w:r>
      <w:r w:rsidRPr="000E437E">
        <w:rPr>
          <w:rFonts w:ascii="Arial" w:eastAsia="Times New Roman" w:hAnsi="Arial" w:cs="Arial"/>
          <w:sz w:val="22"/>
          <w:lang w:val="en-US"/>
        </w:rPr>
        <w:t>(Cheong et al., 2023)</w:t>
      </w:r>
      <w:r w:rsidRPr="000E437E">
        <w:rPr>
          <w:rFonts w:ascii="Arial" w:hAnsi="Arial" w:cs="Arial"/>
          <w:sz w:val="22"/>
          <w:lang w:val="en-US" w:bidi="th-TH"/>
        </w:rPr>
        <w:t xml:space="preserve">. The purpose of secondary research is to explore different theoretical positions and premises of the investigation, to define the research design, to explain the research strategy, and to set forth the methods of data gathering. In addition, the principles that should be followed while conducting the research will also be tackled. Through critical examination of the existing literature and empirical evidence, this paper aims to shed light on how to perform in post-pandemic times, stimulating smart decision-making for the top management of HSBC Plc and beyond </w:t>
      </w:r>
      <w:r w:rsidRPr="000E437E">
        <w:rPr>
          <w:rFonts w:ascii="Arial" w:eastAsia="Times New Roman" w:hAnsi="Arial" w:cs="Arial"/>
          <w:sz w:val="22"/>
          <w:lang w:val="en-US"/>
        </w:rPr>
        <w:t>(Cheong et al., 2023)</w:t>
      </w:r>
      <w:r w:rsidRPr="000E437E">
        <w:rPr>
          <w:rFonts w:ascii="Arial" w:hAnsi="Arial" w:cs="Arial"/>
          <w:sz w:val="22"/>
          <w:lang w:val="en-US" w:bidi="th-TH"/>
        </w:rPr>
        <w:t>.</w:t>
      </w:r>
    </w:p>
    <w:p w14:paraId="4E19642E" w14:textId="77777777" w:rsidR="00D330AE" w:rsidRPr="000E437E" w:rsidRDefault="00D330AE" w:rsidP="000E437E">
      <w:pPr>
        <w:spacing w:line="360" w:lineRule="auto"/>
        <w:jc w:val="both"/>
        <w:rPr>
          <w:rFonts w:ascii="Arial" w:hAnsi="Arial" w:cs="Arial"/>
          <w:sz w:val="22"/>
        </w:rPr>
      </w:pPr>
      <w:r w:rsidRPr="000E437E">
        <w:rPr>
          <w:rFonts w:ascii="Arial" w:hAnsi="Arial" w:cs="Arial"/>
          <w:noProof/>
          <w:color w:val="FF0000"/>
          <w:sz w:val="22"/>
          <w:lang w:val="en-US" w:bidi="th-TH"/>
        </w:rPr>
        <w:drawing>
          <wp:inline distT="0" distB="0" distL="0" distR="0" wp14:anchorId="18C22FB8" wp14:editId="6CAD7424">
            <wp:extent cx="4632960" cy="3489074"/>
            <wp:effectExtent l="0" t="0" r="0" b="0"/>
            <wp:docPr id="1522979982" name="Picture 1" descr="A diagram of a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979982" name="Picture 1" descr="A diagram of a method&#10;&#10;Description automatically generated"/>
                    <pic:cNvPicPr/>
                  </pic:nvPicPr>
                  <pic:blipFill>
                    <a:blip r:embed="rId17"/>
                    <a:stretch>
                      <a:fillRect/>
                    </a:stretch>
                  </pic:blipFill>
                  <pic:spPr>
                    <a:xfrm>
                      <a:off x="0" y="0"/>
                      <a:ext cx="4635095" cy="3490682"/>
                    </a:xfrm>
                    <a:prstGeom prst="rect">
                      <a:avLst/>
                    </a:prstGeom>
                  </pic:spPr>
                </pic:pic>
              </a:graphicData>
            </a:graphic>
          </wp:inline>
        </w:drawing>
      </w:r>
      <w:r w:rsidRPr="000E437E">
        <w:rPr>
          <w:rFonts w:ascii="Arial" w:hAnsi="Arial" w:cs="Arial"/>
          <w:sz w:val="22"/>
        </w:rPr>
        <w:t xml:space="preserve"> </w:t>
      </w:r>
    </w:p>
    <w:p w14:paraId="3AA8000D" w14:textId="1ABFDC61" w:rsidR="003512AA" w:rsidRPr="000E437E" w:rsidRDefault="006F58A1" w:rsidP="000E437E">
      <w:pPr>
        <w:pStyle w:val="Caption"/>
        <w:jc w:val="both"/>
        <w:rPr>
          <w:rFonts w:ascii="Arial" w:hAnsi="Arial" w:cs="Arial"/>
          <w:sz w:val="22"/>
          <w:szCs w:val="22"/>
        </w:rPr>
      </w:pPr>
      <w:bookmarkStart w:id="28" w:name="_Toc165886031"/>
      <w:r w:rsidRPr="000E437E">
        <w:rPr>
          <w:rFonts w:ascii="Arial" w:hAnsi="Arial" w:cs="Arial"/>
          <w:sz w:val="22"/>
          <w:szCs w:val="22"/>
        </w:rPr>
        <w:t xml:space="preserve">Figure </w:t>
      </w:r>
      <w:r w:rsidRPr="000E437E">
        <w:rPr>
          <w:rFonts w:ascii="Arial" w:hAnsi="Arial" w:cs="Arial"/>
          <w:sz w:val="22"/>
          <w:szCs w:val="22"/>
        </w:rPr>
        <w:fldChar w:fldCharType="begin"/>
      </w:r>
      <w:r w:rsidRPr="000E437E">
        <w:rPr>
          <w:rFonts w:ascii="Arial" w:hAnsi="Arial" w:cs="Arial"/>
          <w:sz w:val="22"/>
          <w:szCs w:val="22"/>
        </w:rPr>
        <w:instrText xml:space="preserve"> SEQ Figure \* ARABIC </w:instrText>
      </w:r>
      <w:r w:rsidRPr="000E437E">
        <w:rPr>
          <w:rFonts w:ascii="Arial" w:hAnsi="Arial" w:cs="Arial"/>
          <w:sz w:val="22"/>
          <w:szCs w:val="22"/>
        </w:rPr>
        <w:fldChar w:fldCharType="separate"/>
      </w:r>
      <w:r w:rsidR="0096349E" w:rsidRPr="000E437E">
        <w:rPr>
          <w:rFonts w:ascii="Arial" w:hAnsi="Arial" w:cs="Arial"/>
          <w:noProof/>
          <w:sz w:val="22"/>
          <w:szCs w:val="22"/>
        </w:rPr>
        <w:t>8</w:t>
      </w:r>
      <w:r w:rsidRPr="000E437E">
        <w:rPr>
          <w:rFonts w:ascii="Arial" w:hAnsi="Arial" w:cs="Arial"/>
          <w:sz w:val="22"/>
          <w:szCs w:val="22"/>
        </w:rPr>
        <w:fldChar w:fldCharType="end"/>
      </w:r>
      <w:r w:rsidR="003512AA" w:rsidRPr="000E437E">
        <w:rPr>
          <w:rFonts w:ascii="Arial" w:hAnsi="Arial" w:cs="Arial"/>
          <w:sz w:val="22"/>
          <w:szCs w:val="22"/>
        </w:rPr>
        <w:t>. The research "onion" framwork</w:t>
      </w:r>
      <w:bookmarkEnd w:id="28"/>
    </w:p>
    <w:p w14:paraId="0E2D6E81" w14:textId="2AB3C856" w:rsidR="00D330AE" w:rsidRPr="000E437E" w:rsidRDefault="00D330AE" w:rsidP="000E437E">
      <w:pPr>
        <w:spacing w:line="360" w:lineRule="auto"/>
        <w:jc w:val="both"/>
        <w:rPr>
          <w:rFonts w:ascii="Arial" w:hAnsi="Arial" w:cs="Arial"/>
          <w:color w:val="FF0000"/>
          <w:sz w:val="22"/>
          <w:lang w:val="en-US" w:bidi="th-TH"/>
        </w:rPr>
      </w:pPr>
      <w:r w:rsidRPr="000E437E">
        <w:rPr>
          <w:rFonts w:ascii="Arial" w:hAnsi="Arial" w:cs="Arial"/>
          <w:sz w:val="22"/>
        </w:rPr>
        <w:t>The research "onion" according to Saunders et. Al, (2016) as cited in Saunders et. Al, (2015)</w:t>
      </w:r>
    </w:p>
    <w:p w14:paraId="695EF597" w14:textId="77777777" w:rsidR="00D330AE" w:rsidRPr="000E437E" w:rsidRDefault="00D330AE" w:rsidP="000E437E">
      <w:pPr>
        <w:spacing w:line="360" w:lineRule="auto"/>
        <w:jc w:val="both"/>
        <w:rPr>
          <w:rFonts w:ascii="Arial" w:eastAsia="Times New Roman" w:hAnsi="Arial" w:cs="Arial"/>
          <w:color w:val="000000" w:themeColor="text1"/>
          <w:sz w:val="22"/>
          <w:lang w:val="en-GB"/>
        </w:rPr>
      </w:pPr>
      <w:r w:rsidRPr="000E437E">
        <w:rPr>
          <w:rFonts w:ascii="Arial" w:eastAsia="Times New Roman" w:hAnsi="Arial" w:cs="Arial"/>
          <w:color w:val="000000" w:themeColor="text1"/>
          <w:sz w:val="22"/>
          <w:lang w:val="en-GB"/>
        </w:rPr>
        <w:t xml:space="preserve">The Onion Research Framework offers a structured approach for formulating research strategies within the banking sector, specifically tailored for HSBC UK. At its core, the framework adopts a </w:t>
      </w:r>
      <w:r w:rsidRPr="000E437E">
        <w:rPr>
          <w:rFonts w:ascii="Arial" w:eastAsia="Times New Roman" w:hAnsi="Arial" w:cs="Arial"/>
          <w:color w:val="000000" w:themeColor="text1"/>
          <w:sz w:val="22"/>
          <w:lang w:val="en-GB"/>
        </w:rPr>
        <w:lastRenderedPageBreak/>
        <w:t>positivist philosophy, grounding research in empirical evidence to guide the choice of methodologies and data collection techniques (Zaman et al., 2022).</w:t>
      </w:r>
    </w:p>
    <w:p w14:paraId="7B0097DD" w14:textId="77777777" w:rsidR="00D330AE" w:rsidRPr="000E437E" w:rsidRDefault="00D330AE" w:rsidP="000E437E">
      <w:pPr>
        <w:spacing w:line="360" w:lineRule="auto"/>
        <w:jc w:val="both"/>
        <w:rPr>
          <w:rFonts w:ascii="Arial" w:eastAsia="Times New Roman" w:hAnsi="Arial" w:cs="Arial"/>
          <w:color w:val="000000" w:themeColor="text1"/>
          <w:sz w:val="22"/>
          <w:lang w:val="en-GB"/>
        </w:rPr>
      </w:pPr>
      <w:r w:rsidRPr="000E437E">
        <w:rPr>
          <w:rFonts w:ascii="Arial" w:eastAsia="Times New Roman" w:hAnsi="Arial" w:cs="Arial"/>
          <w:color w:val="000000" w:themeColor="text1"/>
          <w:sz w:val="22"/>
          <w:lang w:val="en-GB"/>
        </w:rPr>
        <w:t>Moving outwards, the selection of research methods such as deep learning, mathematical modelling, or even molecular tools varies depending on the objectives (Moraliyage et al., 2022; Süfer et al., 2017; Khosa et al., 2015). For example, deep learning could classify banking services, while mathematical models might analyse financial trends and consumer behaviour.</w:t>
      </w:r>
    </w:p>
    <w:p w14:paraId="60CEFCB5" w14:textId="77777777" w:rsidR="00D330AE" w:rsidRPr="000E437E" w:rsidRDefault="00D330AE" w:rsidP="000E437E">
      <w:pPr>
        <w:spacing w:line="360" w:lineRule="auto"/>
        <w:jc w:val="both"/>
        <w:rPr>
          <w:rFonts w:ascii="Arial" w:eastAsia="Times New Roman" w:hAnsi="Arial" w:cs="Arial"/>
          <w:color w:val="000000" w:themeColor="text1"/>
          <w:sz w:val="22"/>
          <w:lang w:val="en-GB"/>
        </w:rPr>
      </w:pPr>
      <w:r w:rsidRPr="000E437E">
        <w:rPr>
          <w:rFonts w:ascii="Arial" w:eastAsia="Times New Roman" w:hAnsi="Arial" w:cs="Arial"/>
          <w:color w:val="000000" w:themeColor="text1"/>
          <w:sz w:val="22"/>
          <w:lang w:val="en-GB"/>
        </w:rPr>
        <w:t>The data collection and analysis layer utilises technologies like molecular markers or genetic mapping to unearth insights into market trends and risk assessments, ensuring the results are interpretable and actionable, especially important in banking for data-driven decision-making (Martin et al., 2005; González-Peña et al., 2017).</w:t>
      </w:r>
    </w:p>
    <w:p w14:paraId="7FC19CAB" w14:textId="77777777" w:rsidR="00D330AE" w:rsidRPr="000E437E" w:rsidRDefault="00D330AE" w:rsidP="000E437E">
      <w:pPr>
        <w:spacing w:line="360" w:lineRule="auto"/>
        <w:jc w:val="both"/>
        <w:rPr>
          <w:rFonts w:ascii="Arial" w:eastAsia="Times New Roman" w:hAnsi="Arial" w:cs="Arial"/>
          <w:color w:val="000000" w:themeColor="text1"/>
          <w:sz w:val="22"/>
          <w:lang w:val="en-GB"/>
        </w:rPr>
      </w:pPr>
      <w:r w:rsidRPr="000E437E">
        <w:rPr>
          <w:rFonts w:ascii="Arial" w:eastAsia="Times New Roman" w:hAnsi="Arial" w:cs="Arial"/>
          <w:color w:val="000000" w:themeColor="text1"/>
          <w:sz w:val="22"/>
          <w:lang w:val="en-GB"/>
        </w:rPr>
        <w:t>The external layers consider practical applications and industry implications, such as developing innovative financial products and forecasting customer demand, which are crucial for enhancing HSBC UK’s service offerings and operational efficiency (Bandi et al., 2016; Zhu et al., 2019).</w:t>
      </w:r>
    </w:p>
    <w:p w14:paraId="41A4420F" w14:textId="77777777" w:rsidR="00D330AE" w:rsidRPr="000E437E" w:rsidRDefault="00D330AE" w:rsidP="000E437E">
      <w:pPr>
        <w:spacing w:line="360" w:lineRule="auto"/>
        <w:jc w:val="both"/>
        <w:rPr>
          <w:rFonts w:ascii="Arial" w:eastAsia="Times New Roman" w:hAnsi="Arial" w:cs="Arial"/>
          <w:color w:val="000000" w:themeColor="text1"/>
          <w:sz w:val="22"/>
          <w:lang w:val="en-GB"/>
        </w:rPr>
      </w:pPr>
      <w:r w:rsidRPr="000E437E">
        <w:rPr>
          <w:rFonts w:ascii="Arial" w:eastAsia="Times New Roman" w:hAnsi="Arial" w:cs="Arial"/>
          <w:color w:val="000000" w:themeColor="text1"/>
          <w:sz w:val="22"/>
          <w:lang w:val="en-GB"/>
        </w:rPr>
        <w:t>Overall, the Onion Research Framework facilitates evidence-based decision-making and innovation in the banking industry, proving essential for strategic development at HSBC UK.</w:t>
      </w:r>
    </w:p>
    <w:p w14:paraId="26611818" w14:textId="7FF4F86B" w:rsidR="00D330AE" w:rsidRPr="000E437E" w:rsidRDefault="00D330AE" w:rsidP="000E437E">
      <w:pPr>
        <w:spacing w:line="360" w:lineRule="auto"/>
        <w:jc w:val="both"/>
        <w:rPr>
          <w:rFonts w:ascii="Arial" w:eastAsia="Times New Roman" w:hAnsi="Arial" w:cs="Arial"/>
          <w:sz w:val="22"/>
          <w:lang w:val="en-US"/>
        </w:rPr>
      </w:pPr>
    </w:p>
    <w:p w14:paraId="0A5FEB24" w14:textId="77777777" w:rsidR="00205B25" w:rsidRPr="000E437E" w:rsidRDefault="00205B25" w:rsidP="000E437E">
      <w:pPr>
        <w:pStyle w:val="Heading2"/>
        <w:spacing w:line="360" w:lineRule="auto"/>
        <w:jc w:val="both"/>
        <w:rPr>
          <w:rFonts w:ascii="Arial" w:hAnsi="Arial" w:cs="Arial"/>
          <w:color w:val="auto"/>
          <w:sz w:val="22"/>
          <w:szCs w:val="22"/>
        </w:rPr>
      </w:pPr>
      <w:bookmarkStart w:id="29" w:name="_Toc165886061"/>
      <w:r w:rsidRPr="000E437E">
        <w:rPr>
          <w:rFonts w:ascii="Arial" w:hAnsi="Arial" w:cs="Arial"/>
          <w:color w:val="auto"/>
          <w:sz w:val="22"/>
          <w:szCs w:val="22"/>
        </w:rPr>
        <w:t>3.2 Research Philosophies and Assumptions</w:t>
      </w:r>
      <w:bookmarkEnd w:id="29"/>
    </w:p>
    <w:p w14:paraId="1CCC86EB"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This research applied an interpretivism research philosophy because this was considered the most appropriate method for clarifying the subjective opinions of employees on remote work and its power for employee engagement and the organizational culture at HSBC Holdings Plc in the UK </w:t>
      </w:r>
      <w:r w:rsidRPr="000E437E">
        <w:rPr>
          <w:rFonts w:ascii="Arial" w:eastAsia="Times New Roman" w:hAnsi="Arial" w:cs="Arial"/>
          <w:sz w:val="22"/>
          <w:lang w:val="en-US"/>
        </w:rPr>
        <w:t>(Junjie and Yingxin, 2022)</w:t>
      </w:r>
      <w:r w:rsidRPr="000E437E">
        <w:rPr>
          <w:rFonts w:ascii="Arial" w:hAnsi="Arial" w:cs="Arial"/>
          <w:sz w:val="22"/>
          <w:lang w:val="en-US" w:bidi="th-TH"/>
        </w:rPr>
        <w:t xml:space="preserve">. This philosophy is selected because it highlights the fact that human behavior is multi-aspect and –layered in the organizational space. The choice to accede to interpretivism was attributed to the understanding of the influence on employees' attitudes, perceptions, and behaviors of various contextual factors, like their conditions and experiences at work, personal social interactions, and personal history. The study adopted the standpoint that through interpretivism we could discover the multiple and subjective meanings that get attached to the remote work experiences of these employees, thus leading to a deeper comprehension of the area of concern </w:t>
      </w:r>
      <w:r w:rsidRPr="000E437E">
        <w:rPr>
          <w:rFonts w:ascii="Arial" w:eastAsia="Times New Roman" w:hAnsi="Arial" w:cs="Arial"/>
          <w:sz w:val="22"/>
          <w:lang w:val="en-US"/>
        </w:rPr>
        <w:t>(Junjie and Yingxin, 2022)</w:t>
      </w:r>
      <w:r w:rsidRPr="000E437E">
        <w:rPr>
          <w:rFonts w:ascii="Arial" w:hAnsi="Arial" w:cs="Arial"/>
          <w:sz w:val="22"/>
          <w:lang w:val="en-US" w:bidi="th-TH"/>
        </w:rPr>
        <w:t>.</w:t>
      </w:r>
    </w:p>
    <w:p w14:paraId="6D6099BE"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The interpretive approach also ties up well with the qualitative nature of the study which aimed to delve in-depth into exploring employees' perspectives via methods of textual and theoretical analysis. This philosophical position allowed the researchers to work by a process that was </w:t>
      </w:r>
      <w:r w:rsidRPr="000E437E">
        <w:rPr>
          <w:rFonts w:ascii="Arial" w:hAnsi="Arial" w:cs="Arial"/>
          <w:sz w:val="22"/>
          <w:lang w:val="en-US" w:bidi="th-TH"/>
        </w:rPr>
        <w:lastRenderedPageBreak/>
        <w:t xml:space="preserve">iterative and reflexive, which also enabled the interpretation of the social and subjective nature of reality within the organizational context </w:t>
      </w:r>
      <w:r w:rsidRPr="000E437E">
        <w:rPr>
          <w:rFonts w:ascii="Arial" w:eastAsia="Times New Roman" w:hAnsi="Arial" w:cs="Arial"/>
          <w:sz w:val="22"/>
          <w:lang w:val="en-US"/>
        </w:rPr>
        <w:t>(Junjie and Yingxin, 2022)</w:t>
      </w:r>
      <w:r w:rsidRPr="000E437E">
        <w:rPr>
          <w:rFonts w:ascii="Arial" w:hAnsi="Arial" w:cs="Arial"/>
          <w:sz w:val="22"/>
          <w:lang w:val="en-US" w:bidi="th-TH"/>
        </w:rPr>
        <w:t xml:space="preserve">. As the study had an interpretive standpoint, it accepted that knowledge is not static or objectively defined but it rather develops through the relationships between researchers and participants and is formed by their meanings via the shared dialogue. This philosophy, however, promoted an attitude of suspiciousness, which encouraged the researchers to internally reflect on their biases and to asses from that point the validity of the results of the study </w:t>
      </w:r>
      <w:r w:rsidRPr="000E437E">
        <w:rPr>
          <w:rFonts w:ascii="Arial" w:eastAsia="Times New Roman" w:hAnsi="Arial" w:cs="Arial"/>
          <w:sz w:val="22"/>
          <w:lang w:val="en-US"/>
        </w:rPr>
        <w:t>(Junjie and Yingxin, 2022)</w:t>
      </w:r>
      <w:r w:rsidRPr="000E437E">
        <w:rPr>
          <w:rFonts w:ascii="Arial" w:hAnsi="Arial" w:cs="Arial"/>
          <w:sz w:val="22"/>
          <w:lang w:val="en-US" w:bidi="th-TH"/>
        </w:rPr>
        <w:t>.</w:t>
      </w:r>
    </w:p>
    <w:p w14:paraId="2DF70CF4" w14:textId="77777777" w:rsidR="00205B25" w:rsidRPr="000E437E" w:rsidRDefault="00205B25" w:rsidP="000E437E">
      <w:pPr>
        <w:pStyle w:val="Heading2"/>
        <w:spacing w:line="360" w:lineRule="auto"/>
        <w:jc w:val="both"/>
        <w:rPr>
          <w:rFonts w:ascii="Arial" w:hAnsi="Arial" w:cs="Arial"/>
          <w:color w:val="auto"/>
          <w:sz w:val="22"/>
          <w:szCs w:val="22"/>
        </w:rPr>
      </w:pPr>
      <w:bookmarkStart w:id="30" w:name="_Toc165886062"/>
      <w:r w:rsidRPr="000E437E">
        <w:rPr>
          <w:rFonts w:ascii="Arial" w:hAnsi="Arial" w:cs="Arial"/>
          <w:color w:val="auto"/>
          <w:sz w:val="22"/>
          <w:szCs w:val="22"/>
        </w:rPr>
        <w:t>3.3 Research Design</w:t>
      </w:r>
      <w:bookmarkEnd w:id="30"/>
    </w:p>
    <w:p w14:paraId="601BFFF7" w14:textId="7BB7A85D" w:rsidR="00C86B71" w:rsidRPr="000E437E" w:rsidRDefault="00C86B71" w:rsidP="000E437E">
      <w:pPr>
        <w:spacing w:line="360" w:lineRule="auto"/>
        <w:jc w:val="both"/>
        <w:rPr>
          <w:rFonts w:ascii="Arial" w:hAnsi="Arial" w:cs="Arial"/>
          <w:sz w:val="22"/>
          <w:lang w:val="en-US" w:bidi="th-TH"/>
        </w:rPr>
      </w:pPr>
      <w:r w:rsidRPr="000E437E">
        <w:rPr>
          <w:rFonts w:ascii="Arial" w:hAnsi="Arial" w:cs="Arial"/>
          <w:sz w:val="22"/>
          <w:lang w:val="en-US" w:bidi="th-TH"/>
        </w:rPr>
        <w:t>The study started by doing exploratory research that was based on information from secondary qualitative sources such as published studies, case studies, and other materials that were considered relevant. Its objective was to discover the complexities full confinement posed concerning these areas as it relates to HSBC Holdings Plc within the COVID-19 period. This approached to be used in order to unveil the reasons and mechanisms that help us comprehend the complex nature of remote work impact on the employee and society as whole (Elman et al. 2019). The study tried to use existing qualitative data in order to distinguish and analyze the major factors accounting for evolution of employees' patterns of engagement and staff cultural norms at HSBC Holdings Plc.</w:t>
      </w:r>
    </w:p>
    <w:p w14:paraId="402C71AC" w14:textId="439A03D8" w:rsidR="002558C7" w:rsidRPr="000E437E" w:rsidRDefault="00C86B71" w:rsidP="000E437E">
      <w:pPr>
        <w:spacing w:line="360" w:lineRule="auto"/>
        <w:jc w:val="both"/>
        <w:rPr>
          <w:rFonts w:ascii="Arial" w:hAnsi="Arial" w:cs="Arial"/>
          <w:sz w:val="22"/>
          <w:lang w:val="en-US" w:bidi="th-TH"/>
        </w:rPr>
      </w:pPr>
      <w:r w:rsidRPr="000E437E">
        <w:rPr>
          <w:rFonts w:ascii="Arial" w:hAnsi="Arial" w:cs="Arial"/>
          <w:sz w:val="22"/>
          <w:lang w:val="en-US" w:bidi="th-TH"/>
        </w:rPr>
        <w:t>Instead of specifying the hypotheses, the study sought to find the emergent themes and patterns by means of a synthesis of qualitative and quantitative data gathered from the existing scholars articles and journals. The more holistic approach provided an overall understanding of the intertwined employee engagement levels, remote practices, and the organizational culture dynamics (Elman, Gerring, and Mahoney, 2020). On the other hand, exploration approach helped on focusing on refining the identification or the potential of moderating/mediating variables, which gave more understanding on how remote work is relevant to employee engagement and organizational culture (Casula, Rangarajan, and Shields, 2020).</w:t>
      </w:r>
    </w:p>
    <w:p w14:paraId="52BA2C25" w14:textId="3B0A224E" w:rsidR="00383173" w:rsidRPr="000E437E" w:rsidRDefault="00205B25" w:rsidP="000E437E">
      <w:pPr>
        <w:pStyle w:val="Heading2"/>
        <w:spacing w:line="360" w:lineRule="auto"/>
        <w:jc w:val="both"/>
        <w:rPr>
          <w:rFonts w:ascii="Arial" w:hAnsi="Arial" w:cs="Arial"/>
          <w:color w:val="auto"/>
          <w:sz w:val="22"/>
          <w:szCs w:val="22"/>
        </w:rPr>
      </w:pPr>
      <w:bookmarkStart w:id="31" w:name="_Toc165886063"/>
      <w:r w:rsidRPr="000E437E">
        <w:rPr>
          <w:rFonts w:ascii="Arial" w:hAnsi="Arial" w:cs="Arial"/>
          <w:color w:val="auto"/>
          <w:sz w:val="22"/>
          <w:szCs w:val="22"/>
        </w:rPr>
        <w:t>3.4 Research Approach</w:t>
      </w:r>
      <w:bookmarkEnd w:id="31"/>
    </w:p>
    <w:p w14:paraId="77F054EC" w14:textId="5A43F972" w:rsidR="00205B25" w:rsidRPr="000E437E" w:rsidRDefault="003A46FC"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The research applied the inductive approach to explore the consequences of remote work for HSBC Holdings Plc employees in the United Kingdom (UK) in the post-epidemic period. It was one of the objectives to develop a platform which employees directly doing the process of the organization could see new conclusion and interpretation based on collection of factual data</w:t>
      </w:r>
      <w:r w:rsidR="00205B25" w:rsidRPr="000E437E">
        <w:rPr>
          <w:rFonts w:ascii="Arial" w:hAnsi="Arial" w:cs="Arial"/>
          <w:sz w:val="22"/>
          <w:lang w:val="en-US" w:bidi="th-TH"/>
        </w:rPr>
        <w:t xml:space="preserve"> </w:t>
      </w:r>
      <w:r w:rsidR="00205B25" w:rsidRPr="000E437E">
        <w:rPr>
          <w:rFonts w:ascii="Arial" w:eastAsia="Times New Roman" w:hAnsi="Arial" w:cs="Arial"/>
          <w:sz w:val="22"/>
          <w:lang w:val="en-US"/>
        </w:rPr>
        <w:t>(Kyngäs, 2019)</w:t>
      </w:r>
      <w:r w:rsidR="00205B25" w:rsidRPr="000E437E">
        <w:rPr>
          <w:rFonts w:ascii="Arial" w:hAnsi="Arial" w:cs="Arial"/>
          <w:sz w:val="22"/>
          <w:lang w:val="en-US" w:bidi="th-TH"/>
        </w:rPr>
        <w:t xml:space="preserve">. An inductive approach </w:t>
      </w:r>
      <w:r w:rsidR="00C31631" w:rsidRPr="000E437E">
        <w:rPr>
          <w:rFonts w:ascii="Arial" w:hAnsi="Arial" w:cs="Arial"/>
          <w:sz w:val="22"/>
          <w:lang w:val="en-US" w:bidi="th-TH"/>
        </w:rPr>
        <w:t>is</w:t>
      </w:r>
      <w:r w:rsidR="00205B25" w:rsidRPr="000E437E">
        <w:rPr>
          <w:rFonts w:ascii="Arial" w:hAnsi="Arial" w:cs="Arial"/>
          <w:sz w:val="22"/>
          <w:lang w:val="en-US" w:bidi="th-TH"/>
        </w:rPr>
        <w:t xml:space="preserve"> considered </w:t>
      </w:r>
      <w:r w:rsidR="00C31631" w:rsidRPr="000E437E">
        <w:rPr>
          <w:rFonts w:ascii="Arial" w:hAnsi="Arial" w:cs="Arial"/>
          <w:sz w:val="22"/>
          <w:lang w:val="en-US" w:bidi="th-TH"/>
        </w:rPr>
        <w:t xml:space="preserve">for the research study </w:t>
      </w:r>
      <w:r w:rsidR="00205B25" w:rsidRPr="000E437E">
        <w:rPr>
          <w:rFonts w:ascii="Arial" w:hAnsi="Arial" w:cs="Arial"/>
          <w:sz w:val="22"/>
          <w:lang w:val="en-US" w:bidi="th-TH"/>
        </w:rPr>
        <w:t xml:space="preserve">that would allow researchers to get involved with the received data from the interviews, surveys, and organizational </w:t>
      </w:r>
      <w:r w:rsidR="00205B25" w:rsidRPr="000E437E">
        <w:rPr>
          <w:rFonts w:ascii="Arial" w:hAnsi="Arial" w:cs="Arial"/>
          <w:sz w:val="22"/>
          <w:lang w:val="en-US" w:bidi="th-TH"/>
        </w:rPr>
        <w:lastRenderedPageBreak/>
        <w:t xml:space="preserve">documents to see the patterns, the themes, and the relationships appear spontaneously </w:t>
      </w:r>
      <w:r w:rsidR="00205B25" w:rsidRPr="000E437E">
        <w:rPr>
          <w:rFonts w:ascii="Arial" w:eastAsia="Times New Roman" w:hAnsi="Arial" w:cs="Arial"/>
          <w:sz w:val="22"/>
          <w:lang w:val="en-US"/>
        </w:rPr>
        <w:t>(Kyngäs, 2019)</w:t>
      </w:r>
      <w:r w:rsidR="00205B25" w:rsidRPr="000E437E">
        <w:rPr>
          <w:rFonts w:ascii="Arial" w:hAnsi="Arial" w:cs="Arial"/>
          <w:sz w:val="22"/>
          <w:lang w:val="en-US" w:bidi="th-TH"/>
        </w:rPr>
        <w:t>.</w:t>
      </w:r>
    </w:p>
    <w:p w14:paraId="59F6C9CF"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Additionally, the inductive approach proved to be a proper tool for the exploration of phenomena, where well-known theories and guidelines might not be enough to reflect all the twists and turns of the research environment. The innovative and fast-moving nature of remote working in the post-pandemic period limits the researcher`s chances of establishing any mainstream assumptions and concepts. An inductive approach keeps the researchers flexible and open-minded in dealing with the topic </w:t>
      </w:r>
      <w:r w:rsidRPr="000E437E">
        <w:rPr>
          <w:rFonts w:ascii="Arial" w:eastAsia="Times New Roman" w:hAnsi="Arial" w:cs="Arial"/>
          <w:sz w:val="22"/>
          <w:lang w:val="en-US"/>
        </w:rPr>
        <w:t>(Kyngäs, 2019)</w:t>
      </w:r>
      <w:r w:rsidRPr="000E437E">
        <w:rPr>
          <w:rFonts w:ascii="Arial" w:hAnsi="Arial" w:cs="Arial"/>
          <w:sz w:val="22"/>
          <w:lang w:val="en-US" w:bidi="th-TH"/>
        </w:rPr>
        <w:t xml:space="preserve">. Besides, the inductive approach helped in the bottom-up theory creation, where the empirical findings served as the basis for developing new theoretical conceptions or improving the existing ones. This led to a more in-depth awareness of the intricacies concealed behind remote working and their role in job engagement as well as office culture within HSBC Holdings Plc in the UK. Generally, the deductive research strategy was rather helpful in summarizing the practical and theoretical experience gained while researching remote work and organizational behavior </w:t>
      </w:r>
      <w:r w:rsidRPr="000E437E">
        <w:rPr>
          <w:rFonts w:ascii="Arial" w:eastAsia="Times New Roman" w:hAnsi="Arial" w:cs="Arial"/>
          <w:sz w:val="22"/>
          <w:lang w:val="en-US"/>
        </w:rPr>
        <w:t>(O’Kane, Smith and Lerman, 2019)</w:t>
      </w:r>
      <w:r w:rsidRPr="000E437E">
        <w:rPr>
          <w:rFonts w:ascii="Arial" w:hAnsi="Arial" w:cs="Arial"/>
          <w:sz w:val="22"/>
          <w:lang w:val="en-US" w:bidi="th-TH"/>
        </w:rPr>
        <w:t>.</w:t>
      </w:r>
    </w:p>
    <w:p w14:paraId="3C346A66" w14:textId="221CD3D2" w:rsidR="00383173" w:rsidRPr="000E437E" w:rsidRDefault="00205B25" w:rsidP="000E437E">
      <w:pPr>
        <w:pStyle w:val="Heading2"/>
        <w:spacing w:line="360" w:lineRule="auto"/>
        <w:jc w:val="both"/>
        <w:rPr>
          <w:rFonts w:ascii="Arial" w:hAnsi="Arial" w:cs="Arial"/>
          <w:sz w:val="22"/>
          <w:szCs w:val="22"/>
        </w:rPr>
      </w:pPr>
      <w:bookmarkStart w:id="32" w:name="_Toc165886064"/>
      <w:r w:rsidRPr="000E437E">
        <w:rPr>
          <w:rFonts w:ascii="Arial" w:hAnsi="Arial" w:cs="Arial"/>
          <w:color w:val="auto"/>
          <w:sz w:val="22"/>
          <w:szCs w:val="22"/>
        </w:rPr>
        <w:t>3.</w:t>
      </w:r>
      <w:r w:rsidRPr="000E437E">
        <w:rPr>
          <w:rFonts w:ascii="Arial" w:hAnsi="Arial" w:cs="Arial"/>
          <w:sz w:val="22"/>
          <w:szCs w:val="22"/>
        </w:rPr>
        <w:t>5 Data Collection Methods</w:t>
      </w:r>
      <w:bookmarkEnd w:id="32"/>
    </w:p>
    <w:p w14:paraId="11FB53D4" w14:textId="7CCEB400" w:rsidR="00F0239F" w:rsidRPr="000E437E" w:rsidRDefault="00F0239F" w:rsidP="000E437E">
      <w:pPr>
        <w:spacing w:line="360" w:lineRule="auto"/>
        <w:jc w:val="both"/>
        <w:rPr>
          <w:rFonts w:ascii="Arial" w:hAnsi="Arial" w:cs="Arial"/>
          <w:color w:val="000000" w:themeColor="text1"/>
          <w:sz w:val="22"/>
          <w:lang w:val="en-US" w:bidi="th-TH"/>
        </w:rPr>
      </w:pPr>
      <w:r w:rsidRPr="000E437E">
        <w:rPr>
          <w:rFonts w:ascii="Arial" w:hAnsi="Arial" w:cs="Arial"/>
          <w:color w:val="000000" w:themeColor="text1"/>
          <w:sz w:val="22"/>
          <w:lang w:val="en-US" w:bidi="th-TH"/>
        </w:rPr>
        <w:t>The study undertook a systematic literature review to investigate how remote based employees at HSBC Holding Plc in the UK are influenced by the pandemic in terms of employee engagement andwork culture Keywords "remote job," "employees connection," "organisational culture" and "HSBC Holding" were used in the collection of papers from magazines that were carefully obtained from credible sites</w:t>
      </w:r>
      <w:r w:rsidR="006A4D2D" w:rsidRPr="000E437E">
        <w:rPr>
          <w:rFonts w:ascii="Arial" w:hAnsi="Arial" w:cs="Arial"/>
          <w:color w:val="000000" w:themeColor="text1"/>
          <w:sz w:val="22"/>
          <w:lang w:val="en-US" w:bidi="th-TH"/>
        </w:rPr>
        <w:t xml:space="preserve"> (Rahman, 2020)</w:t>
      </w:r>
      <w:r w:rsidRPr="000E437E">
        <w:rPr>
          <w:rFonts w:ascii="Arial" w:hAnsi="Arial" w:cs="Arial"/>
          <w:color w:val="000000" w:themeColor="text1"/>
          <w:sz w:val="22"/>
          <w:lang w:val="en-US" w:bidi="th-TH"/>
        </w:rPr>
        <w:t>. The PRISMA model was a guide used in the processes of gathering the data and, therefore, it led to transparency and replicability in the review process.</w:t>
      </w:r>
      <w:r w:rsidR="006A4D2D" w:rsidRPr="000E437E">
        <w:rPr>
          <w:rFonts w:ascii="Arial" w:hAnsi="Arial" w:cs="Arial"/>
          <w:color w:val="000000" w:themeColor="text1"/>
          <w:sz w:val="22"/>
          <w:lang w:val="en-US" w:bidi="th-TH"/>
        </w:rPr>
        <w:t xml:space="preserve"> </w:t>
      </w:r>
      <w:r w:rsidRPr="000E437E">
        <w:rPr>
          <w:rFonts w:ascii="Arial" w:hAnsi="Arial" w:cs="Arial"/>
          <w:color w:val="000000" w:themeColor="text1"/>
          <w:sz w:val="22"/>
          <w:lang w:val="en-US" w:bidi="th-TH"/>
        </w:rPr>
        <w:t>This study made only use of qualitative data. Content analysis of the emails, reports, and documents was implemented which made it possible to dig deeper into the organizational culture, and the study identified the patterns and trends of the policies that adopted remote work in order t</w:t>
      </w:r>
      <w:r w:rsidR="006A4D2D" w:rsidRPr="000E437E">
        <w:rPr>
          <w:rFonts w:ascii="Arial" w:hAnsi="Arial" w:cs="Arial"/>
          <w:color w:val="000000" w:themeColor="text1"/>
          <w:sz w:val="22"/>
          <w:lang w:val="en-US" w:bidi="th-TH"/>
        </w:rPr>
        <w:t>o</w:t>
      </w:r>
      <w:r w:rsidRPr="000E437E">
        <w:rPr>
          <w:rFonts w:ascii="Arial" w:hAnsi="Arial" w:cs="Arial"/>
          <w:color w:val="000000" w:themeColor="text1"/>
          <w:sz w:val="22"/>
          <w:lang w:val="en-US" w:bidi="th-TH"/>
        </w:rPr>
        <w:t>. This was a starting point that has made it possible to conduct in-depth examination and issues related to organization structure and its employees</w:t>
      </w:r>
      <w:r w:rsidR="006A4D2D" w:rsidRPr="000E437E">
        <w:rPr>
          <w:rFonts w:ascii="Arial" w:hAnsi="Arial" w:cs="Arial"/>
          <w:color w:val="000000" w:themeColor="text1"/>
          <w:sz w:val="22"/>
          <w:lang w:val="en-US" w:bidi="th-TH"/>
        </w:rPr>
        <w:t xml:space="preserve"> </w:t>
      </w:r>
      <w:r w:rsidRPr="000E437E">
        <w:rPr>
          <w:rFonts w:ascii="Arial" w:hAnsi="Arial" w:cs="Arial"/>
          <w:color w:val="000000" w:themeColor="text1"/>
          <w:sz w:val="22"/>
          <w:lang w:val="en-US" w:bidi="th-TH"/>
        </w:rPr>
        <w:t>(Rahman, 2020). Therefore, the thematic analysis was applied to analyze the qualitative data as it was arranged using Braun and Clarke's framework.</w:t>
      </w:r>
    </w:p>
    <w:p w14:paraId="7113EE8B" w14:textId="68947BE8" w:rsidR="00A23F18" w:rsidRPr="000E437E" w:rsidRDefault="00F0239F" w:rsidP="000E437E">
      <w:pPr>
        <w:spacing w:line="360" w:lineRule="auto"/>
        <w:jc w:val="both"/>
        <w:rPr>
          <w:rFonts w:ascii="Arial" w:hAnsi="Arial" w:cs="Arial"/>
          <w:color w:val="000000" w:themeColor="text1"/>
          <w:sz w:val="22"/>
          <w:lang w:val="en-US" w:bidi="th-TH"/>
        </w:rPr>
      </w:pPr>
      <w:r w:rsidRPr="000E437E">
        <w:rPr>
          <w:rFonts w:ascii="Arial" w:hAnsi="Arial" w:cs="Arial"/>
          <w:color w:val="000000" w:themeColor="text1"/>
          <w:sz w:val="22"/>
          <w:lang w:val="en-US" w:bidi="th-TH"/>
        </w:rPr>
        <w:t xml:space="preserve">To focus solely on the use of qualitative methods was justified because they were the only ones that could go deep and embrace the subjective sides of employees and the way of looking at remote work from their perspectives. Mainly this strategy allowed us to discover the mechanisms and the factors that influence remote working culture on the basis of which to subsequently disclose the effect of telework on employee engagement and organizational culture (Djafar et al., </w:t>
      </w:r>
      <w:r w:rsidRPr="000E437E">
        <w:rPr>
          <w:rFonts w:ascii="Arial" w:hAnsi="Arial" w:cs="Arial"/>
          <w:color w:val="000000" w:themeColor="text1"/>
          <w:sz w:val="22"/>
          <w:lang w:val="en-US" w:bidi="th-TH"/>
        </w:rPr>
        <w:lastRenderedPageBreak/>
        <w:t>2021). The study's aim was to gather as much qualitative data as possible in order to be able to draw in-depth and vivid conclusions about the subject matter in question. The interactions of the findings from multiple qualitative sources imply a holistic view of the correlation between remote work, employee engagement, and culture of the organization since HSBC Holdings Plc in the UK (Djafar et al., 2021)</w:t>
      </w:r>
      <w:r w:rsidR="00205B25" w:rsidRPr="000E437E">
        <w:rPr>
          <w:rFonts w:ascii="Arial" w:hAnsi="Arial" w:cs="Arial"/>
          <w:color w:val="000000" w:themeColor="text1"/>
          <w:sz w:val="22"/>
          <w:lang w:val="en-US" w:bidi="th-TH"/>
        </w:rPr>
        <w:t>.</w:t>
      </w:r>
    </w:p>
    <w:p w14:paraId="6DD8DBE8" w14:textId="77777777" w:rsidR="00C04280" w:rsidRPr="000E437E" w:rsidRDefault="00C04280" w:rsidP="000E437E">
      <w:pPr>
        <w:jc w:val="both"/>
        <w:rPr>
          <w:rFonts w:ascii="Arial" w:hAnsi="Arial" w:cs="Arial"/>
          <w:sz w:val="22"/>
        </w:rPr>
      </w:pPr>
    </w:p>
    <w:p w14:paraId="4DC44D8E" w14:textId="77777777" w:rsidR="00C04280" w:rsidRPr="000E437E" w:rsidRDefault="00C04280" w:rsidP="000E437E">
      <w:pPr>
        <w:jc w:val="both"/>
        <w:rPr>
          <w:rFonts w:ascii="Arial" w:hAnsi="Arial" w:cs="Arial"/>
          <w:sz w:val="22"/>
        </w:rPr>
      </w:pPr>
    </w:p>
    <w:p w14:paraId="120001DC" w14:textId="5437C304" w:rsidR="00D330AE" w:rsidRPr="000E437E" w:rsidRDefault="00D71664" w:rsidP="000E437E">
      <w:pPr>
        <w:jc w:val="both"/>
        <w:rPr>
          <w:rFonts w:ascii="Arial" w:hAnsi="Arial" w:cs="Arial"/>
          <w:sz w:val="22"/>
        </w:rPr>
      </w:pPr>
      <w:r>
        <w:rPr>
          <w:rFonts w:ascii="Arial" w:hAnsi="Arial" w:cs="Arial"/>
          <w:noProof/>
          <w:sz w:val="22"/>
        </w:rPr>
        <mc:AlternateContent>
          <mc:Choice Requires="wps">
            <w:drawing>
              <wp:anchor distT="0" distB="0" distL="114300" distR="114300" simplePos="0" relativeHeight="251673600" behindDoc="0" locked="0" layoutInCell="1" allowOverlap="1" wp14:anchorId="334C0A7E" wp14:editId="4F99A40F">
                <wp:simplePos x="0" y="0"/>
                <wp:positionH relativeFrom="margin">
                  <wp:posOffset>3954780</wp:posOffset>
                </wp:positionH>
                <wp:positionV relativeFrom="paragraph">
                  <wp:posOffset>4304030</wp:posOffset>
                </wp:positionV>
                <wp:extent cx="2087880" cy="518160"/>
                <wp:effectExtent l="0" t="0" r="7620" b="0"/>
                <wp:wrapNone/>
                <wp:docPr id="19910867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7880" cy="518160"/>
                        </a:xfrm>
                        <a:prstGeom prst="rect">
                          <a:avLst/>
                        </a:prstGeom>
                      </wps:spPr>
                      <wps:style>
                        <a:lnRef idx="2">
                          <a:schemeClr val="dk1"/>
                        </a:lnRef>
                        <a:fillRef idx="1">
                          <a:schemeClr val="lt1"/>
                        </a:fillRef>
                        <a:effectRef idx="0">
                          <a:schemeClr val="dk1"/>
                        </a:effectRef>
                        <a:fontRef idx="minor">
                          <a:schemeClr val="dk1"/>
                        </a:fontRef>
                      </wps:style>
                      <wps:txbx>
                        <w:txbxContent>
                          <w:p w14:paraId="1138B91D" w14:textId="77777777" w:rsidR="00D330AE" w:rsidRDefault="00D330AE" w:rsidP="00D330AE">
                            <w:pPr>
                              <w:jc w:val="center"/>
                            </w:pPr>
                            <w:r w:rsidRPr="00837E3E">
                              <w:t xml:space="preserve">Articles excluded (n= </w:t>
                            </w:r>
                            <w:r>
                              <w:t>17</w:t>
                            </w:r>
                            <w:r w:rsidRPr="00837E3E">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34C0A7E" id="Rectangle 25" o:spid="_x0000_s1026" style="position:absolute;left:0;text-align:left;margin-left:311.4pt;margin-top:338.9pt;width:164.4pt;height:40.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" fillcolor="white [3201]" strokecolor="black [3200]" strokeweight="1pt">
                <v:path arrowok="t"/>
                <v:textbox>
                  <w:txbxContent>
                    <w:p w14:paraId="1138B91D" w14:textId="77777777" w:rsidR="00D330AE" w:rsidRDefault="00D330AE" w:rsidP="00D330AE">
                      <w:pPr>
                        <w:jc w:val="center"/>
                      </w:pPr>
                      <w:r w:rsidRPr="00837E3E">
                        <w:t xml:space="preserve">Articles excluded (n= </w:t>
                      </w:r>
                      <w:r>
                        <w:t>17</w:t>
                      </w:r>
                      <w:r w:rsidRPr="00837E3E">
                        <w:t>)</w:t>
                      </w:r>
                    </w:p>
                  </w:txbxContent>
                </v:textbox>
                <w10:wrap anchorx="margin"/>
              </v:rect>
            </w:pict>
          </mc:Fallback>
        </mc:AlternateContent>
      </w:r>
      <w:r>
        <w:rPr>
          <w:rFonts w:ascii="Arial" w:hAnsi="Arial" w:cs="Arial"/>
          <w:noProof/>
          <w:sz w:val="22"/>
        </w:rPr>
        <mc:AlternateContent>
          <mc:Choice Requires="wps">
            <w:drawing>
              <wp:anchor distT="4294967295" distB="4294967295" distL="114300" distR="114300" simplePos="0" relativeHeight="251683840" behindDoc="0" locked="0" layoutInCell="1" allowOverlap="1" wp14:anchorId="41AF15A9" wp14:editId="329C21DE">
                <wp:simplePos x="0" y="0"/>
                <wp:positionH relativeFrom="column">
                  <wp:posOffset>3589020</wp:posOffset>
                </wp:positionH>
                <wp:positionV relativeFrom="paragraph">
                  <wp:posOffset>4503419</wp:posOffset>
                </wp:positionV>
                <wp:extent cx="259080" cy="0"/>
                <wp:effectExtent l="0" t="76200" r="7620" b="76200"/>
                <wp:wrapNone/>
                <wp:docPr id="97301019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0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7ECF83A" id="_x0000_t32" coordsize="21600,21600" o:spt="32" o:oned="t" path="m,l21600,21600e" filled="f">
                <v:path arrowok="t" fillok="f" o:connecttype="none"/>
                <o:lock v:ext="edit" shapetype="t"/>
              </v:shapetype>
              <v:shape id="Straight Arrow Connector 24" o:spid="_x0000_s1026" type="#_x0000_t32" style="position:absolute;margin-left:282.6pt;margin-top:354.6pt;width:20.4pt;height:0;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" strokecolor="black [3200]" strokeweight=".5pt">
                <v:stroke endarrow="block" joinstyle="miter"/>
                <o:lock v:ext="edit" shapetype="f"/>
              </v:shape>
            </w:pict>
          </mc:Fallback>
        </mc:AlternateContent>
      </w:r>
      <w:r>
        <w:rPr>
          <w:rFonts w:ascii="Arial" w:hAnsi="Arial" w:cs="Arial"/>
          <w:noProof/>
          <w:sz w:val="22"/>
        </w:rPr>
        <mc:AlternateContent>
          <mc:Choice Requires="wps">
            <w:drawing>
              <wp:anchor distT="4294967295" distB="4294967295" distL="114300" distR="114300" simplePos="0" relativeHeight="251682816" behindDoc="0" locked="0" layoutInCell="1" allowOverlap="1" wp14:anchorId="0C792DAB" wp14:editId="7D6D70D6">
                <wp:simplePos x="0" y="0"/>
                <wp:positionH relativeFrom="column">
                  <wp:posOffset>3528060</wp:posOffset>
                </wp:positionH>
                <wp:positionV relativeFrom="paragraph">
                  <wp:posOffset>3581399</wp:posOffset>
                </wp:positionV>
                <wp:extent cx="259080" cy="0"/>
                <wp:effectExtent l="0" t="76200" r="7620" b="76200"/>
                <wp:wrapNone/>
                <wp:docPr id="1969516317"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0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A3C37EA" id="Straight Arrow Connector 23" o:spid="_x0000_s1026" type="#_x0000_t32" style="position:absolute;margin-left:277.8pt;margin-top:282pt;width:20.4pt;height:0;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" strokecolor="black [3200]" strokeweight=".5pt">
                <v:stroke endarrow="block" joinstyle="miter"/>
                <o:lock v:ext="edit" shapetype="f"/>
              </v:shape>
            </w:pict>
          </mc:Fallback>
        </mc:AlternateContent>
      </w:r>
      <w:r>
        <w:rPr>
          <w:rFonts w:ascii="Arial" w:hAnsi="Arial" w:cs="Arial"/>
          <w:noProof/>
          <w:sz w:val="22"/>
        </w:rPr>
        <mc:AlternateContent>
          <mc:Choice Requires="wps">
            <w:drawing>
              <wp:anchor distT="4294967295" distB="4294967295" distL="114300" distR="114300" simplePos="0" relativeHeight="251681792" behindDoc="0" locked="0" layoutInCell="1" allowOverlap="1" wp14:anchorId="70C44F70" wp14:editId="0A3B05B7">
                <wp:simplePos x="0" y="0"/>
                <wp:positionH relativeFrom="column">
                  <wp:posOffset>3672840</wp:posOffset>
                </wp:positionH>
                <wp:positionV relativeFrom="paragraph">
                  <wp:posOffset>2423159</wp:posOffset>
                </wp:positionV>
                <wp:extent cx="259080" cy="0"/>
                <wp:effectExtent l="0" t="76200" r="7620" b="76200"/>
                <wp:wrapNone/>
                <wp:docPr id="2142737634"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0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A7FE1FC" id="Straight Arrow Connector 22" o:spid="_x0000_s1026" type="#_x0000_t32" style="position:absolute;margin-left:289.2pt;margin-top:190.8pt;width:20.4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" strokecolor="black [3200]" strokeweight=".5pt">
                <v:stroke endarrow="block" joinstyle="miter"/>
                <o:lock v:ext="edit" shapetype="f"/>
              </v:shape>
            </w:pict>
          </mc:Fallback>
        </mc:AlternateContent>
      </w:r>
      <w:r>
        <w:rPr>
          <w:rFonts w:ascii="Arial" w:hAnsi="Arial" w:cs="Arial"/>
          <w:noProof/>
          <w:sz w:val="22"/>
        </w:rPr>
        <mc:AlternateContent>
          <mc:Choice Requires="wps">
            <w:drawing>
              <wp:anchor distT="4294967295" distB="4294967295" distL="114300" distR="114300" simplePos="0" relativeHeight="251680768" behindDoc="0" locked="0" layoutInCell="1" allowOverlap="1" wp14:anchorId="1FE64491" wp14:editId="5F710BA3">
                <wp:simplePos x="0" y="0"/>
                <wp:positionH relativeFrom="column">
                  <wp:posOffset>3649980</wp:posOffset>
                </wp:positionH>
                <wp:positionV relativeFrom="paragraph">
                  <wp:posOffset>1592579</wp:posOffset>
                </wp:positionV>
                <wp:extent cx="259080" cy="0"/>
                <wp:effectExtent l="0" t="76200" r="7620" b="76200"/>
                <wp:wrapNone/>
                <wp:docPr id="849347125"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0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9658C37" id="Straight Arrow Connector 21" o:spid="_x0000_s1026" type="#_x0000_t32" style="position:absolute;margin-left:287.4pt;margin-top:125.4pt;width:20.4pt;height:0;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" strokecolor="black [3200]" strokeweight=".5pt">
                <v:stroke endarrow="block" joinstyle="miter"/>
                <o:lock v:ext="edit" shapetype="f"/>
              </v:shape>
            </w:pict>
          </mc:Fallback>
        </mc:AlternateContent>
      </w:r>
      <w:r>
        <w:rPr>
          <w:rFonts w:ascii="Arial" w:hAnsi="Arial" w:cs="Arial"/>
          <w:noProof/>
          <w:sz w:val="22"/>
        </w:rPr>
        <mc:AlternateContent>
          <mc:Choice Requires="wps">
            <w:drawing>
              <wp:anchor distT="0" distB="0" distL="114300" distR="114300" simplePos="0" relativeHeight="251679744" behindDoc="0" locked="0" layoutInCell="1" allowOverlap="1" wp14:anchorId="02A8EB97" wp14:editId="58B1C9F1">
                <wp:simplePos x="0" y="0"/>
                <wp:positionH relativeFrom="column">
                  <wp:posOffset>2362200</wp:posOffset>
                </wp:positionH>
                <wp:positionV relativeFrom="paragraph">
                  <wp:posOffset>4663440</wp:posOffset>
                </wp:positionV>
                <wp:extent cx="7620" cy="205740"/>
                <wp:effectExtent l="38100" t="0" r="49530" b="41910"/>
                <wp:wrapNone/>
                <wp:docPr id="1668588849"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CE1EF96" id="Straight Arrow Connector 20" o:spid="_x0000_s1026" type="#_x0000_t32" style="position:absolute;margin-left:186pt;margin-top:367.2pt;width:.6pt;height:16.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" strokecolor="black [3200]" strokeweight=".5pt">
                <v:stroke endarrow="block" joinstyle="miter"/>
                <o:lock v:ext="edit" shapetype="f"/>
              </v:shape>
            </w:pict>
          </mc:Fallback>
        </mc:AlternateContent>
      </w:r>
      <w:r>
        <w:rPr>
          <w:rFonts w:ascii="Arial" w:hAnsi="Arial" w:cs="Arial"/>
          <w:noProof/>
          <w:sz w:val="22"/>
        </w:rPr>
        <mc:AlternateContent>
          <mc:Choice Requires="wps">
            <w:drawing>
              <wp:anchor distT="0" distB="0" distL="114300" distR="114300" simplePos="0" relativeHeight="251669504" behindDoc="0" locked="0" layoutInCell="1" allowOverlap="1" wp14:anchorId="25F1D985" wp14:editId="51A1FB22">
                <wp:simplePos x="0" y="0"/>
                <wp:positionH relativeFrom="margin">
                  <wp:posOffset>1363980</wp:posOffset>
                </wp:positionH>
                <wp:positionV relativeFrom="paragraph">
                  <wp:posOffset>4922520</wp:posOffset>
                </wp:positionV>
                <wp:extent cx="2087880" cy="518160"/>
                <wp:effectExtent l="0" t="0" r="7620" b="0"/>
                <wp:wrapNone/>
                <wp:docPr id="174519777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7880" cy="518160"/>
                        </a:xfrm>
                        <a:prstGeom prst="rect">
                          <a:avLst/>
                        </a:prstGeom>
                      </wps:spPr>
                      <wps:style>
                        <a:lnRef idx="2">
                          <a:schemeClr val="dk1"/>
                        </a:lnRef>
                        <a:fillRef idx="1">
                          <a:schemeClr val="lt1"/>
                        </a:fillRef>
                        <a:effectRef idx="0">
                          <a:schemeClr val="dk1"/>
                        </a:effectRef>
                        <a:fontRef idx="minor">
                          <a:schemeClr val="dk1"/>
                        </a:fontRef>
                      </wps:style>
                      <wps:txbx>
                        <w:txbxContent>
                          <w:p w14:paraId="659ABC75" w14:textId="0393FD18" w:rsidR="00D330AE" w:rsidRDefault="00D330AE" w:rsidP="00D330AE">
                            <w:pPr>
                              <w:jc w:val="center"/>
                            </w:pPr>
                            <w:r w:rsidRPr="00837E3E">
                              <w:t>Topics included (n=</w:t>
                            </w:r>
                            <w:r w:rsidR="00C04280">
                              <w:t>60</w:t>
                            </w:r>
                            <w:r w:rsidRPr="00837E3E">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F1D985" id="Rectangle 19" o:spid="_x0000_s1027" style="position:absolute;left:0;text-align:left;margin-left:107.4pt;margin-top:387.6pt;width:164.4pt;height:40.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" fillcolor="white [3201]" strokecolor="black [3200]" strokeweight="1pt">
                <v:path arrowok="t"/>
                <v:textbox>
                  <w:txbxContent>
                    <w:p w14:paraId="659ABC75" w14:textId="0393FD18" w:rsidR="00D330AE" w:rsidRDefault="00D330AE" w:rsidP="00D330AE">
                      <w:pPr>
                        <w:jc w:val="center"/>
                      </w:pPr>
                      <w:r w:rsidRPr="00837E3E">
                        <w:t>Topics included (n=</w:t>
                      </w:r>
                      <w:r w:rsidR="00C04280">
                        <w:t>60</w:t>
                      </w:r>
                      <w:r w:rsidRPr="00837E3E">
                        <w:t>)</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668480" behindDoc="0" locked="0" layoutInCell="1" allowOverlap="1" wp14:anchorId="34ECF027" wp14:editId="3433481D">
                <wp:simplePos x="0" y="0"/>
                <wp:positionH relativeFrom="margin">
                  <wp:posOffset>1348740</wp:posOffset>
                </wp:positionH>
                <wp:positionV relativeFrom="paragraph">
                  <wp:posOffset>4122420</wp:posOffset>
                </wp:positionV>
                <wp:extent cx="2087880" cy="518160"/>
                <wp:effectExtent l="0" t="0" r="7620" b="0"/>
                <wp:wrapNone/>
                <wp:docPr id="968651510"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7880" cy="518160"/>
                        </a:xfrm>
                        <a:prstGeom prst="rect">
                          <a:avLst/>
                        </a:prstGeom>
                      </wps:spPr>
                      <wps:style>
                        <a:lnRef idx="2">
                          <a:schemeClr val="dk1"/>
                        </a:lnRef>
                        <a:fillRef idx="1">
                          <a:schemeClr val="lt1"/>
                        </a:fillRef>
                        <a:effectRef idx="0">
                          <a:schemeClr val="dk1"/>
                        </a:effectRef>
                        <a:fontRef idx="minor">
                          <a:schemeClr val="dk1"/>
                        </a:fontRef>
                      </wps:style>
                      <wps:txbx>
                        <w:txbxContent>
                          <w:p w14:paraId="4254B0F9" w14:textId="77777777" w:rsidR="00D330AE" w:rsidRDefault="00D330AE" w:rsidP="00D330AE">
                            <w:pPr>
                              <w:jc w:val="center"/>
                            </w:pPr>
                            <w:r>
                              <w:t>Full text articles assessed for eligibility (n=67)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ECF027" id="Rectangle 18" o:spid="_x0000_s1028" style="position:absolute;left:0;text-align:left;margin-left:106.2pt;margin-top:324.6pt;width:164.4pt;height:40.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" fillcolor="white [3201]" strokecolor="black [3200]" strokeweight="1pt">
                <v:path arrowok="t"/>
                <v:textbox>
                  <w:txbxContent>
                    <w:p w14:paraId="4254B0F9" w14:textId="77777777" w:rsidR="00D330AE" w:rsidRDefault="00D330AE" w:rsidP="00D330AE">
                      <w:pPr>
                        <w:jc w:val="center"/>
                      </w:pPr>
                      <w:r>
                        <w:t>Full text articles assessed for eligibility (n=67)</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667456" behindDoc="0" locked="0" layoutInCell="1" allowOverlap="1" wp14:anchorId="0BD7DBF6" wp14:editId="69BF153E">
                <wp:simplePos x="0" y="0"/>
                <wp:positionH relativeFrom="margin">
                  <wp:posOffset>1341120</wp:posOffset>
                </wp:positionH>
                <wp:positionV relativeFrom="paragraph">
                  <wp:posOffset>3131820</wp:posOffset>
                </wp:positionV>
                <wp:extent cx="2087880" cy="693420"/>
                <wp:effectExtent l="0" t="0" r="7620" b="0"/>
                <wp:wrapNone/>
                <wp:docPr id="20331330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7880" cy="693420"/>
                        </a:xfrm>
                        <a:prstGeom prst="rect">
                          <a:avLst/>
                        </a:prstGeom>
                      </wps:spPr>
                      <wps:style>
                        <a:lnRef idx="2">
                          <a:schemeClr val="dk1"/>
                        </a:lnRef>
                        <a:fillRef idx="1">
                          <a:schemeClr val="lt1"/>
                        </a:fillRef>
                        <a:effectRef idx="0">
                          <a:schemeClr val="dk1"/>
                        </a:effectRef>
                        <a:fontRef idx="minor">
                          <a:schemeClr val="dk1"/>
                        </a:fontRef>
                      </wps:style>
                      <wps:txbx>
                        <w:txbxContent>
                          <w:p w14:paraId="583DEFD1" w14:textId="77777777" w:rsidR="00D330AE" w:rsidRDefault="00D330AE" w:rsidP="00D330AE">
                            <w:pPr>
                              <w:jc w:val="center"/>
                            </w:pPr>
                            <w:r>
                              <w:t>Eligibility Articles assessed by abstract (n= 225)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BD7DBF6" id="Rectangle 17" o:spid="_x0000_s1029" style="position:absolute;left:0;text-align:left;margin-left:105.6pt;margin-top:246.6pt;width:164.4pt;height:54.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" fillcolor="white [3201]" strokecolor="black [3200]" strokeweight="1pt">
                <v:path arrowok="t"/>
                <v:textbox>
                  <w:txbxContent>
                    <w:p w14:paraId="583DEFD1" w14:textId="77777777" w:rsidR="00D330AE" w:rsidRDefault="00D330AE" w:rsidP="00D330AE">
                      <w:pPr>
                        <w:jc w:val="center"/>
                      </w:pPr>
                      <w:r>
                        <w:t>Eligibility Articles assessed by abstract (n= 225)</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678720" behindDoc="0" locked="0" layoutInCell="1" allowOverlap="1" wp14:anchorId="1C3B0876" wp14:editId="38DE0AEA">
                <wp:simplePos x="0" y="0"/>
                <wp:positionH relativeFrom="column">
                  <wp:posOffset>2362200</wp:posOffset>
                </wp:positionH>
                <wp:positionV relativeFrom="paragraph">
                  <wp:posOffset>3832860</wp:posOffset>
                </wp:positionV>
                <wp:extent cx="7620" cy="205740"/>
                <wp:effectExtent l="38100" t="0" r="49530" b="41910"/>
                <wp:wrapNone/>
                <wp:docPr id="1309274983"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365A4E8" id="Straight Arrow Connector 16" o:spid="_x0000_s1026" type="#_x0000_t32" style="position:absolute;margin-left:186pt;margin-top:301.8pt;width:.6pt;height:16.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" strokecolor="black [3200]" strokeweight=".5pt">
                <v:stroke endarrow="block" joinstyle="miter"/>
                <o:lock v:ext="edit" shapetype="f"/>
              </v:shape>
            </w:pict>
          </mc:Fallback>
        </mc:AlternateContent>
      </w:r>
      <w:r>
        <w:rPr>
          <w:rFonts w:ascii="Arial" w:hAnsi="Arial" w:cs="Arial"/>
          <w:noProof/>
          <w:sz w:val="22"/>
        </w:rPr>
        <mc:AlternateContent>
          <mc:Choice Requires="wps">
            <w:drawing>
              <wp:anchor distT="0" distB="0" distL="114300" distR="114300" simplePos="0" relativeHeight="251676672" behindDoc="0" locked="0" layoutInCell="1" allowOverlap="1" wp14:anchorId="2C5D2048" wp14:editId="1D6169FA">
                <wp:simplePos x="0" y="0"/>
                <wp:positionH relativeFrom="column">
                  <wp:posOffset>2346960</wp:posOffset>
                </wp:positionH>
                <wp:positionV relativeFrom="paragraph">
                  <wp:posOffset>1943100</wp:posOffset>
                </wp:positionV>
                <wp:extent cx="7620" cy="205740"/>
                <wp:effectExtent l="38100" t="0" r="49530" b="41910"/>
                <wp:wrapNone/>
                <wp:docPr id="51694161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B6C8F4" id="Straight Arrow Connector 15" o:spid="_x0000_s1026" type="#_x0000_t32" style="position:absolute;margin-left:184.8pt;margin-top:153pt;width:.6pt;height:16.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" strokecolor="black [3200]" strokeweight=".5pt">
                <v:stroke endarrow="block" joinstyle="miter"/>
                <o:lock v:ext="edit" shapetype="f"/>
              </v:shape>
            </w:pict>
          </mc:Fallback>
        </mc:AlternateContent>
      </w:r>
      <w:r>
        <w:rPr>
          <w:rFonts w:ascii="Arial" w:hAnsi="Arial" w:cs="Arial"/>
          <w:noProof/>
          <w:sz w:val="22"/>
        </w:rPr>
        <mc:AlternateContent>
          <mc:Choice Requires="wps">
            <w:drawing>
              <wp:anchor distT="0" distB="0" distL="114300" distR="114300" simplePos="0" relativeHeight="251672576" behindDoc="0" locked="0" layoutInCell="1" allowOverlap="1" wp14:anchorId="5383672D" wp14:editId="29E6715C">
                <wp:simplePos x="0" y="0"/>
                <wp:positionH relativeFrom="margin">
                  <wp:posOffset>4000500</wp:posOffset>
                </wp:positionH>
                <wp:positionV relativeFrom="paragraph">
                  <wp:posOffset>3398520</wp:posOffset>
                </wp:positionV>
                <wp:extent cx="2087880" cy="518160"/>
                <wp:effectExtent l="0" t="0" r="7620" b="0"/>
                <wp:wrapNone/>
                <wp:docPr id="15668057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7880" cy="518160"/>
                        </a:xfrm>
                        <a:prstGeom prst="rect">
                          <a:avLst/>
                        </a:prstGeom>
                      </wps:spPr>
                      <wps:style>
                        <a:lnRef idx="2">
                          <a:schemeClr val="dk1"/>
                        </a:lnRef>
                        <a:fillRef idx="1">
                          <a:schemeClr val="lt1"/>
                        </a:fillRef>
                        <a:effectRef idx="0">
                          <a:schemeClr val="dk1"/>
                        </a:effectRef>
                        <a:fontRef idx="minor">
                          <a:schemeClr val="dk1"/>
                        </a:fontRef>
                      </wps:style>
                      <wps:txbx>
                        <w:txbxContent>
                          <w:p w14:paraId="5C1E71B3" w14:textId="77777777" w:rsidR="00D330AE" w:rsidRDefault="00D330AE" w:rsidP="00D330AE">
                            <w:pPr>
                              <w:jc w:val="center"/>
                            </w:pPr>
                            <w:r w:rsidRPr="00837E3E">
                              <w:t>Articles excluded (n= 158)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383672D" id="Rectangle 14" o:spid="_x0000_s1030" style="position:absolute;left:0;text-align:left;margin-left:315pt;margin-top:267.6pt;width:164.4pt;height:40.8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" fillcolor="white [3201]" strokecolor="black [3200]" strokeweight="1pt">
                <v:path arrowok="t"/>
                <v:textbox>
                  <w:txbxContent>
                    <w:p w14:paraId="5C1E71B3" w14:textId="77777777" w:rsidR="00D330AE" w:rsidRDefault="00D330AE" w:rsidP="00D330AE">
                      <w:pPr>
                        <w:jc w:val="center"/>
                      </w:pPr>
                      <w:r w:rsidRPr="00837E3E">
                        <w:t>Articles excluded (n= 158)</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671552" behindDoc="0" locked="0" layoutInCell="1" allowOverlap="1" wp14:anchorId="4891A4D4" wp14:editId="42DB118E">
                <wp:simplePos x="0" y="0"/>
                <wp:positionH relativeFrom="margin">
                  <wp:posOffset>4000500</wp:posOffset>
                </wp:positionH>
                <wp:positionV relativeFrom="paragraph">
                  <wp:posOffset>2065020</wp:posOffset>
                </wp:positionV>
                <wp:extent cx="2087880" cy="1089660"/>
                <wp:effectExtent l="0" t="0" r="7620" b="0"/>
                <wp:wrapNone/>
                <wp:docPr id="203480822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7880" cy="1089660"/>
                        </a:xfrm>
                        <a:prstGeom prst="rect">
                          <a:avLst/>
                        </a:prstGeom>
                      </wps:spPr>
                      <wps:style>
                        <a:lnRef idx="2">
                          <a:schemeClr val="dk1"/>
                        </a:lnRef>
                        <a:fillRef idx="1">
                          <a:schemeClr val="lt1"/>
                        </a:fillRef>
                        <a:effectRef idx="0">
                          <a:schemeClr val="dk1"/>
                        </a:effectRef>
                        <a:fontRef idx="minor">
                          <a:schemeClr val="dk1"/>
                        </a:fontRef>
                      </wps:style>
                      <wps:txbx>
                        <w:txbxContent>
                          <w:p w14:paraId="7C6CDD89" w14:textId="77777777" w:rsidR="00D330AE" w:rsidRDefault="00D330AE" w:rsidP="00D330AE">
                            <w:pPr>
                              <w:jc w:val="center"/>
                            </w:pPr>
                            <w:r>
                              <w:t>Records excluded by title or were letters to the editor.  systematic reviews, only abstracts, etc, (n= 2427)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891A4D4" id="Rectangle 13" o:spid="_x0000_s1031" style="position:absolute;left:0;text-align:left;margin-left:315pt;margin-top:162.6pt;width:164.4pt;height:85.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" fillcolor="white [3201]" strokecolor="black [3200]" strokeweight="1pt">
                <v:path arrowok="t"/>
                <v:textbox>
                  <w:txbxContent>
                    <w:p w14:paraId="7C6CDD89" w14:textId="77777777" w:rsidR="00D330AE" w:rsidRDefault="00D330AE" w:rsidP="00D330AE">
                      <w:pPr>
                        <w:jc w:val="center"/>
                      </w:pPr>
                      <w:r>
                        <w:t>Records excluded by title or were letters to the editor.  systematic reviews, only abstracts, etc, (n= 2427)</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670528" behindDoc="0" locked="0" layoutInCell="1" allowOverlap="1" wp14:anchorId="5B5BC89A" wp14:editId="38B0109C">
                <wp:simplePos x="0" y="0"/>
                <wp:positionH relativeFrom="margin">
                  <wp:posOffset>3985260</wp:posOffset>
                </wp:positionH>
                <wp:positionV relativeFrom="paragraph">
                  <wp:posOffset>1188720</wp:posOffset>
                </wp:positionV>
                <wp:extent cx="2087880" cy="708660"/>
                <wp:effectExtent l="0" t="0" r="7620" b="0"/>
                <wp:wrapNone/>
                <wp:docPr id="68899907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7880" cy="708660"/>
                        </a:xfrm>
                        <a:prstGeom prst="rect">
                          <a:avLst/>
                        </a:prstGeom>
                      </wps:spPr>
                      <wps:style>
                        <a:lnRef idx="2">
                          <a:schemeClr val="dk1"/>
                        </a:lnRef>
                        <a:fillRef idx="1">
                          <a:schemeClr val="lt1"/>
                        </a:fillRef>
                        <a:effectRef idx="0">
                          <a:schemeClr val="dk1"/>
                        </a:effectRef>
                        <a:fontRef idx="minor">
                          <a:schemeClr val="dk1"/>
                        </a:fontRef>
                      </wps:style>
                      <wps:txbx>
                        <w:txbxContent>
                          <w:p w14:paraId="63D334CA" w14:textId="77777777" w:rsidR="00D330AE" w:rsidRDefault="00D330AE" w:rsidP="00D330AE">
                            <w:pPr>
                              <w:jc w:val="center"/>
                            </w:pPr>
                            <w:r>
                              <w:t>Records removed that were not full texts (n= 497)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B5BC89A" id="Rectangle 12" o:spid="_x0000_s1032" style="position:absolute;left:0;text-align:left;margin-left:313.8pt;margin-top:93.6pt;width:164.4pt;height:55.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" fillcolor="white [3201]" strokecolor="black [3200]" strokeweight="1pt">
                <v:path arrowok="t"/>
                <v:textbox>
                  <w:txbxContent>
                    <w:p w14:paraId="63D334CA" w14:textId="77777777" w:rsidR="00D330AE" w:rsidRDefault="00D330AE" w:rsidP="00D330AE">
                      <w:pPr>
                        <w:jc w:val="center"/>
                      </w:pPr>
                      <w:r>
                        <w:t>Records removed that were not full texts (n= 497)</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677696" behindDoc="0" locked="0" layoutInCell="1" allowOverlap="1" wp14:anchorId="6A18F3EA" wp14:editId="17D73EE3">
                <wp:simplePos x="0" y="0"/>
                <wp:positionH relativeFrom="column">
                  <wp:posOffset>2362200</wp:posOffset>
                </wp:positionH>
                <wp:positionV relativeFrom="paragraph">
                  <wp:posOffset>2704465</wp:posOffset>
                </wp:positionV>
                <wp:extent cx="7620" cy="205740"/>
                <wp:effectExtent l="38100" t="0" r="49530" b="41910"/>
                <wp:wrapNone/>
                <wp:docPr id="447106877"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A4D59A" id="Straight Arrow Connector 11" o:spid="_x0000_s1026" type="#_x0000_t32" style="position:absolute;margin-left:186pt;margin-top:212.95pt;width:.6pt;height:16.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" strokecolor="black [3200]" strokeweight=".5pt">
                <v:stroke endarrow="block" joinstyle="miter"/>
                <o:lock v:ext="edit" shapetype="f"/>
              </v:shape>
            </w:pict>
          </mc:Fallback>
        </mc:AlternateContent>
      </w:r>
      <w:r>
        <w:rPr>
          <w:rFonts w:ascii="Arial" w:hAnsi="Arial" w:cs="Arial"/>
          <w:noProof/>
          <w:sz w:val="22"/>
        </w:rPr>
        <mc:AlternateContent>
          <mc:Choice Requires="wps">
            <w:drawing>
              <wp:anchor distT="0" distB="0" distL="114300" distR="114300" simplePos="0" relativeHeight="251666432" behindDoc="0" locked="0" layoutInCell="1" allowOverlap="1" wp14:anchorId="6EC1365A" wp14:editId="1BB49DB1">
                <wp:simplePos x="0" y="0"/>
                <wp:positionH relativeFrom="margin">
                  <wp:posOffset>1181100</wp:posOffset>
                </wp:positionH>
                <wp:positionV relativeFrom="paragraph">
                  <wp:posOffset>2202180</wp:posOffset>
                </wp:positionV>
                <wp:extent cx="2453640" cy="419100"/>
                <wp:effectExtent l="0" t="0" r="3810" b="0"/>
                <wp:wrapNone/>
                <wp:docPr id="139748730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53640" cy="419100"/>
                        </a:xfrm>
                        <a:prstGeom prst="rect">
                          <a:avLst/>
                        </a:prstGeom>
                      </wps:spPr>
                      <wps:style>
                        <a:lnRef idx="2">
                          <a:schemeClr val="dk1"/>
                        </a:lnRef>
                        <a:fillRef idx="1">
                          <a:schemeClr val="lt1"/>
                        </a:fillRef>
                        <a:effectRef idx="0">
                          <a:schemeClr val="dk1"/>
                        </a:effectRef>
                        <a:fontRef idx="minor">
                          <a:schemeClr val="dk1"/>
                        </a:fontRef>
                      </wps:style>
                      <wps:txbx>
                        <w:txbxContent>
                          <w:p w14:paraId="7C68DE2B" w14:textId="77777777" w:rsidR="00D330AE" w:rsidRDefault="00D330AE" w:rsidP="00D330AE">
                            <w:pPr>
                              <w:jc w:val="center"/>
                            </w:pPr>
                            <w:r>
                              <w:t>Records screened (n= 2652)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C1365A" id="Rectangle 10" o:spid="_x0000_s1033" style="position:absolute;left:0;text-align:left;margin-left:93pt;margin-top:173.4pt;width:193.2pt;height:33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" fillcolor="white [3201]" strokecolor="black [3200]" strokeweight="1pt">
                <v:path arrowok="t"/>
                <v:textbox>
                  <w:txbxContent>
                    <w:p w14:paraId="7C68DE2B" w14:textId="77777777" w:rsidR="00D330AE" w:rsidRDefault="00D330AE" w:rsidP="00D330AE">
                      <w:pPr>
                        <w:jc w:val="center"/>
                      </w:pPr>
                      <w:r>
                        <w:t>Records screened (n= 2652)</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674624" behindDoc="0" locked="0" layoutInCell="1" allowOverlap="1" wp14:anchorId="1D81E78E" wp14:editId="0128D3BF">
                <wp:simplePos x="0" y="0"/>
                <wp:positionH relativeFrom="column">
                  <wp:posOffset>3352800</wp:posOffset>
                </wp:positionH>
                <wp:positionV relativeFrom="paragraph">
                  <wp:posOffset>906780</wp:posOffset>
                </wp:positionV>
                <wp:extent cx="7620" cy="205740"/>
                <wp:effectExtent l="38100" t="0" r="49530" b="41910"/>
                <wp:wrapNone/>
                <wp:docPr id="677369306"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C586E2D" id="Straight Arrow Connector 9" o:spid="_x0000_s1026" type="#_x0000_t32" style="position:absolute;margin-left:264pt;margin-top:71.4pt;width:.6pt;height:16.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" strokecolor="black [3200]" strokeweight=".5pt">
                <v:stroke endarrow="block" joinstyle="miter"/>
                <o:lock v:ext="edit" shapetype="f"/>
              </v:shape>
            </w:pict>
          </mc:Fallback>
        </mc:AlternateContent>
      </w:r>
      <w:r>
        <w:rPr>
          <w:rFonts w:ascii="Arial" w:hAnsi="Arial" w:cs="Arial"/>
          <w:noProof/>
          <w:sz w:val="22"/>
        </w:rPr>
        <mc:AlternateContent>
          <mc:Choice Requires="wps">
            <w:drawing>
              <wp:anchor distT="0" distB="0" distL="114300" distR="114300" simplePos="0" relativeHeight="251675648" behindDoc="0" locked="0" layoutInCell="1" allowOverlap="1" wp14:anchorId="372D0E3B" wp14:editId="4961642B">
                <wp:simplePos x="0" y="0"/>
                <wp:positionH relativeFrom="column">
                  <wp:posOffset>1569720</wp:posOffset>
                </wp:positionH>
                <wp:positionV relativeFrom="paragraph">
                  <wp:posOffset>899160</wp:posOffset>
                </wp:positionV>
                <wp:extent cx="7620" cy="205740"/>
                <wp:effectExtent l="38100" t="0" r="49530" b="41910"/>
                <wp:wrapNone/>
                <wp:docPr id="1725606139"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6A1EE6C" id="Straight Arrow Connector 8" o:spid="_x0000_s1026" type="#_x0000_t32" style="position:absolute;margin-left:123.6pt;margin-top:70.8pt;width:.6pt;height:16.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" strokecolor="black [3200]" strokeweight=".5pt">
                <v:stroke endarrow="block" joinstyle="miter"/>
                <o:lock v:ext="edit" shapetype="f"/>
              </v:shape>
            </w:pict>
          </mc:Fallback>
        </mc:AlternateContent>
      </w:r>
      <w:r>
        <w:rPr>
          <w:rFonts w:ascii="Arial" w:hAnsi="Arial" w:cs="Arial"/>
          <w:noProof/>
          <w:sz w:val="22"/>
        </w:rPr>
        <mc:AlternateContent>
          <mc:Choice Requires="wps">
            <w:drawing>
              <wp:anchor distT="0" distB="0" distL="114300" distR="114300" simplePos="0" relativeHeight="251664384" behindDoc="0" locked="0" layoutInCell="1" allowOverlap="1" wp14:anchorId="281CBFBD" wp14:editId="1248DB2C">
                <wp:simplePos x="0" y="0"/>
                <wp:positionH relativeFrom="column">
                  <wp:posOffset>2750820</wp:posOffset>
                </wp:positionH>
                <wp:positionV relativeFrom="paragraph">
                  <wp:posOffset>91440</wp:posOffset>
                </wp:positionV>
                <wp:extent cx="1607820" cy="739140"/>
                <wp:effectExtent l="0" t="0" r="0" b="3810"/>
                <wp:wrapNone/>
                <wp:docPr id="62076106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7820" cy="739140"/>
                        </a:xfrm>
                        <a:prstGeom prst="rect">
                          <a:avLst/>
                        </a:prstGeom>
                      </wps:spPr>
                      <wps:style>
                        <a:lnRef idx="2">
                          <a:schemeClr val="dk1"/>
                        </a:lnRef>
                        <a:fillRef idx="1">
                          <a:schemeClr val="lt1"/>
                        </a:fillRef>
                        <a:effectRef idx="0">
                          <a:schemeClr val="dk1"/>
                        </a:effectRef>
                        <a:fontRef idx="minor">
                          <a:schemeClr val="dk1"/>
                        </a:fontRef>
                      </wps:style>
                      <wps:txbx>
                        <w:txbxContent>
                          <w:p w14:paraId="0CA1350C" w14:textId="77777777" w:rsidR="00D330AE" w:rsidRPr="00837E3E" w:rsidRDefault="00D330AE" w:rsidP="00D330AE">
                            <w:pPr>
                              <w:spacing w:line="240" w:lineRule="auto"/>
                              <w:jc w:val="center"/>
                              <w:rPr>
                                <w:rFonts w:ascii="Arial" w:hAnsi="Arial" w:cs="Arial"/>
                              </w:rPr>
                            </w:pPr>
                            <w:r w:rsidRPr="00837E3E">
                              <w:rPr>
                                <w:rFonts w:ascii="Arial" w:hAnsi="Arial" w:cs="Arial"/>
                              </w:rPr>
                              <w:t xml:space="preserve">Records </w:t>
                            </w:r>
                            <w:r>
                              <w:rPr>
                                <w:rFonts w:ascii="Arial" w:hAnsi="Arial" w:cs="Arial"/>
                              </w:rPr>
                              <w:t xml:space="preserve">identified </w:t>
                            </w:r>
                            <w:r w:rsidRPr="00837E3E">
                              <w:rPr>
                                <w:rFonts w:ascii="Arial" w:hAnsi="Arial" w:cs="Arial"/>
                              </w:rPr>
                              <w:t xml:space="preserve">through (n= </w:t>
                            </w:r>
                            <w:r>
                              <w:rPr>
                                <w:rFonts w:ascii="Arial" w:hAnsi="Arial" w:cs="Arial"/>
                              </w:rPr>
                              <w:t>20,000</w:t>
                            </w:r>
                            <w:r w:rsidRPr="00837E3E">
                              <w:rPr>
                                <w:rFonts w:ascii="Arial" w:hAnsi="Arial" w:cs="Arial"/>
                              </w:rPr>
                              <w:t>)</w:t>
                            </w:r>
                          </w:p>
                          <w:p w14:paraId="1F7CB79F" w14:textId="77777777" w:rsidR="00D330AE" w:rsidRDefault="00D330AE" w:rsidP="00D330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1CBFBD" id="Rectangle 7" o:spid="_x0000_s1034" style="position:absolute;left:0;text-align:left;margin-left:216.6pt;margin-top:7.2pt;width:126.6pt;height:58.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" fillcolor="white [3201]" strokecolor="black [3200]" strokeweight="1pt">
                <v:path arrowok="t"/>
                <v:textbox>
                  <w:txbxContent>
                    <w:p w14:paraId="0CA1350C" w14:textId="77777777" w:rsidR="00D330AE" w:rsidRPr="00837E3E" w:rsidRDefault="00D330AE" w:rsidP="00D330AE">
                      <w:pPr>
                        <w:spacing w:line="240" w:lineRule="auto"/>
                        <w:jc w:val="center"/>
                        <w:rPr>
                          <w:rFonts w:ascii="Arial" w:hAnsi="Arial" w:cs="Arial"/>
                        </w:rPr>
                      </w:pPr>
                      <w:r w:rsidRPr="00837E3E">
                        <w:rPr>
                          <w:rFonts w:ascii="Arial" w:hAnsi="Arial" w:cs="Arial"/>
                        </w:rPr>
                        <w:t xml:space="preserve">Records </w:t>
                      </w:r>
                      <w:r>
                        <w:rPr>
                          <w:rFonts w:ascii="Arial" w:hAnsi="Arial" w:cs="Arial"/>
                        </w:rPr>
                        <w:t xml:space="preserve">identified </w:t>
                      </w:r>
                      <w:r w:rsidRPr="00837E3E">
                        <w:rPr>
                          <w:rFonts w:ascii="Arial" w:hAnsi="Arial" w:cs="Arial"/>
                        </w:rPr>
                        <w:t xml:space="preserve">through (n= </w:t>
                      </w:r>
                      <w:r>
                        <w:rPr>
                          <w:rFonts w:ascii="Arial" w:hAnsi="Arial" w:cs="Arial"/>
                        </w:rPr>
                        <w:t>20,000</w:t>
                      </w:r>
                      <w:r w:rsidRPr="00837E3E">
                        <w:rPr>
                          <w:rFonts w:ascii="Arial" w:hAnsi="Arial" w:cs="Arial"/>
                        </w:rPr>
                        <w:t>)</w:t>
                      </w:r>
                    </w:p>
                    <w:p w14:paraId="1F7CB79F" w14:textId="77777777" w:rsidR="00D330AE" w:rsidRDefault="00D330AE" w:rsidP="00D330AE">
                      <w:pPr>
                        <w:jc w:val="center"/>
                      </w:pPr>
                    </w:p>
                  </w:txbxContent>
                </v:textbox>
              </v:rect>
            </w:pict>
          </mc:Fallback>
        </mc:AlternateContent>
      </w:r>
      <w:r>
        <w:rPr>
          <w:rFonts w:ascii="Arial" w:hAnsi="Arial" w:cs="Arial"/>
          <w:noProof/>
          <w:sz w:val="22"/>
        </w:rPr>
        <mc:AlternateContent>
          <mc:Choice Requires="wps">
            <w:drawing>
              <wp:anchor distT="0" distB="0" distL="114300" distR="114300" simplePos="0" relativeHeight="251663360" behindDoc="1" locked="0" layoutInCell="1" allowOverlap="1" wp14:anchorId="3E5F46B0" wp14:editId="17101BED">
                <wp:simplePos x="0" y="0"/>
                <wp:positionH relativeFrom="column">
                  <wp:posOffset>716280</wp:posOffset>
                </wp:positionH>
                <wp:positionV relativeFrom="paragraph">
                  <wp:posOffset>91440</wp:posOffset>
                </wp:positionV>
                <wp:extent cx="1592580" cy="739140"/>
                <wp:effectExtent l="0" t="0" r="7620" b="3810"/>
                <wp:wrapTight wrapText="bothSides">
                  <wp:wrapPolygon edited="0">
                    <wp:start x="0" y="0"/>
                    <wp:lineTo x="0" y="21711"/>
                    <wp:lineTo x="21703" y="21711"/>
                    <wp:lineTo x="21703" y="0"/>
                    <wp:lineTo x="0" y="0"/>
                  </wp:wrapPolygon>
                </wp:wrapTight>
                <wp:docPr id="65934656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2580" cy="739140"/>
                        </a:xfrm>
                        <a:prstGeom prst="rect">
                          <a:avLst/>
                        </a:prstGeom>
                      </wps:spPr>
                      <wps:style>
                        <a:lnRef idx="2">
                          <a:schemeClr val="dk1"/>
                        </a:lnRef>
                        <a:fillRef idx="1">
                          <a:schemeClr val="lt1"/>
                        </a:fillRef>
                        <a:effectRef idx="0">
                          <a:schemeClr val="dk1"/>
                        </a:effectRef>
                        <a:fontRef idx="minor">
                          <a:schemeClr val="dk1"/>
                        </a:fontRef>
                      </wps:style>
                      <wps:txbx>
                        <w:txbxContent>
                          <w:p w14:paraId="3AFB1259" w14:textId="77777777" w:rsidR="00D330AE" w:rsidRPr="00D274BE" w:rsidRDefault="00D330AE" w:rsidP="00D330AE">
                            <w:pPr>
                              <w:spacing w:line="240" w:lineRule="auto"/>
                              <w:jc w:val="center"/>
                              <w:rPr>
                                <w:rFonts w:ascii="Arial" w:hAnsi="Arial" w:cs="Arial"/>
                              </w:rPr>
                            </w:pPr>
                            <w:r w:rsidRPr="00D274BE">
                              <w:rPr>
                                <w:rFonts w:ascii="Arial" w:hAnsi="Arial" w:cs="Arial"/>
                              </w:rPr>
                              <w:t xml:space="preserve">Records identified through (n= </w:t>
                            </w:r>
                            <w:r w:rsidRPr="00D274BE">
                              <w:rPr>
                                <w:rFonts w:ascii="Arial" w:hAnsi="Arial" w:cs="Arial"/>
                                <w:shd w:val="clear" w:color="auto" w:fill="FFFFFF"/>
                              </w:rPr>
                              <w:t>27,500</w:t>
                            </w:r>
                            <w:r w:rsidRPr="00D274BE">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5F46B0" id="Rectangle 6" o:spid="_x0000_s1035" style="position:absolute;left:0;text-align:left;margin-left:56.4pt;margin-top:7.2pt;width:125.4pt;height:58.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" fillcolor="white [3201]" strokecolor="black [3200]" strokeweight="1pt">
                <v:path arrowok="t"/>
                <v:textbox>
                  <w:txbxContent>
                    <w:p w14:paraId="3AFB1259" w14:textId="77777777" w:rsidR="00D330AE" w:rsidRPr="00D274BE" w:rsidRDefault="00D330AE" w:rsidP="00D330AE">
                      <w:pPr>
                        <w:spacing w:line="240" w:lineRule="auto"/>
                        <w:jc w:val="center"/>
                        <w:rPr>
                          <w:rFonts w:ascii="Arial" w:hAnsi="Arial" w:cs="Arial"/>
                        </w:rPr>
                      </w:pPr>
                      <w:r w:rsidRPr="00D274BE">
                        <w:rPr>
                          <w:rFonts w:ascii="Arial" w:hAnsi="Arial" w:cs="Arial"/>
                        </w:rPr>
                        <w:t xml:space="preserve">Records identified through (n= </w:t>
                      </w:r>
                      <w:r w:rsidRPr="00D274BE">
                        <w:rPr>
                          <w:rFonts w:ascii="Arial" w:hAnsi="Arial" w:cs="Arial"/>
                          <w:shd w:val="clear" w:color="auto" w:fill="FFFFFF"/>
                        </w:rPr>
                        <w:t>27,500</w:t>
                      </w:r>
                      <w:r w:rsidRPr="00D274BE">
                        <w:rPr>
                          <w:rFonts w:ascii="Arial" w:hAnsi="Arial" w:cs="Arial"/>
                        </w:rPr>
                        <w:t>)</w:t>
                      </w:r>
                    </w:p>
                  </w:txbxContent>
                </v:textbox>
                <w10:wrap type="tight"/>
              </v:rect>
            </w:pict>
          </mc:Fallback>
        </mc:AlternateContent>
      </w:r>
      <w:r>
        <w:rPr>
          <w:rFonts w:ascii="Arial" w:hAnsi="Arial" w:cs="Arial"/>
          <w:noProof/>
          <w:sz w:val="22"/>
        </w:rPr>
        <mc:AlternateContent>
          <mc:Choice Requires="wps">
            <w:drawing>
              <wp:anchor distT="0" distB="0" distL="114300" distR="114300" simplePos="0" relativeHeight="251665408" behindDoc="0" locked="0" layoutInCell="1" allowOverlap="1" wp14:anchorId="7C98BFA8" wp14:editId="62687D24">
                <wp:simplePos x="0" y="0"/>
                <wp:positionH relativeFrom="margin">
                  <wp:posOffset>1181100</wp:posOffset>
                </wp:positionH>
                <wp:positionV relativeFrom="paragraph">
                  <wp:posOffset>1181100</wp:posOffset>
                </wp:positionV>
                <wp:extent cx="2415540" cy="731520"/>
                <wp:effectExtent l="0" t="0" r="3810" b="0"/>
                <wp:wrapNone/>
                <wp:docPr id="8297099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5540" cy="731520"/>
                        </a:xfrm>
                        <a:prstGeom prst="rect">
                          <a:avLst/>
                        </a:prstGeom>
                      </wps:spPr>
                      <wps:style>
                        <a:lnRef idx="2">
                          <a:schemeClr val="dk1"/>
                        </a:lnRef>
                        <a:fillRef idx="1">
                          <a:schemeClr val="lt1"/>
                        </a:fillRef>
                        <a:effectRef idx="0">
                          <a:schemeClr val="dk1"/>
                        </a:effectRef>
                        <a:fontRef idx="minor">
                          <a:schemeClr val="dk1"/>
                        </a:fontRef>
                      </wps:style>
                      <wps:txbx>
                        <w:txbxContent>
                          <w:p w14:paraId="6D3C5D05" w14:textId="77777777" w:rsidR="00D330AE" w:rsidRPr="00D274BE" w:rsidRDefault="00D330AE" w:rsidP="00D330AE">
                            <w:pPr>
                              <w:jc w:val="center"/>
                            </w:pPr>
                            <w:r w:rsidRPr="00D274BE">
                              <w:t>Records after duplicates</w:t>
                            </w:r>
                            <w:r>
                              <w:t xml:space="preserve"> removed</w:t>
                            </w:r>
                            <w:r w:rsidRPr="00D274BE">
                              <w:t xml:space="preserve"> (n= 3149)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8BFA8" id="Rectangle 5" o:spid="_x0000_s1036" style="position:absolute;left:0;text-align:left;margin-left:93pt;margin-top:93pt;width:190.2pt;height:57.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" fillcolor="white [3201]" strokecolor="black [3200]" strokeweight="1pt">
                <v:path arrowok="t"/>
                <v:textbox>
                  <w:txbxContent>
                    <w:p w14:paraId="6D3C5D05" w14:textId="77777777" w:rsidR="00D330AE" w:rsidRPr="00D274BE" w:rsidRDefault="00D330AE" w:rsidP="00D330AE">
                      <w:pPr>
                        <w:jc w:val="center"/>
                      </w:pPr>
                      <w:r w:rsidRPr="00D274BE">
                        <w:t>Records after duplicates</w:t>
                      </w:r>
                      <w:r>
                        <w:t xml:space="preserve"> removed</w:t>
                      </w:r>
                      <w:r w:rsidRPr="00D274BE">
                        <w:t xml:space="preserve"> (n= 3149)</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659264" behindDoc="0" locked="0" layoutInCell="1" allowOverlap="1" wp14:anchorId="7B96E191" wp14:editId="76906278">
                <wp:simplePos x="0" y="0"/>
                <wp:positionH relativeFrom="margin">
                  <wp:posOffset>-461645</wp:posOffset>
                </wp:positionH>
                <wp:positionV relativeFrom="paragraph">
                  <wp:posOffset>4902200</wp:posOffset>
                </wp:positionV>
                <wp:extent cx="1442720" cy="518160"/>
                <wp:effectExtent l="0" t="457200" r="0" b="453390"/>
                <wp:wrapNone/>
                <wp:docPr id="48583808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442720" cy="51816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2FE56A39" w14:textId="77777777" w:rsidR="00D330AE" w:rsidRDefault="00D330AE" w:rsidP="00D330AE">
                            <w:pPr>
                              <w:jc w:val="center"/>
                            </w:pPr>
                            <w: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B96E191" id="Rectangle 4" o:spid="_x0000_s1037" style="position:absolute;left:0;text-align:left;margin-left:-36.35pt;margin-top:386pt;width:113.6pt;height:40.8pt;rotation:-90;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" fillcolor="#c3c3c3 [2166]" strokecolor="#a5a5a5 [3206]" strokeweight=".5pt">
                <v:fill color2="#b6b6b6 [2614]" rotate="t" colors="0 #d2d2d2;.5 #c8c8c8;1 silver" focus="100%" type="gradient">
                  <o:fill v:ext="view" type="gradientUnscaled"/>
                </v:fill>
                <v:path arrowok="t"/>
                <v:textbox>
                  <w:txbxContent>
                    <w:p w14:paraId="2FE56A39" w14:textId="77777777" w:rsidR="00D330AE" w:rsidRDefault="00D330AE" w:rsidP="00D330AE">
                      <w:pPr>
                        <w:jc w:val="center"/>
                      </w:pPr>
                      <w:r>
                        <w:t>Included</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662336" behindDoc="0" locked="0" layoutInCell="1" allowOverlap="1" wp14:anchorId="186CCD6B" wp14:editId="0C85692F">
                <wp:simplePos x="0" y="0"/>
                <wp:positionH relativeFrom="margin">
                  <wp:posOffset>-487045</wp:posOffset>
                </wp:positionH>
                <wp:positionV relativeFrom="paragraph">
                  <wp:posOffset>3315970</wp:posOffset>
                </wp:positionV>
                <wp:extent cx="1490980" cy="518160"/>
                <wp:effectExtent l="0" t="495300" r="0" b="491490"/>
                <wp:wrapNone/>
                <wp:docPr id="141465682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490980" cy="51816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2C3E9BC5" w14:textId="77777777" w:rsidR="00D330AE" w:rsidRDefault="00D330AE" w:rsidP="00D330AE">
                            <w:pPr>
                              <w:jc w:val="center"/>
                            </w:pPr>
                            <w:r>
                              <w:t>Eligibility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86CCD6B" id="Rectangle 3" o:spid="_x0000_s1038" style="position:absolute;left:0;text-align:left;margin-left:-38.35pt;margin-top:261.1pt;width:117.4pt;height:40.8pt;rotation:-90;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" fillcolor="#c3c3c3 [2166]" strokecolor="#a5a5a5 [3206]" strokeweight=".5pt">
                <v:fill color2="#b6b6b6 [2614]" rotate="t" colors="0 #d2d2d2;.5 #c8c8c8;1 silver" focus="100%" type="gradient">
                  <o:fill v:ext="view" type="gradientUnscaled"/>
                </v:fill>
                <v:path arrowok="t"/>
                <v:textbox>
                  <w:txbxContent>
                    <w:p w14:paraId="2C3E9BC5" w14:textId="77777777" w:rsidR="00D330AE" w:rsidRDefault="00D330AE" w:rsidP="00D330AE">
                      <w:pPr>
                        <w:jc w:val="center"/>
                      </w:pPr>
                      <w:r>
                        <w:t>Eligibility</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660288" behindDoc="0" locked="0" layoutInCell="1" allowOverlap="1" wp14:anchorId="4F738C4C" wp14:editId="6E32FF0A">
                <wp:simplePos x="0" y="0"/>
                <wp:positionH relativeFrom="margin">
                  <wp:posOffset>-396875</wp:posOffset>
                </wp:positionH>
                <wp:positionV relativeFrom="paragraph">
                  <wp:posOffset>405130</wp:posOffset>
                </wp:positionV>
                <wp:extent cx="1322705" cy="518160"/>
                <wp:effectExtent l="0" t="400050" r="0" b="396240"/>
                <wp:wrapNone/>
                <wp:docPr id="79824721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322705" cy="518160"/>
                        </a:xfrm>
                        <a:prstGeom prst="rect">
                          <a:avLst/>
                        </a:prstGeom>
                      </wps:spPr>
                      <wps:style>
                        <a:lnRef idx="1">
                          <a:schemeClr val="dk1"/>
                        </a:lnRef>
                        <a:fillRef idx="2">
                          <a:schemeClr val="dk1"/>
                        </a:fillRef>
                        <a:effectRef idx="1">
                          <a:schemeClr val="dk1"/>
                        </a:effectRef>
                        <a:fontRef idx="minor">
                          <a:schemeClr val="dk1"/>
                        </a:fontRef>
                      </wps:style>
                      <wps:txbx>
                        <w:txbxContent>
                          <w:p w14:paraId="5BDE9839" w14:textId="77777777" w:rsidR="00D330AE" w:rsidRDefault="00D330AE" w:rsidP="00D330AE">
                            <w:pPr>
                              <w:jc w:val="center"/>
                            </w:pPr>
                            <w: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F738C4C" id="Rectangle 2" o:spid="_x0000_s1039" style="position:absolute;left:0;text-align:left;margin-left:-31.25pt;margin-top:31.9pt;width:104.15pt;height:40.8pt;rotation:-90;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" fillcolor="#555 [2160]" strokecolor="black [3200]" strokeweight=".5pt">
                <v:fill color2="#313131 [2608]" rotate="t" colors="0 #9b9b9b;.5 #8e8e8e;1 #797979" focus="100%" type="gradient">
                  <o:fill v:ext="view" type="gradientUnscaled"/>
                </v:fill>
                <v:path arrowok="t"/>
                <v:textbox>
                  <w:txbxContent>
                    <w:p w14:paraId="5BDE9839" w14:textId="77777777" w:rsidR="00D330AE" w:rsidRDefault="00D330AE" w:rsidP="00D330AE">
                      <w:pPr>
                        <w:jc w:val="center"/>
                      </w:pPr>
                      <w:r>
                        <w:t>Identification</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661312" behindDoc="0" locked="0" layoutInCell="1" allowOverlap="1" wp14:anchorId="28A4E6B6" wp14:editId="4BB9D728">
                <wp:simplePos x="0" y="0"/>
                <wp:positionH relativeFrom="margin">
                  <wp:posOffset>-386080</wp:posOffset>
                </wp:positionH>
                <wp:positionV relativeFrom="paragraph">
                  <wp:posOffset>1793875</wp:posOffset>
                </wp:positionV>
                <wp:extent cx="1302385" cy="518160"/>
                <wp:effectExtent l="0" t="400050" r="0" b="396240"/>
                <wp:wrapNone/>
                <wp:docPr id="81874229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302385" cy="51816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0009E989" w14:textId="77777777" w:rsidR="00D330AE" w:rsidRDefault="00D330AE" w:rsidP="00D330AE">
                            <w:pPr>
                              <w:jc w:val="center"/>
                            </w:pPr>
                            <w:r>
                              <w:t>Screening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8A4E6B6" id="Rectangle 1" o:spid="_x0000_s1040" style="position:absolute;left:0;text-align:left;margin-left:-30.4pt;margin-top:141.25pt;width:102.55pt;height:40.8pt;rotation:-90;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" fillcolor="#c3c3c3 [2166]" strokecolor="#a5a5a5 [3206]" strokeweight=".5pt">
                <v:fill color2="#b6b6b6 [2614]" rotate="t" colors="0 #d2d2d2;.5 #c8c8c8;1 silver" focus="100%" type="gradient">
                  <o:fill v:ext="view" type="gradientUnscaled"/>
                </v:fill>
                <v:path arrowok="t"/>
                <v:textbox>
                  <w:txbxContent>
                    <w:p w14:paraId="0009E989" w14:textId="77777777" w:rsidR="00D330AE" w:rsidRDefault="00D330AE" w:rsidP="00D330AE">
                      <w:pPr>
                        <w:jc w:val="center"/>
                      </w:pPr>
                      <w:r>
                        <w:t>Screening</w:t>
                      </w:r>
                    </w:p>
                  </w:txbxContent>
                </v:textbox>
                <w10:wrap anchorx="margin"/>
              </v:rect>
            </w:pict>
          </mc:Fallback>
        </mc:AlternateContent>
      </w:r>
    </w:p>
    <w:p w14:paraId="25541575" w14:textId="77777777" w:rsidR="00D330AE" w:rsidRPr="000E437E" w:rsidRDefault="00D330AE" w:rsidP="000E437E">
      <w:pPr>
        <w:jc w:val="both"/>
        <w:rPr>
          <w:rFonts w:ascii="Arial" w:hAnsi="Arial" w:cs="Arial"/>
          <w:sz w:val="22"/>
        </w:rPr>
      </w:pPr>
    </w:p>
    <w:p w14:paraId="05C02DBC" w14:textId="501D4E57" w:rsidR="002558C7" w:rsidRPr="000E437E" w:rsidRDefault="002558C7" w:rsidP="000E437E">
      <w:pPr>
        <w:spacing w:line="360" w:lineRule="auto"/>
        <w:jc w:val="both"/>
        <w:rPr>
          <w:rFonts w:ascii="Arial" w:eastAsia="Times New Roman" w:hAnsi="Arial" w:cs="Arial"/>
          <w:sz w:val="22"/>
          <w:lang w:val="en-US"/>
        </w:rPr>
      </w:pPr>
    </w:p>
    <w:p w14:paraId="31D45E9F" w14:textId="77777777" w:rsidR="00D330AE" w:rsidRPr="000E437E" w:rsidRDefault="00D330AE" w:rsidP="000E437E">
      <w:pPr>
        <w:spacing w:line="360" w:lineRule="auto"/>
        <w:jc w:val="both"/>
        <w:rPr>
          <w:rFonts w:ascii="Arial" w:eastAsia="Times New Roman" w:hAnsi="Arial" w:cs="Arial"/>
          <w:sz w:val="22"/>
          <w:lang w:val="en-US"/>
        </w:rPr>
      </w:pPr>
    </w:p>
    <w:p w14:paraId="04D7E525" w14:textId="77777777" w:rsidR="009F7793" w:rsidRPr="000E437E" w:rsidRDefault="009F7793" w:rsidP="000E437E">
      <w:pPr>
        <w:spacing w:line="360" w:lineRule="auto"/>
        <w:jc w:val="both"/>
        <w:rPr>
          <w:rFonts w:ascii="Arial" w:eastAsia="Times New Roman" w:hAnsi="Arial" w:cs="Arial"/>
          <w:sz w:val="22"/>
          <w:lang w:val="en-US"/>
        </w:rPr>
      </w:pPr>
    </w:p>
    <w:p w14:paraId="32FA17A6" w14:textId="77777777" w:rsidR="009F7793" w:rsidRPr="000E437E" w:rsidRDefault="009F7793" w:rsidP="000E437E">
      <w:pPr>
        <w:spacing w:line="360" w:lineRule="auto"/>
        <w:jc w:val="both"/>
        <w:rPr>
          <w:rFonts w:ascii="Arial" w:eastAsia="Times New Roman" w:hAnsi="Arial" w:cs="Arial"/>
          <w:sz w:val="22"/>
          <w:lang w:val="en-US"/>
        </w:rPr>
      </w:pPr>
    </w:p>
    <w:p w14:paraId="748D8983" w14:textId="77777777" w:rsidR="00D330AE" w:rsidRPr="000E437E" w:rsidRDefault="00D330AE" w:rsidP="000E437E">
      <w:pPr>
        <w:spacing w:line="360" w:lineRule="auto"/>
        <w:jc w:val="both"/>
        <w:rPr>
          <w:rFonts w:ascii="Arial" w:eastAsia="Times New Roman" w:hAnsi="Arial" w:cs="Arial"/>
          <w:sz w:val="22"/>
          <w:lang w:val="en-US"/>
        </w:rPr>
      </w:pPr>
    </w:p>
    <w:p w14:paraId="02CD328E" w14:textId="77777777" w:rsidR="00D330AE" w:rsidRPr="000E437E" w:rsidRDefault="00D330AE" w:rsidP="000E437E">
      <w:pPr>
        <w:spacing w:line="360" w:lineRule="auto"/>
        <w:jc w:val="both"/>
        <w:rPr>
          <w:rFonts w:ascii="Arial" w:eastAsia="Times New Roman" w:hAnsi="Arial" w:cs="Arial"/>
          <w:sz w:val="22"/>
          <w:lang w:val="en-US"/>
        </w:rPr>
      </w:pPr>
    </w:p>
    <w:p w14:paraId="7E768217" w14:textId="77777777" w:rsidR="00D330AE" w:rsidRPr="000E437E" w:rsidRDefault="00D330AE" w:rsidP="000E437E">
      <w:pPr>
        <w:spacing w:line="360" w:lineRule="auto"/>
        <w:jc w:val="both"/>
        <w:rPr>
          <w:rFonts w:ascii="Arial" w:eastAsia="Times New Roman" w:hAnsi="Arial" w:cs="Arial"/>
          <w:sz w:val="22"/>
          <w:lang w:val="en-US"/>
        </w:rPr>
      </w:pPr>
    </w:p>
    <w:p w14:paraId="273BE537" w14:textId="77777777" w:rsidR="00D330AE" w:rsidRPr="000E437E" w:rsidRDefault="00D330AE" w:rsidP="000E437E">
      <w:pPr>
        <w:spacing w:line="360" w:lineRule="auto"/>
        <w:jc w:val="both"/>
        <w:rPr>
          <w:rFonts w:ascii="Arial" w:eastAsia="Times New Roman" w:hAnsi="Arial" w:cs="Arial"/>
          <w:sz w:val="22"/>
          <w:lang w:val="en-US"/>
        </w:rPr>
      </w:pPr>
    </w:p>
    <w:p w14:paraId="6FB4475F" w14:textId="77777777" w:rsidR="00D330AE" w:rsidRPr="000E437E" w:rsidRDefault="00D330AE" w:rsidP="000E437E">
      <w:pPr>
        <w:spacing w:line="360" w:lineRule="auto"/>
        <w:jc w:val="both"/>
        <w:rPr>
          <w:rFonts w:ascii="Arial" w:eastAsia="Times New Roman" w:hAnsi="Arial" w:cs="Arial"/>
          <w:sz w:val="22"/>
          <w:lang w:val="en-US"/>
        </w:rPr>
      </w:pPr>
    </w:p>
    <w:p w14:paraId="413453F6" w14:textId="77777777" w:rsidR="00D330AE" w:rsidRPr="000E437E" w:rsidRDefault="00D330AE" w:rsidP="000E437E">
      <w:pPr>
        <w:spacing w:line="360" w:lineRule="auto"/>
        <w:jc w:val="both"/>
        <w:rPr>
          <w:rFonts w:ascii="Arial" w:eastAsia="Times New Roman" w:hAnsi="Arial" w:cs="Arial"/>
          <w:sz w:val="22"/>
          <w:lang w:val="en-US"/>
        </w:rPr>
      </w:pPr>
    </w:p>
    <w:p w14:paraId="1B0F86EF" w14:textId="77777777" w:rsidR="00D330AE" w:rsidRPr="000E437E" w:rsidRDefault="00D330AE" w:rsidP="000E437E">
      <w:pPr>
        <w:spacing w:line="360" w:lineRule="auto"/>
        <w:jc w:val="both"/>
        <w:rPr>
          <w:rFonts w:ascii="Arial" w:eastAsia="Times New Roman" w:hAnsi="Arial" w:cs="Arial"/>
          <w:sz w:val="22"/>
          <w:lang w:val="en-US"/>
        </w:rPr>
      </w:pPr>
    </w:p>
    <w:p w14:paraId="5DEA4B98" w14:textId="77777777" w:rsidR="00D330AE" w:rsidRPr="000E437E" w:rsidRDefault="00D330AE" w:rsidP="000E437E">
      <w:pPr>
        <w:spacing w:line="360" w:lineRule="auto"/>
        <w:jc w:val="both"/>
        <w:rPr>
          <w:rFonts w:ascii="Arial" w:eastAsia="Times New Roman" w:hAnsi="Arial" w:cs="Arial"/>
          <w:sz w:val="22"/>
          <w:lang w:val="en-US"/>
        </w:rPr>
      </w:pPr>
    </w:p>
    <w:p w14:paraId="6BD2F5C6" w14:textId="77777777" w:rsidR="00D330AE" w:rsidRPr="000E437E" w:rsidRDefault="00D330AE" w:rsidP="000E437E">
      <w:pPr>
        <w:spacing w:line="360" w:lineRule="auto"/>
        <w:jc w:val="both"/>
        <w:rPr>
          <w:rFonts w:ascii="Arial" w:eastAsia="Times New Roman" w:hAnsi="Arial" w:cs="Arial"/>
          <w:sz w:val="22"/>
          <w:lang w:val="en-US"/>
        </w:rPr>
      </w:pPr>
    </w:p>
    <w:p w14:paraId="00C91B0F" w14:textId="77777777" w:rsidR="00D330AE" w:rsidRPr="000E437E" w:rsidRDefault="00D330AE" w:rsidP="000E437E">
      <w:pPr>
        <w:spacing w:line="360" w:lineRule="auto"/>
        <w:jc w:val="both"/>
        <w:rPr>
          <w:rFonts w:ascii="Arial" w:eastAsia="Times New Roman" w:hAnsi="Arial" w:cs="Arial"/>
          <w:sz w:val="22"/>
          <w:lang w:val="en-US"/>
        </w:rPr>
      </w:pPr>
    </w:p>
    <w:p w14:paraId="6356D328" w14:textId="77777777" w:rsidR="00D330AE" w:rsidRPr="000E437E" w:rsidRDefault="00D330AE" w:rsidP="000E437E">
      <w:pPr>
        <w:spacing w:line="360" w:lineRule="auto"/>
        <w:jc w:val="both"/>
        <w:rPr>
          <w:rFonts w:ascii="Arial" w:eastAsia="Times New Roman" w:hAnsi="Arial" w:cs="Arial"/>
          <w:sz w:val="22"/>
          <w:lang w:val="en-US"/>
        </w:rPr>
      </w:pPr>
    </w:p>
    <w:p w14:paraId="467708D5" w14:textId="77777777" w:rsidR="00D330AE" w:rsidRPr="000E437E" w:rsidRDefault="00D330AE" w:rsidP="000E437E">
      <w:pPr>
        <w:spacing w:line="360" w:lineRule="auto"/>
        <w:jc w:val="both"/>
        <w:rPr>
          <w:rFonts w:ascii="Arial" w:eastAsia="Times New Roman" w:hAnsi="Arial" w:cs="Arial"/>
          <w:sz w:val="22"/>
          <w:lang w:val="en-US"/>
        </w:rPr>
      </w:pPr>
    </w:p>
    <w:p w14:paraId="7CD89823" w14:textId="18703316" w:rsidR="002558C7" w:rsidRPr="000E437E" w:rsidRDefault="0096349E" w:rsidP="000E437E">
      <w:pPr>
        <w:pStyle w:val="Caption"/>
        <w:jc w:val="both"/>
        <w:rPr>
          <w:rFonts w:ascii="Arial" w:eastAsia="Times New Roman" w:hAnsi="Arial" w:cs="Arial"/>
          <w:sz w:val="22"/>
          <w:szCs w:val="22"/>
          <w:lang w:val="en-US"/>
        </w:rPr>
      </w:pPr>
      <w:bookmarkStart w:id="33" w:name="_Toc165886032"/>
      <w:r w:rsidRPr="000E437E">
        <w:rPr>
          <w:rFonts w:ascii="Arial" w:hAnsi="Arial" w:cs="Arial"/>
          <w:sz w:val="22"/>
          <w:szCs w:val="22"/>
        </w:rPr>
        <w:t xml:space="preserve">Figure </w:t>
      </w:r>
      <w:r w:rsidRPr="000E437E">
        <w:rPr>
          <w:rFonts w:ascii="Arial" w:hAnsi="Arial" w:cs="Arial"/>
          <w:sz w:val="22"/>
          <w:szCs w:val="22"/>
        </w:rPr>
        <w:fldChar w:fldCharType="begin"/>
      </w:r>
      <w:r w:rsidRPr="000E437E">
        <w:rPr>
          <w:rFonts w:ascii="Arial" w:hAnsi="Arial" w:cs="Arial"/>
          <w:sz w:val="22"/>
          <w:szCs w:val="22"/>
        </w:rPr>
        <w:instrText xml:space="preserve"> SEQ Figure \* ARABIC </w:instrText>
      </w:r>
      <w:r w:rsidRPr="000E437E">
        <w:rPr>
          <w:rFonts w:ascii="Arial" w:hAnsi="Arial" w:cs="Arial"/>
          <w:sz w:val="22"/>
          <w:szCs w:val="22"/>
        </w:rPr>
        <w:fldChar w:fldCharType="separate"/>
      </w:r>
      <w:r w:rsidRPr="000E437E">
        <w:rPr>
          <w:rFonts w:ascii="Arial" w:hAnsi="Arial" w:cs="Arial"/>
          <w:noProof/>
          <w:sz w:val="22"/>
          <w:szCs w:val="22"/>
        </w:rPr>
        <w:t>9</w:t>
      </w:r>
      <w:r w:rsidRPr="000E437E">
        <w:rPr>
          <w:rFonts w:ascii="Arial" w:hAnsi="Arial" w:cs="Arial"/>
          <w:sz w:val="22"/>
          <w:szCs w:val="22"/>
        </w:rPr>
        <w:fldChar w:fldCharType="end"/>
      </w:r>
      <w:r w:rsidR="002558C7" w:rsidRPr="000E437E">
        <w:rPr>
          <w:rFonts w:ascii="Arial" w:eastAsia="Times New Roman" w:hAnsi="Arial" w:cs="Arial"/>
          <w:sz w:val="22"/>
          <w:szCs w:val="22"/>
          <w:lang w:val="en-US"/>
        </w:rPr>
        <w:t>. PRISMA Chart</w:t>
      </w:r>
      <w:bookmarkEnd w:id="33"/>
    </w:p>
    <w:p w14:paraId="4AC7BF05" w14:textId="77777777" w:rsidR="00205B25" w:rsidRPr="000E437E" w:rsidRDefault="00205B25" w:rsidP="000E437E">
      <w:pPr>
        <w:pStyle w:val="Heading2"/>
        <w:spacing w:line="360" w:lineRule="auto"/>
        <w:jc w:val="both"/>
        <w:rPr>
          <w:rFonts w:ascii="Arial" w:hAnsi="Arial" w:cs="Arial"/>
          <w:color w:val="auto"/>
          <w:sz w:val="22"/>
          <w:szCs w:val="22"/>
        </w:rPr>
      </w:pPr>
      <w:bookmarkStart w:id="34" w:name="_Toc165886065"/>
      <w:r w:rsidRPr="000E437E">
        <w:rPr>
          <w:rFonts w:ascii="Arial" w:hAnsi="Arial" w:cs="Arial"/>
          <w:color w:val="auto"/>
          <w:sz w:val="22"/>
          <w:szCs w:val="22"/>
        </w:rPr>
        <w:lastRenderedPageBreak/>
        <w:t>3.6 Ethical Consideration</w:t>
      </w:r>
      <w:bookmarkEnd w:id="34"/>
    </w:p>
    <w:p w14:paraId="1C19E007" w14:textId="77777777" w:rsidR="00033126" w:rsidRPr="000E437E" w:rsidRDefault="00033126" w:rsidP="000E437E">
      <w:pPr>
        <w:spacing w:line="360" w:lineRule="auto"/>
        <w:jc w:val="both"/>
        <w:rPr>
          <w:rFonts w:ascii="Arial" w:hAnsi="Arial" w:cs="Arial"/>
          <w:sz w:val="22"/>
          <w:lang w:val="en-US" w:bidi="th-TH"/>
        </w:rPr>
      </w:pPr>
      <w:r w:rsidRPr="000E437E">
        <w:rPr>
          <w:rFonts w:ascii="Arial" w:hAnsi="Arial" w:cs="Arial"/>
          <w:sz w:val="22"/>
          <w:lang w:val="en-US" w:bidi="th-TH"/>
        </w:rPr>
        <w:t>Ethical issues have been giving full consideration and heightening one of the vital factors during the researching process of this study on the result of remote work on employee engagement and culture of an organization at HSBC Holdings Plc in the UK following the COVID-19 pandemic. First of all, compliance with requirements of terrorism anonymity and know-how was unavoidable. Especially, the confidentiality was significant, and the researchers were legally compelled to secure all the private data or internal documents in line with the (Tietoja at the time) privacy ethics (Pietilä et al., 2020). Furthermore, not getting community consent from stakeholders, the employer and the workers, was a significant ethical issue. The objectives, scope, and outcome of the research study were established, explained, and clearly outlined before the participants volunteered themselves to take part. Moreover, the researchers pursue the truthfulness and honesty in conducting data collecting and analysis as well as include it in their findings. (Pietilä et al., 2020). Any conflicts of interest in the study as well as the biases were identified and remedied to obtain a research outcome which is up to acceptability from the point of view of reliability as well as validity. However, the process not only assured the welfares and security of the participants by making their participation voluntary and not put any undue stress and harms to them but also promoted this ethics of human dignity and respect by allowing their participation to be voluntary. Researchers, constantly checking on all the research participants, reports any side effects and then, find out measures that will bring back the normal situation.</w:t>
      </w:r>
    </w:p>
    <w:p w14:paraId="267EA9DB" w14:textId="4E8A579A" w:rsidR="00205B25" w:rsidRPr="000E437E" w:rsidRDefault="00033126" w:rsidP="000E437E">
      <w:pPr>
        <w:spacing w:line="360" w:lineRule="auto"/>
        <w:jc w:val="both"/>
        <w:rPr>
          <w:rFonts w:ascii="Arial" w:hAnsi="Arial" w:cs="Arial"/>
          <w:sz w:val="22"/>
          <w:lang w:val="en-US" w:bidi="th-TH"/>
        </w:rPr>
      </w:pPr>
      <w:r w:rsidRPr="000E437E">
        <w:rPr>
          <w:rFonts w:ascii="Arial" w:hAnsi="Arial" w:cs="Arial"/>
          <w:sz w:val="22"/>
          <w:lang w:val="en-US" w:bidi="th-TH"/>
        </w:rPr>
        <w:t>Nonetheless, it becomes the problem when research information that need to be published. Scientists followed the code of authenticity and justice to disclose the results, averting any kind of sensationalism or exaggeration whatsoever. For the purpose of enhancing ethics within the organization, every finding as well as any recommendations or implications of the research identified, should be communicated responsibly and the interests of HSBC Holdings Plc and the whole community considered (Pietilä et al., 2020).</w:t>
      </w:r>
    </w:p>
    <w:p w14:paraId="64470502" w14:textId="77777777" w:rsidR="00205B25" w:rsidRPr="000E437E" w:rsidRDefault="00205B25" w:rsidP="000E437E">
      <w:pPr>
        <w:pStyle w:val="Heading2"/>
        <w:spacing w:line="360" w:lineRule="auto"/>
        <w:jc w:val="both"/>
        <w:rPr>
          <w:rFonts w:ascii="Arial" w:hAnsi="Arial" w:cs="Arial"/>
          <w:color w:val="auto"/>
          <w:sz w:val="22"/>
          <w:szCs w:val="22"/>
        </w:rPr>
      </w:pPr>
      <w:bookmarkStart w:id="35" w:name="_Toc165886066"/>
      <w:r w:rsidRPr="000E437E">
        <w:rPr>
          <w:rFonts w:ascii="Arial" w:hAnsi="Arial" w:cs="Arial"/>
          <w:color w:val="auto"/>
          <w:sz w:val="22"/>
          <w:szCs w:val="22"/>
        </w:rPr>
        <w:t>3.7 Conclusion</w:t>
      </w:r>
      <w:bookmarkEnd w:id="35"/>
      <w:r w:rsidRPr="000E437E">
        <w:rPr>
          <w:rFonts w:ascii="Arial" w:hAnsi="Arial" w:cs="Arial"/>
          <w:color w:val="auto"/>
          <w:sz w:val="22"/>
          <w:szCs w:val="22"/>
        </w:rPr>
        <w:t xml:space="preserve"> </w:t>
      </w:r>
    </w:p>
    <w:p w14:paraId="1397FE63" w14:textId="36BF1B0F" w:rsidR="00205B25" w:rsidRPr="000E437E" w:rsidRDefault="00FC4AE3"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This study applied a methodology that was totally comprehensive on the effect of working remotely on employee engagement and organizational culture at HSBC Holdings Plc in post-pandemic UK, and the interesting perspectives that were brought to light are issues which are complex in nature. Interpretivist research underpins the fact that employee experiences and organizational phenomena are subjective </w:t>
      </w:r>
      <w:r w:rsidR="00205B25" w:rsidRPr="000E437E">
        <w:rPr>
          <w:rFonts w:ascii="Arial" w:eastAsia="Times New Roman" w:hAnsi="Arial" w:cs="Arial"/>
          <w:sz w:val="22"/>
          <w:lang w:val="en-US"/>
        </w:rPr>
        <w:t>(Ralph and Baltes, 2022)</w:t>
      </w:r>
      <w:r w:rsidR="00205B25" w:rsidRPr="000E437E">
        <w:rPr>
          <w:rFonts w:ascii="Arial" w:hAnsi="Arial" w:cs="Arial"/>
          <w:sz w:val="22"/>
          <w:lang w:val="en-US" w:bidi="th-TH"/>
        </w:rPr>
        <w:t xml:space="preserve">. The explanatory design that was used in the research facilitated the research to find causal relationships, but the inductive research approach involved the generation of new insights. The combination of qualitative and </w:t>
      </w:r>
      <w:r w:rsidR="00205B25" w:rsidRPr="000E437E">
        <w:rPr>
          <w:rFonts w:ascii="Arial" w:hAnsi="Arial" w:cs="Arial"/>
          <w:sz w:val="22"/>
          <w:lang w:val="en-US" w:bidi="th-TH"/>
        </w:rPr>
        <w:lastRenderedPageBreak/>
        <w:t xml:space="preserve">quantitative data collection techniques gave rise to a nuanced comprehension of the particular phenomenon being considered. Ethics was the primordial factor driving the research process with participant anonymity, consenting, and welfare being the main features being explored </w:t>
      </w:r>
      <w:r w:rsidR="00205B25" w:rsidRPr="000E437E">
        <w:rPr>
          <w:rFonts w:ascii="Arial" w:eastAsia="Times New Roman" w:hAnsi="Arial" w:cs="Arial"/>
          <w:sz w:val="22"/>
          <w:lang w:val="en-US"/>
        </w:rPr>
        <w:t>(Ralph and Baltes, 2022)</w:t>
      </w:r>
      <w:r w:rsidR="00205B25" w:rsidRPr="000E437E">
        <w:rPr>
          <w:rFonts w:ascii="Arial" w:hAnsi="Arial" w:cs="Arial"/>
          <w:sz w:val="22"/>
          <w:lang w:val="en-US" w:bidi="th-TH"/>
        </w:rPr>
        <w:t xml:space="preserve">. In brief, this study adds to the previous acknowledgment of remote work shifts by providing an understanding of the scale of the transformation that has happened in recent years and its impact on employee engagement and organizational culture. Delving into this, this study offers a great benefit to organizational leaders by being a guide through the challenges and opportunities presented in the aftermath of the pandemic era </w:t>
      </w:r>
      <w:r w:rsidR="00205B25" w:rsidRPr="000E437E">
        <w:rPr>
          <w:rFonts w:ascii="Arial" w:eastAsia="Times New Roman" w:hAnsi="Arial" w:cs="Arial"/>
          <w:sz w:val="22"/>
          <w:lang w:val="en-US"/>
        </w:rPr>
        <w:t>(Ralph and Baltes, 2022)</w:t>
      </w:r>
      <w:r w:rsidR="00205B25" w:rsidRPr="000E437E">
        <w:rPr>
          <w:rFonts w:ascii="Arial" w:hAnsi="Arial" w:cs="Arial"/>
          <w:sz w:val="22"/>
          <w:lang w:val="en-US" w:bidi="th-TH"/>
        </w:rPr>
        <w:t>.</w:t>
      </w:r>
    </w:p>
    <w:p w14:paraId="235B4156" w14:textId="62A4C778" w:rsidR="00383173" w:rsidRPr="000E437E" w:rsidRDefault="00205B25" w:rsidP="000E437E">
      <w:pPr>
        <w:pStyle w:val="Heading1"/>
        <w:spacing w:line="360" w:lineRule="auto"/>
        <w:jc w:val="both"/>
        <w:rPr>
          <w:rFonts w:ascii="Arial" w:hAnsi="Arial" w:cs="Arial"/>
          <w:color w:val="auto"/>
          <w:sz w:val="22"/>
          <w:szCs w:val="22"/>
        </w:rPr>
      </w:pPr>
      <w:bookmarkStart w:id="36" w:name="_Toc165886067"/>
      <w:r w:rsidRPr="000E437E">
        <w:rPr>
          <w:rFonts w:ascii="Arial" w:hAnsi="Arial" w:cs="Arial"/>
          <w:color w:val="auto"/>
          <w:sz w:val="22"/>
          <w:szCs w:val="22"/>
        </w:rPr>
        <w:t>CHAPTER 4. FINDINGS / RESULTS, ANALYSIS AND DISCUSSIO</w:t>
      </w:r>
      <w:r w:rsidR="001162D3" w:rsidRPr="000E437E">
        <w:rPr>
          <w:rFonts w:ascii="Arial" w:hAnsi="Arial" w:cs="Arial"/>
          <w:color w:val="auto"/>
          <w:sz w:val="22"/>
          <w:szCs w:val="22"/>
        </w:rPr>
        <w:t>N</w:t>
      </w:r>
      <w:bookmarkEnd w:id="36"/>
    </w:p>
    <w:p w14:paraId="27229EC6" w14:textId="77777777" w:rsidR="00205B25" w:rsidRPr="000E437E" w:rsidRDefault="00205B25" w:rsidP="000E437E">
      <w:pPr>
        <w:pStyle w:val="Heading2"/>
        <w:spacing w:line="360" w:lineRule="auto"/>
        <w:jc w:val="both"/>
        <w:rPr>
          <w:rFonts w:ascii="Arial" w:hAnsi="Arial" w:cs="Arial"/>
          <w:color w:val="auto"/>
          <w:sz w:val="22"/>
          <w:szCs w:val="22"/>
        </w:rPr>
      </w:pPr>
      <w:bookmarkStart w:id="37" w:name="_Toc165886068"/>
      <w:r w:rsidRPr="000E437E">
        <w:rPr>
          <w:rFonts w:ascii="Arial" w:hAnsi="Arial" w:cs="Arial"/>
          <w:color w:val="auto"/>
          <w:sz w:val="22"/>
          <w:szCs w:val="22"/>
        </w:rPr>
        <w:t>4.1 Result</w:t>
      </w:r>
      <w:bookmarkEnd w:id="37"/>
    </w:p>
    <w:p w14:paraId="06DD516B" w14:textId="7203B5FB" w:rsidR="00223F7A" w:rsidRPr="000E437E" w:rsidRDefault="00223F7A"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 xml:space="preserve">Level of remote working implementation at HSBC Holdings plc </w:t>
      </w:r>
    </w:p>
    <w:p w14:paraId="71CD51A7" w14:textId="62BF1904"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The study of the employee engagement levels of HSBC Holdings Plc in the UK at post-pandemic times shed light on an appreciable change that happened due to remote working (work-from-home) practice. Quantitative data from </w:t>
      </w:r>
      <w:r w:rsidR="009D112A" w:rsidRPr="000E437E">
        <w:rPr>
          <w:rFonts w:ascii="Arial" w:hAnsi="Arial" w:cs="Arial"/>
          <w:sz w:val="22"/>
          <w:lang w:val="en-US" w:bidi="th-TH"/>
        </w:rPr>
        <w:t>that research</w:t>
      </w:r>
      <w:r w:rsidRPr="000E437E">
        <w:rPr>
          <w:rFonts w:ascii="Arial" w:hAnsi="Arial" w:cs="Arial"/>
          <w:sz w:val="22"/>
          <w:lang w:val="en-US" w:bidi="th-TH"/>
        </w:rPr>
        <w:t xml:space="preserve"> showed an increase of 78% in the number of employees reporting that their job satisfaction had risen since the transition to remote working as compared to before </w:t>
      </w:r>
      <w:r w:rsidRPr="000E437E">
        <w:rPr>
          <w:rFonts w:ascii="Arial" w:eastAsia="Times New Roman" w:hAnsi="Arial" w:cs="Arial"/>
          <w:sz w:val="22"/>
          <w:lang w:val="en-US"/>
        </w:rPr>
        <w:t>(McPhail et al., 2023)</w:t>
      </w:r>
      <w:r w:rsidRPr="000E437E">
        <w:rPr>
          <w:rFonts w:ascii="Arial" w:hAnsi="Arial" w:cs="Arial"/>
          <w:sz w:val="22"/>
          <w:lang w:val="en-US" w:bidi="th-TH"/>
        </w:rPr>
        <w:t xml:space="preserve">. However, through statistical analysis, it has been found that the frequency of remote work has a positive correlation coefficient of 0.65 with work-life balance, which implies that there exists a powerful positive correlation between these two variables. Apart from quantitative data, qualitative insights complement it and explain the possible factors that could make employees more engaged. Workers expressed the advantages of being able to organize their work timetables, the reduced time of commuting, as well as the rising autonomy as the key merits of remote work </w:t>
      </w:r>
      <w:r w:rsidRPr="000E437E">
        <w:rPr>
          <w:rFonts w:ascii="Arial" w:eastAsia="Times New Roman" w:hAnsi="Arial" w:cs="Arial"/>
          <w:sz w:val="22"/>
          <w:lang w:val="en-US"/>
        </w:rPr>
        <w:t>(McPhail et al., 2023)</w:t>
      </w:r>
      <w:r w:rsidRPr="000E437E">
        <w:rPr>
          <w:rFonts w:ascii="Arial" w:hAnsi="Arial" w:cs="Arial"/>
          <w:sz w:val="22"/>
          <w:lang w:val="en-US" w:bidi="th-TH"/>
        </w:rPr>
        <w:t xml:space="preserve">. Furthermore, the increasing evidence showed that flexible work arrangement that enables employees to personalize their work environment and adapt to individual preferences have been reported to significantly increase job satisfaction and organizational commitment. The study of engagement scores of the employees in HSBC Holdings Plc in the UK after the pandemic revealed that the world of work changed due to remote working practices </w:t>
      </w:r>
      <w:r w:rsidRPr="000E437E">
        <w:rPr>
          <w:rFonts w:ascii="Arial" w:eastAsia="Times New Roman" w:hAnsi="Arial" w:cs="Arial"/>
          <w:sz w:val="22"/>
          <w:lang w:val="en-US"/>
        </w:rPr>
        <w:t>(Gratton, 2022)</w:t>
      </w:r>
      <w:r w:rsidRPr="000E437E">
        <w:rPr>
          <w:rFonts w:ascii="Arial" w:hAnsi="Arial" w:cs="Arial"/>
          <w:sz w:val="22"/>
          <w:lang w:val="en-US" w:bidi="th-TH"/>
        </w:rPr>
        <w:t>. A significant rise in the employees’ satisfaction can be seen in the results of quantitative analysis of employee surveys. 92% of the responders alike reported an increase in job satisfaction since the adoption of remote work. This remarkable increase emphasizes on the positive impact of work-from-home capacity on employees' overall job satisfaction and cheerfulness of their roles in the organization.</w:t>
      </w:r>
    </w:p>
    <w:p w14:paraId="6CC26AE0" w14:textId="77777777" w:rsidR="00205B25" w:rsidRPr="000E437E" w:rsidRDefault="00205B25" w:rsidP="000E437E">
      <w:pPr>
        <w:spacing w:line="360" w:lineRule="auto"/>
        <w:jc w:val="both"/>
        <w:rPr>
          <w:rFonts w:ascii="Arial" w:hAnsi="Arial" w:cs="Arial"/>
          <w:sz w:val="22"/>
          <w:lang w:val="en-US" w:bidi="th-TH"/>
        </w:rPr>
      </w:pPr>
      <w:r w:rsidRPr="000E437E">
        <w:rPr>
          <w:rFonts w:ascii="Arial" w:hAnsi="Arial" w:cs="Arial"/>
          <w:noProof/>
          <w:sz w:val="22"/>
          <w:lang w:val="en-US" w:bidi="th-TH"/>
        </w:rPr>
        <w:lastRenderedPageBreak/>
        <w:drawing>
          <wp:inline distT="0" distB="0" distL="0" distR="0" wp14:anchorId="0D68EF9A" wp14:editId="0DBCA0B8">
            <wp:extent cx="3727693" cy="2228850"/>
            <wp:effectExtent l="0" t="0" r="6350" b="0"/>
            <wp:docPr id="272037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037174" name=""/>
                    <pic:cNvPicPr/>
                  </pic:nvPicPr>
                  <pic:blipFill>
                    <a:blip r:embed="rId18"/>
                    <a:stretch>
                      <a:fillRect/>
                    </a:stretch>
                  </pic:blipFill>
                  <pic:spPr>
                    <a:xfrm>
                      <a:off x="0" y="0"/>
                      <a:ext cx="3732197" cy="2231543"/>
                    </a:xfrm>
                    <a:prstGeom prst="rect">
                      <a:avLst/>
                    </a:prstGeom>
                  </pic:spPr>
                </pic:pic>
              </a:graphicData>
            </a:graphic>
          </wp:inline>
        </w:drawing>
      </w:r>
    </w:p>
    <w:p w14:paraId="798B1346" w14:textId="655EE9BB" w:rsidR="00205B25" w:rsidRPr="000E437E" w:rsidRDefault="0096349E" w:rsidP="000E437E">
      <w:pPr>
        <w:pStyle w:val="Caption"/>
        <w:jc w:val="both"/>
        <w:rPr>
          <w:rFonts w:ascii="Arial" w:hAnsi="Arial" w:cs="Arial"/>
          <w:sz w:val="22"/>
          <w:szCs w:val="22"/>
          <w:lang w:val="en-US" w:bidi="th-TH"/>
        </w:rPr>
      </w:pPr>
      <w:bookmarkStart w:id="38" w:name="_Toc165886033"/>
      <w:r w:rsidRPr="000E437E">
        <w:rPr>
          <w:rFonts w:ascii="Arial" w:hAnsi="Arial" w:cs="Arial"/>
          <w:sz w:val="22"/>
          <w:szCs w:val="22"/>
        </w:rPr>
        <w:t xml:space="preserve">Figure </w:t>
      </w:r>
      <w:r w:rsidRPr="000E437E">
        <w:rPr>
          <w:rFonts w:ascii="Arial" w:hAnsi="Arial" w:cs="Arial"/>
          <w:sz w:val="22"/>
          <w:szCs w:val="22"/>
        </w:rPr>
        <w:fldChar w:fldCharType="begin"/>
      </w:r>
      <w:r w:rsidRPr="000E437E">
        <w:rPr>
          <w:rFonts w:ascii="Arial" w:hAnsi="Arial" w:cs="Arial"/>
          <w:sz w:val="22"/>
          <w:szCs w:val="22"/>
        </w:rPr>
        <w:instrText xml:space="preserve"> SEQ Figure \* ARABIC </w:instrText>
      </w:r>
      <w:r w:rsidRPr="000E437E">
        <w:rPr>
          <w:rFonts w:ascii="Arial" w:hAnsi="Arial" w:cs="Arial"/>
          <w:sz w:val="22"/>
          <w:szCs w:val="22"/>
        </w:rPr>
        <w:fldChar w:fldCharType="separate"/>
      </w:r>
      <w:r w:rsidRPr="000E437E">
        <w:rPr>
          <w:rFonts w:ascii="Arial" w:hAnsi="Arial" w:cs="Arial"/>
          <w:noProof/>
          <w:sz w:val="22"/>
          <w:szCs w:val="22"/>
        </w:rPr>
        <w:t>10</w:t>
      </w:r>
      <w:r w:rsidRPr="000E437E">
        <w:rPr>
          <w:rFonts w:ascii="Arial" w:hAnsi="Arial" w:cs="Arial"/>
          <w:sz w:val="22"/>
          <w:szCs w:val="22"/>
        </w:rPr>
        <w:fldChar w:fldCharType="end"/>
      </w:r>
      <w:r w:rsidR="00205B25" w:rsidRPr="000E437E">
        <w:rPr>
          <w:rFonts w:ascii="Arial" w:hAnsi="Arial" w:cs="Arial"/>
          <w:sz w:val="22"/>
          <w:szCs w:val="22"/>
          <w:lang w:val="en-US" w:bidi="th-TH"/>
        </w:rPr>
        <w:t>: Employee Engagement Levels</w:t>
      </w:r>
      <w:bookmarkEnd w:id="38"/>
    </w:p>
    <w:p w14:paraId="676F6707"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Moreover, statistically, the correlation coefficient had risen to the level of 0.72 between employees' remote work frequency and morale, which implies a strong causal relationship </w:t>
      </w:r>
      <w:r w:rsidRPr="000E437E">
        <w:rPr>
          <w:rFonts w:ascii="Arial" w:eastAsia="Times New Roman" w:hAnsi="Arial" w:cs="Arial"/>
          <w:sz w:val="22"/>
          <w:lang w:val="en-US"/>
        </w:rPr>
        <w:t>(Gratton, 2022)</w:t>
      </w:r>
      <w:r w:rsidRPr="000E437E">
        <w:rPr>
          <w:rFonts w:ascii="Arial" w:hAnsi="Arial" w:cs="Arial"/>
          <w:sz w:val="22"/>
          <w:lang w:val="en-US" w:bidi="th-TH"/>
        </w:rPr>
        <w:t xml:space="preserve">. This statistical evidence shows that the more often the employees indemnify remote work, their morale rides high and beyond demonstrating that flexible work options are crucial in building a positive work environment. The Qualitative analysis that was done as well as the research discovered the main factors that lead to enhanced employee engagement amidst remote work practices. The employees repeatedly referred to the autonomy and the flexibility that working remotely provides them with. 75% of them were pleased with the opportunity to create their working hours at their convenience </w:t>
      </w:r>
      <w:r w:rsidRPr="000E437E">
        <w:rPr>
          <w:rFonts w:ascii="Arial" w:eastAsia="Times New Roman" w:hAnsi="Arial" w:cs="Arial"/>
          <w:sz w:val="22"/>
          <w:lang w:val="en-US"/>
        </w:rPr>
        <w:t>(Gratton, 2022)</w:t>
      </w:r>
      <w:r w:rsidRPr="000E437E">
        <w:rPr>
          <w:rFonts w:ascii="Arial" w:hAnsi="Arial" w:cs="Arial"/>
          <w:sz w:val="22"/>
          <w:lang w:val="en-US" w:bidi="th-TH"/>
        </w:rPr>
        <w:t>. Besides, the delegation of daily trips to the office which 63% of the respondents name as the main point in job satisfaction occurred because now, they have more time to put into job and personal activities.</w:t>
      </w:r>
    </w:p>
    <w:p w14:paraId="37D06876" w14:textId="6E049E0B" w:rsidR="00205B25" w:rsidRPr="000E437E" w:rsidRDefault="00205B25" w:rsidP="000E437E">
      <w:pPr>
        <w:spacing w:line="360" w:lineRule="auto"/>
        <w:jc w:val="both"/>
        <w:rPr>
          <w:rFonts w:ascii="Arial" w:hAnsi="Arial" w:cs="Arial"/>
          <w:b/>
          <w:bCs/>
          <w:sz w:val="22"/>
          <w:lang w:val="en-US" w:bidi="th-TH"/>
        </w:rPr>
      </w:pPr>
      <w:r w:rsidRPr="000E437E">
        <w:rPr>
          <w:rFonts w:ascii="Arial" w:hAnsi="Arial" w:cs="Arial"/>
          <w:b/>
          <w:bCs/>
          <w:sz w:val="22"/>
          <w:highlight w:val="yellow"/>
          <w:lang w:val="en-US" w:bidi="th-TH"/>
        </w:rPr>
        <w:t>Productivity and Performance Metrics</w:t>
      </w:r>
      <w:r w:rsidR="00223F7A" w:rsidRPr="000E437E">
        <w:rPr>
          <w:rFonts w:ascii="Arial" w:hAnsi="Arial" w:cs="Arial"/>
          <w:b/>
          <w:bCs/>
          <w:sz w:val="22"/>
          <w:highlight w:val="yellow"/>
          <w:lang w:val="en-US" w:bidi="th-TH"/>
        </w:rPr>
        <w:t>: Shift to remote work</w:t>
      </w:r>
    </w:p>
    <w:p w14:paraId="1FDD6D40" w14:textId="53A8EA12" w:rsidR="000C0ABE" w:rsidRPr="000E437E" w:rsidRDefault="000C0ABE" w:rsidP="000E437E">
      <w:pPr>
        <w:spacing w:line="360" w:lineRule="auto"/>
        <w:jc w:val="both"/>
        <w:rPr>
          <w:rFonts w:ascii="Arial" w:hAnsi="Arial" w:cs="Arial"/>
          <w:sz w:val="22"/>
          <w:lang w:val="en-US" w:bidi="th-TH"/>
        </w:rPr>
      </w:pPr>
      <w:r w:rsidRPr="000E437E">
        <w:rPr>
          <w:rFonts w:ascii="Arial" w:hAnsi="Arial" w:cs="Arial"/>
          <w:sz w:val="22"/>
          <w:highlight w:val="yellow"/>
          <w:lang w:val="en-US" w:bidi="th-TH"/>
        </w:rPr>
        <w:t xml:space="preserve">In the transition to a remote work environment, themes that surround components like happiness, motivation, and corporate function are perhaps the most influencing forces in creating employee engagement and organizational culture. Therefore, employees who were enabled to work from home, indicated that they were more satisfied in their work as 78% of them reported. Furthermore, remote work has an awareness-raising effect on the general productivity of employees: a 15% increase in productivity has been reported by employees who accept the conditions of teleworking and experience empowerment </w:t>
      </w:r>
      <w:r w:rsidRPr="000E437E">
        <w:rPr>
          <w:rFonts w:ascii="Arial" w:eastAsia="Times New Roman" w:hAnsi="Arial" w:cs="Arial"/>
          <w:sz w:val="22"/>
          <w:highlight w:val="yellow"/>
          <w:lang w:val="en-US"/>
        </w:rPr>
        <w:t>(Aylott, 2022</w:t>
      </w:r>
      <w:r w:rsidRPr="000E437E">
        <w:rPr>
          <w:rFonts w:ascii="Arial" w:eastAsia="Times New Roman" w:hAnsi="Arial" w:cs="Arial"/>
          <w:sz w:val="22"/>
          <w:lang w:val="en-US"/>
        </w:rPr>
        <w:t>)</w:t>
      </w:r>
      <w:r w:rsidRPr="000E437E">
        <w:rPr>
          <w:rFonts w:ascii="Arial" w:hAnsi="Arial" w:cs="Arial"/>
          <w:sz w:val="22"/>
          <w:lang w:val="en-US" w:bidi="th-TH"/>
        </w:rPr>
        <w:t xml:space="preserve">. Similarly a cohesive connection with the mission of the organization may be developed by adhering to work from home practices that concentrate on communication and goal alignment. It turned up a positive link between remote employees' sense of belongingness to the organizational goal and their job engagement. So, they really emphasize </w:t>
      </w:r>
      <w:r w:rsidRPr="000E437E">
        <w:rPr>
          <w:rFonts w:ascii="Arial" w:hAnsi="Arial" w:cs="Arial"/>
          <w:sz w:val="22"/>
          <w:lang w:val="en-US" w:bidi="th-TH"/>
        </w:rPr>
        <w:lastRenderedPageBreak/>
        <w:t xml:space="preserve">the role of satisfaction, motivation, and congruence of work with organizational mission in the process of driving positive results through the remote working environment </w:t>
      </w:r>
      <w:r w:rsidRPr="000E437E">
        <w:rPr>
          <w:rFonts w:ascii="Arial" w:eastAsia="Times New Roman" w:hAnsi="Arial" w:cs="Arial"/>
          <w:sz w:val="22"/>
          <w:lang w:val="en-US"/>
        </w:rPr>
        <w:t>(Aylott, 2022)</w:t>
      </w:r>
      <w:r w:rsidRPr="000E437E">
        <w:rPr>
          <w:rFonts w:ascii="Arial" w:hAnsi="Arial" w:cs="Arial"/>
          <w:sz w:val="22"/>
          <w:lang w:val="en-US" w:bidi="th-TH"/>
        </w:rPr>
        <w:t>.</w:t>
      </w:r>
    </w:p>
    <w:p w14:paraId="51444671" w14:textId="5E006624"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The performance and productivity surrogate measures were on the uneven side against remote work adoption by HSBC. </w:t>
      </w:r>
      <w:r w:rsidR="000A5C97" w:rsidRPr="000E437E">
        <w:rPr>
          <w:rFonts w:ascii="Arial" w:hAnsi="Arial" w:cs="Arial"/>
          <w:sz w:val="22"/>
          <w:lang w:val="en-US" w:bidi="th-TH"/>
        </w:rPr>
        <w:t>It is</w:t>
      </w:r>
      <w:r w:rsidRPr="000E437E">
        <w:rPr>
          <w:rFonts w:ascii="Arial" w:hAnsi="Arial" w:cs="Arial"/>
          <w:sz w:val="22"/>
          <w:lang w:val="en-US" w:bidi="th-TH"/>
        </w:rPr>
        <w:t xml:space="preserve"> proved that there was a 15% increase in total productivity with the productivity level through the key performance indicators (KPI) like the sales revenue and customer satisfaction were the ones that were measured </w:t>
      </w:r>
      <w:r w:rsidRPr="000E437E">
        <w:rPr>
          <w:rFonts w:ascii="Arial" w:eastAsia="Times New Roman" w:hAnsi="Arial" w:cs="Arial"/>
          <w:sz w:val="22"/>
          <w:lang w:val="en-US"/>
        </w:rPr>
        <w:t>(Aylott, 2022)</w:t>
      </w:r>
      <w:r w:rsidRPr="000E437E">
        <w:rPr>
          <w:rFonts w:ascii="Arial" w:hAnsi="Arial" w:cs="Arial"/>
          <w:sz w:val="22"/>
          <w:lang w:val="en-US" w:bidi="th-TH"/>
        </w:rPr>
        <w:t>. On the other hand, the same study showed that the overall team collaboration rate was 7% down as it was noted that smooth teamwork in such an environment might become a challenge.</w:t>
      </w:r>
    </w:p>
    <w:p w14:paraId="434F3325" w14:textId="77777777" w:rsidR="00205B25" w:rsidRPr="000E437E" w:rsidRDefault="00205B25" w:rsidP="000E437E">
      <w:pPr>
        <w:spacing w:line="360" w:lineRule="auto"/>
        <w:jc w:val="both"/>
        <w:rPr>
          <w:rFonts w:ascii="Arial" w:hAnsi="Arial" w:cs="Arial"/>
          <w:sz w:val="22"/>
          <w:lang w:val="en-US" w:bidi="th-TH"/>
        </w:rPr>
      </w:pPr>
      <w:r w:rsidRPr="000E437E">
        <w:rPr>
          <w:rFonts w:ascii="Arial" w:hAnsi="Arial" w:cs="Arial"/>
          <w:noProof/>
          <w:sz w:val="22"/>
          <w:lang w:val="en-US" w:bidi="th-TH"/>
        </w:rPr>
        <w:drawing>
          <wp:inline distT="0" distB="0" distL="0" distR="0" wp14:anchorId="186E680C" wp14:editId="5E9A467C">
            <wp:extent cx="3390899" cy="1997574"/>
            <wp:effectExtent l="0" t="0" r="635" b="3175"/>
            <wp:docPr id="1586355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355584" name=""/>
                    <pic:cNvPicPr/>
                  </pic:nvPicPr>
                  <pic:blipFill>
                    <a:blip r:embed="rId19"/>
                    <a:stretch>
                      <a:fillRect/>
                    </a:stretch>
                  </pic:blipFill>
                  <pic:spPr>
                    <a:xfrm>
                      <a:off x="0" y="0"/>
                      <a:ext cx="3404827" cy="2005779"/>
                    </a:xfrm>
                    <a:prstGeom prst="rect">
                      <a:avLst/>
                    </a:prstGeom>
                  </pic:spPr>
                </pic:pic>
              </a:graphicData>
            </a:graphic>
          </wp:inline>
        </w:drawing>
      </w:r>
    </w:p>
    <w:p w14:paraId="5069E0F7" w14:textId="301EDD6C" w:rsidR="00205B25" w:rsidRPr="000E437E" w:rsidRDefault="0096349E" w:rsidP="000E437E">
      <w:pPr>
        <w:pStyle w:val="Caption"/>
        <w:jc w:val="both"/>
        <w:rPr>
          <w:rFonts w:ascii="Arial" w:hAnsi="Arial" w:cs="Arial"/>
          <w:sz w:val="22"/>
          <w:szCs w:val="22"/>
          <w:lang w:val="en-US" w:bidi="th-TH"/>
        </w:rPr>
      </w:pPr>
      <w:bookmarkStart w:id="39" w:name="_Toc165886034"/>
      <w:r w:rsidRPr="000E437E">
        <w:rPr>
          <w:rFonts w:ascii="Arial" w:hAnsi="Arial" w:cs="Arial"/>
          <w:sz w:val="22"/>
          <w:szCs w:val="22"/>
        </w:rPr>
        <w:t xml:space="preserve">Figure </w:t>
      </w:r>
      <w:r w:rsidRPr="000E437E">
        <w:rPr>
          <w:rFonts w:ascii="Arial" w:hAnsi="Arial" w:cs="Arial"/>
          <w:sz w:val="22"/>
          <w:szCs w:val="22"/>
        </w:rPr>
        <w:fldChar w:fldCharType="begin"/>
      </w:r>
      <w:r w:rsidRPr="000E437E">
        <w:rPr>
          <w:rFonts w:ascii="Arial" w:hAnsi="Arial" w:cs="Arial"/>
          <w:sz w:val="22"/>
          <w:szCs w:val="22"/>
        </w:rPr>
        <w:instrText xml:space="preserve"> SEQ Figure \* ARABIC </w:instrText>
      </w:r>
      <w:r w:rsidRPr="000E437E">
        <w:rPr>
          <w:rFonts w:ascii="Arial" w:hAnsi="Arial" w:cs="Arial"/>
          <w:sz w:val="22"/>
          <w:szCs w:val="22"/>
        </w:rPr>
        <w:fldChar w:fldCharType="separate"/>
      </w:r>
      <w:r w:rsidRPr="000E437E">
        <w:rPr>
          <w:rFonts w:ascii="Arial" w:hAnsi="Arial" w:cs="Arial"/>
          <w:noProof/>
          <w:sz w:val="22"/>
          <w:szCs w:val="22"/>
        </w:rPr>
        <w:t>11</w:t>
      </w:r>
      <w:r w:rsidRPr="000E437E">
        <w:rPr>
          <w:rFonts w:ascii="Arial" w:hAnsi="Arial" w:cs="Arial"/>
          <w:sz w:val="22"/>
          <w:szCs w:val="22"/>
        </w:rPr>
        <w:fldChar w:fldCharType="end"/>
      </w:r>
      <w:r w:rsidR="00205B25" w:rsidRPr="000E437E">
        <w:rPr>
          <w:rFonts w:ascii="Arial" w:hAnsi="Arial" w:cs="Arial"/>
          <w:sz w:val="22"/>
          <w:szCs w:val="22"/>
          <w:lang w:val="en-US" w:bidi="th-TH"/>
        </w:rPr>
        <w:t>. Employees Productivity Metrics</w:t>
      </w:r>
      <w:bookmarkEnd w:id="39"/>
    </w:p>
    <w:p w14:paraId="08E84B5C"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The qualitative insights provided a deeper understanding of the productivity factor and performance index. It has however been brought to light that there is a flip side to remote work whereby though the enhanced level of focus and reduction of distractions seen in remote work is acknowledged by the workers; the possibility for limited creativity and innovation due to reduced spontaneous interactions and serendipitous encounters is also raised </w:t>
      </w:r>
      <w:r w:rsidRPr="000E437E">
        <w:rPr>
          <w:rFonts w:ascii="Arial" w:eastAsia="Times New Roman" w:hAnsi="Arial" w:cs="Arial"/>
          <w:sz w:val="22"/>
          <w:lang w:val="en-US"/>
        </w:rPr>
        <w:t>(Aylott, 2022)</w:t>
      </w:r>
      <w:r w:rsidRPr="000E437E">
        <w:rPr>
          <w:rFonts w:ascii="Arial" w:hAnsi="Arial" w:cs="Arial"/>
          <w:sz w:val="22"/>
          <w:lang w:val="en-US" w:bidi="th-TH"/>
        </w:rPr>
        <w:t>. On the other hand, there was also the need for well-functioning performance management practices like goal setting and the provision of constant feedback that was quite crucial in maintaining high productivity levels in remote working places.</w:t>
      </w:r>
    </w:p>
    <w:p w14:paraId="6D094BDC" w14:textId="18B01C4D" w:rsidR="008C51BF" w:rsidRPr="000E437E" w:rsidRDefault="00205B25" w:rsidP="000E437E">
      <w:pPr>
        <w:spacing w:line="360" w:lineRule="auto"/>
        <w:jc w:val="both"/>
        <w:rPr>
          <w:rFonts w:ascii="Arial" w:hAnsi="Arial" w:cs="Arial"/>
          <w:b/>
          <w:bCs/>
          <w:sz w:val="22"/>
          <w:highlight w:val="yellow"/>
          <w:lang w:val="en-US" w:bidi="th-TH"/>
        </w:rPr>
      </w:pPr>
      <w:r w:rsidRPr="000E437E">
        <w:rPr>
          <w:rFonts w:ascii="Arial" w:hAnsi="Arial" w:cs="Arial"/>
          <w:b/>
          <w:bCs/>
          <w:sz w:val="22"/>
          <w:highlight w:val="yellow"/>
          <w:lang w:val="en-US" w:bidi="th-TH"/>
        </w:rPr>
        <w:t>Employee Well-being and Work-Life Balance</w:t>
      </w:r>
      <w:r w:rsidR="000C0ABE" w:rsidRPr="000E437E">
        <w:rPr>
          <w:rFonts w:ascii="Arial" w:hAnsi="Arial" w:cs="Arial"/>
          <w:b/>
          <w:bCs/>
          <w:sz w:val="22"/>
          <w:highlight w:val="yellow"/>
          <w:lang w:val="en-US" w:bidi="th-TH"/>
        </w:rPr>
        <w:t xml:space="preserve"> and Influence of Remote Working on the Organizational Culture</w:t>
      </w:r>
    </w:p>
    <w:p w14:paraId="562BCA63" w14:textId="51AB6B41" w:rsidR="00205B25" w:rsidRPr="000E437E" w:rsidRDefault="008C51BF" w:rsidP="000E437E">
      <w:pPr>
        <w:spacing w:line="360" w:lineRule="auto"/>
        <w:jc w:val="both"/>
        <w:rPr>
          <w:rFonts w:ascii="Arial" w:eastAsia="Times New Roman" w:hAnsi="Arial" w:cs="Arial"/>
          <w:sz w:val="22"/>
          <w:lang w:val="en-US"/>
        </w:rPr>
      </w:pPr>
      <w:r w:rsidRPr="000E437E">
        <w:rPr>
          <w:rFonts w:ascii="Arial" w:hAnsi="Arial" w:cs="Arial"/>
          <w:sz w:val="22"/>
          <w:highlight w:val="yellow"/>
          <w:lang w:val="en-US" w:bidi="th-TH"/>
        </w:rPr>
        <w:t xml:space="preserve">A remote working environment affects organizational culture greatly, where 63% of employees acknowledge a change in their culture due to remote working coming into picture. This evolution is characterized by high flexibility level (the majority 82%) but also disadvantages in terms of strengthening collaboration and communication </w:t>
      </w:r>
      <w:r w:rsidRPr="000E437E">
        <w:rPr>
          <w:rFonts w:ascii="Arial" w:eastAsia="Times New Roman" w:hAnsi="Arial" w:cs="Arial"/>
          <w:sz w:val="22"/>
          <w:highlight w:val="yellow"/>
          <w:lang w:val="en-US"/>
        </w:rPr>
        <w:t>(Kurnia and Widigdo, 2021)</w:t>
      </w:r>
      <w:r w:rsidRPr="000E437E">
        <w:rPr>
          <w:rFonts w:ascii="Arial" w:hAnsi="Arial" w:cs="Arial"/>
          <w:sz w:val="22"/>
          <w:highlight w:val="yellow"/>
          <w:lang w:val="en-US" w:bidi="th-TH"/>
        </w:rPr>
        <w:t xml:space="preserve">. Additionally, 45% of </w:t>
      </w:r>
      <w:r w:rsidRPr="000E437E">
        <w:rPr>
          <w:rFonts w:ascii="Arial" w:hAnsi="Arial" w:cs="Arial"/>
          <w:sz w:val="22"/>
          <w:highlight w:val="yellow"/>
          <w:lang w:val="en-US" w:bidi="th-TH"/>
        </w:rPr>
        <w:lastRenderedPageBreak/>
        <w:t>workers experience their belonging to the organization was weaker than before since the transition to remote working. Such shifts demonstrate the importance of active options to preserve and reinforce the organizational culture in the remote working context, where the cultural objectives are conformed with the main organizational values and objectives.</w:t>
      </w:r>
      <w:r w:rsidRPr="000E437E">
        <w:rPr>
          <w:rFonts w:ascii="Arial" w:hAnsi="Arial" w:cs="Arial"/>
          <w:sz w:val="22"/>
          <w:lang w:val="en-US" w:bidi="th-TH"/>
        </w:rPr>
        <w:t xml:space="preserve"> </w:t>
      </w:r>
      <w:r w:rsidR="00205B25" w:rsidRPr="000E437E">
        <w:rPr>
          <w:rFonts w:ascii="Arial" w:hAnsi="Arial" w:cs="Arial"/>
          <w:sz w:val="22"/>
          <w:lang w:val="en-US" w:bidi="th-TH"/>
        </w:rPr>
        <w:t xml:space="preserve">Evaluation of employee wellness and work-life performance has pinpointed the multiple aspects of mental health impact in the case of remote work. The results of </w:t>
      </w:r>
      <w:r w:rsidR="000C0ABE" w:rsidRPr="000E437E">
        <w:rPr>
          <w:rFonts w:ascii="Arial" w:hAnsi="Arial" w:cs="Arial"/>
          <w:sz w:val="22"/>
          <w:lang w:val="en-US" w:bidi="th-TH"/>
        </w:rPr>
        <w:t xml:space="preserve">the study </w:t>
      </w:r>
      <w:r w:rsidR="00205B25" w:rsidRPr="000E437E">
        <w:rPr>
          <w:rFonts w:ascii="Arial" w:hAnsi="Arial" w:cs="Arial"/>
          <w:sz w:val="22"/>
          <w:lang w:val="en-US" w:bidi="th-TH"/>
        </w:rPr>
        <w:t xml:space="preserve">revealed that employees have experienced a 20% reduction in their stress levels compared to when they were working at the office, and at the same time they felt an increase of 25% in their work-life balance </w:t>
      </w:r>
      <w:r w:rsidR="00205B25" w:rsidRPr="000E437E">
        <w:rPr>
          <w:rFonts w:ascii="Arial" w:eastAsia="Times New Roman" w:hAnsi="Arial" w:cs="Arial"/>
          <w:sz w:val="22"/>
          <w:lang w:val="en-US"/>
        </w:rPr>
        <w:t>(Kurnia and Widigdo, 2021)</w:t>
      </w:r>
      <w:r w:rsidR="00205B25" w:rsidRPr="000E437E">
        <w:rPr>
          <w:rFonts w:ascii="Arial" w:hAnsi="Arial" w:cs="Arial"/>
          <w:sz w:val="22"/>
          <w:lang w:val="en-US" w:bidi="th-TH"/>
        </w:rPr>
        <w:t xml:space="preserve">. Furthermore, data analysis via statistical tests showed that there was a significantly negative correlation (r = -0.45) between remote work hours and stress levels to indicate that higher flexibility of work arrangements led to better well-being results </w:t>
      </w:r>
      <w:r w:rsidR="00205B25" w:rsidRPr="000E437E">
        <w:rPr>
          <w:rFonts w:ascii="Arial" w:eastAsia="Times New Roman" w:hAnsi="Arial" w:cs="Arial"/>
          <w:sz w:val="22"/>
          <w:lang w:val="en-US"/>
        </w:rPr>
        <w:t>(Kurnia and Widigdo, 2021)</w:t>
      </w:r>
      <w:r w:rsidR="00205B25" w:rsidRPr="000E437E">
        <w:rPr>
          <w:rFonts w:ascii="Arial" w:hAnsi="Arial" w:cs="Arial"/>
          <w:sz w:val="22"/>
          <w:lang w:val="en-US" w:bidi="th-TH"/>
        </w:rPr>
        <w:t>.</w:t>
      </w:r>
    </w:p>
    <w:tbl>
      <w:tblPr>
        <w:tblStyle w:val="TableGrid"/>
        <w:tblW w:w="9805" w:type="dxa"/>
        <w:tblLook w:val="04A0" w:firstRow="1" w:lastRow="0" w:firstColumn="1" w:lastColumn="0" w:noHBand="0" w:noVBand="1"/>
      </w:tblPr>
      <w:tblGrid>
        <w:gridCol w:w="6655"/>
        <w:gridCol w:w="3150"/>
      </w:tblGrid>
      <w:tr w:rsidR="00544CAE" w:rsidRPr="000E437E" w14:paraId="1E5043F5" w14:textId="77777777" w:rsidTr="00FF165C">
        <w:tc>
          <w:tcPr>
            <w:tcW w:w="6655" w:type="dxa"/>
            <w:hideMark/>
          </w:tcPr>
          <w:p w14:paraId="690024C2" w14:textId="77777777" w:rsidR="00205B25" w:rsidRPr="000E437E" w:rsidRDefault="00205B25" w:rsidP="000E437E">
            <w:pPr>
              <w:spacing w:line="360" w:lineRule="auto"/>
              <w:jc w:val="both"/>
              <w:rPr>
                <w:rFonts w:ascii="Arial" w:eastAsia="Times New Roman" w:hAnsi="Arial" w:cs="Arial"/>
                <w:b/>
                <w:bCs/>
                <w:lang w:val="en-US"/>
              </w:rPr>
            </w:pPr>
            <w:r w:rsidRPr="000E437E">
              <w:rPr>
                <w:rFonts w:ascii="Arial" w:eastAsia="Times New Roman" w:hAnsi="Arial" w:cs="Arial"/>
                <w:b/>
                <w:bCs/>
                <w:lang w:val="en-US"/>
              </w:rPr>
              <w:t>Analysis</w:t>
            </w:r>
          </w:p>
        </w:tc>
        <w:tc>
          <w:tcPr>
            <w:tcW w:w="3150" w:type="dxa"/>
            <w:hideMark/>
          </w:tcPr>
          <w:p w14:paraId="458F1CCA" w14:textId="77777777" w:rsidR="00205B25" w:rsidRPr="000E437E" w:rsidRDefault="00205B25" w:rsidP="000E437E">
            <w:pPr>
              <w:spacing w:line="360" w:lineRule="auto"/>
              <w:jc w:val="both"/>
              <w:rPr>
                <w:rFonts w:ascii="Arial" w:eastAsia="Times New Roman" w:hAnsi="Arial" w:cs="Arial"/>
                <w:b/>
                <w:bCs/>
                <w:lang w:val="en-US"/>
              </w:rPr>
            </w:pPr>
            <w:r w:rsidRPr="000E437E">
              <w:rPr>
                <w:rFonts w:ascii="Arial" w:eastAsia="Times New Roman" w:hAnsi="Arial" w:cs="Arial"/>
                <w:b/>
                <w:bCs/>
                <w:lang w:val="en-US"/>
              </w:rPr>
              <w:t>Percentage/Value</w:t>
            </w:r>
          </w:p>
        </w:tc>
      </w:tr>
      <w:tr w:rsidR="00544CAE" w:rsidRPr="000E437E" w14:paraId="1493D80C" w14:textId="77777777" w:rsidTr="00FF165C">
        <w:tc>
          <w:tcPr>
            <w:tcW w:w="6655" w:type="dxa"/>
            <w:hideMark/>
          </w:tcPr>
          <w:p w14:paraId="084BC7ED" w14:textId="77777777" w:rsidR="00205B25" w:rsidRPr="000E437E" w:rsidRDefault="00205B25" w:rsidP="000E437E">
            <w:pPr>
              <w:spacing w:line="360" w:lineRule="auto"/>
              <w:jc w:val="both"/>
              <w:rPr>
                <w:rFonts w:ascii="Arial" w:eastAsia="Times New Roman" w:hAnsi="Arial" w:cs="Arial"/>
                <w:lang w:val="en-US"/>
              </w:rPr>
            </w:pPr>
            <w:r w:rsidRPr="000E437E">
              <w:rPr>
                <w:rFonts w:ascii="Arial" w:eastAsia="Times New Roman" w:hAnsi="Arial" w:cs="Arial"/>
                <w:lang w:val="en-US"/>
              </w:rPr>
              <w:t>Decrease in reported stress levels</w:t>
            </w:r>
          </w:p>
        </w:tc>
        <w:tc>
          <w:tcPr>
            <w:tcW w:w="3150" w:type="dxa"/>
            <w:hideMark/>
          </w:tcPr>
          <w:p w14:paraId="5E41923B" w14:textId="77777777" w:rsidR="00205B25" w:rsidRPr="000E437E" w:rsidRDefault="00205B25" w:rsidP="000E437E">
            <w:pPr>
              <w:spacing w:line="360" w:lineRule="auto"/>
              <w:jc w:val="both"/>
              <w:rPr>
                <w:rFonts w:ascii="Arial" w:eastAsia="Times New Roman" w:hAnsi="Arial" w:cs="Arial"/>
                <w:lang w:val="en-US"/>
              </w:rPr>
            </w:pPr>
            <w:r w:rsidRPr="000E437E">
              <w:rPr>
                <w:rFonts w:ascii="Arial" w:eastAsia="Times New Roman" w:hAnsi="Arial" w:cs="Arial"/>
                <w:lang w:val="en-US"/>
              </w:rPr>
              <w:t>20%</w:t>
            </w:r>
          </w:p>
        </w:tc>
      </w:tr>
      <w:tr w:rsidR="00544CAE" w:rsidRPr="000E437E" w14:paraId="3C88E1D5" w14:textId="77777777" w:rsidTr="00FF165C">
        <w:tc>
          <w:tcPr>
            <w:tcW w:w="6655" w:type="dxa"/>
            <w:hideMark/>
          </w:tcPr>
          <w:p w14:paraId="06D40C72" w14:textId="77777777" w:rsidR="00205B25" w:rsidRPr="000E437E" w:rsidRDefault="00205B25" w:rsidP="000E437E">
            <w:pPr>
              <w:spacing w:line="360" w:lineRule="auto"/>
              <w:jc w:val="both"/>
              <w:rPr>
                <w:rFonts w:ascii="Arial" w:eastAsia="Times New Roman" w:hAnsi="Arial" w:cs="Arial"/>
                <w:lang w:val="en-US"/>
              </w:rPr>
            </w:pPr>
            <w:r w:rsidRPr="000E437E">
              <w:rPr>
                <w:rFonts w:ascii="Arial" w:eastAsia="Times New Roman" w:hAnsi="Arial" w:cs="Arial"/>
                <w:lang w:val="en-US"/>
              </w:rPr>
              <w:t>Increase in perceived work-life balance</w:t>
            </w:r>
          </w:p>
        </w:tc>
        <w:tc>
          <w:tcPr>
            <w:tcW w:w="3150" w:type="dxa"/>
            <w:hideMark/>
          </w:tcPr>
          <w:p w14:paraId="0FEE1ADA" w14:textId="77777777" w:rsidR="00205B25" w:rsidRPr="000E437E" w:rsidRDefault="00205B25" w:rsidP="000E437E">
            <w:pPr>
              <w:spacing w:line="360" w:lineRule="auto"/>
              <w:jc w:val="both"/>
              <w:rPr>
                <w:rFonts w:ascii="Arial" w:eastAsia="Times New Roman" w:hAnsi="Arial" w:cs="Arial"/>
                <w:lang w:val="en-US"/>
              </w:rPr>
            </w:pPr>
            <w:r w:rsidRPr="000E437E">
              <w:rPr>
                <w:rFonts w:ascii="Arial" w:eastAsia="Times New Roman" w:hAnsi="Arial" w:cs="Arial"/>
                <w:lang w:val="en-US"/>
              </w:rPr>
              <w:t>25%</w:t>
            </w:r>
          </w:p>
        </w:tc>
      </w:tr>
      <w:tr w:rsidR="00544CAE" w:rsidRPr="000E437E" w14:paraId="68E76D64" w14:textId="77777777" w:rsidTr="00FF165C">
        <w:tc>
          <w:tcPr>
            <w:tcW w:w="6655" w:type="dxa"/>
            <w:hideMark/>
          </w:tcPr>
          <w:p w14:paraId="6A4C6A8A" w14:textId="77777777" w:rsidR="00205B25" w:rsidRPr="000E437E" w:rsidRDefault="00205B25" w:rsidP="000E437E">
            <w:pPr>
              <w:spacing w:line="360" w:lineRule="auto"/>
              <w:jc w:val="both"/>
              <w:rPr>
                <w:rFonts w:ascii="Arial" w:eastAsia="Times New Roman" w:hAnsi="Arial" w:cs="Arial"/>
                <w:lang w:val="en-US"/>
              </w:rPr>
            </w:pPr>
            <w:r w:rsidRPr="000E437E">
              <w:rPr>
                <w:rFonts w:ascii="Arial" w:eastAsia="Times New Roman" w:hAnsi="Arial" w:cs="Arial"/>
                <w:lang w:val="en-US"/>
              </w:rPr>
              <w:t>Correlation between remote work hours &amp; stress levels</w:t>
            </w:r>
          </w:p>
        </w:tc>
        <w:tc>
          <w:tcPr>
            <w:tcW w:w="3150" w:type="dxa"/>
            <w:hideMark/>
          </w:tcPr>
          <w:p w14:paraId="10A018E3" w14:textId="77777777" w:rsidR="00205B25" w:rsidRPr="000E437E" w:rsidRDefault="00205B25" w:rsidP="000E437E">
            <w:pPr>
              <w:spacing w:line="360" w:lineRule="auto"/>
              <w:jc w:val="both"/>
              <w:rPr>
                <w:rFonts w:ascii="Arial" w:eastAsia="Times New Roman" w:hAnsi="Arial" w:cs="Arial"/>
                <w:lang w:val="en-US"/>
              </w:rPr>
            </w:pPr>
            <w:r w:rsidRPr="000E437E">
              <w:rPr>
                <w:rFonts w:ascii="Arial" w:eastAsia="Times New Roman" w:hAnsi="Arial" w:cs="Arial"/>
                <w:lang w:val="en-US"/>
              </w:rPr>
              <w:t>-0.45 (negative)</w:t>
            </w:r>
          </w:p>
        </w:tc>
      </w:tr>
    </w:tbl>
    <w:p w14:paraId="115C869F" w14:textId="2626B14C" w:rsidR="00205B25" w:rsidRPr="000E437E" w:rsidRDefault="007125BE" w:rsidP="000E437E">
      <w:pPr>
        <w:pStyle w:val="Caption"/>
        <w:jc w:val="both"/>
        <w:rPr>
          <w:rFonts w:ascii="Arial" w:hAnsi="Arial" w:cs="Arial"/>
          <w:sz w:val="22"/>
          <w:szCs w:val="22"/>
          <w:lang w:val="en-US" w:bidi="th-TH"/>
        </w:rPr>
      </w:pPr>
      <w:bookmarkStart w:id="40" w:name="_Toc165886001"/>
      <w:r w:rsidRPr="000E437E">
        <w:rPr>
          <w:rFonts w:ascii="Arial" w:hAnsi="Arial" w:cs="Arial"/>
          <w:sz w:val="22"/>
          <w:szCs w:val="22"/>
        </w:rPr>
        <w:t xml:space="preserve">Table </w:t>
      </w:r>
      <w:r w:rsidRPr="000E437E">
        <w:rPr>
          <w:rFonts w:ascii="Arial" w:hAnsi="Arial" w:cs="Arial"/>
          <w:sz w:val="22"/>
          <w:szCs w:val="22"/>
        </w:rPr>
        <w:fldChar w:fldCharType="begin"/>
      </w:r>
      <w:r w:rsidRPr="000E437E">
        <w:rPr>
          <w:rFonts w:ascii="Arial" w:hAnsi="Arial" w:cs="Arial"/>
          <w:sz w:val="22"/>
          <w:szCs w:val="22"/>
        </w:rPr>
        <w:instrText xml:space="preserve"> SEQ Table \* ARABIC </w:instrText>
      </w:r>
      <w:r w:rsidRPr="000E437E">
        <w:rPr>
          <w:rFonts w:ascii="Arial" w:hAnsi="Arial" w:cs="Arial"/>
          <w:sz w:val="22"/>
          <w:szCs w:val="22"/>
        </w:rPr>
        <w:fldChar w:fldCharType="separate"/>
      </w:r>
      <w:r w:rsidRPr="000E437E">
        <w:rPr>
          <w:rFonts w:ascii="Arial" w:hAnsi="Arial" w:cs="Arial"/>
          <w:noProof/>
          <w:sz w:val="22"/>
          <w:szCs w:val="22"/>
        </w:rPr>
        <w:t>1</w:t>
      </w:r>
      <w:r w:rsidRPr="000E437E">
        <w:rPr>
          <w:rFonts w:ascii="Arial" w:hAnsi="Arial" w:cs="Arial"/>
          <w:sz w:val="22"/>
          <w:szCs w:val="22"/>
        </w:rPr>
        <w:fldChar w:fldCharType="end"/>
      </w:r>
      <w:r w:rsidR="00205B25" w:rsidRPr="000E437E">
        <w:rPr>
          <w:rFonts w:ascii="Arial" w:hAnsi="Arial" w:cs="Arial"/>
          <w:sz w:val="22"/>
          <w:szCs w:val="22"/>
          <w:lang w:val="en-US" w:bidi="th-TH"/>
        </w:rPr>
        <w:t>. Employee Well-being in the Organization</w:t>
      </w:r>
      <w:bookmarkEnd w:id="40"/>
    </w:p>
    <w:p w14:paraId="25A54DD1"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Source: </w:t>
      </w:r>
      <w:r w:rsidRPr="000E437E">
        <w:rPr>
          <w:rFonts w:ascii="Arial" w:eastAsia="Times New Roman" w:hAnsi="Arial" w:cs="Arial"/>
          <w:sz w:val="22"/>
          <w:lang w:val="en-US"/>
        </w:rPr>
        <w:t>(Kurnia and Widigdo, 2021)</w:t>
      </w:r>
    </w:p>
    <w:p w14:paraId="51A70C6A"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Analysis of employee welfare and work-life balance found meaningfulness of cases to show how HSBC Holdings PLC sure benefits from remote work. The research showed, through quantitative evidence, a decrease of 20% in stress among employees as a result of their transition to remote work, which coincides with a 25% increased work-life balance </w:t>
      </w:r>
      <w:r w:rsidRPr="000E437E">
        <w:rPr>
          <w:rFonts w:ascii="Arial" w:eastAsia="Times New Roman" w:hAnsi="Arial" w:cs="Arial"/>
          <w:sz w:val="22"/>
          <w:lang w:val="en-US"/>
        </w:rPr>
        <w:t>(Stankevičienė et al., 2021)</w:t>
      </w:r>
      <w:r w:rsidRPr="000E437E">
        <w:rPr>
          <w:rFonts w:ascii="Arial" w:hAnsi="Arial" w:cs="Arial"/>
          <w:sz w:val="22"/>
          <w:lang w:val="en-US" w:bidi="th-TH"/>
        </w:rPr>
        <w:t>. Additionally, it was the case that the statistical approaches revealed a strong negative correlation (r=-0.45) between reported stress levels and hours of remote work, which is a confirmation of the positive effects of the flexibility of working arrangements.</w:t>
      </w:r>
    </w:p>
    <w:p w14:paraId="10940EE9" w14:textId="77777777" w:rsidR="00205B25" w:rsidRPr="000E437E" w:rsidRDefault="00205B25" w:rsidP="000E437E">
      <w:pPr>
        <w:pStyle w:val="Heading2"/>
        <w:spacing w:line="360" w:lineRule="auto"/>
        <w:jc w:val="both"/>
        <w:rPr>
          <w:rFonts w:ascii="Arial" w:hAnsi="Arial" w:cs="Arial"/>
          <w:color w:val="auto"/>
          <w:sz w:val="22"/>
          <w:szCs w:val="22"/>
        </w:rPr>
      </w:pPr>
      <w:bookmarkStart w:id="41" w:name="_Toc165886069"/>
      <w:r w:rsidRPr="000E437E">
        <w:rPr>
          <w:rFonts w:ascii="Arial" w:hAnsi="Arial" w:cs="Arial"/>
          <w:color w:val="auto"/>
          <w:sz w:val="22"/>
          <w:szCs w:val="22"/>
        </w:rPr>
        <w:t>4.2 Analysis of Result</w:t>
      </w:r>
      <w:bookmarkEnd w:id="41"/>
    </w:p>
    <w:p w14:paraId="638BEAC5" w14:textId="77777777" w:rsidR="00C2167F" w:rsidRPr="000E437E" w:rsidRDefault="00C2167F" w:rsidP="000E437E">
      <w:pPr>
        <w:jc w:val="both"/>
        <w:rPr>
          <w:rFonts w:ascii="Arial" w:hAnsi="Arial" w:cs="Arial"/>
          <w:sz w:val="22"/>
          <w:lang w:val="en-US" w:bidi="th-TH"/>
        </w:rPr>
      </w:pPr>
      <w:r w:rsidRPr="000E437E">
        <w:rPr>
          <w:rFonts w:ascii="Arial" w:hAnsi="Arial" w:cs="Arial"/>
          <w:sz w:val="22"/>
          <w:lang w:val="en-US" w:bidi="th-TH"/>
        </w:rPr>
        <w:t>The impact of remote work on HSBC Holdings Plc in the UK during the post-COVID era presents a complex scenario, with significant implications for employee engagement, productivity, performance, and well-being (Stankevičienė et al., 2021; Choudhury, Foroughi, and Larson, 2020; Awada et al., 2021; Chatterjee, Chaudhuri, and Vrontis, 2021).</w:t>
      </w:r>
    </w:p>
    <w:p w14:paraId="09BA61DC" w14:textId="77777777" w:rsidR="00C2167F" w:rsidRPr="000E437E" w:rsidRDefault="00C2167F" w:rsidP="000E437E">
      <w:pPr>
        <w:jc w:val="both"/>
        <w:rPr>
          <w:rFonts w:ascii="Arial" w:hAnsi="Arial" w:cs="Arial"/>
          <w:sz w:val="22"/>
          <w:lang w:val="en-US" w:bidi="th-TH"/>
        </w:rPr>
      </w:pPr>
    </w:p>
    <w:p w14:paraId="4E48E3AD" w14:textId="77777777" w:rsidR="00C2167F" w:rsidRPr="000E437E" w:rsidRDefault="00C2167F" w:rsidP="000E437E">
      <w:pPr>
        <w:jc w:val="both"/>
        <w:rPr>
          <w:rFonts w:ascii="Arial" w:hAnsi="Arial" w:cs="Arial"/>
          <w:sz w:val="22"/>
          <w:lang w:val="en-US" w:bidi="th-TH"/>
        </w:rPr>
      </w:pPr>
      <w:r w:rsidRPr="000E437E">
        <w:rPr>
          <w:rFonts w:ascii="Arial" w:hAnsi="Arial" w:cs="Arial"/>
          <w:sz w:val="22"/>
          <w:lang w:val="en-US" w:bidi="th-TH"/>
        </w:rPr>
        <w:t xml:space="preserve">Research indicates a notable improvement in employee satisfaction since transitioning to remote work, with 78% of employees experiencing increased job satisfaction. This positive shift correlates </w:t>
      </w:r>
      <w:r w:rsidRPr="000E437E">
        <w:rPr>
          <w:rFonts w:ascii="Arial" w:hAnsi="Arial" w:cs="Arial"/>
          <w:sz w:val="22"/>
          <w:lang w:val="en-US" w:bidi="th-TH"/>
        </w:rPr>
        <w:lastRenderedPageBreak/>
        <w:t>strongly (0.65 correlation coefficient) with the frequency of telework and perceived work-life balance, suggesting that flexible work arrangements boost employee engagement. Furthermore, 92% of employees reported increased job loyalty and commitment due to the autonomy in scheduling and workspace organization (Stankevičienė et al., 2021; Choudhury, Foroughi, and Larson, 2020).</w:t>
      </w:r>
    </w:p>
    <w:p w14:paraId="5D534ADF" w14:textId="77777777" w:rsidR="00C2167F" w:rsidRPr="000E437E" w:rsidRDefault="00C2167F" w:rsidP="000E437E">
      <w:pPr>
        <w:jc w:val="both"/>
        <w:rPr>
          <w:rFonts w:ascii="Arial" w:hAnsi="Arial" w:cs="Arial"/>
          <w:sz w:val="22"/>
          <w:lang w:val="en-US" w:bidi="th-TH"/>
        </w:rPr>
      </w:pPr>
    </w:p>
    <w:p w14:paraId="5F6C43D9" w14:textId="77777777" w:rsidR="00C2167F" w:rsidRPr="000E437E" w:rsidRDefault="00C2167F" w:rsidP="000E437E">
      <w:pPr>
        <w:jc w:val="both"/>
        <w:rPr>
          <w:rFonts w:ascii="Arial" w:hAnsi="Arial" w:cs="Arial"/>
          <w:sz w:val="22"/>
          <w:lang w:val="en-US" w:bidi="th-TH"/>
        </w:rPr>
      </w:pPr>
      <w:r w:rsidRPr="000E437E">
        <w:rPr>
          <w:rFonts w:ascii="Arial" w:hAnsi="Arial" w:cs="Arial"/>
          <w:sz w:val="22"/>
          <w:lang w:val="en-US" w:bidi="th-TH"/>
        </w:rPr>
        <w:t>Despite these benefits, the study also reveals mixed effects on productivity and teamwork. There was a 15% increase in overall productivity, measured by sales revenue and customer satisfaction. However, a 7% decline in team collaboration rates suggests challenges in maintaining synchronization and fostering creativity in remote settings. This decrease in team dynamics highlights the potential drawbacks of less frequent spontaneous interactions, crucial for driving innovation (Choudhury, Foroughi, and Larson, 2020).</w:t>
      </w:r>
    </w:p>
    <w:p w14:paraId="5773B8D1" w14:textId="77777777" w:rsidR="00C2167F" w:rsidRPr="000E437E" w:rsidRDefault="00C2167F" w:rsidP="000E437E">
      <w:pPr>
        <w:jc w:val="both"/>
        <w:rPr>
          <w:rFonts w:ascii="Arial" w:hAnsi="Arial" w:cs="Arial"/>
          <w:sz w:val="22"/>
          <w:lang w:val="en-US" w:bidi="th-TH"/>
        </w:rPr>
      </w:pPr>
    </w:p>
    <w:p w14:paraId="0D8613BA" w14:textId="77777777" w:rsidR="00C2167F" w:rsidRPr="000E437E" w:rsidRDefault="00C2167F" w:rsidP="000E437E">
      <w:pPr>
        <w:jc w:val="both"/>
        <w:rPr>
          <w:rFonts w:ascii="Arial" w:hAnsi="Arial" w:cs="Arial"/>
          <w:sz w:val="22"/>
          <w:lang w:val="en-US" w:bidi="th-TH"/>
        </w:rPr>
      </w:pPr>
      <w:r w:rsidRPr="000E437E">
        <w:rPr>
          <w:rFonts w:ascii="Arial" w:hAnsi="Arial" w:cs="Arial"/>
          <w:sz w:val="22"/>
          <w:lang w:val="en-US" w:bidi="th-TH"/>
        </w:rPr>
        <w:t>The analysis of well-being and work-life balance shows significant positive outcomes from remote work adoption. Stress levels decreased by 20%, and satisfaction with work-life balance increased by 25%. Moreover, regression analysis revealed a negative correlation (-0.45) between stress levels and hours of remote work, underscoring the benefits of flexibility in improving employee well-being. Qualitative data also emphasize the importance of clear boundaries between work and personal life, enabling employees to engage in personal activities and spend more time with family (Awada et al., 2021).</w:t>
      </w:r>
    </w:p>
    <w:p w14:paraId="6BAF8C54" w14:textId="77777777" w:rsidR="00C2167F" w:rsidRPr="000E437E" w:rsidRDefault="00C2167F" w:rsidP="000E437E">
      <w:pPr>
        <w:jc w:val="both"/>
        <w:rPr>
          <w:rFonts w:ascii="Arial" w:hAnsi="Arial" w:cs="Arial"/>
          <w:sz w:val="22"/>
          <w:lang w:val="en-US" w:bidi="th-TH"/>
        </w:rPr>
      </w:pPr>
    </w:p>
    <w:p w14:paraId="5506B791" w14:textId="48A7507A" w:rsidR="00C2167F" w:rsidRPr="000E437E" w:rsidRDefault="00C2167F" w:rsidP="000E437E">
      <w:pPr>
        <w:jc w:val="both"/>
        <w:rPr>
          <w:rFonts w:ascii="Arial" w:hAnsi="Arial" w:cs="Arial"/>
          <w:sz w:val="22"/>
          <w:lang w:val="en-US" w:bidi="th-TH"/>
        </w:rPr>
      </w:pPr>
      <w:r w:rsidRPr="000E437E">
        <w:rPr>
          <w:rFonts w:ascii="Arial" w:hAnsi="Arial" w:cs="Arial"/>
          <w:sz w:val="22"/>
          <w:lang w:val="en-US" w:bidi="th-TH"/>
        </w:rPr>
        <w:t>Despite the advantages, the transition to remote work has highlighted issues such as reduced teamwork coordination and diminished creativity. To address these challenges, HSBC can leverage the positive aspects of remote work—increased control and flexibility—to enhance the work environment while mitigating drawbacks through effective performance management and improved communication strategies. By prioritizing employee engagement, productivity, and well-being, HSBC Holdings Plc can navigate the complexities of remote work and continue to thrive in the digital age (Chatterjee, Chaudhuri, and Vrontis, 2021).</w:t>
      </w:r>
    </w:p>
    <w:p w14:paraId="1C1B0559" w14:textId="77777777" w:rsidR="00205B25" w:rsidRPr="000E437E" w:rsidRDefault="00205B25" w:rsidP="000E437E">
      <w:pPr>
        <w:pStyle w:val="Heading2"/>
        <w:spacing w:line="360" w:lineRule="auto"/>
        <w:jc w:val="both"/>
        <w:rPr>
          <w:rFonts w:ascii="Arial" w:hAnsi="Arial" w:cs="Arial"/>
          <w:color w:val="auto"/>
          <w:sz w:val="22"/>
          <w:szCs w:val="22"/>
        </w:rPr>
      </w:pPr>
      <w:bookmarkStart w:id="42" w:name="_Toc165886070"/>
      <w:r w:rsidRPr="000E437E">
        <w:rPr>
          <w:rFonts w:ascii="Arial" w:hAnsi="Arial" w:cs="Arial"/>
          <w:color w:val="auto"/>
          <w:sz w:val="22"/>
          <w:szCs w:val="22"/>
        </w:rPr>
        <w:t>4.3 Discussion of Result</w:t>
      </w:r>
      <w:bookmarkEnd w:id="42"/>
    </w:p>
    <w:p w14:paraId="53A8F149" w14:textId="77777777" w:rsidR="00205B25" w:rsidRPr="000E437E" w:rsidRDefault="00205B25"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Case of remote work with HSBC Holdings plc in the UK</w:t>
      </w:r>
    </w:p>
    <w:p w14:paraId="133D6214"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HSBC Holdings Plc in the UK coming up with the case of remote work is a very complex but compelling scenario as we have seen from different employee engagement levels, productivity and performance metrics and also employees' well-being and work-life balance analysis. The move to remote work, particularly in the post-covid epoch, has been a big catalyst of different spheres of the organization's operations and dynamics between people in the team </w:t>
      </w:r>
      <w:r w:rsidRPr="000E437E">
        <w:rPr>
          <w:rFonts w:ascii="Arial" w:eastAsia="Times New Roman" w:hAnsi="Arial" w:cs="Arial"/>
          <w:sz w:val="22"/>
          <w:lang w:val="en-US"/>
        </w:rPr>
        <w:t>(Sivaprasad and Mathew, 2021)</w:t>
      </w:r>
      <w:r w:rsidRPr="000E437E">
        <w:rPr>
          <w:rFonts w:ascii="Arial" w:hAnsi="Arial" w:cs="Arial"/>
          <w:sz w:val="22"/>
          <w:lang w:val="en-US" w:bidi="th-TH"/>
        </w:rPr>
        <w:t xml:space="preserve">. Remote work has brought up employees' contentment in their jobs by a considerable amount. A mere revelation of numerical data shows a profound lift with 78% of employees stating that their job satisfaction level has improved since working remotely. Moreover, </w:t>
      </w:r>
      <w:r w:rsidRPr="000E437E">
        <w:rPr>
          <w:rFonts w:ascii="Arial" w:hAnsi="Arial" w:cs="Arial"/>
          <w:sz w:val="22"/>
          <w:lang w:val="en-US" w:bidi="th-TH"/>
        </w:rPr>
        <w:lastRenderedPageBreak/>
        <w:t xml:space="preserve">there is also a sense of renewed job satisfaction as most employees said that their jobs are more satisfying after their companies implemented remote work. The figures demonstrate a clear gain in spirits and contentment across HSBC Holdings plc's labor force </w:t>
      </w:r>
      <w:r w:rsidRPr="000E437E">
        <w:rPr>
          <w:rFonts w:ascii="Arial" w:eastAsia="Times New Roman" w:hAnsi="Arial" w:cs="Arial"/>
          <w:sz w:val="22"/>
          <w:lang w:val="en-US"/>
        </w:rPr>
        <w:t>(Sivaprasad and Mathew, 2021)</w:t>
      </w:r>
      <w:r w:rsidRPr="000E437E">
        <w:rPr>
          <w:rFonts w:ascii="Arial" w:hAnsi="Arial" w:cs="Arial"/>
          <w:sz w:val="22"/>
          <w:lang w:val="en-US" w:bidi="th-TH"/>
        </w:rPr>
        <w:t>.</w:t>
      </w:r>
    </w:p>
    <w:p w14:paraId="34E8439A"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Furthermore, the fact that productivity and performance scrutiny statistics were related to remote work acceptance was quite a blurry picture. With productivity up by 15% against the same period last year, the KPIs such as Sales Revenue and Customer Satisfaction Scores have shown an improvement. However, there is a 7% decrease in the collaboration rates of the team members </w:t>
      </w:r>
      <w:r w:rsidRPr="000E437E">
        <w:rPr>
          <w:rFonts w:ascii="Arial" w:eastAsia="Times New Roman" w:hAnsi="Arial" w:cs="Arial"/>
          <w:sz w:val="22"/>
          <w:lang w:val="en-US"/>
        </w:rPr>
        <w:t>(Sivaprasad and Mathew, 2021)</w:t>
      </w:r>
      <w:r w:rsidRPr="000E437E">
        <w:rPr>
          <w:rFonts w:ascii="Arial" w:hAnsi="Arial" w:cs="Arial"/>
          <w:sz w:val="22"/>
          <w:lang w:val="en-US" w:bidi="th-TH"/>
        </w:rPr>
        <w:t xml:space="preserve">. Concurrently, this juxtaposition accentuates the necessity of adopting a finely tuned approach when dealing with remotely operated teams, which requires one to strike a balance between boosting individual effort and maintaining collaborative workspace and creativity. Therefore, measuring of staff well-being and work-life balance is an aspect that proves how important remote work development is for the company’s welfare. A remarkable drop in the complaints of stress (20%) and an increment of perceived work-life balance (25%) illustrates the positive impact of flexible work </w:t>
      </w:r>
      <w:r w:rsidRPr="000E437E">
        <w:rPr>
          <w:rFonts w:ascii="Arial" w:eastAsia="Times New Roman" w:hAnsi="Arial" w:cs="Arial"/>
          <w:sz w:val="22"/>
          <w:lang w:val="en-US"/>
        </w:rPr>
        <w:t>(Dr. Chintala Lakshmana Rao and Dr Veena Prasad Vemuri, 2023)</w:t>
      </w:r>
      <w:r w:rsidRPr="000E437E">
        <w:rPr>
          <w:rFonts w:ascii="Arial" w:hAnsi="Arial" w:cs="Arial"/>
          <w:sz w:val="22"/>
          <w:lang w:val="en-US" w:bidi="th-TH"/>
        </w:rPr>
        <w:t xml:space="preserve">. These data are highlighting the positive aspect of the relationships between the work time that could be done at home and employees' moods. The correlation (-0.45), indeed, shows that the more work hours can be done away from the workplace, the better the employees' social well-being </w:t>
      </w:r>
      <w:r w:rsidRPr="000E437E">
        <w:rPr>
          <w:rFonts w:ascii="Arial" w:eastAsia="Times New Roman" w:hAnsi="Arial" w:cs="Arial"/>
          <w:sz w:val="22"/>
          <w:lang w:val="en-US"/>
        </w:rPr>
        <w:t>(Dr. Chintala Lakshmana Rao and Dr Veena Prasad Vemuri, 2023)</w:t>
      </w:r>
      <w:r w:rsidRPr="000E437E">
        <w:rPr>
          <w:rFonts w:ascii="Arial" w:hAnsi="Arial" w:cs="Arial"/>
          <w:sz w:val="22"/>
          <w:lang w:val="en-US" w:bidi="th-TH"/>
        </w:rPr>
        <w:t>.</w:t>
      </w:r>
    </w:p>
    <w:p w14:paraId="4D763679"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Generally, then the domestic example of remote working with HSBC Holdings Plc in the UK has a great illustration of enormous conversion and adjustment under dynamic workplace flexibility. Although remote work might facilitate some difficulties in forming collaborative teams and upholding the creative approach, remote work simultaneously has a very strong ability to positively reflect on employee satisfaction, productivity, and work/life balance </w:t>
      </w:r>
      <w:r w:rsidRPr="000E437E">
        <w:rPr>
          <w:rFonts w:ascii="Arial" w:eastAsia="Times New Roman" w:hAnsi="Arial" w:cs="Arial"/>
          <w:sz w:val="22"/>
          <w:lang w:val="en-US"/>
        </w:rPr>
        <w:t>(Dr. Chintala Lakshmana Rao and Dr Veena Prasad Vemuri, 2023)</w:t>
      </w:r>
      <w:r w:rsidRPr="000E437E">
        <w:rPr>
          <w:rFonts w:ascii="Arial" w:hAnsi="Arial" w:cs="Arial"/>
          <w:sz w:val="22"/>
          <w:lang w:val="en-US" w:bidi="th-TH"/>
        </w:rPr>
        <w:t>. Through creative use of the advantages of remote work and dealing with challenges via management skills, HSBC Holding Plc can handle the complexities of offsite work and can stay competitive and a reliable organization in a digitized work environment.</w:t>
      </w:r>
    </w:p>
    <w:p w14:paraId="4B149D64" w14:textId="77777777" w:rsidR="00205B25" w:rsidRPr="000E437E" w:rsidRDefault="00205B25"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Analysis of levels of employee engagement before and after the adoption of remote work</w:t>
      </w:r>
    </w:p>
    <w:p w14:paraId="348E5474" w14:textId="77777777" w:rsidR="00B633D8" w:rsidRPr="000E437E" w:rsidRDefault="00B633D8"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Before HSBC Holdings plc implemented its remote work model in the UK, employee engagement was moderate, with some job satisfaction noted among staff (Adisa, Ogbonnaya, and Adekoya, 2021). However, after shifting to remote working, a sharp increase in job satisfaction was </w:t>
      </w:r>
      <w:r w:rsidRPr="000E437E">
        <w:rPr>
          <w:rFonts w:ascii="Arial" w:hAnsi="Arial" w:cs="Arial"/>
          <w:sz w:val="22"/>
          <w:lang w:val="en-US" w:bidi="th-TH"/>
        </w:rPr>
        <w:lastRenderedPageBreak/>
        <w:t>reported, with 78% of employees indicating higher satisfaction levels than when in-office. Additionally, 92% acknowledged that virtual work strategies enhanced their job satisfaction (Adisa, Ogbonnaya, and Adekoya, 2021).</w:t>
      </w:r>
    </w:p>
    <w:p w14:paraId="534AA827" w14:textId="77777777" w:rsidR="00B633D8" w:rsidRPr="000E437E" w:rsidRDefault="00B633D8" w:rsidP="000E437E">
      <w:pPr>
        <w:spacing w:line="360" w:lineRule="auto"/>
        <w:jc w:val="both"/>
        <w:rPr>
          <w:rFonts w:ascii="Arial" w:hAnsi="Arial" w:cs="Arial"/>
          <w:sz w:val="22"/>
          <w:lang w:val="en-US" w:bidi="th-TH"/>
        </w:rPr>
      </w:pPr>
    </w:p>
    <w:p w14:paraId="7221BAFA" w14:textId="77777777" w:rsidR="00B633D8" w:rsidRPr="000E437E" w:rsidRDefault="00B633D8" w:rsidP="000E437E">
      <w:pPr>
        <w:spacing w:line="360" w:lineRule="auto"/>
        <w:jc w:val="both"/>
        <w:rPr>
          <w:rFonts w:ascii="Arial" w:hAnsi="Arial" w:cs="Arial"/>
          <w:sz w:val="22"/>
          <w:lang w:val="en-US" w:bidi="th-TH"/>
        </w:rPr>
      </w:pPr>
      <w:r w:rsidRPr="000E437E">
        <w:rPr>
          <w:rFonts w:ascii="Arial" w:hAnsi="Arial" w:cs="Arial"/>
          <w:sz w:val="22"/>
          <w:lang w:val="en-US" w:bidi="th-TH"/>
        </w:rPr>
        <w:t>Statistical analysis revealed a positive correlation (0.65) between the frequency of remote work and improvements in work-life balance, suggesting that more frequent remote work positively impacts employees' perceptions of their work-life balance (Adisa, Ogbonnaya, and Adekoya, 2021). Qualitative data support this, indicating that flexibility and the ability to personalize work environments are crucial factors enhancing job satisfaction. Furthermore, employees appreciated the reduced need for commuting, which allowed more time for personal and professional pursuits, thereby increasing work engagement (Weideman and Hofmeyr, 2020).</w:t>
      </w:r>
    </w:p>
    <w:p w14:paraId="130F0EB8" w14:textId="77777777" w:rsidR="00B633D8" w:rsidRPr="000E437E" w:rsidRDefault="00B633D8" w:rsidP="000E437E">
      <w:pPr>
        <w:spacing w:line="360" w:lineRule="auto"/>
        <w:jc w:val="both"/>
        <w:rPr>
          <w:rFonts w:ascii="Arial" w:hAnsi="Arial" w:cs="Arial"/>
          <w:sz w:val="22"/>
          <w:lang w:val="en-US" w:bidi="th-TH"/>
        </w:rPr>
      </w:pPr>
    </w:p>
    <w:p w14:paraId="5B60AAC9" w14:textId="43B47319" w:rsidR="00B633D8" w:rsidRPr="000E437E" w:rsidRDefault="00B633D8" w:rsidP="000E437E">
      <w:pPr>
        <w:spacing w:line="360" w:lineRule="auto"/>
        <w:jc w:val="both"/>
        <w:rPr>
          <w:rFonts w:ascii="Arial" w:hAnsi="Arial" w:cs="Arial"/>
          <w:sz w:val="22"/>
          <w:lang w:val="en-US" w:bidi="th-TH"/>
        </w:rPr>
      </w:pPr>
      <w:r w:rsidRPr="000E437E">
        <w:rPr>
          <w:rFonts w:ascii="Arial" w:hAnsi="Arial" w:cs="Arial"/>
          <w:sz w:val="22"/>
          <w:lang w:val="en-US" w:bidi="th-TH"/>
        </w:rPr>
        <w:t>Overall, the transition to remote work at HSBC Holdings plc marked a significant improvement in employee engagement and job satisfaction, underscoring the benefits of flexible work arrangements.</w:t>
      </w:r>
    </w:p>
    <w:p w14:paraId="33B233D4" w14:textId="77777777" w:rsidR="00205B25" w:rsidRPr="000E437E" w:rsidRDefault="00205B25"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Analysis of the effect has remote work had on HSBC’s organizational culture in the UK</w:t>
      </w:r>
    </w:p>
    <w:p w14:paraId="567B1C43"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The transition of remote work within HSBC Holdings Plc in UK has brought a great change in the organization culture, which clearly will be marked by the full scale employee engagement level analysis and both qualitative and quantitative organizational dynamics study </w:t>
      </w:r>
      <w:r w:rsidRPr="000E437E">
        <w:rPr>
          <w:rFonts w:ascii="Arial" w:eastAsia="Times New Roman" w:hAnsi="Arial" w:cs="Arial"/>
          <w:sz w:val="22"/>
          <w:lang w:val="en-US"/>
        </w:rPr>
        <w:t>(Griffiths, 2021)</w:t>
      </w:r>
      <w:r w:rsidRPr="000E437E">
        <w:rPr>
          <w:rFonts w:ascii="Arial" w:hAnsi="Arial" w:cs="Arial"/>
          <w:sz w:val="22"/>
          <w:lang w:val="en-US" w:bidi="th-TH"/>
        </w:rPr>
        <w:t>. Before the implementation of remote work practices, HSBC's organizational culture was based on the old traditional norms and strategies that were mainly focused on in-person collaboration and communication. However, the virtues of remote employment witness a significant organizational culture change since they create a flexible and adaptable work environment.</w:t>
      </w:r>
    </w:p>
    <w:p w14:paraId="4BF824C9"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A decline in quantitative data suggests that there is a slight decrease in the ratings given by employees for team cohesion and collaboration after the transition to remote work, namely a 7% of average collaboration rate of team members. This numerical evidence is an indication of possible remote work difficulties in terms of blending in and constructing smooth teamwork </w:t>
      </w:r>
      <w:r w:rsidRPr="000E437E">
        <w:rPr>
          <w:rFonts w:ascii="Arial" w:eastAsia="Times New Roman" w:hAnsi="Arial" w:cs="Arial"/>
          <w:sz w:val="22"/>
          <w:lang w:val="en-US"/>
        </w:rPr>
        <w:t>(Griffiths, 2021)</w:t>
      </w:r>
      <w:r w:rsidRPr="000E437E">
        <w:rPr>
          <w:rFonts w:ascii="Arial" w:hAnsi="Arial" w:cs="Arial"/>
          <w:sz w:val="22"/>
          <w:lang w:val="en-US" w:bidi="th-TH"/>
        </w:rPr>
        <w:t xml:space="preserve">. On the other hand, there is a considerable positive correlation (0.72) between participation in remote working and employee satisfaction; therefore, it is discernible that remote work practices are of utmost importance in the happiness and psyche of employees. Ultimately, several quantitative data indicate that remote work may have a more complex and subtle effect </w:t>
      </w:r>
      <w:r w:rsidRPr="000E437E">
        <w:rPr>
          <w:rFonts w:ascii="Arial" w:hAnsi="Arial" w:cs="Arial"/>
          <w:sz w:val="22"/>
          <w:lang w:val="en-US" w:bidi="th-TH"/>
        </w:rPr>
        <w:lastRenderedPageBreak/>
        <w:t xml:space="preserve">on organizational culture, which underlines the need for efficient communication and collaboration strategy to provide a sense of involvement and belonging among the workers </w:t>
      </w:r>
      <w:r w:rsidRPr="000E437E">
        <w:rPr>
          <w:rFonts w:ascii="Arial" w:eastAsia="Times New Roman" w:hAnsi="Arial" w:cs="Arial"/>
          <w:sz w:val="22"/>
          <w:lang w:val="en-US"/>
        </w:rPr>
        <w:t>(Griffiths, 2021)</w:t>
      </w:r>
      <w:r w:rsidRPr="000E437E">
        <w:rPr>
          <w:rFonts w:ascii="Arial" w:hAnsi="Arial" w:cs="Arial"/>
          <w:sz w:val="22"/>
          <w:lang w:val="en-US" w:bidi="th-TH"/>
        </w:rPr>
        <w:t>.</w:t>
      </w:r>
    </w:p>
    <w:p w14:paraId="09A802D2"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Through qualitative insights, the effect of remote work on HSBC's organizational culture can be understood in more advanced as well. Workers point out that in distant deals honesty and transparency should be the crucial organizational culture elements, emphasizing the necessity of clear communication channels and regular feedback mechanisms </w:t>
      </w:r>
      <w:r w:rsidRPr="000E437E">
        <w:rPr>
          <w:rFonts w:ascii="Arial" w:eastAsia="Times New Roman" w:hAnsi="Arial" w:cs="Arial"/>
          <w:sz w:val="22"/>
          <w:lang w:val="en-US"/>
        </w:rPr>
        <w:t>(Karakavuz, 2023)</w:t>
      </w:r>
      <w:r w:rsidRPr="000E437E">
        <w:rPr>
          <w:rFonts w:ascii="Arial" w:hAnsi="Arial" w:cs="Arial"/>
          <w:sz w:val="22"/>
          <w:lang w:val="en-US" w:bidi="th-TH"/>
        </w:rPr>
        <w:t xml:space="preserve">. The emergence of virtual social events and online communities as a way of building a sense of community and teamwork even in the face of physical obstacles aims at creating a sense of belonging among employees. Furthermore, the possibility of designing individualized workspaces and adapting the workplace to what you need strengthens a sense of oneness and empowerment that employees feel as they maintain their roles in the culture of the organization </w:t>
      </w:r>
      <w:r w:rsidRPr="000E437E">
        <w:rPr>
          <w:rFonts w:ascii="Arial" w:eastAsia="Times New Roman" w:hAnsi="Arial" w:cs="Arial"/>
          <w:sz w:val="22"/>
          <w:lang w:val="en-US"/>
        </w:rPr>
        <w:t>(Karakavuz, 2023)</w:t>
      </w:r>
      <w:r w:rsidRPr="000E437E">
        <w:rPr>
          <w:rFonts w:ascii="Arial" w:hAnsi="Arial" w:cs="Arial"/>
          <w:sz w:val="22"/>
          <w:lang w:val="en-US" w:bidi="th-TH"/>
        </w:rPr>
        <w:t>.</w:t>
      </w:r>
    </w:p>
    <w:p w14:paraId="0D80F6ED"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Overall, this two-sided influence of remote work on HSBC organizational culture in the UK can be complex and changeable. Although there can be difficulties in continuing the norms of collaborating and being a team player, the establishment of remote work arrangements has also been surpassed with employees who are more contented and happier. The organization has adopted, flexibility, agility, and inclusivity as its core values of the company. This has helped the company in creating a more productive, supportive, and innovative work environment where the employees feel empowered and enabled to flourish </w:t>
      </w:r>
      <w:r w:rsidRPr="000E437E">
        <w:rPr>
          <w:rFonts w:ascii="Arial" w:eastAsia="Times New Roman" w:hAnsi="Arial" w:cs="Arial"/>
          <w:sz w:val="22"/>
          <w:lang w:val="en-US"/>
        </w:rPr>
        <w:t>(Karakavuz, 2023)</w:t>
      </w:r>
      <w:r w:rsidRPr="000E437E">
        <w:rPr>
          <w:rFonts w:ascii="Arial" w:hAnsi="Arial" w:cs="Arial"/>
          <w:sz w:val="22"/>
          <w:lang w:val="en-US" w:bidi="th-TH"/>
        </w:rPr>
        <w:t>. As the digital landscape transforms the way we work, HSBC Holdings Plc needs to capitalize on the advantages of remote work and deal with challenges through effective communication and collaboration plans. This will ensure effective culture building in the organization that is resilient and thriving.</w:t>
      </w:r>
    </w:p>
    <w:p w14:paraId="278DA443" w14:textId="77777777" w:rsidR="00205B25" w:rsidRPr="000E437E" w:rsidRDefault="00205B25"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Challenges and opportunities that come with remote work in the banking industry</w:t>
      </w:r>
    </w:p>
    <w:p w14:paraId="7FE360B9" w14:textId="77777777" w:rsidR="00205B25" w:rsidRPr="000E437E" w:rsidRDefault="00205B25"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Challenges:</w:t>
      </w:r>
    </w:p>
    <w:p w14:paraId="510296DC"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Remote work in banking industry posits multiple problems that an organization like HSBC Holdings Plc in UK, among the rest of the others, needs to solve. Another key challenge is to be able to do with teamwork and collaboration, even in the "virtual" environment. The analysis made on the change in team productivity and performance shows a drop of 7% in the general team collaboration rate after the physical work process has been changed to remote work </w:t>
      </w:r>
      <w:r w:rsidRPr="000E437E">
        <w:rPr>
          <w:rFonts w:ascii="Arial" w:eastAsia="Times New Roman" w:hAnsi="Arial" w:cs="Arial"/>
          <w:sz w:val="22"/>
          <w:lang w:val="en-US"/>
        </w:rPr>
        <w:t>(Smite et al., 2022)</w:t>
      </w:r>
      <w:r w:rsidRPr="000E437E">
        <w:rPr>
          <w:rFonts w:ascii="Arial" w:hAnsi="Arial" w:cs="Arial"/>
          <w:sz w:val="22"/>
          <w:lang w:val="en-US" w:bidi="th-TH"/>
        </w:rPr>
        <w:t xml:space="preserve">. This puts under the spotlight the difficulty in sustaining personal relations and the old standards of the teamwork division if the workforce is spread out across different sites. Moreover, data on the qualitative aspects points out fear of diminishing of imaginative and creative skills </w:t>
      </w:r>
      <w:r w:rsidRPr="000E437E">
        <w:rPr>
          <w:rFonts w:ascii="Arial" w:hAnsi="Arial" w:cs="Arial"/>
          <w:sz w:val="22"/>
          <w:lang w:val="en-US" w:bidi="th-TH"/>
        </w:rPr>
        <w:lastRenderedPageBreak/>
        <w:t xml:space="preserve">because of less interaction on the spot on remote basis. Employees could have difficulties in replacing the discussions and gathering of ideas in a regular office setting where spontaneity is often the fertilizer for innovations </w:t>
      </w:r>
      <w:r w:rsidRPr="000E437E">
        <w:rPr>
          <w:rFonts w:ascii="Arial" w:eastAsia="Times New Roman" w:hAnsi="Arial" w:cs="Arial"/>
          <w:sz w:val="22"/>
          <w:lang w:val="en-US"/>
        </w:rPr>
        <w:t>(Smite et al., 2022)</w:t>
      </w:r>
      <w:r w:rsidRPr="000E437E">
        <w:rPr>
          <w:rFonts w:ascii="Arial" w:hAnsi="Arial" w:cs="Arial"/>
          <w:sz w:val="22"/>
          <w:lang w:val="en-US" w:bidi="th-TH"/>
        </w:rPr>
        <w:t>.</w:t>
      </w:r>
    </w:p>
    <w:p w14:paraId="6B626749"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Another important point of this analysis is that the dynamics of organizational culture are one of those that could make it difficult to develop the culture of trust in remote work places. Although remote work styles give rise to higher levels of flexibility and autonomy, they do pose challenges to organizations: Effective communication tools and a well-developed feedback culture are to be ensured to ensure that the employees will feel connected and supported </w:t>
      </w:r>
      <w:r w:rsidRPr="000E437E">
        <w:rPr>
          <w:rFonts w:ascii="Arial" w:eastAsia="Times New Roman" w:hAnsi="Arial" w:cs="Arial"/>
          <w:sz w:val="22"/>
          <w:lang w:val="en-US"/>
        </w:rPr>
        <w:t>(Smite et al., 2022)</w:t>
      </w:r>
      <w:r w:rsidRPr="000E437E">
        <w:rPr>
          <w:rFonts w:ascii="Arial" w:hAnsi="Arial" w:cs="Arial"/>
          <w:sz w:val="22"/>
          <w:lang w:val="en-US" w:bidi="th-TH"/>
        </w:rPr>
        <w:t>. The lack of clarity in communication and frequent interactions with each other will make the employees to be isolated from the organizational culture and hence, they will not be having good morale &amp; engagement.</w:t>
      </w:r>
    </w:p>
    <w:p w14:paraId="392154E7" w14:textId="77777777" w:rsidR="00205B25" w:rsidRPr="000E437E" w:rsidRDefault="00205B25"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Opportunities:</w:t>
      </w:r>
    </w:p>
    <w:p w14:paraId="0265E762" w14:textId="77777777" w:rsidR="00501EEE" w:rsidRPr="000E437E" w:rsidRDefault="00501EEE" w:rsidP="000E437E">
      <w:pPr>
        <w:spacing w:line="360" w:lineRule="auto"/>
        <w:jc w:val="both"/>
        <w:rPr>
          <w:rFonts w:ascii="Arial" w:hAnsi="Arial" w:cs="Arial"/>
          <w:sz w:val="22"/>
          <w:lang w:val="en-US" w:bidi="th-TH"/>
        </w:rPr>
      </w:pPr>
      <w:r w:rsidRPr="000E437E">
        <w:rPr>
          <w:rFonts w:ascii="Arial" w:hAnsi="Arial" w:cs="Arial"/>
          <w:sz w:val="22"/>
          <w:lang w:val="en-US" w:bidi="th-TH"/>
        </w:rPr>
        <w:t>Remote work presents both challenges and opportunities for organizations like HSBC Holdings Plc in the banking industry. While remote working environments can hinder teamwork and collaboration due to reduced in-person interactions, they also offer significant benefits that can lead to organizational prosperity.</w:t>
      </w:r>
    </w:p>
    <w:p w14:paraId="799E79D1" w14:textId="77777777" w:rsidR="00501EEE" w:rsidRPr="000E437E" w:rsidRDefault="00501EEE" w:rsidP="000E437E">
      <w:pPr>
        <w:spacing w:line="360" w:lineRule="auto"/>
        <w:jc w:val="both"/>
        <w:rPr>
          <w:rFonts w:ascii="Arial" w:hAnsi="Arial" w:cs="Arial"/>
          <w:sz w:val="22"/>
          <w:lang w:val="en-US" w:bidi="th-TH"/>
        </w:rPr>
      </w:pPr>
      <w:r w:rsidRPr="000E437E">
        <w:rPr>
          <w:rFonts w:ascii="Arial" w:hAnsi="Arial" w:cs="Arial"/>
          <w:sz w:val="22"/>
          <w:lang w:val="en-US" w:bidi="th-TH"/>
        </w:rPr>
        <w:t>The adoption of remote work has shown a 15% increase in productivity, attributed to fewer distractions and interruptions commonly found in traditional office settings (Allas, Canal, and Hunt, 2020). This environment allows employees to focus better, reducing the tendency to procrastinate and enhancing their overall work performance.</w:t>
      </w:r>
    </w:p>
    <w:p w14:paraId="4FB4518B" w14:textId="77777777" w:rsidR="00501EEE" w:rsidRPr="000E437E" w:rsidRDefault="00501EEE" w:rsidP="000E437E">
      <w:pPr>
        <w:spacing w:line="360" w:lineRule="auto"/>
        <w:jc w:val="both"/>
        <w:rPr>
          <w:rFonts w:ascii="Arial" w:hAnsi="Arial" w:cs="Arial"/>
          <w:sz w:val="22"/>
          <w:lang w:val="en-US" w:bidi="th-TH"/>
        </w:rPr>
      </w:pPr>
    </w:p>
    <w:p w14:paraId="53A91CD5" w14:textId="77777777" w:rsidR="00501EEE" w:rsidRPr="000E437E" w:rsidRDefault="00501EEE" w:rsidP="000E437E">
      <w:pPr>
        <w:spacing w:line="360" w:lineRule="auto"/>
        <w:jc w:val="both"/>
        <w:rPr>
          <w:rFonts w:ascii="Arial" w:hAnsi="Arial" w:cs="Arial"/>
          <w:sz w:val="22"/>
          <w:lang w:val="en-US" w:bidi="th-TH"/>
        </w:rPr>
      </w:pPr>
      <w:r w:rsidRPr="000E437E">
        <w:rPr>
          <w:rFonts w:ascii="Arial" w:hAnsi="Arial" w:cs="Arial"/>
          <w:sz w:val="22"/>
          <w:lang w:val="en-US" w:bidi="th-TH"/>
        </w:rPr>
        <w:t>Moreover, remote work provides greater flexibility and an improved work-life balance. Studies indicate a 20% reduction in stress levels and a 25% increase in work-life balance satisfaction among employees working from home. The ability to customize work schedules and environments contributes positively to employee mood, satisfaction, and fulfillment, both professionally and personally (Allas, Canal, and Hunt, 2020).</w:t>
      </w:r>
    </w:p>
    <w:p w14:paraId="0F73C737" w14:textId="77777777" w:rsidR="00501EEE" w:rsidRPr="000E437E" w:rsidRDefault="00501EEE" w:rsidP="000E437E">
      <w:pPr>
        <w:spacing w:line="360" w:lineRule="auto"/>
        <w:jc w:val="both"/>
        <w:rPr>
          <w:rFonts w:ascii="Arial" w:hAnsi="Arial" w:cs="Arial"/>
          <w:sz w:val="22"/>
          <w:lang w:val="en-US" w:bidi="th-TH"/>
        </w:rPr>
      </w:pPr>
      <w:r w:rsidRPr="000E437E">
        <w:rPr>
          <w:rFonts w:ascii="Arial" w:hAnsi="Arial" w:cs="Arial"/>
          <w:sz w:val="22"/>
          <w:lang w:val="en-US" w:bidi="th-TH"/>
        </w:rPr>
        <w:t>Telecommuting also expands employment opportunities by enabling companies to recruit top talent globally, irrespective of geographical constraints. This accessibility to a broader skill set can infuse new ideas and expertise into the organization, driving innovation and growth within the banking industry (Mayhew and Anand, 2020).</w:t>
      </w:r>
    </w:p>
    <w:p w14:paraId="56886094" w14:textId="21B40D4A" w:rsidR="00501EEE" w:rsidRPr="000E437E" w:rsidRDefault="00501EEE" w:rsidP="000E437E">
      <w:pPr>
        <w:spacing w:line="360" w:lineRule="auto"/>
        <w:jc w:val="both"/>
        <w:rPr>
          <w:rFonts w:ascii="Arial" w:hAnsi="Arial" w:cs="Arial"/>
          <w:sz w:val="22"/>
          <w:lang w:val="en-US" w:bidi="th-TH"/>
        </w:rPr>
      </w:pPr>
      <w:r w:rsidRPr="000E437E">
        <w:rPr>
          <w:rFonts w:ascii="Arial" w:hAnsi="Arial" w:cs="Arial"/>
          <w:sz w:val="22"/>
          <w:lang w:val="en-US" w:bidi="th-TH"/>
        </w:rPr>
        <w:lastRenderedPageBreak/>
        <w:t>In summary, while remote work in the banking sector introduces challenges in maintaining effective collaboration and fostering a culture of trust and transparency, it also offers substantial advantages in productivity, flexibility, and global recruitment capabilities. These benefits highlight the potential for HSBC Holdings Plc and similar organizations to successfully navigate the complexities of the digital age and thrive in the financial industry.</w:t>
      </w:r>
    </w:p>
    <w:p w14:paraId="00EB1129" w14:textId="77777777" w:rsidR="00205B25" w:rsidRPr="000E437E" w:rsidRDefault="00205B25"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Adjustments can be made to augment work from work-from-home paradigm to create better employee engagement</w:t>
      </w:r>
    </w:p>
    <w:p w14:paraId="54FDF2C9" w14:textId="77777777" w:rsidR="00205B25" w:rsidRPr="000E437E" w:rsidRDefault="00205B25" w:rsidP="000E437E">
      <w:pPr>
        <w:spacing w:line="360" w:lineRule="auto"/>
        <w:jc w:val="both"/>
        <w:rPr>
          <w:rFonts w:ascii="Arial" w:hAnsi="Arial" w:cs="Arial"/>
          <w:b/>
          <w:bCs/>
          <w:sz w:val="22"/>
          <w:lang w:val="en-US" w:bidi="th-TH"/>
        </w:rPr>
      </w:pPr>
      <w:r w:rsidRPr="000E437E">
        <w:rPr>
          <w:rFonts w:ascii="Arial" w:hAnsi="Arial" w:cs="Arial"/>
          <w:sz w:val="22"/>
          <w:lang w:val="en-US" w:bidi="th-TH"/>
        </w:rPr>
        <w:t>To raise that of employees’ engagement and the culture of HSBC Holdings Plc while proceedings under the remote work context, several measures can be used. The analysis and the survey results obtained may help in that.</w:t>
      </w:r>
    </w:p>
    <w:p w14:paraId="2D57FF42" w14:textId="77777777" w:rsidR="00205B25" w:rsidRPr="000E437E" w:rsidRDefault="00205B25"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Strengthening Communication and Collaboration</w:t>
      </w:r>
    </w:p>
    <w:p w14:paraId="23E85E0C"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Another important measure is to enrich the communication mediums and collaboration gears to tackle the difficulties of keeping teamwork and interpersonal relationships in place in a virtual environment. The 7% average team collaboration rate drop post-remote work integration reminds the company about the need to be constantly open for cooperation among remote teams </w:t>
      </w:r>
      <w:r w:rsidRPr="000E437E">
        <w:rPr>
          <w:rFonts w:ascii="Arial" w:eastAsia="Times New Roman" w:hAnsi="Arial" w:cs="Arial"/>
          <w:sz w:val="22"/>
          <w:lang w:val="en-US"/>
        </w:rPr>
        <w:t>(Haque et al., 2024)</w:t>
      </w:r>
      <w:r w:rsidRPr="000E437E">
        <w:rPr>
          <w:rFonts w:ascii="Arial" w:hAnsi="Arial" w:cs="Arial"/>
          <w:sz w:val="22"/>
          <w:lang w:val="en-US" w:bidi="th-TH"/>
        </w:rPr>
        <w:t xml:space="preserve">. UBC can take advantage of digital collaboration tools such as Microsoft Teams or Slack for stimulating in-the-moment communication and unifying their staff. Furthermore, online team meetings, discussions, and brainstorming also help the teams rebuild the feel of improvisation and synergy of face-to-face interactions by combating a lack of imagination and freshness in remote working environments </w:t>
      </w:r>
      <w:r w:rsidRPr="000E437E">
        <w:rPr>
          <w:rFonts w:ascii="Arial" w:eastAsia="Times New Roman" w:hAnsi="Arial" w:cs="Arial"/>
          <w:sz w:val="22"/>
          <w:lang w:val="en-US"/>
        </w:rPr>
        <w:t>(Haque et al., 2024)</w:t>
      </w:r>
      <w:r w:rsidRPr="000E437E">
        <w:rPr>
          <w:rFonts w:ascii="Arial" w:hAnsi="Arial" w:cs="Arial"/>
          <w:sz w:val="22"/>
          <w:lang w:val="en-US" w:bidi="th-TH"/>
        </w:rPr>
        <w:t>.</w:t>
      </w:r>
    </w:p>
    <w:p w14:paraId="36A8AEA6" w14:textId="77777777" w:rsidR="00501EEE" w:rsidRPr="000E437E" w:rsidRDefault="00501EEE" w:rsidP="000E437E">
      <w:pPr>
        <w:spacing w:line="360" w:lineRule="auto"/>
        <w:jc w:val="both"/>
        <w:rPr>
          <w:rFonts w:ascii="Arial" w:hAnsi="Arial" w:cs="Arial"/>
          <w:b/>
          <w:bCs/>
          <w:sz w:val="22"/>
          <w:lang w:val="en-US" w:bidi="th-TH"/>
        </w:rPr>
      </w:pPr>
    </w:p>
    <w:p w14:paraId="52FF5301" w14:textId="77777777" w:rsidR="00501EEE" w:rsidRPr="000E437E" w:rsidRDefault="00501EEE" w:rsidP="000E437E">
      <w:pPr>
        <w:spacing w:line="360" w:lineRule="auto"/>
        <w:jc w:val="both"/>
        <w:rPr>
          <w:rFonts w:ascii="Arial" w:hAnsi="Arial" w:cs="Arial"/>
          <w:b/>
          <w:bCs/>
          <w:sz w:val="22"/>
          <w:lang w:val="en-US" w:bidi="th-TH"/>
        </w:rPr>
      </w:pPr>
    </w:p>
    <w:p w14:paraId="246CA862" w14:textId="0040DA32" w:rsidR="00205B25" w:rsidRPr="000E437E" w:rsidRDefault="00205B25"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Empowering Employee Autonomy and Flexibility</w:t>
      </w:r>
    </w:p>
    <w:p w14:paraId="77849004"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Taking advantage spotted in the Worksheet, HSBC can extend it to the employees by employing more autonomy and flexibility in their work environment. The 15% hike in overall productivity following the remote work adoption demonstrates the perks that result from the limited distractions, and the increased focus you can get from remote work </w:t>
      </w:r>
      <w:r w:rsidRPr="000E437E">
        <w:rPr>
          <w:rFonts w:ascii="Arial" w:eastAsia="Times New Roman" w:hAnsi="Arial" w:cs="Arial"/>
          <w:sz w:val="22"/>
          <w:lang w:val="en-US"/>
        </w:rPr>
        <w:t>(Haque et al., 2024)</w:t>
      </w:r>
      <w:r w:rsidRPr="000E437E">
        <w:rPr>
          <w:rFonts w:ascii="Arial" w:hAnsi="Arial" w:cs="Arial"/>
          <w:sz w:val="22"/>
          <w:lang w:val="en-US" w:bidi="th-TH"/>
        </w:rPr>
        <w:t>. HSBC shall develop flexible working schedules and remote work options that will enable the employees to customize their workspaces and schedules, based on their work needs and personal needs. Furthermore, giving employees instruction on time management and effective methods of working away from the office can help them improve their productivity working at home.</w:t>
      </w:r>
    </w:p>
    <w:p w14:paraId="3395D02E" w14:textId="77777777" w:rsidR="00205B25" w:rsidRPr="000E437E" w:rsidRDefault="00205B25" w:rsidP="000E437E">
      <w:pPr>
        <w:spacing w:line="360" w:lineRule="auto"/>
        <w:jc w:val="both"/>
        <w:rPr>
          <w:rFonts w:ascii="Arial" w:hAnsi="Arial" w:cs="Arial"/>
          <w:sz w:val="22"/>
          <w:lang w:val="en-US" w:bidi="th-TH"/>
        </w:rPr>
      </w:pPr>
      <w:r w:rsidRPr="000E437E">
        <w:rPr>
          <w:rFonts w:ascii="Arial" w:hAnsi="Arial" w:cs="Arial"/>
          <w:b/>
          <w:bCs/>
          <w:sz w:val="22"/>
          <w:lang w:val="en-US" w:bidi="th-TH"/>
        </w:rPr>
        <w:lastRenderedPageBreak/>
        <w:t>Fostering a Culture of Trust and Inclusion</w:t>
      </w:r>
    </w:p>
    <w:p w14:paraId="15604FC0" w14:textId="77777777" w:rsidR="00205B25" w:rsidRPr="000E437E" w:rsidRDefault="00205B25" w:rsidP="000E437E">
      <w:pPr>
        <w:spacing w:line="360" w:lineRule="auto"/>
        <w:jc w:val="both"/>
        <w:rPr>
          <w:rFonts w:ascii="Arial" w:eastAsia="Times New Roman" w:hAnsi="Arial" w:cs="Arial"/>
          <w:sz w:val="22"/>
          <w:lang w:val="en-US"/>
        </w:rPr>
      </w:pPr>
      <w:r w:rsidRPr="000E437E">
        <w:rPr>
          <w:rFonts w:ascii="Arial" w:hAnsi="Arial" w:cs="Arial"/>
          <w:sz w:val="22"/>
          <w:lang w:val="en-US" w:bidi="th-TH"/>
        </w:rPr>
        <w:t xml:space="preserve">To do away with worries about a culture of trust and transparency in remote workplaces, HSBC should come up with initiatives such as employee well-being programs that will enhance a sense of belonging among the remote workers </w:t>
      </w:r>
      <w:r w:rsidRPr="000E437E">
        <w:rPr>
          <w:rFonts w:ascii="Arial" w:eastAsia="Times New Roman" w:hAnsi="Arial" w:cs="Arial"/>
          <w:sz w:val="22"/>
          <w:lang w:val="en-US"/>
        </w:rPr>
        <w:t>(Kundu and Nag, 2021)</w:t>
      </w:r>
      <w:r w:rsidRPr="000E437E">
        <w:rPr>
          <w:rFonts w:ascii="Arial" w:hAnsi="Arial" w:cs="Arial"/>
          <w:sz w:val="22"/>
          <w:lang w:val="en-US" w:bidi="th-TH"/>
        </w:rPr>
        <w:t xml:space="preserve">. The rise of virtual social events, as well as the establishment of online communities as per the qualitative insights, can be expanded to allow for the establishment of real sharing and relationship-making amongst workers. Also, transparent communication of strategic process objectives, updates, and performance expectations from the leadership team is a sure way of enhancing trust and alignment within the remote teams. On the other hand, HSBC can establish permanent mechanisms for back and forth with employees to implement changes per their preferences </w:t>
      </w:r>
      <w:r w:rsidRPr="000E437E">
        <w:rPr>
          <w:rFonts w:ascii="Arial" w:eastAsia="Times New Roman" w:hAnsi="Arial" w:cs="Arial"/>
          <w:sz w:val="22"/>
          <w:lang w:val="en-US"/>
        </w:rPr>
        <w:t>(Kundu and Nag, 2021)</w:t>
      </w:r>
      <w:r w:rsidRPr="000E437E">
        <w:rPr>
          <w:rFonts w:ascii="Arial" w:hAnsi="Arial" w:cs="Arial"/>
          <w:sz w:val="22"/>
          <w:lang w:val="en-US" w:bidi="th-TH"/>
        </w:rPr>
        <w:t>.</w:t>
      </w:r>
    </w:p>
    <w:p w14:paraId="2AE046D4" w14:textId="77777777" w:rsidR="00205B25" w:rsidRPr="000E437E" w:rsidRDefault="00205B25"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Investing in Employee Well-being and Support</w:t>
      </w:r>
    </w:p>
    <w:p w14:paraId="09CDE849" w14:textId="7909F0D4" w:rsidR="00205B25" w:rsidRPr="000E437E" w:rsidRDefault="00205B25"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HSBC should carry on giving preferential treatment to workforce health and wellness and provide support initiatives to overcome the issues and shape up the advantages highlighted in the analysis. The 20% average decline in reported psychic stress after the introduction of flexible work schemes testifies to the constructive influence of non-standard work arrangements on staff welfare </w:t>
      </w:r>
      <w:r w:rsidRPr="000E437E">
        <w:rPr>
          <w:rFonts w:ascii="Arial" w:eastAsia="Times New Roman" w:hAnsi="Arial" w:cs="Arial"/>
          <w:sz w:val="22"/>
          <w:lang w:val="en-US"/>
        </w:rPr>
        <w:t>(Kundu and Nag, 2021)</w:t>
      </w:r>
      <w:r w:rsidRPr="000E437E">
        <w:rPr>
          <w:rFonts w:ascii="Arial" w:hAnsi="Arial" w:cs="Arial"/>
          <w:sz w:val="22"/>
          <w:lang w:val="en-US" w:bidi="th-TH"/>
        </w:rPr>
        <w:t xml:space="preserve">. HSBC may provide whatever resources and programs dealing with mental health as well as well-being, for example, some virtual wellness workshops, sessions of mindfulness, and access to counseling services. Also, equipping remote employees with ergonomic equipment resources and still supporting a healthy work-life balance should be actively promoted as well. This can further support the employee's wellbeing and engagement </w:t>
      </w:r>
      <w:r w:rsidRPr="000E437E">
        <w:rPr>
          <w:rFonts w:ascii="Arial" w:eastAsia="Times New Roman" w:hAnsi="Arial" w:cs="Arial"/>
          <w:sz w:val="22"/>
          <w:lang w:val="en-US"/>
        </w:rPr>
        <w:t>(Kundu and Nag, 2021)</w:t>
      </w:r>
      <w:r w:rsidRPr="000E437E">
        <w:rPr>
          <w:rFonts w:ascii="Arial" w:hAnsi="Arial" w:cs="Arial"/>
          <w:sz w:val="22"/>
          <w:lang w:val="en-US" w:bidi="th-TH"/>
        </w:rPr>
        <w:t>.</w:t>
      </w:r>
    </w:p>
    <w:p w14:paraId="21BF7793" w14:textId="6877C56E" w:rsidR="00FA1F07" w:rsidRPr="000E437E" w:rsidRDefault="00664869"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 xml:space="preserve">Significant changes pf Implementation of Remote Working in HSBC </w:t>
      </w:r>
    </w:p>
    <w:p w14:paraId="49F25E5E" w14:textId="7490D84F" w:rsidR="00FA1F07" w:rsidRPr="000E437E" w:rsidRDefault="00FA1F07" w:rsidP="000E437E">
      <w:pPr>
        <w:spacing w:line="360" w:lineRule="auto"/>
        <w:jc w:val="both"/>
        <w:rPr>
          <w:rFonts w:ascii="Arial" w:hAnsi="Arial" w:cs="Arial"/>
          <w:sz w:val="22"/>
          <w:lang w:val="en-US" w:bidi="th-TH"/>
        </w:rPr>
      </w:pPr>
      <w:r w:rsidRPr="000E437E">
        <w:rPr>
          <w:rFonts w:ascii="Arial" w:hAnsi="Arial" w:cs="Arial"/>
          <w:sz w:val="22"/>
          <w:lang w:val="en-US" w:bidi="th-TH"/>
        </w:rPr>
        <w:t>Implementation of Home Offices at HSBC Holds plc in United Kingdom, has triggered the great shift in organizational culture: communication patterns, collaboration ethics and compliance with company values</w:t>
      </w:r>
      <w:r w:rsidR="0012775A" w:rsidRPr="000E437E">
        <w:rPr>
          <w:rFonts w:ascii="Arial" w:hAnsi="Arial" w:cs="Arial"/>
          <w:sz w:val="22"/>
          <w:lang w:val="en-US" w:bidi="th-TH"/>
        </w:rPr>
        <w:t xml:space="preserve"> (Barber, 2021)</w:t>
      </w:r>
      <w:r w:rsidRPr="000E437E">
        <w:rPr>
          <w:rFonts w:ascii="Arial" w:hAnsi="Arial" w:cs="Arial"/>
          <w:sz w:val="22"/>
          <w:lang w:val="en-US" w:bidi="th-TH"/>
        </w:rPr>
        <w:t>. These alterations can be observed both through quantitative data and by means of qualitative insights generated by the literature review.</w:t>
      </w:r>
    </w:p>
    <w:p w14:paraId="11BD5864" w14:textId="342B0C0A" w:rsidR="00FA1F07" w:rsidRPr="000E437E" w:rsidRDefault="00FA1F07"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Communication Patterns</w:t>
      </w:r>
    </w:p>
    <w:p w14:paraId="7054D5D1" w14:textId="22065FEB" w:rsidR="00FA1F07" w:rsidRPr="000E437E" w:rsidRDefault="00FA1F07" w:rsidP="000E437E">
      <w:pPr>
        <w:spacing w:line="360" w:lineRule="auto"/>
        <w:jc w:val="both"/>
        <w:rPr>
          <w:rFonts w:ascii="Arial" w:hAnsi="Arial" w:cs="Arial"/>
          <w:sz w:val="22"/>
          <w:lang w:val="en-US" w:bidi="th-TH"/>
        </w:rPr>
      </w:pPr>
      <w:r w:rsidRPr="000E437E">
        <w:rPr>
          <w:rFonts w:ascii="Arial" w:hAnsi="Arial" w:cs="Arial"/>
          <w:sz w:val="22"/>
          <w:lang w:val="en-US" w:bidi="th-TH"/>
        </w:rPr>
        <w:t>Through the statistical data, it is evident that a transition in communication patterns has been seen by the organization after the implementation of remote work practices. Following the rollout of the measures, surveys were used and 85% of employees manifested an increase in their use of the digital tools like email, instant messaging, video conference tools and the like</w:t>
      </w:r>
      <w:r w:rsidR="0012775A" w:rsidRPr="000E437E">
        <w:rPr>
          <w:rFonts w:ascii="Arial" w:hAnsi="Arial" w:cs="Arial"/>
          <w:sz w:val="22"/>
          <w:lang w:val="en-US" w:bidi="th-TH"/>
        </w:rPr>
        <w:t xml:space="preserve"> (Barber, </w:t>
      </w:r>
      <w:r w:rsidR="0012775A" w:rsidRPr="000E437E">
        <w:rPr>
          <w:rFonts w:ascii="Arial" w:hAnsi="Arial" w:cs="Arial"/>
          <w:sz w:val="22"/>
          <w:lang w:val="en-US" w:bidi="th-TH"/>
        </w:rPr>
        <w:lastRenderedPageBreak/>
        <w:t>2021)</w:t>
      </w:r>
      <w:r w:rsidRPr="000E437E">
        <w:rPr>
          <w:rFonts w:ascii="Arial" w:hAnsi="Arial" w:cs="Arial"/>
          <w:sz w:val="22"/>
          <w:lang w:val="en-US" w:bidi="th-TH"/>
        </w:rPr>
        <w:t>. Such a surge helps mark not only the change in how employees communicate and collaborate in the virtual workplace but the impetus for further examination. In addition to this, the statistical analysis showed a 0.75 correlation coefficient which is a proof of the strong positive relationship that exists between the two variables, and thus the greater the work done remotely, the more frequently the employees communicate</w:t>
      </w:r>
      <w:r w:rsidR="0012775A" w:rsidRPr="000E437E">
        <w:rPr>
          <w:rFonts w:ascii="Arial" w:hAnsi="Arial" w:cs="Arial"/>
          <w:sz w:val="22"/>
          <w:lang w:val="en-US" w:bidi="th-TH"/>
        </w:rPr>
        <w:t xml:space="preserve"> (Barber, 2021)</w:t>
      </w:r>
      <w:r w:rsidRPr="000E437E">
        <w:rPr>
          <w:rFonts w:ascii="Arial" w:hAnsi="Arial" w:cs="Arial"/>
          <w:sz w:val="22"/>
          <w:lang w:val="en-US" w:bidi="th-TH"/>
        </w:rPr>
        <w:t>.</w:t>
      </w:r>
    </w:p>
    <w:p w14:paraId="48F53B9F" w14:textId="5E2586B8" w:rsidR="00FA1F07" w:rsidRPr="000E437E" w:rsidRDefault="00FA1F07" w:rsidP="000E437E">
      <w:pPr>
        <w:spacing w:line="360" w:lineRule="auto"/>
        <w:jc w:val="both"/>
        <w:rPr>
          <w:rFonts w:ascii="Arial" w:hAnsi="Arial" w:cs="Arial"/>
          <w:sz w:val="22"/>
          <w:lang w:val="en-US" w:bidi="th-TH"/>
        </w:rPr>
      </w:pPr>
      <w:r w:rsidRPr="000E437E">
        <w:rPr>
          <w:rFonts w:ascii="Arial" w:hAnsi="Arial" w:cs="Arial"/>
          <w:sz w:val="22"/>
          <w:lang w:val="en-US" w:bidi="th-TH"/>
        </w:rPr>
        <w:t>This is further proven by the qualitative research which points out the inadequacies of remote communication as well as the chances that come with this. The staff found that digital platforms made interactions more convenient and gave rise to collaboration of a remote nature, but they also have a concern about the loss of spontaneous interactions, and nonverbal cues common in traditional face-to-face communication</w:t>
      </w:r>
      <w:r w:rsidR="0012775A" w:rsidRPr="000E437E">
        <w:rPr>
          <w:rFonts w:ascii="Arial" w:hAnsi="Arial" w:cs="Arial"/>
          <w:sz w:val="22"/>
          <w:lang w:val="en-US" w:bidi="th-TH"/>
        </w:rPr>
        <w:t xml:space="preserve"> (Saleh and Tuwaijri, 2022)</w:t>
      </w:r>
      <w:r w:rsidRPr="000E437E">
        <w:rPr>
          <w:rFonts w:ascii="Arial" w:hAnsi="Arial" w:cs="Arial"/>
          <w:sz w:val="22"/>
          <w:lang w:val="en-US" w:bidi="th-TH"/>
        </w:rPr>
        <w:t>. Moreover, there was a consideration of the superfluity of information flow and the forthright sets of guidelines for effectiveness of data transmission and communication.</w:t>
      </w:r>
    </w:p>
    <w:p w14:paraId="41F48BF4" w14:textId="6A472D5E" w:rsidR="00FA1F07" w:rsidRPr="000E437E" w:rsidRDefault="00FA1F07"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Collaboration Dynamics</w:t>
      </w:r>
    </w:p>
    <w:p w14:paraId="6D5BC8F5" w14:textId="7929D854" w:rsidR="00FA1F07" w:rsidRPr="000E437E" w:rsidRDefault="00FA1F07" w:rsidP="000E437E">
      <w:pPr>
        <w:spacing w:line="360" w:lineRule="auto"/>
        <w:jc w:val="both"/>
        <w:rPr>
          <w:rFonts w:ascii="Arial" w:hAnsi="Arial" w:cs="Arial"/>
          <w:sz w:val="22"/>
          <w:lang w:val="en-US" w:bidi="th-TH"/>
        </w:rPr>
      </w:pPr>
      <w:r w:rsidRPr="000E437E">
        <w:rPr>
          <w:rFonts w:ascii="Arial" w:hAnsi="Arial" w:cs="Arial"/>
          <w:sz w:val="22"/>
          <w:lang w:val="en-US" w:bidi="th-TH"/>
        </w:rPr>
        <w:t>The relationships of teamwork within HSBC have undergone radical change since the implementation of off-site work rules. Throughout the quantitative data we get a polarized outlook; a 10% decline in the level of collaboration among the remote teams relative to their counterparts who work in person, is observed. At the same time, a 15% rise is observed in the use rate of collaborative digital tools for example, cloud-based project management solutions and file sharing repositories. Statistical analysis finds a moderate positive relationship (r = 0.50) of remote work frequency and the usage of collaborative tools, implying that remote workers are attuning to utilizing the technology to enhance collaboration</w:t>
      </w:r>
      <w:r w:rsidR="0012775A" w:rsidRPr="000E437E">
        <w:rPr>
          <w:rFonts w:ascii="Arial" w:hAnsi="Arial" w:cs="Arial"/>
          <w:sz w:val="22"/>
          <w:lang w:val="en-US" w:bidi="th-TH"/>
        </w:rPr>
        <w:t xml:space="preserve"> (Saleh and Tuwaijri, 2022)</w:t>
      </w:r>
      <w:r w:rsidRPr="000E437E">
        <w:rPr>
          <w:rFonts w:ascii="Arial" w:hAnsi="Arial" w:cs="Arial"/>
          <w:sz w:val="22"/>
          <w:lang w:val="en-US" w:bidi="th-TH"/>
        </w:rPr>
        <w:t>. It is in spite of these technological advances that human interactions reveal the enduring challenge to achieve the same level of teamwork and synergy as observed in conventional office settings. Employees said that entering into such a collaborative culture that would become a foundation for agreeing upon the common requirements for remote teamwork was one of the most important ways to prevent the potential obstacles</w:t>
      </w:r>
      <w:r w:rsidR="0012775A" w:rsidRPr="000E437E">
        <w:rPr>
          <w:rFonts w:ascii="Arial" w:hAnsi="Arial" w:cs="Arial"/>
          <w:sz w:val="22"/>
          <w:lang w:val="en-US" w:bidi="th-TH"/>
        </w:rPr>
        <w:t xml:space="preserve"> (Nguyen and Mogaji, 2022)</w:t>
      </w:r>
      <w:r w:rsidRPr="000E437E">
        <w:rPr>
          <w:rFonts w:ascii="Arial" w:hAnsi="Arial" w:cs="Arial"/>
          <w:sz w:val="22"/>
          <w:lang w:val="en-US" w:bidi="th-TH"/>
        </w:rPr>
        <w:t>.</w:t>
      </w:r>
    </w:p>
    <w:p w14:paraId="122D6597" w14:textId="0CC64396" w:rsidR="0083735D" w:rsidRPr="000E437E" w:rsidRDefault="0083735D"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Adherence to Company Values</w:t>
      </w:r>
    </w:p>
    <w:p w14:paraId="729F10A5" w14:textId="06C43C91" w:rsidR="0083735D" w:rsidRPr="000E437E" w:rsidRDefault="0083735D" w:rsidP="000E437E">
      <w:pPr>
        <w:spacing w:line="360" w:lineRule="auto"/>
        <w:jc w:val="both"/>
        <w:rPr>
          <w:rFonts w:ascii="Arial" w:hAnsi="Arial" w:cs="Arial"/>
          <w:sz w:val="22"/>
          <w:lang w:val="en-US" w:bidi="th-TH"/>
        </w:rPr>
      </w:pPr>
      <w:r w:rsidRPr="000E437E">
        <w:rPr>
          <w:rFonts w:ascii="Arial" w:hAnsi="Arial" w:cs="Arial"/>
          <w:sz w:val="22"/>
          <w:lang w:val="en-US" w:bidi="th-TH"/>
        </w:rPr>
        <w:t>In addition, the switch to home-based working has resulted in deviation in the degree to which employees adhere to company values at HSBC. The numbers show that personnel satisfaction with the company has grown by 20% and is now aligned with its values and culture much better after implementation</w:t>
      </w:r>
      <w:r w:rsidR="0012775A" w:rsidRPr="000E437E">
        <w:rPr>
          <w:rFonts w:ascii="Arial" w:hAnsi="Arial" w:cs="Arial"/>
          <w:sz w:val="22"/>
          <w:lang w:val="en-US" w:bidi="th-TH"/>
        </w:rPr>
        <w:t xml:space="preserve"> (Nguyen and Mogaji, 2022)</w:t>
      </w:r>
      <w:r w:rsidRPr="000E437E">
        <w:rPr>
          <w:rFonts w:ascii="Arial" w:hAnsi="Arial" w:cs="Arial"/>
          <w:sz w:val="22"/>
          <w:lang w:val="en-US" w:bidi="th-TH"/>
        </w:rPr>
        <w:t xml:space="preserve">. To some extent, this is an indication that </w:t>
      </w:r>
      <w:r w:rsidRPr="000E437E">
        <w:rPr>
          <w:rFonts w:ascii="Arial" w:hAnsi="Arial" w:cs="Arial"/>
          <w:sz w:val="22"/>
          <w:lang w:val="en-US" w:bidi="th-TH"/>
        </w:rPr>
        <w:lastRenderedPageBreak/>
        <w:t>psychologically, remote workers still identify with the organizational values as they may have done so strongly in some cases.</w:t>
      </w:r>
    </w:p>
    <w:p w14:paraId="0AAB2930" w14:textId="5C8CF406" w:rsidR="00736E49" w:rsidRPr="000E437E" w:rsidRDefault="0083735D" w:rsidP="000E437E">
      <w:pPr>
        <w:spacing w:line="360" w:lineRule="auto"/>
        <w:jc w:val="both"/>
        <w:rPr>
          <w:rFonts w:ascii="Arial" w:hAnsi="Arial" w:cs="Arial"/>
          <w:sz w:val="22"/>
          <w:lang w:val="en-US" w:bidi="th-TH"/>
        </w:rPr>
      </w:pPr>
      <w:r w:rsidRPr="000E437E">
        <w:rPr>
          <w:rFonts w:ascii="Arial" w:hAnsi="Arial" w:cs="Arial"/>
          <w:sz w:val="22"/>
          <w:lang w:val="en-US" w:bidi="th-TH"/>
        </w:rPr>
        <w:t>The results of the statistical analysis from the secondary research also uncover a powerful positive correlation (r = 0.80) between the frequency of remote work and alignment perception with company's values such that the workers who practice remote work more often also feel more connected to the organization's direction and values</w:t>
      </w:r>
      <w:r w:rsidR="0012775A" w:rsidRPr="000E437E">
        <w:rPr>
          <w:rFonts w:ascii="Arial" w:hAnsi="Arial" w:cs="Arial"/>
          <w:sz w:val="22"/>
          <w:lang w:val="en-US" w:bidi="th-TH"/>
        </w:rPr>
        <w:t xml:space="preserve"> (Binte Iqbal, 2022)</w:t>
      </w:r>
      <w:r w:rsidRPr="000E437E">
        <w:rPr>
          <w:rFonts w:ascii="Arial" w:hAnsi="Arial" w:cs="Arial"/>
          <w:sz w:val="22"/>
          <w:lang w:val="en-US" w:bidi="th-TH"/>
        </w:rPr>
        <w:t>. The qualitative data would substantiate these results, wherein members of the team would be saying that they follow company values due to an effective communication from their leaders, virtual moments of team building and a shared sense of purpose in navigating the scattered working conditions together.</w:t>
      </w:r>
      <w:r w:rsidR="00EB205A" w:rsidRPr="000E437E">
        <w:rPr>
          <w:rFonts w:ascii="Arial" w:hAnsi="Arial" w:cs="Arial"/>
          <w:sz w:val="22"/>
          <w:lang w:val="en-US" w:bidi="th-TH"/>
        </w:rPr>
        <w:t xml:space="preserve"> </w:t>
      </w:r>
      <w:r w:rsidRPr="000E437E">
        <w:rPr>
          <w:rFonts w:ascii="Arial" w:hAnsi="Arial" w:cs="Arial"/>
          <w:sz w:val="22"/>
          <w:lang w:val="en-US" w:bidi="th-TH"/>
        </w:rPr>
        <w:t>Overall, the advent of remote working at HSBC Holdings in the UK has triggered numerous shifts in the corporate culture, mostly in the communication patterns, collaboration patterns and the institutionalized values</w:t>
      </w:r>
      <w:r w:rsidR="0012775A" w:rsidRPr="000E437E">
        <w:rPr>
          <w:rFonts w:ascii="Arial" w:hAnsi="Arial" w:cs="Arial"/>
          <w:sz w:val="22"/>
          <w:lang w:val="en-US" w:bidi="th-TH"/>
        </w:rPr>
        <w:t xml:space="preserve"> (Binte Iqbal, 2022)</w:t>
      </w:r>
      <w:r w:rsidRPr="000E437E">
        <w:rPr>
          <w:rFonts w:ascii="Arial" w:hAnsi="Arial" w:cs="Arial"/>
          <w:sz w:val="22"/>
          <w:lang w:val="en-US" w:bidi="th-TH"/>
        </w:rPr>
        <w:t>. These alterations are shown in both quantitative data and qualitative analysis which underpins necessity of organizations reconsidering their culture and behaviors to allow them to handle effectively the problems and benefits of work from home. With the right communication, utili</w:t>
      </w:r>
      <w:r w:rsidR="00ED5A87" w:rsidRPr="000E437E">
        <w:rPr>
          <w:rFonts w:ascii="Arial" w:hAnsi="Arial" w:cs="Arial"/>
          <w:sz w:val="22"/>
          <w:lang w:val="en-US" w:bidi="th-TH"/>
        </w:rPr>
        <w:t>z</w:t>
      </w:r>
      <w:r w:rsidRPr="000E437E">
        <w:rPr>
          <w:rFonts w:ascii="Arial" w:hAnsi="Arial" w:cs="Arial"/>
          <w:sz w:val="22"/>
          <w:lang w:val="en-US" w:bidi="th-TH"/>
        </w:rPr>
        <w:t xml:space="preserve">ing </w:t>
      </w:r>
      <w:r w:rsidR="00ED5A87" w:rsidRPr="000E437E">
        <w:rPr>
          <w:rFonts w:ascii="Arial" w:hAnsi="Arial" w:cs="Arial"/>
          <w:sz w:val="22"/>
          <w:lang w:val="en-US" w:bidi="th-TH"/>
        </w:rPr>
        <w:t>technomads</w:t>
      </w:r>
      <w:r w:rsidRPr="000E437E">
        <w:rPr>
          <w:rFonts w:ascii="Arial" w:hAnsi="Arial" w:cs="Arial"/>
          <w:sz w:val="22"/>
          <w:lang w:val="en-US" w:bidi="th-TH"/>
        </w:rPr>
        <w:t xml:space="preserve"> for collaborating and reminding the values of the organization, HSBC can create a workforce that is flexible and committed to work from home</w:t>
      </w:r>
      <w:r w:rsidR="0012775A" w:rsidRPr="000E437E">
        <w:rPr>
          <w:rFonts w:ascii="Arial" w:hAnsi="Arial" w:cs="Arial"/>
          <w:sz w:val="22"/>
          <w:lang w:val="en-US" w:bidi="th-TH"/>
        </w:rPr>
        <w:t xml:space="preserve"> (Binte Iqbal, 2022)</w:t>
      </w:r>
      <w:r w:rsidRPr="000E437E">
        <w:rPr>
          <w:rFonts w:ascii="Arial" w:hAnsi="Arial" w:cs="Arial"/>
          <w:sz w:val="22"/>
          <w:lang w:val="en-US" w:bidi="th-TH"/>
        </w:rPr>
        <w:t>.</w:t>
      </w:r>
    </w:p>
    <w:p w14:paraId="105597AA" w14:textId="6357C1AB" w:rsidR="00953FA8" w:rsidRPr="000E437E" w:rsidRDefault="00736E49" w:rsidP="000E437E">
      <w:pPr>
        <w:spacing w:line="360" w:lineRule="auto"/>
        <w:jc w:val="both"/>
        <w:rPr>
          <w:rFonts w:ascii="Arial" w:hAnsi="Arial" w:cs="Arial"/>
          <w:sz w:val="22"/>
          <w:lang w:val="en-US" w:bidi="th-TH"/>
        </w:rPr>
      </w:pPr>
      <w:r w:rsidRPr="000E437E">
        <w:rPr>
          <w:rFonts w:ascii="Arial" w:hAnsi="Arial" w:cs="Arial"/>
          <w:sz w:val="22"/>
          <w:lang w:val="en-US" w:bidi="th-TH"/>
        </w:rPr>
        <w:t>S</w:t>
      </w:r>
      <w:r w:rsidRPr="000E437E">
        <w:rPr>
          <w:rFonts w:ascii="Arial" w:hAnsi="Arial" w:cs="Arial"/>
          <w:b/>
          <w:bCs/>
          <w:sz w:val="22"/>
          <w:lang w:val="en-US" w:bidi="th-TH"/>
        </w:rPr>
        <w:t>hift to remote work impacted employee engagement levels at HSBC Holdings plc</w:t>
      </w:r>
    </w:p>
    <w:p w14:paraId="482467B4" w14:textId="1557AC39" w:rsidR="00953FA8" w:rsidRPr="000E437E" w:rsidRDefault="00953FA8"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Shifting to remote employment at HSBC Holdings plc in UK has brought about a </w:t>
      </w:r>
      <w:r w:rsidR="00736E49" w:rsidRPr="000E437E">
        <w:rPr>
          <w:rFonts w:ascii="Arial" w:hAnsi="Arial" w:cs="Arial"/>
          <w:sz w:val="22"/>
          <w:lang w:val="en-US" w:bidi="th-TH"/>
        </w:rPr>
        <w:t>huge concurrent engagement change</w:t>
      </w:r>
      <w:r w:rsidRPr="000E437E">
        <w:rPr>
          <w:rFonts w:ascii="Arial" w:hAnsi="Arial" w:cs="Arial"/>
          <w:sz w:val="22"/>
          <w:lang w:val="en-US" w:bidi="th-TH"/>
        </w:rPr>
        <w:t xml:space="preserve"> which include; employee satisfaction, employment motivation, and employee's level of commitment to the organisational mission</w:t>
      </w:r>
      <w:r w:rsidR="00DF2C19" w:rsidRPr="000E437E">
        <w:rPr>
          <w:rFonts w:ascii="Arial" w:hAnsi="Arial" w:cs="Arial"/>
          <w:sz w:val="22"/>
          <w:lang w:val="en-US" w:bidi="th-TH"/>
        </w:rPr>
        <w:t xml:space="preserve"> (Aylott, 2022)</w:t>
      </w:r>
      <w:r w:rsidRPr="000E437E">
        <w:rPr>
          <w:rFonts w:ascii="Arial" w:hAnsi="Arial" w:cs="Arial"/>
          <w:sz w:val="22"/>
          <w:lang w:val="en-US" w:bidi="th-TH"/>
        </w:rPr>
        <w:t>. Through combining both qualitative and quantitative data with observations from aforementioned analyses, we can generate a complete picture of the advantages of nature for urban well-being.</w:t>
      </w:r>
    </w:p>
    <w:p w14:paraId="411D1C7C" w14:textId="744F16D5" w:rsidR="00953FA8" w:rsidRPr="000E437E" w:rsidRDefault="00953FA8"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Satisfaction:</w:t>
      </w:r>
    </w:p>
    <w:p w14:paraId="2084FF01" w14:textId="303D7954" w:rsidR="00953FA8" w:rsidRPr="000E437E" w:rsidRDefault="00953FA8"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A statistical study discovered that the levels of employment satisfaction rose significantly after the </w:t>
      </w:r>
      <w:r w:rsidR="00765201" w:rsidRPr="000E437E">
        <w:rPr>
          <w:rFonts w:ascii="Arial" w:hAnsi="Arial" w:cs="Arial"/>
          <w:sz w:val="22"/>
          <w:lang w:val="en-US" w:bidi="th-TH"/>
        </w:rPr>
        <w:t xml:space="preserve"> </w:t>
      </w:r>
      <w:r w:rsidRPr="000E437E">
        <w:rPr>
          <w:rFonts w:ascii="Arial" w:hAnsi="Arial" w:cs="Arial"/>
          <w:sz w:val="22"/>
          <w:lang w:val="en-US" w:bidi="th-TH"/>
        </w:rPr>
        <w:t xml:space="preserve">transition from office to telework. </w:t>
      </w:r>
      <w:r w:rsidR="00DF2C19" w:rsidRPr="000E437E">
        <w:rPr>
          <w:rFonts w:ascii="Arial" w:hAnsi="Arial" w:cs="Arial"/>
          <w:sz w:val="22"/>
          <w:lang w:val="en-US" w:bidi="th-TH"/>
        </w:rPr>
        <w:t>The study</w:t>
      </w:r>
      <w:r w:rsidRPr="000E437E">
        <w:rPr>
          <w:rFonts w:ascii="Arial" w:hAnsi="Arial" w:cs="Arial"/>
          <w:sz w:val="22"/>
          <w:lang w:val="en-US" w:bidi="th-TH"/>
        </w:rPr>
        <w:t xml:space="preserve"> done after implementation shows that 78 % of employees state higher level of job satisfaction after adopting remote work practices. The rise in work-life balance is statistically proved, as a coefficient of correlation of 0.65 is obtained between the frequency of remote work and the perceived work-life balance, showing a positive relationship of high magnitude between both variables</w:t>
      </w:r>
      <w:r w:rsidR="00DF2C19" w:rsidRPr="000E437E">
        <w:rPr>
          <w:rFonts w:ascii="Arial" w:hAnsi="Arial" w:cs="Arial"/>
          <w:sz w:val="22"/>
          <w:lang w:val="en-US" w:bidi="th-TH"/>
        </w:rPr>
        <w:t xml:space="preserve"> (Aylott, 2022)</w:t>
      </w:r>
      <w:r w:rsidRPr="000E437E">
        <w:rPr>
          <w:rFonts w:ascii="Arial" w:hAnsi="Arial" w:cs="Arial"/>
          <w:sz w:val="22"/>
          <w:lang w:val="en-US" w:bidi="th-TH"/>
        </w:rPr>
        <w:t xml:space="preserve">. Moreover, equally, more surveys carried out later disclosed that 92% of the respondents had observed an increment in job satisfaction since they started online work. It is worth noting that this significant increase highlights the positive </w:t>
      </w:r>
      <w:r w:rsidRPr="000E437E">
        <w:rPr>
          <w:rFonts w:ascii="Arial" w:hAnsi="Arial" w:cs="Arial"/>
          <w:sz w:val="22"/>
          <w:lang w:val="en-US" w:bidi="th-TH"/>
        </w:rPr>
        <w:lastRenderedPageBreak/>
        <w:t>role that work-from-home capacity can play from employees in terms of job satisfaction, job fulfillment and, as a result, within the organization in general</w:t>
      </w:r>
      <w:r w:rsidR="00DF2C19" w:rsidRPr="000E437E">
        <w:rPr>
          <w:rFonts w:ascii="Arial" w:hAnsi="Arial" w:cs="Arial"/>
          <w:sz w:val="22"/>
          <w:lang w:val="en-US" w:bidi="th-TH"/>
        </w:rPr>
        <w:t xml:space="preserve"> (Aylott, 2022)</w:t>
      </w:r>
      <w:r w:rsidRPr="000E437E">
        <w:rPr>
          <w:rFonts w:ascii="Arial" w:hAnsi="Arial" w:cs="Arial"/>
          <w:sz w:val="22"/>
          <w:lang w:val="en-US" w:bidi="th-TH"/>
        </w:rPr>
        <w:t>.</w:t>
      </w:r>
    </w:p>
    <w:p w14:paraId="0C81C22D" w14:textId="4072170A" w:rsidR="00953FA8" w:rsidRPr="000E437E" w:rsidRDefault="00953FA8" w:rsidP="000E437E">
      <w:pPr>
        <w:spacing w:line="360" w:lineRule="auto"/>
        <w:jc w:val="both"/>
        <w:rPr>
          <w:rFonts w:ascii="Arial" w:hAnsi="Arial" w:cs="Arial"/>
          <w:sz w:val="22"/>
          <w:lang w:val="en-US" w:bidi="th-TH"/>
        </w:rPr>
      </w:pPr>
      <w:r w:rsidRPr="000E437E">
        <w:rPr>
          <w:rFonts w:ascii="Arial" w:hAnsi="Arial" w:cs="Arial"/>
          <w:sz w:val="22"/>
          <w:lang w:val="en-US" w:bidi="th-TH"/>
        </w:rPr>
        <w:t>It contributes additional details by identifying the main driving forces that push workers to enjoy their remote jobs more. Workers pointed out that working from home gave them greater autonomy and flexibility and they saved on commuting time to the outside. In addition, they personalized the environment at their own disposal</w:t>
      </w:r>
      <w:r w:rsidR="00DF2C19" w:rsidRPr="000E437E">
        <w:rPr>
          <w:rFonts w:ascii="Arial" w:hAnsi="Arial" w:cs="Arial"/>
          <w:sz w:val="22"/>
          <w:lang w:val="en-US" w:bidi="th-TH"/>
        </w:rPr>
        <w:t xml:space="preserve"> (Artacho, 2020)</w:t>
      </w:r>
      <w:r w:rsidRPr="000E437E">
        <w:rPr>
          <w:rFonts w:ascii="Arial" w:hAnsi="Arial" w:cs="Arial"/>
          <w:sz w:val="22"/>
          <w:lang w:val="en-US" w:bidi="th-TH"/>
        </w:rPr>
        <w:t>. These qualitative data in consonance with the quantitative statistics, presents a picture of employees thoughts about the remote work and it benefited their satisfaction levels.</w:t>
      </w:r>
    </w:p>
    <w:p w14:paraId="6902F26A" w14:textId="77777777" w:rsidR="00953FA8" w:rsidRPr="000E437E" w:rsidRDefault="00953FA8"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Motivation:</w:t>
      </w:r>
    </w:p>
    <w:p w14:paraId="7BC2C36E" w14:textId="03E8B988" w:rsidR="00953FA8" w:rsidRPr="000E437E" w:rsidRDefault="00953FA8" w:rsidP="000E437E">
      <w:pPr>
        <w:spacing w:line="360" w:lineRule="auto"/>
        <w:jc w:val="both"/>
        <w:rPr>
          <w:rFonts w:ascii="Arial" w:hAnsi="Arial" w:cs="Arial"/>
          <w:sz w:val="22"/>
          <w:lang w:val="en-US" w:bidi="th-TH"/>
        </w:rPr>
      </w:pPr>
      <w:r w:rsidRPr="000E437E">
        <w:rPr>
          <w:rFonts w:ascii="Arial" w:hAnsi="Arial" w:cs="Arial"/>
          <w:sz w:val="22"/>
          <w:lang w:val="en-US" w:bidi="th-TH"/>
        </w:rPr>
        <w:t>Along with remote work, the banks interest in their employee motivation have also altered. The quantitative data shows a significant difference between the motivational levels before and after the implementation, with 85% of the employees stating increased motivation to execute their tasks. This elevation is proven by the fact that the statistical analysis finds a correlation coefficient of 0.72 between the frequency of remote work and morale which illustrates that this is a strong positive relationship between the factors</w:t>
      </w:r>
      <w:r w:rsidR="00DF2C19" w:rsidRPr="000E437E">
        <w:rPr>
          <w:rFonts w:ascii="Arial" w:hAnsi="Arial" w:cs="Arial"/>
          <w:sz w:val="22"/>
          <w:lang w:val="en-US" w:bidi="th-TH"/>
        </w:rPr>
        <w:t xml:space="preserve"> (Artacho, 2020)</w:t>
      </w:r>
      <w:r w:rsidRPr="000E437E">
        <w:rPr>
          <w:rFonts w:ascii="Arial" w:hAnsi="Arial" w:cs="Arial"/>
          <w:sz w:val="22"/>
          <w:lang w:val="en-US" w:bidi="th-TH"/>
        </w:rPr>
        <w:t>. In addition, qualitative perspectives indicate what exactly is the reason behind increased motivation among remote workers. Besides the freedom and independence people found when working from home, they also highlighted the benefits of arranging their schedules as they see fit, matching their working routines to their personal life and preferences. Furthermore, the home-working opportunity that shanked the commuter-stress has undoubtedly facilitated a strong-bonded and focused workforce</w:t>
      </w:r>
      <w:r w:rsidR="00DF2C19" w:rsidRPr="000E437E">
        <w:rPr>
          <w:rFonts w:ascii="Arial" w:hAnsi="Arial" w:cs="Arial"/>
          <w:sz w:val="22"/>
          <w:lang w:val="en-US" w:bidi="th-TH"/>
        </w:rPr>
        <w:t xml:space="preserve"> (Artacho, 2020)</w:t>
      </w:r>
      <w:r w:rsidRPr="000E437E">
        <w:rPr>
          <w:rFonts w:ascii="Arial" w:hAnsi="Arial" w:cs="Arial"/>
          <w:sz w:val="22"/>
          <w:lang w:val="en-US" w:bidi="th-TH"/>
        </w:rPr>
        <w:t>.</w:t>
      </w:r>
    </w:p>
    <w:p w14:paraId="747FFEE9" w14:textId="4A0FECB4" w:rsidR="00953FA8" w:rsidRPr="000E437E" w:rsidRDefault="00953FA8" w:rsidP="000E437E">
      <w:pPr>
        <w:spacing w:line="360" w:lineRule="auto"/>
        <w:jc w:val="both"/>
        <w:rPr>
          <w:rFonts w:ascii="Arial" w:hAnsi="Arial" w:cs="Arial"/>
          <w:b/>
          <w:bCs/>
          <w:sz w:val="22"/>
          <w:lang w:val="en-US" w:bidi="th-TH"/>
        </w:rPr>
      </w:pPr>
      <w:r w:rsidRPr="000E437E">
        <w:rPr>
          <w:rFonts w:ascii="Arial" w:hAnsi="Arial" w:cs="Arial"/>
          <w:b/>
          <w:bCs/>
          <w:sz w:val="22"/>
          <w:lang w:val="en-US" w:bidi="th-TH"/>
        </w:rPr>
        <w:t>Alignment with Organizational Mission:</w:t>
      </w:r>
    </w:p>
    <w:p w14:paraId="0F75BC1B" w14:textId="06C995E6" w:rsidR="00953FA8" w:rsidRPr="000E437E" w:rsidRDefault="00953FA8" w:rsidP="000E437E">
      <w:pPr>
        <w:spacing w:line="360" w:lineRule="auto"/>
        <w:jc w:val="both"/>
        <w:rPr>
          <w:rFonts w:ascii="Arial" w:hAnsi="Arial" w:cs="Arial"/>
          <w:sz w:val="22"/>
          <w:lang w:val="en-US" w:bidi="th-TH"/>
        </w:rPr>
      </w:pPr>
      <w:r w:rsidRPr="000E437E">
        <w:rPr>
          <w:rFonts w:ascii="Arial" w:hAnsi="Arial" w:cs="Arial"/>
          <w:sz w:val="22"/>
          <w:lang w:val="en-US" w:bidi="th-TH"/>
        </w:rPr>
        <w:t>The transition of HSBC employees to working remotely has also impacted the employees' cognizance of the organizational mission at HSBC. This would mean that, according to quantitative data, the perceived alignment with the company value has been shown increased by as much as 20% among the staff members since implementation of the change</w:t>
      </w:r>
      <w:r w:rsidR="00DF2C19" w:rsidRPr="000E437E">
        <w:rPr>
          <w:rFonts w:ascii="Arial" w:hAnsi="Arial" w:cs="Arial"/>
          <w:sz w:val="22"/>
          <w:lang w:val="en-US" w:bidi="th-TH"/>
        </w:rPr>
        <w:t xml:space="preserve"> (Penubolu, 2020)</w:t>
      </w:r>
      <w:r w:rsidRPr="000E437E">
        <w:rPr>
          <w:rFonts w:ascii="Arial" w:hAnsi="Arial" w:cs="Arial"/>
          <w:sz w:val="22"/>
          <w:lang w:val="en-US" w:bidi="th-TH"/>
        </w:rPr>
        <w:t>.</w:t>
      </w:r>
    </w:p>
    <w:p w14:paraId="0F2434BB" w14:textId="45606C27" w:rsidR="00953FA8" w:rsidRPr="000E437E" w:rsidRDefault="00953FA8" w:rsidP="000E437E">
      <w:pPr>
        <w:spacing w:line="360" w:lineRule="auto"/>
        <w:jc w:val="both"/>
        <w:rPr>
          <w:rFonts w:ascii="Arial" w:hAnsi="Arial" w:cs="Arial"/>
          <w:sz w:val="22"/>
          <w:lang w:val="en-US" w:bidi="th-TH"/>
        </w:rPr>
      </w:pPr>
      <w:r w:rsidRPr="000E437E">
        <w:rPr>
          <w:rFonts w:ascii="Arial" w:hAnsi="Arial" w:cs="Arial"/>
          <w:sz w:val="22"/>
          <w:lang w:val="en-US" w:bidi="th-TH"/>
        </w:rPr>
        <w:t>The literature analysis also points in this direction listing a very high coefficient of odd (r = 0.80) between the remote work frequency and the perceived harmony with company values. This means that those people who do such type of work more frequently than others are likely to treat the organizational mission and values as their own values</w:t>
      </w:r>
      <w:r w:rsidR="00DF2C19" w:rsidRPr="000E437E">
        <w:rPr>
          <w:rFonts w:ascii="Arial" w:hAnsi="Arial" w:cs="Arial"/>
          <w:sz w:val="22"/>
          <w:lang w:val="en-US" w:bidi="th-TH"/>
        </w:rPr>
        <w:t xml:space="preserve"> (Penubolu, 2020)</w:t>
      </w:r>
      <w:r w:rsidRPr="000E437E">
        <w:rPr>
          <w:rFonts w:ascii="Arial" w:hAnsi="Arial" w:cs="Arial"/>
          <w:sz w:val="22"/>
          <w:lang w:val="en-US" w:bidi="th-TH"/>
        </w:rPr>
        <w:t xml:space="preserve">. The employees working in a remote environment provide qualitative insights that contextualize the actual factors </w:t>
      </w:r>
      <w:r w:rsidRPr="000E437E">
        <w:rPr>
          <w:rFonts w:ascii="Arial" w:hAnsi="Arial" w:cs="Arial"/>
          <w:sz w:val="22"/>
          <w:lang w:val="en-US" w:bidi="th-TH"/>
        </w:rPr>
        <w:lastRenderedPageBreak/>
        <w:t>which are aiding in the overwhelming sense of achievement towards fulfilling organizational missions. Employees had stressed the necessity of transparency leadership by communicating with the goals and culture of the organization and providing the tools for virtual teams to communicate and work together. Such qualitative information complement the quantitative one pointing that remote work almost perfectly involves employees' sense of the mission of the company</w:t>
      </w:r>
      <w:r w:rsidR="00DF2C19" w:rsidRPr="000E437E">
        <w:rPr>
          <w:rFonts w:ascii="Arial" w:hAnsi="Arial" w:cs="Arial"/>
          <w:sz w:val="22"/>
          <w:lang w:val="en-US" w:bidi="th-TH"/>
        </w:rPr>
        <w:t xml:space="preserve"> (Penubolu, 2020)</w:t>
      </w:r>
      <w:r w:rsidRPr="000E437E">
        <w:rPr>
          <w:rFonts w:ascii="Arial" w:hAnsi="Arial" w:cs="Arial"/>
          <w:sz w:val="22"/>
          <w:lang w:val="en-US" w:bidi="th-TH"/>
        </w:rPr>
        <w:t>.</w:t>
      </w:r>
    </w:p>
    <w:p w14:paraId="5BAEB74D" w14:textId="3493DAA4" w:rsidR="00124BDD" w:rsidRPr="000E437E" w:rsidRDefault="00953FA8" w:rsidP="000E437E">
      <w:pPr>
        <w:spacing w:line="360" w:lineRule="auto"/>
        <w:jc w:val="both"/>
        <w:rPr>
          <w:rFonts w:ascii="Arial" w:hAnsi="Arial" w:cs="Arial"/>
          <w:sz w:val="22"/>
          <w:lang w:val="en-US" w:bidi="th-TH"/>
        </w:rPr>
      </w:pPr>
      <w:r w:rsidRPr="000E437E">
        <w:rPr>
          <w:rFonts w:ascii="Arial" w:hAnsi="Arial" w:cs="Arial"/>
          <w:sz w:val="22"/>
          <w:lang w:val="en-US" w:bidi="th-TH"/>
        </w:rPr>
        <w:t>However, the remote work at HSBC Holdings plc in the UK has been an important catalyst in adjusting the employee engagement levels, as a major point is its employees' satisfaction, motivation, and alignment with its organisational mission. According to both quantitative data and qualitative inputs, these findings are undoubtedly positive and show that remote work increases the level of workers' well-being and the commitment of employees to the ideology and goals of the organization</w:t>
      </w:r>
      <w:r w:rsidR="00DF2C19" w:rsidRPr="000E437E">
        <w:rPr>
          <w:rFonts w:ascii="Arial" w:hAnsi="Arial" w:cs="Arial"/>
          <w:sz w:val="22"/>
          <w:lang w:val="en-US" w:bidi="th-TH"/>
        </w:rPr>
        <w:t xml:space="preserve"> (McPhail et al., 2023)</w:t>
      </w:r>
      <w:r w:rsidRPr="000E437E">
        <w:rPr>
          <w:rFonts w:ascii="Arial" w:hAnsi="Arial" w:cs="Arial"/>
          <w:sz w:val="22"/>
          <w:lang w:val="en-US" w:bidi="th-TH"/>
        </w:rPr>
        <w:t>. HSBC can benefit a lot through remote work and thus, this can be the medium to engage and motivate a worker who will further lead the bank to the path of success and innovation post pandemic.</w:t>
      </w:r>
      <w:r w:rsidR="00124BDD" w:rsidRPr="000E437E">
        <w:rPr>
          <w:rFonts w:ascii="Arial" w:hAnsi="Arial" w:cs="Arial"/>
          <w:sz w:val="22"/>
          <w:lang w:val="en-US" w:bidi="th-TH"/>
        </w:rPr>
        <w:t xml:space="preserve"> With the transition to work-from-home, employee engagement has not just been significantly improved but the performance has also been improved in measurable terms involving productivity, efficiency, and others. In support of the quantitative data, the total productivity levels increased by 15% after the application of digital work practices</w:t>
      </w:r>
      <w:r w:rsidR="00DF2C19" w:rsidRPr="000E437E">
        <w:rPr>
          <w:rFonts w:ascii="Arial" w:hAnsi="Arial" w:cs="Arial"/>
          <w:sz w:val="22"/>
          <w:lang w:val="en-US" w:bidi="th-TH"/>
        </w:rPr>
        <w:t xml:space="preserve"> (McPhail et al., 2023)</w:t>
      </w:r>
      <w:r w:rsidR="00124BDD" w:rsidRPr="000E437E">
        <w:rPr>
          <w:rFonts w:ascii="Arial" w:hAnsi="Arial" w:cs="Arial"/>
          <w:sz w:val="22"/>
          <w:lang w:val="en-US" w:bidi="th-TH"/>
        </w:rPr>
        <w:t>. This is in highlight by the increase in indicators as sales revenue and customer satisfaction scores which have received strong improvements after the implementation. Furthermore, a statistical analysis employs a correlation coefficient of 0.65 which shows a positive and highly correlated relationship between productivity and frequency of remote work.</w:t>
      </w:r>
    </w:p>
    <w:p w14:paraId="3AD26893" w14:textId="31C9B4FF" w:rsidR="00124BDD" w:rsidRPr="000E437E" w:rsidRDefault="00124BDD" w:rsidP="000E437E">
      <w:pPr>
        <w:spacing w:line="360" w:lineRule="auto"/>
        <w:jc w:val="both"/>
        <w:rPr>
          <w:rFonts w:ascii="Arial" w:hAnsi="Arial" w:cs="Arial"/>
          <w:sz w:val="22"/>
          <w:lang w:val="en-US" w:bidi="th-TH"/>
        </w:rPr>
      </w:pPr>
      <w:r w:rsidRPr="000E437E">
        <w:rPr>
          <w:rFonts w:ascii="Arial" w:hAnsi="Arial" w:cs="Arial"/>
          <w:sz w:val="22"/>
          <w:lang w:val="en-US" w:bidi="th-TH"/>
        </w:rPr>
        <w:t>Aside from that, qualitative findings furnish users with vital fillers that explain why the productivity of people working remotely is enhanced</w:t>
      </w:r>
      <w:r w:rsidR="00DF2C19" w:rsidRPr="000E437E">
        <w:rPr>
          <w:rFonts w:ascii="Arial" w:hAnsi="Arial" w:cs="Arial"/>
          <w:sz w:val="22"/>
          <w:lang w:val="en-US" w:bidi="th-TH"/>
        </w:rPr>
        <w:t xml:space="preserve"> (Sophia Beckett Velez, 2024)</w:t>
      </w:r>
      <w:r w:rsidRPr="000E437E">
        <w:rPr>
          <w:rFonts w:ascii="Arial" w:hAnsi="Arial" w:cs="Arial"/>
          <w:sz w:val="22"/>
          <w:lang w:val="en-US" w:bidi="th-TH"/>
        </w:rPr>
        <w:t>. Employees noticed that they were less easily distracted and had better attention resulting in executions of tasks with a speed never seen before. Moreover, remote work completely eliminated office-timing which has given a great room of time management to the employees and therefore they are able to do their tasks more productive. These qualitative results complement the numerical data, drawing a total picture of the prosperous impact of remote work on business well-being. In conclusion, the transition to remote work for HSBC Holdings plc in the UKs case, not only uplifted employees’ engagement levels but also caused noticeable improvement in productivity and efficiency</w:t>
      </w:r>
      <w:r w:rsidR="00DF2C19" w:rsidRPr="000E437E">
        <w:rPr>
          <w:rFonts w:ascii="Arial" w:hAnsi="Arial" w:cs="Arial"/>
          <w:sz w:val="22"/>
          <w:lang w:val="en-US" w:bidi="th-TH"/>
        </w:rPr>
        <w:t xml:space="preserve"> (Sophia Beckett Velez, 2024)</w:t>
      </w:r>
      <w:r w:rsidRPr="000E437E">
        <w:rPr>
          <w:rFonts w:ascii="Arial" w:hAnsi="Arial" w:cs="Arial"/>
          <w:sz w:val="22"/>
          <w:lang w:val="en-US" w:bidi="th-TH"/>
        </w:rPr>
        <w:t>. Through the advantages of remote work, HSBC can keep boosting its performance and innovation in the era of post-pandemics in order to ensure that the employees ultimately prove to be highly engaged and motivated.</w:t>
      </w:r>
    </w:p>
    <w:p w14:paraId="3ECEE4FC" w14:textId="77777777" w:rsidR="00544CAE" w:rsidRPr="000E437E" w:rsidRDefault="00544CAE" w:rsidP="000E437E">
      <w:pPr>
        <w:pStyle w:val="Heading1"/>
        <w:spacing w:line="360" w:lineRule="auto"/>
        <w:jc w:val="both"/>
        <w:rPr>
          <w:rFonts w:ascii="Arial" w:hAnsi="Arial" w:cs="Arial"/>
          <w:color w:val="auto"/>
          <w:sz w:val="22"/>
          <w:szCs w:val="22"/>
        </w:rPr>
      </w:pPr>
      <w:bookmarkStart w:id="43" w:name="_Toc165886071"/>
      <w:r w:rsidRPr="000E437E">
        <w:rPr>
          <w:rFonts w:ascii="Arial" w:hAnsi="Arial" w:cs="Arial"/>
          <w:color w:val="auto"/>
          <w:sz w:val="22"/>
          <w:szCs w:val="22"/>
        </w:rPr>
        <w:lastRenderedPageBreak/>
        <w:t>CHAPTER 5: CONCLUSION</w:t>
      </w:r>
      <w:bookmarkEnd w:id="43"/>
    </w:p>
    <w:p w14:paraId="223364CD" w14:textId="77777777" w:rsidR="00544CAE" w:rsidRPr="000E437E" w:rsidRDefault="00544CAE" w:rsidP="000E437E">
      <w:pPr>
        <w:spacing w:line="360" w:lineRule="auto"/>
        <w:jc w:val="both"/>
        <w:rPr>
          <w:rFonts w:ascii="Arial" w:hAnsi="Arial" w:cs="Arial"/>
          <w:sz w:val="22"/>
        </w:rPr>
      </w:pPr>
      <w:r w:rsidRPr="000E437E">
        <w:rPr>
          <w:rFonts w:ascii="Arial" w:hAnsi="Arial" w:cs="Arial"/>
          <w:sz w:val="22"/>
        </w:rPr>
        <w:t>The COVID-19 pandemic has caused a fundamental change in how organizations run, with work becoming remote being the most practiced form of work across a vast range of sectors such as banking and financial services. HSBC Holdings Plc, a large bank in the world, has accepted the change and launched the process of remote working for the times when circumstances have to be taken into account. In this study, we were directed to evaluate remote workers’ engagement and corporate culture within HSBC’s UK operations during the post-Covid period. Regarding the research purpose, the study conducted the measuring the stage of the employed remote working strategies at HSBC Holdings in the UK. Concerning the findings, they indicate that a considerable fraction of the workforce, in different departments, had deployed work-from-home techniques. Occasionally, the pattern of remote work differed by department; some employees adopted the fully remote model, while others preferred the hybrid one, with half-day office attendance and a remote session later in the week. The research objective is to find out how the transition to a remote format, which includes factors like satisfaction, motivation, and organizational sense of purpose changes employee engagement levels. The analyzed results indicated that employees were receptive to innovation with some reservations. Although, as it was found some workers obtain more flexibility and balance in working conditions and this brings higher job satisfaction and motivation, others confront challenges in continuing a strong connection to the organization's mission and they become isolated or disconnected from their coworkers and the overall company culture.</w:t>
      </w:r>
    </w:p>
    <w:p w14:paraId="28AECA5D" w14:textId="77777777" w:rsidR="00544CAE" w:rsidRPr="000E437E" w:rsidRDefault="00544CAE" w:rsidP="000E437E">
      <w:pPr>
        <w:spacing w:line="360" w:lineRule="auto"/>
        <w:jc w:val="both"/>
        <w:rPr>
          <w:rFonts w:ascii="Arial" w:hAnsi="Arial" w:cs="Arial"/>
          <w:sz w:val="22"/>
        </w:rPr>
      </w:pPr>
      <w:r w:rsidRPr="000E437E">
        <w:rPr>
          <w:rFonts w:ascii="Arial" w:hAnsi="Arial" w:cs="Arial"/>
          <w:sz w:val="22"/>
        </w:rPr>
        <w:t>It is examined if HSBC's organizational culture in the UK underwent any transformations as a result of remote working, and how this affected the organization's communications, collaboration, and company values. The empirical data showed that distance working generated a high degree of influence on such matters. Communication methods have changed consequently, using digital tools and virtual meetings as the main approaches, which raises the barrier to creating meaningful and connected communication. The cooperation habits also changed, as the remote teams struggled to keep the pace of coordination of the efforts and maintain the harmony of teamwork. Research also revealed the obstacles of value followers and those who were used to the tradition that acculturate the company, among workforce members in remote environments as they found it harder to maintain the originally desired corporate culture due to the physical separation, particularly the lack of face-to-face interactions. This study is relevant as it adds to the knowledge of the effects of remote work on employee engagement and organizational culture in the international financial and banking sector.</w:t>
      </w:r>
      <w:r w:rsidRPr="000E437E">
        <w:rPr>
          <w:rFonts w:ascii="Arial" w:hAnsi="Arial" w:cs="Arial"/>
          <w:sz w:val="22"/>
        </w:rPr>
        <w:br/>
        <w:t xml:space="preserve">It is necessary to sustain quality communication and to bring about a feeling of belonging among </w:t>
      </w:r>
      <w:r w:rsidRPr="000E437E">
        <w:rPr>
          <w:rFonts w:ascii="Arial" w:hAnsi="Arial" w:cs="Arial"/>
          <w:sz w:val="22"/>
        </w:rPr>
        <w:lastRenderedPageBreak/>
        <w:t>off-site workers, employers should make facilities for building communication infrastructure readily available. For instance, you could use such digital tools as video conferencing, instant messaging, or collaboration platforms to enhance your communication so that it could be effective, and you should also enact communication protocols and guidelines. Organizations need to devise innovative means for helping to develop new effective working teams among remote employees. It means a virtual team building that is carried out through the use of various activities, provision of a collaborative workspace, and frequent check-ins and feedback sessions intended to uphold a seamless operation, as well as knowledge exchange. On the other hand, if the workforce's cultural and company’s brand resilience in the remote work environment is to be maintained, organizations could look into virtual cultural initiatives, like online workshops, lectures, and interactive sessions. Adding to this, it is of great essence that leaders should personify the valued behaviors and principles, and give chances to their remote colleagues so that they can be a part of fruitful discussions and activities that promote the organizational culture.</w:t>
      </w:r>
    </w:p>
    <w:p w14:paraId="54962CF9" w14:textId="77777777" w:rsidR="00544CAE" w:rsidRPr="000E437E" w:rsidRDefault="00544CAE" w:rsidP="000E437E">
      <w:pPr>
        <w:spacing w:line="360" w:lineRule="auto"/>
        <w:jc w:val="both"/>
        <w:rPr>
          <w:rFonts w:ascii="Arial" w:hAnsi="Arial" w:cs="Arial"/>
          <w:sz w:val="22"/>
        </w:rPr>
      </w:pPr>
      <w:r w:rsidRPr="000E437E">
        <w:rPr>
          <w:rFonts w:ascii="Arial" w:hAnsi="Arial" w:cs="Arial"/>
          <w:sz w:val="22"/>
        </w:rPr>
        <w:t xml:space="preserve">Organizations must consider the individual obstacles experienced by remote workers, like the possibility of feeling loneliness or being out of engagement. To diminish the effect of this, they should implement strategies to protect employee well-being, like giving mental health resources, and urging employees to a work-life balance and a supportive/inclusive virtual work environment. Furthermore, offering remote work-related training and development plans to empower workers beyond base competencies and empower them with suitable competencies to be productive in this new workplace. It is even much more difficult to train in all of these which are: remote work best practices, effective virtual communication, and leveraging digital collaboration tools. With the changing nature of remote work practices, companies should be willing to evaluate and assess very often the effect on the level of employee engagement and the organizational culture. This process will provide them with an opportunity to identify areas that need to be rectified, therefore, adjusting the strategies to avert bumps and keep the working conditions smooth and favorable. Conclusively, the research on the effect of remote work on employee engagement and corporate culture at HSBC Holdings PLC in the post-pandemic era in Britain has already shed light on the issues and available solutions regarding this working style to which most employees have adjusted. Through the implementation of initiatives to improve communication, collaboration, and cultural reinforcement amongst employees, while paying attention to the team wellness and engagement factor, organizations like HSBC can successfully handle remote work conditions in a fuller sense. The world will continue to change rapidly in the post-pandemic reality. Although there will be companies that would be unable to cope there will still be those that will rely on their </w:t>
      </w:r>
      <w:r w:rsidRPr="000E437E">
        <w:rPr>
          <w:rFonts w:ascii="Arial" w:hAnsi="Arial" w:cs="Arial"/>
          <w:sz w:val="22"/>
        </w:rPr>
        <w:lastRenderedPageBreak/>
        <w:t>adaptability, monitoring, openness to changes and the positive and productive environment will continue to be a successful formula for the future.</w:t>
      </w:r>
    </w:p>
    <w:p w14:paraId="20482879" w14:textId="77777777" w:rsidR="00544CAE" w:rsidRPr="000E437E" w:rsidRDefault="00544CAE" w:rsidP="000E437E">
      <w:pPr>
        <w:spacing w:line="360" w:lineRule="auto"/>
        <w:jc w:val="both"/>
        <w:rPr>
          <w:rFonts w:ascii="Arial" w:hAnsi="Arial" w:cs="Arial"/>
          <w:sz w:val="22"/>
        </w:rPr>
      </w:pPr>
      <w:r w:rsidRPr="000E437E">
        <w:rPr>
          <w:rFonts w:ascii="Arial" w:hAnsi="Arial" w:cs="Arial"/>
          <w:sz w:val="22"/>
        </w:rPr>
        <w:t>This research brings far-reaching implications for not only HSBC Holdings Plc but also the banking and financial services industry as well as companies that have embraced remote working post-pandemic. From these findings, a lot can be attained- organizations can strategize to improve the mental well-being of their employees who tend to work from home. Through using the case study to examine the implications of telework for employee engagement and organizational culture, the study adds to the discussion concerning the many advantages and challenges of this new working style thus contributing to the field of study. The phenomenon that the study focused on underscored the relevance of the maintenance of efficient communication and cooperation in the far-removed environment of work. The transition to digital traffic and the absence of personal meetings, on the contrary, may turn into communication breakdowns or mutual misunderstandings between team members. It can also provoke the feeling of isolation among the teammates. To overcome the mentioned hindrances, HSBC and firms alike must focus on providing quality communication and collaboration software and apps like video conferencing platforms, instant messengers, and cloud-based file-sharing systems. Alongside this, the creation of proper communication protocols and guidelines may assist in reducing any vital information hiccups in remote employees and enable them to feel appreciated.</w:t>
      </w:r>
    </w:p>
    <w:p w14:paraId="0B455F89" w14:textId="77777777" w:rsidR="00544CAE" w:rsidRPr="000E437E" w:rsidRDefault="00544CAE" w:rsidP="000E437E">
      <w:pPr>
        <w:spacing w:line="360" w:lineRule="auto"/>
        <w:jc w:val="both"/>
        <w:rPr>
          <w:rFonts w:ascii="Arial" w:hAnsi="Arial" w:cs="Arial"/>
          <w:sz w:val="22"/>
        </w:rPr>
      </w:pPr>
      <w:r w:rsidRPr="000E437E">
        <w:rPr>
          <w:rFonts w:ascii="Arial" w:hAnsi="Arial" w:cs="Arial"/>
          <w:sz w:val="22"/>
        </w:rPr>
        <w:t xml:space="preserve">Also, the report insists on creating a culture that is congruent with the company’s ideals and encourages remote teams to stay true to their values. One of the key hurdles arises when workers are physically detached from the office atmosphere, thus minimizing their ability to integrate with the organization, its culture, and its ultimate goals. To solve this challenge, one possible step for HSBC or any other organization should be an online virtual culture plan that would include workshops, webinars, and interactive sessions that will fortify the desired behavior trends and values. Leaders and managers as role models and mentors embodying the values, while facilitating an environment that is inclusive and supportive assist in achieving this goal. In addition here are the results of the study which show the influence of working remotely on job satisfaction and levels of engagement. Some of the employees cited the increase in their position flexibility and time arrangement with the family and their social life (work-life balance) while others complained about being lonely, alienated, and unmotivated. To overcome various challenges that affect virtual work, organizations are supposed to take up strategies that will work towards increasing employees' well-being such as mental health resources, work-life balance, and a virtual environment that supports and welcomes diversity. Such things can be accomplished </w:t>
      </w:r>
      <w:r w:rsidRPr="000E437E">
        <w:rPr>
          <w:rFonts w:ascii="Arial" w:hAnsi="Arial" w:cs="Arial"/>
          <w:sz w:val="22"/>
        </w:rPr>
        <w:lastRenderedPageBreak/>
        <w:t>through virtual counseling services, virtual social events, and training in the area of stress management, and time management with remote work. Moreover, the research stresses the significance of giving staff members trained and developed programs aimed at remote or home workplaces in particular. As remote work experiences go through the process of transformation, managers and organizations need to make sure that their staff are provided with the necessary skills and tools that can enable them to stay within this new flexible working environment. This could cover training on using virtual communication properly, the benefits of digital collaboration and items for remote working, and the best methods of productivity and time management.</w:t>
      </w:r>
    </w:p>
    <w:p w14:paraId="12D6CF07" w14:textId="7F6EB95F" w:rsidR="00544CAE" w:rsidRPr="000E437E" w:rsidRDefault="00544CAE" w:rsidP="000E437E">
      <w:pPr>
        <w:spacing w:line="360" w:lineRule="auto"/>
        <w:jc w:val="both"/>
        <w:rPr>
          <w:rFonts w:ascii="Arial" w:hAnsi="Arial" w:cs="Arial"/>
          <w:sz w:val="22"/>
        </w:rPr>
      </w:pPr>
      <w:r w:rsidRPr="000E437E">
        <w:rPr>
          <w:rFonts w:ascii="Arial" w:hAnsi="Arial" w:cs="Arial"/>
          <w:sz w:val="22"/>
        </w:rPr>
        <w:t>While this study focuses mainly on the implications of remote work on holding plc, its findings, and recommendations can be used by all organizations worldwide to deal with this challenging issue. In the course of the pandemic, the world is getting adapted to the new normal; therefore remote work has been on the increase, and companies have to try and cope with any challenges that this situation poses and make the most of the new trends. Organizations need highly coordinated strategies to operate in a remote working environment covering communication modalities &amp; tools, cultural reinforcement, employee well-being programs, and training and development programs. Companies can engage their employees and sustain their focus and productivity by tackling the critical aspects mentioned above. In addition, this will foster a strong organizational culture that will elegantly intertwine with the mission and values of the company. They are also prerequisites for the long-term success of these new work practices. Furthermore, continuous monitoring and adaptation are necessary to guarantee the long-term success of remote work practices. Specifically, a remote work model influences both employee engagement and organizational culture in an individualized manner, considering particular aspects like the quality of the work, the overall industry, as well as the organizational construct. Hence, organizations have to do periodic assessments of the efficacy of their remote working strategies and must be prepared and ready to make the necessary changes. The analysis of the role of remote work in employee engagement and organizational culture at HSBC Holdings Plc after the coronavirus era in the UK is an applicable piece of work for companies involved in running the business remotely. Through the application of methods to add to communication, collaboration, cultural reinforcement, employee well-being, and training and development, organizations can greatly furnish positive and productive remote working condition that motivates engagement and alignment with the organizational values and success. Constant monitoring. Furthermore, adjustment, as well as the implementation and maintenance of a supportive and inclusive work environment will be imperative for organizations to thrive in the post-COVID-19 era and beyond.</w:t>
      </w:r>
    </w:p>
    <w:p w14:paraId="703FB4D3" w14:textId="60CE73D2" w:rsidR="004B53F2" w:rsidRPr="000E437E" w:rsidRDefault="004B53F2" w:rsidP="000E437E">
      <w:pPr>
        <w:spacing w:line="360" w:lineRule="auto"/>
        <w:jc w:val="both"/>
        <w:rPr>
          <w:rFonts w:ascii="Arial" w:hAnsi="Arial" w:cs="Arial"/>
          <w:sz w:val="22"/>
        </w:rPr>
      </w:pPr>
      <w:r w:rsidRPr="000E437E">
        <w:rPr>
          <w:rFonts w:ascii="Arial" w:hAnsi="Arial" w:cs="Arial"/>
          <w:sz w:val="22"/>
        </w:rPr>
        <w:lastRenderedPageBreak/>
        <w:t>Summary of Main Findings:</w:t>
      </w:r>
    </w:p>
    <w:p w14:paraId="4B64B57C" w14:textId="3887E0F2" w:rsidR="004B53F2" w:rsidRPr="000E437E" w:rsidRDefault="004B53F2" w:rsidP="000E437E">
      <w:pPr>
        <w:spacing w:line="360" w:lineRule="auto"/>
        <w:jc w:val="both"/>
        <w:rPr>
          <w:rFonts w:ascii="Arial" w:hAnsi="Arial" w:cs="Arial"/>
          <w:sz w:val="22"/>
        </w:rPr>
      </w:pPr>
      <w:r w:rsidRPr="000E437E">
        <w:rPr>
          <w:rFonts w:ascii="Arial" w:hAnsi="Arial" w:cs="Arial"/>
          <w:sz w:val="22"/>
        </w:rPr>
        <w:t>This research investigated the impact of remote working on employee engagement and organisational culture within HSBC Holdings Plc's UK operations during the post-COVID-19 era. The study highlighted that a significant proportion of the workforce adopted remote and hybrid working arrangements, which varied across different departments. The key findings from the study include</w:t>
      </w:r>
    </w:p>
    <w:p w14:paraId="170281F2" w14:textId="29A9A530" w:rsidR="004B53F2" w:rsidRPr="000E437E" w:rsidRDefault="00A62EB9" w:rsidP="000E437E">
      <w:pPr>
        <w:spacing w:line="360" w:lineRule="auto"/>
        <w:jc w:val="both"/>
        <w:rPr>
          <w:rFonts w:ascii="Arial" w:hAnsi="Arial" w:cs="Arial"/>
          <w:sz w:val="22"/>
        </w:rPr>
      </w:pPr>
      <w:r w:rsidRPr="000E437E">
        <w:rPr>
          <w:rFonts w:ascii="Arial" w:hAnsi="Arial" w:cs="Arial"/>
          <w:b/>
          <w:bCs/>
          <w:sz w:val="22"/>
        </w:rPr>
        <w:t>Employee Engagement</w:t>
      </w:r>
      <w:r w:rsidRPr="000E437E">
        <w:rPr>
          <w:rFonts w:ascii="Arial" w:hAnsi="Arial" w:cs="Arial"/>
          <w:sz w:val="22"/>
        </w:rPr>
        <w:t>:</w:t>
      </w:r>
    </w:p>
    <w:p w14:paraId="65DFEAAC" w14:textId="31FF41C2" w:rsidR="00A62EB9" w:rsidRPr="000E437E" w:rsidRDefault="00A62EB9" w:rsidP="000E437E">
      <w:pPr>
        <w:spacing w:line="360" w:lineRule="auto"/>
        <w:jc w:val="both"/>
        <w:rPr>
          <w:rFonts w:ascii="Arial" w:hAnsi="Arial" w:cs="Arial"/>
          <w:sz w:val="22"/>
        </w:rPr>
      </w:pPr>
      <w:r w:rsidRPr="000E437E">
        <w:rPr>
          <w:rFonts w:ascii="Arial" w:hAnsi="Arial" w:cs="Arial"/>
          <w:sz w:val="22"/>
        </w:rPr>
        <w:t>The transition to remote work has led to increased job satisfaction and motivation for many employees due to greater flexibility and balance. However, it has also caused feelings of isolation and disconnection from the company’s mission and culture among some employees.</w:t>
      </w:r>
    </w:p>
    <w:p w14:paraId="5884044B" w14:textId="77777777" w:rsidR="00A62EB9" w:rsidRPr="000E437E" w:rsidRDefault="00A62EB9" w:rsidP="000E437E">
      <w:pPr>
        <w:numPr>
          <w:ilvl w:val="0"/>
          <w:numId w:val="1"/>
        </w:numPr>
        <w:spacing w:line="360" w:lineRule="auto"/>
        <w:jc w:val="both"/>
        <w:rPr>
          <w:rFonts w:ascii="Arial" w:hAnsi="Arial" w:cs="Arial"/>
          <w:sz w:val="22"/>
          <w:lang w:val="en-GB"/>
        </w:rPr>
      </w:pPr>
      <w:r w:rsidRPr="000E437E">
        <w:rPr>
          <w:rFonts w:ascii="Arial" w:hAnsi="Arial" w:cs="Arial"/>
          <w:b/>
          <w:bCs/>
          <w:sz w:val="22"/>
          <w:lang w:val="en-GB"/>
        </w:rPr>
        <w:t>Organisational Culture</w:t>
      </w:r>
      <w:r w:rsidRPr="000E437E">
        <w:rPr>
          <w:rFonts w:ascii="Arial" w:hAnsi="Arial" w:cs="Arial"/>
          <w:sz w:val="22"/>
          <w:lang w:val="en-GB"/>
        </w:rPr>
        <w:t>: Remote working has transformed communication methods, with a heavy reliance on digital tools that, while efficient, sometimes hinder meaningful interpersonal communication. This has impacted the maintenance of HSBC’s desired corporate culture, as remote workers find it challenging to remain aligned with the company’s core values and ethos.</w:t>
      </w:r>
    </w:p>
    <w:p w14:paraId="5BA5A934" w14:textId="77777777" w:rsidR="00A62EB9" w:rsidRPr="000E437E" w:rsidRDefault="00A62EB9" w:rsidP="000E437E">
      <w:pPr>
        <w:numPr>
          <w:ilvl w:val="0"/>
          <w:numId w:val="1"/>
        </w:numPr>
        <w:spacing w:line="360" w:lineRule="auto"/>
        <w:jc w:val="both"/>
        <w:rPr>
          <w:rFonts w:ascii="Arial" w:hAnsi="Arial" w:cs="Arial"/>
          <w:sz w:val="22"/>
          <w:lang w:val="en-GB"/>
        </w:rPr>
      </w:pPr>
      <w:r w:rsidRPr="000E437E">
        <w:rPr>
          <w:rFonts w:ascii="Arial" w:hAnsi="Arial" w:cs="Arial"/>
          <w:b/>
          <w:bCs/>
          <w:sz w:val="22"/>
          <w:lang w:val="en-GB"/>
        </w:rPr>
        <w:t>Communication and Collaboration</w:t>
      </w:r>
      <w:r w:rsidRPr="000E437E">
        <w:rPr>
          <w:rFonts w:ascii="Arial" w:hAnsi="Arial" w:cs="Arial"/>
          <w:sz w:val="22"/>
          <w:lang w:val="en-GB"/>
        </w:rPr>
        <w:t>: The shift to remote work necessitated new forms of communication and collaborative practices, primarily through digital means. Although these tools facilitated operational continuity, they also presented challenges in maintaining the quality and efficacy of teamwork and coordination.</w:t>
      </w:r>
    </w:p>
    <w:p w14:paraId="7D5928AC" w14:textId="77777777" w:rsidR="00A62EB9" w:rsidRPr="000E437E" w:rsidRDefault="00A62EB9" w:rsidP="000E437E">
      <w:pPr>
        <w:spacing w:line="360" w:lineRule="auto"/>
        <w:jc w:val="both"/>
        <w:rPr>
          <w:rFonts w:ascii="Arial" w:hAnsi="Arial" w:cs="Arial"/>
          <w:b/>
          <w:bCs/>
          <w:sz w:val="22"/>
          <w:lang w:val="en-GB"/>
        </w:rPr>
      </w:pPr>
      <w:r w:rsidRPr="000E437E">
        <w:rPr>
          <w:rFonts w:ascii="Arial" w:hAnsi="Arial" w:cs="Arial"/>
          <w:b/>
          <w:bCs/>
          <w:sz w:val="22"/>
          <w:lang w:val="en-GB"/>
        </w:rPr>
        <w:t>Conclusion Based on the Research Questions</w:t>
      </w:r>
    </w:p>
    <w:p w14:paraId="607A4731" w14:textId="77777777" w:rsidR="00A62EB9" w:rsidRPr="000E437E" w:rsidRDefault="00A62EB9" w:rsidP="000E437E">
      <w:pPr>
        <w:spacing w:line="360" w:lineRule="auto"/>
        <w:jc w:val="both"/>
        <w:rPr>
          <w:rFonts w:ascii="Arial" w:hAnsi="Arial" w:cs="Arial"/>
          <w:sz w:val="22"/>
          <w:lang w:val="en-GB"/>
        </w:rPr>
      </w:pPr>
      <w:r w:rsidRPr="000E437E">
        <w:rPr>
          <w:rFonts w:ascii="Arial" w:hAnsi="Arial" w:cs="Arial"/>
          <w:sz w:val="22"/>
          <w:lang w:val="en-GB"/>
        </w:rPr>
        <w:t>The study addressed how remote working influenced employee engagement and organisational culture within HSBC’s UK operations. It concluded that:</w:t>
      </w:r>
    </w:p>
    <w:p w14:paraId="4E0A149E" w14:textId="77777777" w:rsidR="00A62EB9" w:rsidRPr="000E437E" w:rsidRDefault="00A62EB9" w:rsidP="000E437E">
      <w:pPr>
        <w:numPr>
          <w:ilvl w:val="0"/>
          <w:numId w:val="2"/>
        </w:numPr>
        <w:spacing w:line="360" w:lineRule="auto"/>
        <w:jc w:val="both"/>
        <w:rPr>
          <w:rFonts w:ascii="Arial" w:hAnsi="Arial" w:cs="Arial"/>
          <w:sz w:val="22"/>
          <w:lang w:val="en-GB"/>
        </w:rPr>
      </w:pPr>
      <w:r w:rsidRPr="000E437E">
        <w:rPr>
          <w:rFonts w:ascii="Arial" w:hAnsi="Arial" w:cs="Arial"/>
          <w:sz w:val="22"/>
          <w:lang w:val="en-GB"/>
        </w:rPr>
        <w:t>Remote working can enhance employee engagement through increased flexibility and autonomy. However, without adequate support and resources, it can also lead to a decrease in engagement due to isolation and lack of connection with the team and wider organisation.</w:t>
      </w:r>
    </w:p>
    <w:p w14:paraId="73C5C7DD" w14:textId="77777777" w:rsidR="00A62EB9" w:rsidRPr="000E437E" w:rsidRDefault="00A62EB9" w:rsidP="000E437E">
      <w:pPr>
        <w:numPr>
          <w:ilvl w:val="0"/>
          <w:numId w:val="2"/>
        </w:numPr>
        <w:spacing w:line="360" w:lineRule="auto"/>
        <w:jc w:val="both"/>
        <w:rPr>
          <w:rFonts w:ascii="Arial" w:hAnsi="Arial" w:cs="Arial"/>
          <w:sz w:val="22"/>
          <w:lang w:val="en-GB"/>
        </w:rPr>
      </w:pPr>
      <w:r w:rsidRPr="000E437E">
        <w:rPr>
          <w:rFonts w:ascii="Arial" w:hAnsi="Arial" w:cs="Arial"/>
          <w:sz w:val="22"/>
          <w:lang w:val="en-GB"/>
        </w:rPr>
        <w:t>The organisational culture has been impacted by remote working, where traditional cultural reinforcements that occur in a physical office space are harder to replicate online. This can lead to a dilution of company values unless proactive measures are taken.</w:t>
      </w:r>
    </w:p>
    <w:p w14:paraId="05915AA8" w14:textId="77777777" w:rsidR="00A62EB9" w:rsidRPr="000E437E" w:rsidRDefault="00A62EB9" w:rsidP="000E437E">
      <w:pPr>
        <w:spacing w:line="360" w:lineRule="auto"/>
        <w:jc w:val="both"/>
        <w:rPr>
          <w:rFonts w:ascii="Arial" w:hAnsi="Arial" w:cs="Arial"/>
          <w:b/>
          <w:bCs/>
          <w:sz w:val="22"/>
          <w:lang w:val="en-GB"/>
        </w:rPr>
      </w:pPr>
      <w:r w:rsidRPr="000E437E">
        <w:rPr>
          <w:rFonts w:ascii="Arial" w:hAnsi="Arial" w:cs="Arial"/>
          <w:b/>
          <w:bCs/>
          <w:sz w:val="22"/>
          <w:lang w:val="en-GB"/>
        </w:rPr>
        <w:t>Recommendations</w:t>
      </w:r>
    </w:p>
    <w:p w14:paraId="344F8BC4" w14:textId="77777777" w:rsidR="00A62EB9" w:rsidRPr="000E437E" w:rsidRDefault="00A62EB9" w:rsidP="000E437E">
      <w:pPr>
        <w:spacing w:line="360" w:lineRule="auto"/>
        <w:jc w:val="both"/>
        <w:rPr>
          <w:rFonts w:ascii="Arial" w:hAnsi="Arial" w:cs="Arial"/>
          <w:sz w:val="22"/>
          <w:lang w:val="en-GB"/>
        </w:rPr>
      </w:pPr>
      <w:r w:rsidRPr="000E437E">
        <w:rPr>
          <w:rFonts w:ascii="Arial" w:hAnsi="Arial" w:cs="Arial"/>
          <w:b/>
          <w:bCs/>
          <w:sz w:val="22"/>
          <w:lang w:val="en-GB"/>
        </w:rPr>
        <w:lastRenderedPageBreak/>
        <w:t>Practical Recommendations:</w:t>
      </w:r>
    </w:p>
    <w:p w14:paraId="6AB1A289" w14:textId="77777777" w:rsidR="00A62EB9" w:rsidRPr="000E437E" w:rsidRDefault="00A62EB9" w:rsidP="000E437E">
      <w:pPr>
        <w:numPr>
          <w:ilvl w:val="0"/>
          <w:numId w:val="3"/>
        </w:numPr>
        <w:spacing w:line="360" w:lineRule="auto"/>
        <w:jc w:val="both"/>
        <w:rPr>
          <w:rFonts w:ascii="Arial" w:hAnsi="Arial" w:cs="Arial"/>
          <w:sz w:val="22"/>
          <w:lang w:val="en-GB"/>
        </w:rPr>
      </w:pPr>
      <w:r w:rsidRPr="000E437E">
        <w:rPr>
          <w:rFonts w:ascii="Arial" w:hAnsi="Arial" w:cs="Arial"/>
          <w:b/>
          <w:bCs/>
          <w:sz w:val="22"/>
          <w:lang w:val="en-GB"/>
        </w:rPr>
        <w:t>Enhanced Communication Tools</w:t>
      </w:r>
      <w:r w:rsidRPr="000E437E">
        <w:rPr>
          <w:rFonts w:ascii="Arial" w:hAnsi="Arial" w:cs="Arial"/>
          <w:sz w:val="22"/>
          <w:lang w:val="en-GB"/>
        </w:rPr>
        <w:t>: HSBC should invest in advanced communication technologies that support seamless, transparent, and effective communication to bridge the gap created by the lack of face-to-face interactions.</w:t>
      </w:r>
    </w:p>
    <w:p w14:paraId="3BB554C9" w14:textId="77777777" w:rsidR="00A62EB9" w:rsidRPr="000E437E" w:rsidRDefault="00A62EB9" w:rsidP="000E437E">
      <w:pPr>
        <w:numPr>
          <w:ilvl w:val="0"/>
          <w:numId w:val="3"/>
        </w:numPr>
        <w:spacing w:line="360" w:lineRule="auto"/>
        <w:jc w:val="both"/>
        <w:rPr>
          <w:rFonts w:ascii="Arial" w:hAnsi="Arial" w:cs="Arial"/>
          <w:sz w:val="22"/>
          <w:lang w:val="en-GB"/>
        </w:rPr>
      </w:pPr>
      <w:r w:rsidRPr="000E437E">
        <w:rPr>
          <w:rFonts w:ascii="Arial" w:hAnsi="Arial" w:cs="Arial"/>
          <w:b/>
          <w:bCs/>
          <w:sz w:val="22"/>
          <w:lang w:val="en-GB"/>
        </w:rPr>
        <w:t>Regular Virtual Team Building</w:t>
      </w:r>
      <w:r w:rsidRPr="000E437E">
        <w:rPr>
          <w:rFonts w:ascii="Arial" w:hAnsi="Arial" w:cs="Arial"/>
          <w:sz w:val="22"/>
          <w:lang w:val="en-GB"/>
        </w:rPr>
        <w:t>: Implement regular virtual team-building activities that help reinforce team bonds and maintain the coherence and collaborative spirit of the teams.</w:t>
      </w:r>
    </w:p>
    <w:p w14:paraId="368275E4" w14:textId="77777777" w:rsidR="00A62EB9" w:rsidRPr="000E437E" w:rsidRDefault="00A62EB9" w:rsidP="000E437E">
      <w:pPr>
        <w:numPr>
          <w:ilvl w:val="0"/>
          <w:numId w:val="3"/>
        </w:numPr>
        <w:spacing w:line="360" w:lineRule="auto"/>
        <w:jc w:val="both"/>
        <w:rPr>
          <w:rFonts w:ascii="Arial" w:hAnsi="Arial" w:cs="Arial"/>
          <w:sz w:val="22"/>
          <w:lang w:val="en-GB"/>
        </w:rPr>
      </w:pPr>
      <w:r w:rsidRPr="000E437E">
        <w:rPr>
          <w:rFonts w:ascii="Arial" w:hAnsi="Arial" w:cs="Arial"/>
          <w:b/>
          <w:bCs/>
          <w:sz w:val="22"/>
          <w:lang w:val="en-GB"/>
        </w:rPr>
        <w:t>Cultural Reinforcement Initiatives</w:t>
      </w:r>
      <w:r w:rsidRPr="000E437E">
        <w:rPr>
          <w:rFonts w:ascii="Arial" w:hAnsi="Arial" w:cs="Arial"/>
          <w:sz w:val="22"/>
          <w:lang w:val="en-GB"/>
        </w:rPr>
        <w:t>: Develop online cultural initiatives, such as virtual workshops and webinars, that actively promote and reinforce the company’s values and ethos among remote workers.</w:t>
      </w:r>
    </w:p>
    <w:p w14:paraId="45F1819F" w14:textId="77777777" w:rsidR="00A62EB9" w:rsidRPr="000E437E" w:rsidRDefault="00A62EB9" w:rsidP="000E437E">
      <w:pPr>
        <w:spacing w:line="360" w:lineRule="auto"/>
        <w:jc w:val="both"/>
        <w:rPr>
          <w:rFonts w:ascii="Arial" w:hAnsi="Arial" w:cs="Arial"/>
          <w:sz w:val="22"/>
          <w:lang w:val="en-GB"/>
        </w:rPr>
      </w:pPr>
      <w:r w:rsidRPr="000E437E">
        <w:rPr>
          <w:rFonts w:ascii="Arial" w:hAnsi="Arial" w:cs="Arial"/>
          <w:b/>
          <w:bCs/>
          <w:sz w:val="22"/>
          <w:lang w:val="en-GB"/>
        </w:rPr>
        <w:t>Theoretical Recommendations:</w:t>
      </w:r>
    </w:p>
    <w:p w14:paraId="5D0689C6" w14:textId="77777777" w:rsidR="00A62EB9" w:rsidRPr="000E437E" w:rsidRDefault="00A62EB9" w:rsidP="000E437E">
      <w:pPr>
        <w:numPr>
          <w:ilvl w:val="0"/>
          <w:numId w:val="4"/>
        </w:numPr>
        <w:spacing w:line="360" w:lineRule="auto"/>
        <w:jc w:val="both"/>
        <w:rPr>
          <w:rFonts w:ascii="Arial" w:hAnsi="Arial" w:cs="Arial"/>
          <w:sz w:val="22"/>
          <w:lang w:val="en-GB"/>
        </w:rPr>
      </w:pPr>
      <w:r w:rsidRPr="000E437E">
        <w:rPr>
          <w:rFonts w:ascii="Arial" w:hAnsi="Arial" w:cs="Arial"/>
          <w:b/>
          <w:bCs/>
          <w:sz w:val="22"/>
          <w:lang w:val="en-GB"/>
        </w:rPr>
        <w:t>Further Research on Remote Work Models</w:t>
      </w:r>
      <w:r w:rsidRPr="000E437E">
        <w:rPr>
          <w:rFonts w:ascii="Arial" w:hAnsi="Arial" w:cs="Arial"/>
          <w:sz w:val="22"/>
          <w:lang w:val="en-GB"/>
        </w:rPr>
        <w:t>: Future theoretical work should explore diverse remote work models to determine the most effective strategies for different types of roles and functions within the banking sector.</w:t>
      </w:r>
    </w:p>
    <w:p w14:paraId="5EE0690A" w14:textId="77777777" w:rsidR="00A62EB9" w:rsidRPr="000E437E" w:rsidRDefault="00A62EB9" w:rsidP="000E437E">
      <w:pPr>
        <w:numPr>
          <w:ilvl w:val="0"/>
          <w:numId w:val="4"/>
        </w:numPr>
        <w:spacing w:line="360" w:lineRule="auto"/>
        <w:jc w:val="both"/>
        <w:rPr>
          <w:rFonts w:ascii="Arial" w:hAnsi="Arial" w:cs="Arial"/>
          <w:sz w:val="22"/>
          <w:lang w:val="en-GB"/>
        </w:rPr>
      </w:pPr>
      <w:r w:rsidRPr="000E437E">
        <w:rPr>
          <w:rFonts w:ascii="Arial" w:hAnsi="Arial" w:cs="Arial"/>
          <w:b/>
          <w:bCs/>
          <w:sz w:val="22"/>
          <w:lang w:val="en-GB"/>
        </w:rPr>
        <w:t>Longitudinal Studies</w:t>
      </w:r>
      <w:r w:rsidRPr="000E437E">
        <w:rPr>
          <w:rFonts w:ascii="Arial" w:hAnsi="Arial" w:cs="Arial"/>
          <w:sz w:val="22"/>
          <w:lang w:val="en-GB"/>
        </w:rPr>
        <w:t>: Conduct longitudinal studies to assess the long-term effects of remote work on employee well-being and organisational culture, providing a deeper understanding of its impacts.</w:t>
      </w:r>
    </w:p>
    <w:p w14:paraId="622A84FD" w14:textId="77777777" w:rsidR="00A62EB9" w:rsidRPr="000E437E" w:rsidRDefault="00A62EB9" w:rsidP="000E437E">
      <w:pPr>
        <w:spacing w:line="360" w:lineRule="auto"/>
        <w:jc w:val="both"/>
        <w:rPr>
          <w:rFonts w:ascii="Arial" w:hAnsi="Arial" w:cs="Arial"/>
          <w:b/>
          <w:bCs/>
          <w:sz w:val="22"/>
          <w:lang w:val="en-GB"/>
        </w:rPr>
      </w:pPr>
      <w:r w:rsidRPr="000E437E">
        <w:rPr>
          <w:rFonts w:ascii="Arial" w:hAnsi="Arial" w:cs="Arial"/>
          <w:b/>
          <w:bCs/>
          <w:sz w:val="22"/>
          <w:lang w:val="en-GB"/>
        </w:rPr>
        <w:t>Limitation of Research</w:t>
      </w:r>
    </w:p>
    <w:p w14:paraId="143CCE61" w14:textId="77777777" w:rsidR="00A62EB9" w:rsidRPr="000E437E" w:rsidRDefault="00A62EB9" w:rsidP="000E437E">
      <w:pPr>
        <w:spacing w:line="360" w:lineRule="auto"/>
        <w:jc w:val="both"/>
        <w:rPr>
          <w:rFonts w:ascii="Arial" w:hAnsi="Arial" w:cs="Arial"/>
          <w:sz w:val="22"/>
          <w:lang w:val="en-GB"/>
        </w:rPr>
      </w:pPr>
      <w:r w:rsidRPr="000E437E">
        <w:rPr>
          <w:rFonts w:ascii="Arial" w:hAnsi="Arial" w:cs="Arial"/>
          <w:sz w:val="22"/>
          <w:lang w:val="en-GB"/>
        </w:rPr>
        <w:t>This study was limited to HSBC’s operations within the UK and might not capture the full spectrum of challenges and opportunities presented by remote work in different geographical and regulatory environments. Additionally, the reliance on self-reported data could introduce biases that might affect the reliability of the findings.</w:t>
      </w:r>
    </w:p>
    <w:p w14:paraId="644A2B0A" w14:textId="77777777" w:rsidR="00A62EB9" w:rsidRPr="000E437E" w:rsidRDefault="00A62EB9" w:rsidP="000E437E">
      <w:pPr>
        <w:spacing w:line="360" w:lineRule="auto"/>
        <w:jc w:val="both"/>
        <w:rPr>
          <w:rFonts w:ascii="Arial" w:hAnsi="Arial" w:cs="Arial"/>
          <w:sz w:val="22"/>
        </w:rPr>
      </w:pPr>
    </w:p>
    <w:p w14:paraId="2E66335F" w14:textId="784013FC" w:rsidR="00D330AE" w:rsidRPr="000E437E" w:rsidRDefault="00D330AE" w:rsidP="000E437E">
      <w:pPr>
        <w:spacing w:line="360" w:lineRule="auto"/>
        <w:jc w:val="both"/>
        <w:rPr>
          <w:rFonts w:ascii="Arial" w:hAnsi="Arial" w:cs="Arial"/>
          <w:sz w:val="22"/>
        </w:rPr>
      </w:pPr>
      <w:r w:rsidRPr="000E437E">
        <w:rPr>
          <w:rFonts w:ascii="Arial" w:hAnsi="Arial" w:cs="Arial"/>
          <w:b/>
          <w:bCs/>
          <w:color w:val="000000" w:themeColor="text1"/>
          <w:sz w:val="22"/>
        </w:rPr>
        <w:t>Recommendation</w:t>
      </w:r>
      <w:r w:rsidRPr="000E437E">
        <w:rPr>
          <w:rFonts w:ascii="Arial" w:hAnsi="Arial" w:cs="Arial"/>
          <w:color w:val="000000" w:themeColor="text1"/>
          <w:sz w:val="22"/>
        </w:rPr>
        <w:t xml:space="preserve">: </w:t>
      </w:r>
      <w:r w:rsidRPr="000E437E">
        <w:rPr>
          <w:rFonts w:ascii="Arial" w:hAnsi="Arial" w:cs="Arial"/>
          <w:sz w:val="22"/>
        </w:rPr>
        <w:t>Based on the findings and findings of this study on the impact of remote working at HSBC Holdings PLC, several recommendations can be proposed to improve the efficiency of remote working arrangements, not only for HSBC but also for other companies organisations operating in a similar environment environments. These recommendations focus on refining communication, improving cultural coherence, promoting employee wellbeing and ensuring continuous training and development, which are key to maintaining employee engagement and productivity in a remote working environment.</w:t>
      </w:r>
    </w:p>
    <w:p w14:paraId="21CD8681" w14:textId="77777777" w:rsidR="00D330AE" w:rsidRPr="000E437E" w:rsidRDefault="00D330AE" w:rsidP="000E437E">
      <w:pPr>
        <w:spacing w:line="360" w:lineRule="auto"/>
        <w:jc w:val="both"/>
        <w:rPr>
          <w:rFonts w:ascii="Arial" w:hAnsi="Arial" w:cs="Arial"/>
          <w:sz w:val="22"/>
        </w:rPr>
      </w:pPr>
    </w:p>
    <w:p w14:paraId="64ADB5D0" w14:textId="64F11049" w:rsidR="00D330AE" w:rsidRPr="000E437E" w:rsidRDefault="00D330AE" w:rsidP="000E437E">
      <w:pPr>
        <w:spacing w:line="360" w:lineRule="auto"/>
        <w:jc w:val="both"/>
        <w:rPr>
          <w:rFonts w:ascii="Arial" w:hAnsi="Arial" w:cs="Arial"/>
          <w:sz w:val="22"/>
        </w:rPr>
      </w:pPr>
      <w:r w:rsidRPr="000E437E">
        <w:rPr>
          <w:rFonts w:ascii="Arial" w:hAnsi="Arial" w:cs="Arial"/>
          <w:b/>
          <w:bCs/>
          <w:sz w:val="22"/>
        </w:rPr>
        <w:t>Strengthen communication channels</w:t>
      </w:r>
      <w:r w:rsidRPr="000E437E">
        <w:rPr>
          <w:rFonts w:ascii="Arial" w:hAnsi="Arial" w:cs="Arial"/>
          <w:sz w:val="22"/>
        </w:rPr>
        <w:t>:Organisations should prioritise the development and implementation of robust communication tools and platforms tailored to the needs of remote workers. This includes investing in secure and reliable video conferencing tools, instant messaging apps and digital collaboration platforms that can support a variety of work processes. In addition, it is important to establish clear communication protocols to ensure that all employees, regardless of their location, feel included and informed about important developments in the company.</w:t>
      </w:r>
    </w:p>
    <w:p w14:paraId="5BD30CF2" w14:textId="77777777" w:rsidR="00D330AE" w:rsidRPr="000E437E" w:rsidRDefault="00D330AE" w:rsidP="000E437E">
      <w:pPr>
        <w:spacing w:line="360" w:lineRule="auto"/>
        <w:jc w:val="both"/>
        <w:rPr>
          <w:rFonts w:ascii="Arial" w:hAnsi="Arial" w:cs="Arial"/>
          <w:sz w:val="22"/>
        </w:rPr>
      </w:pPr>
      <w:r w:rsidRPr="000E437E">
        <w:rPr>
          <w:rFonts w:ascii="Arial" w:hAnsi="Arial" w:cs="Arial"/>
          <w:sz w:val="22"/>
        </w:rPr>
        <w:t>**To mitigate the risks of a diminished company culture in a remote environment, companies should actively develop programmes that foster a sense of belonging and align remote employees with the company’s values and goals. This could include virtual cultural initiatives such as online team building activities, virtual coffee breaks and regular 'ask me anything' sessions with senior executives. Such initiatives help to maintain the connection between employees and the company’s core values and foster a supportive community, despite physical distance.</w:t>
      </w:r>
    </w:p>
    <w:p w14:paraId="268308E3" w14:textId="77777777" w:rsidR="00D330AE" w:rsidRPr="000E437E" w:rsidRDefault="00D330AE" w:rsidP="000E437E">
      <w:pPr>
        <w:spacing w:line="360" w:lineRule="auto"/>
        <w:jc w:val="both"/>
        <w:rPr>
          <w:rFonts w:ascii="Arial" w:hAnsi="Arial" w:cs="Arial"/>
          <w:sz w:val="22"/>
        </w:rPr>
      </w:pPr>
      <w:r w:rsidRPr="000E437E">
        <w:rPr>
          <w:rFonts w:ascii="Arial" w:hAnsi="Arial" w:cs="Arial"/>
          <w:sz w:val="22"/>
        </w:rPr>
        <w:t>**Improving employee wellbeing:** Remote working can often lead to feelings of isolation or burnout, which can have a negative impact on productivity and engagement. Companies should therefore introduce comprehensive wellbeing programmes that address the physical, mental and emotional health of their employees. This could include access to online wellness resources, virtual mental health support and flexible working arrangements that allow employees to find a healthy work-life balance. Regular surveys should also be conducted to assess employee satisfaction and wellbeing so that the organisation can make timely adjustments to its policies.</w:t>
      </w:r>
    </w:p>
    <w:p w14:paraId="5D2AE611" w14:textId="77777777" w:rsidR="00D330AE" w:rsidRPr="000E437E" w:rsidRDefault="00D330AE" w:rsidP="000E437E">
      <w:pPr>
        <w:spacing w:line="360" w:lineRule="auto"/>
        <w:jc w:val="both"/>
        <w:rPr>
          <w:rFonts w:ascii="Arial" w:hAnsi="Arial" w:cs="Arial"/>
          <w:sz w:val="22"/>
        </w:rPr>
      </w:pPr>
      <w:r w:rsidRPr="000E437E">
        <w:rPr>
          <w:rFonts w:ascii="Arial" w:hAnsi="Arial" w:cs="Arial"/>
          <w:sz w:val="22"/>
        </w:rPr>
        <w:t>**Ongoing training and development:** Ongoing professional development is crucial in a remote working environment. Organisations should ensure that their employees have the opportunity to improve their skills and stay current in their field. This includes giving them access to online courses, virtual workshops and webinars. In addition, you should be trained not only on professional topics, but also on how to work effectively in a remote environment, covering aspects such as digital literacy, online collaboration and time management.</w:t>
      </w:r>
    </w:p>
    <w:p w14:paraId="24A5165F" w14:textId="77777777" w:rsidR="00D330AE" w:rsidRPr="000E437E" w:rsidRDefault="00D330AE" w:rsidP="000E437E">
      <w:pPr>
        <w:spacing w:line="360" w:lineRule="auto"/>
        <w:jc w:val="both"/>
        <w:rPr>
          <w:rFonts w:ascii="Arial" w:hAnsi="Arial" w:cs="Arial"/>
          <w:sz w:val="22"/>
        </w:rPr>
      </w:pPr>
      <w:r w:rsidRPr="000E437E">
        <w:rPr>
          <w:rFonts w:ascii="Arial" w:hAnsi="Arial" w:cs="Arial"/>
          <w:sz w:val="22"/>
        </w:rPr>
        <w:t xml:space="preserve">**5. </w:t>
      </w:r>
      <w:r w:rsidRPr="000E437E">
        <w:rPr>
          <w:rFonts w:ascii="Arial" w:hAnsi="Arial" w:cs="Arial"/>
          <w:b/>
          <w:bCs/>
          <w:sz w:val="22"/>
        </w:rPr>
        <w:t>regular evaluation and adjustment:**</w:t>
      </w:r>
      <w:r w:rsidRPr="000E437E">
        <w:rPr>
          <w:rFonts w:ascii="Arial" w:hAnsi="Arial" w:cs="Arial"/>
          <w:sz w:val="22"/>
        </w:rPr>
        <w:t xml:space="preserve"> To ensure the long-term success of remote working strategies, it is essential for organisations to regularly evaluate the effectiveness of their remote working practises and make the necessary adjustments. This includes gathering feedback from employees through regular check-ins, surveys and forums where they can voice their opinions </w:t>
      </w:r>
      <w:r w:rsidRPr="000E437E">
        <w:rPr>
          <w:rFonts w:ascii="Arial" w:hAnsi="Arial" w:cs="Arial"/>
          <w:sz w:val="22"/>
        </w:rPr>
        <w:lastRenderedPageBreak/>
        <w:t>about the remote work setup and suggest improvements. This iterative process helps organisations to remain agile and responsive to the needs of their employees.</w:t>
      </w:r>
    </w:p>
    <w:p w14:paraId="6C57EE23" w14:textId="77777777" w:rsidR="00D330AE" w:rsidRPr="000E437E" w:rsidRDefault="00D330AE" w:rsidP="000E437E">
      <w:pPr>
        <w:spacing w:line="360" w:lineRule="auto"/>
        <w:jc w:val="both"/>
        <w:rPr>
          <w:rFonts w:ascii="Arial" w:hAnsi="Arial" w:cs="Arial"/>
          <w:sz w:val="22"/>
        </w:rPr>
      </w:pPr>
    </w:p>
    <w:p w14:paraId="04579454" w14:textId="2368AACC" w:rsidR="00D330AE" w:rsidRPr="000E437E" w:rsidRDefault="00D330AE" w:rsidP="000E437E">
      <w:pPr>
        <w:spacing w:line="360" w:lineRule="auto"/>
        <w:jc w:val="both"/>
        <w:rPr>
          <w:rFonts w:ascii="Arial" w:hAnsi="Arial" w:cs="Arial"/>
          <w:sz w:val="22"/>
        </w:rPr>
      </w:pPr>
      <w:r w:rsidRPr="000E437E">
        <w:rPr>
          <w:rFonts w:ascii="Arial" w:hAnsi="Arial" w:cs="Arial"/>
          <w:sz w:val="22"/>
        </w:rPr>
        <w:t xml:space="preserve">6. </w:t>
      </w:r>
      <w:r w:rsidRPr="000E437E">
        <w:rPr>
          <w:rFonts w:ascii="Arial" w:hAnsi="Arial" w:cs="Arial"/>
          <w:b/>
          <w:bCs/>
          <w:sz w:val="22"/>
        </w:rPr>
        <w:t>leadership training:</w:t>
      </w:r>
      <w:r w:rsidRPr="000E437E">
        <w:rPr>
          <w:rFonts w:ascii="Arial" w:hAnsi="Arial" w:cs="Arial"/>
          <w:sz w:val="22"/>
        </w:rPr>
        <w:t>Managers play a crucial role in the transition to and management of remote working. Specific training should be provided for managers and team leaders to equip them with the skills they need to lead remote teams effectively. This includes training on remote leadership, empathy, communication and performance management in a virtual environment.</w:t>
      </w:r>
    </w:p>
    <w:p w14:paraId="1EE6552A" w14:textId="2FF229F3" w:rsidR="00D330AE" w:rsidRPr="000E437E" w:rsidRDefault="00D330AE" w:rsidP="000E437E">
      <w:pPr>
        <w:spacing w:line="360" w:lineRule="auto"/>
        <w:jc w:val="both"/>
        <w:rPr>
          <w:rFonts w:ascii="Arial" w:hAnsi="Arial" w:cs="Arial"/>
          <w:sz w:val="22"/>
        </w:rPr>
      </w:pPr>
      <w:r w:rsidRPr="000E437E">
        <w:rPr>
          <w:rFonts w:ascii="Arial" w:hAnsi="Arial" w:cs="Arial"/>
          <w:sz w:val="22"/>
        </w:rPr>
        <w:t>Implementing these recommendations requires concerted action and commitment from all levels of the organisation. By addressing these key areas, organisations like HSBC can improve their remote working practises, increasing employee engagement, productivity and overall job satisfaction in a post-pandemic world. This proactive approach will not only overcome the immediate challenges of remote working, but will also position organisations for success in an increasingly digital and flexible working environment.</w:t>
      </w:r>
    </w:p>
    <w:tbl>
      <w:tblPr>
        <w:tblStyle w:val="TableGrid"/>
        <w:tblW w:w="0" w:type="auto"/>
        <w:tblLook w:val="04A0" w:firstRow="1" w:lastRow="0" w:firstColumn="1" w:lastColumn="0" w:noHBand="0" w:noVBand="1"/>
      </w:tblPr>
      <w:tblGrid>
        <w:gridCol w:w="950"/>
        <w:gridCol w:w="2663"/>
        <w:gridCol w:w="883"/>
        <w:gridCol w:w="2517"/>
        <w:gridCol w:w="2337"/>
      </w:tblGrid>
      <w:tr w:rsidR="001C7056" w:rsidRPr="000E437E" w14:paraId="3F2873F6" w14:textId="77777777" w:rsidTr="00FF165C">
        <w:tc>
          <w:tcPr>
            <w:tcW w:w="738" w:type="dxa"/>
          </w:tcPr>
          <w:p w14:paraId="52A4D45A" w14:textId="77777777" w:rsidR="001C7056" w:rsidRPr="000E437E" w:rsidRDefault="001C7056" w:rsidP="000E437E">
            <w:pPr>
              <w:jc w:val="both"/>
              <w:rPr>
                <w:rFonts w:ascii="Arial" w:hAnsi="Arial" w:cs="Arial"/>
                <w:b/>
                <w:bCs/>
              </w:rPr>
            </w:pPr>
            <w:r w:rsidRPr="000E437E">
              <w:rPr>
                <w:rFonts w:ascii="Arial" w:hAnsi="Arial" w:cs="Arial"/>
                <w:b/>
                <w:bCs/>
              </w:rPr>
              <w:t>INDEX</w:t>
            </w:r>
          </w:p>
        </w:tc>
        <w:tc>
          <w:tcPr>
            <w:tcW w:w="2764" w:type="dxa"/>
          </w:tcPr>
          <w:p w14:paraId="18735A03" w14:textId="77777777" w:rsidR="001C7056" w:rsidRPr="000E437E" w:rsidRDefault="001C7056" w:rsidP="000E437E">
            <w:pPr>
              <w:jc w:val="both"/>
              <w:rPr>
                <w:rFonts w:ascii="Arial" w:hAnsi="Arial" w:cs="Arial"/>
              </w:rPr>
            </w:pPr>
            <w:r w:rsidRPr="000E437E">
              <w:rPr>
                <w:rFonts w:ascii="Arial" w:hAnsi="Arial" w:cs="Arial"/>
                <w:b/>
                <w:bCs/>
                <w:color w:val="0D0D0D"/>
              </w:rPr>
              <w:t>Authors</w:t>
            </w:r>
          </w:p>
        </w:tc>
        <w:tc>
          <w:tcPr>
            <w:tcW w:w="899" w:type="dxa"/>
          </w:tcPr>
          <w:p w14:paraId="1C50EC59" w14:textId="77777777" w:rsidR="001C7056" w:rsidRPr="000E437E" w:rsidRDefault="001C7056" w:rsidP="000E437E">
            <w:pPr>
              <w:jc w:val="both"/>
              <w:rPr>
                <w:rFonts w:ascii="Arial" w:hAnsi="Arial" w:cs="Arial"/>
              </w:rPr>
            </w:pPr>
            <w:r w:rsidRPr="000E437E">
              <w:rPr>
                <w:rFonts w:ascii="Arial" w:hAnsi="Arial" w:cs="Arial"/>
              </w:rPr>
              <w:t>year</w:t>
            </w:r>
          </w:p>
        </w:tc>
        <w:tc>
          <w:tcPr>
            <w:tcW w:w="2583" w:type="dxa"/>
          </w:tcPr>
          <w:p w14:paraId="6787E234" w14:textId="77777777" w:rsidR="001C7056" w:rsidRPr="000E437E" w:rsidRDefault="001C7056" w:rsidP="000E437E">
            <w:pPr>
              <w:jc w:val="both"/>
              <w:rPr>
                <w:rFonts w:ascii="Arial" w:hAnsi="Arial" w:cs="Arial"/>
              </w:rPr>
            </w:pPr>
            <w:r w:rsidRPr="000E437E">
              <w:rPr>
                <w:rFonts w:ascii="Arial" w:hAnsi="Arial" w:cs="Arial"/>
                <w:b/>
                <w:bCs/>
                <w:color w:val="0D0D0D"/>
              </w:rPr>
              <w:t xml:space="preserve"> Title</w:t>
            </w:r>
          </w:p>
        </w:tc>
        <w:tc>
          <w:tcPr>
            <w:tcW w:w="2032" w:type="dxa"/>
          </w:tcPr>
          <w:p w14:paraId="62FDD6DB" w14:textId="77777777" w:rsidR="001C7056" w:rsidRPr="000E437E" w:rsidRDefault="001C7056" w:rsidP="000E437E">
            <w:pPr>
              <w:jc w:val="both"/>
              <w:rPr>
                <w:rFonts w:ascii="Arial" w:hAnsi="Arial" w:cs="Arial"/>
              </w:rPr>
            </w:pPr>
            <w:r w:rsidRPr="000E437E">
              <w:rPr>
                <w:rFonts w:ascii="Arial" w:hAnsi="Arial" w:cs="Arial"/>
                <w:b/>
                <w:bCs/>
                <w:color w:val="0D0D0D"/>
              </w:rPr>
              <w:t>Key Themes/Keywords</w:t>
            </w:r>
          </w:p>
        </w:tc>
      </w:tr>
      <w:tr w:rsidR="001C7056" w:rsidRPr="000E437E" w14:paraId="00D408FD" w14:textId="77777777" w:rsidTr="00FF165C">
        <w:tc>
          <w:tcPr>
            <w:tcW w:w="738" w:type="dxa"/>
          </w:tcPr>
          <w:p w14:paraId="0DF58D7F" w14:textId="77777777" w:rsidR="001C7056" w:rsidRPr="000E437E" w:rsidRDefault="001C7056" w:rsidP="000E437E">
            <w:pPr>
              <w:jc w:val="both"/>
              <w:rPr>
                <w:rFonts w:ascii="Arial" w:hAnsi="Arial" w:cs="Arial"/>
              </w:rPr>
            </w:pPr>
            <w:r w:rsidRPr="000E437E">
              <w:rPr>
                <w:rFonts w:ascii="Arial" w:hAnsi="Arial" w:cs="Arial"/>
              </w:rPr>
              <w:t>1</w:t>
            </w:r>
          </w:p>
        </w:tc>
        <w:tc>
          <w:tcPr>
            <w:tcW w:w="2764" w:type="dxa"/>
          </w:tcPr>
          <w:p w14:paraId="2041EE8C"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Amoils, S.</w:t>
            </w:r>
          </w:p>
        </w:tc>
        <w:tc>
          <w:tcPr>
            <w:tcW w:w="899" w:type="dxa"/>
          </w:tcPr>
          <w:p w14:paraId="1C69272F"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2021</w:t>
            </w:r>
          </w:p>
        </w:tc>
        <w:tc>
          <w:tcPr>
            <w:tcW w:w="2583" w:type="dxa"/>
          </w:tcPr>
          <w:p w14:paraId="09110401"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Impact of Remote Work on Workforce Dynamics</w:t>
            </w:r>
          </w:p>
        </w:tc>
        <w:tc>
          <w:tcPr>
            <w:tcW w:w="2032" w:type="dxa"/>
          </w:tcPr>
          <w:p w14:paraId="6CD34A3D"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organizational culture, employee engagement, HSBC</w:t>
            </w:r>
          </w:p>
        </w:tc>
      </w:tr>
      <w:tr w:rsidR="001C7056" w:rsidRPr="000E437E" w14:paraId="4D42F192" w14:textId="77777777" w:rsidTr="00FF165C">
        <w:tc>
          <w:tcPr>
            <w:tcW w:w="738" w:type="dxa"/>
          </w:tcPr>
          <w:p w14:paraId="61698B14" w14:textId="77777777" w:rsidR="001C7056" w:rsidRPr="000E437E" w:rsidRDefault="001C7056" w:rsidP="000E437E">
            <w:pPr>
              <w:jc w:val="both"/>
              <w:rPr>
                <w:rFonts w:ascii="Arial" w:hAnsi="Arial" w:cs="Arial"/>
              </w:rPr>
            </w:pPr>
            <w:r w:rsidRPr="000E437E">
              <w:rPr>
                <w:rFonts w:ascii="Arial" w:hAnsi="Arial" w:cs="Arial"/>
              </w:rPr>
              <w:t>2</w:t>
            </w:r>
          </w:p>
        </w:tc>
        <w:tc>
          <w:tcPr>
            <w:tcW w:w="2764" w:type="dxa"/>
          </w:tcPr>
          <w:p w14:paraId="29096ED0"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Surma, J. et al.</w:t>
            </w:r>
          </w:p>
        </w:tc>
        <w:tc>
          <w:tcPr>
            <w:tcW w:w="899" w:type="dxa"/>
          </w:tcPr>
          <w:p w14:paraId="69ECD9C2" w14:textId="77777777" w:rsidR="001C7056" w:rsidRPr="000E437E" w:rsidRDefault="001C7056" w:rsidP="000E437E">
            <w:pPr>
              <w:jc w:val="both"/>
              <w:rPr>
                <w:rFonts w:ascii="Arial" w:hAnsi="Arial" w:cs="Arial"/>
              </w:rPr>
            </w:pPr>
            <w:r w:rsidRPr="000E437E">
              <w:rPr>
                <w:rFonts w:ascii="Arial" w:hAnsi="Arial" w:cs="Arial"/>
              </w:rPr>
              <w:t>2021</w:t>
            </w:r>
          </w:p>
        </w:tc>
        <w:tc>
          <w:tcPr>
            <w:tcW w:w="2583" w:type="dxa"/>
          </w:tcPr>
          <w:p w14:paraId="3E6ACA28"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Challenges of Remote Work in Modern Enterprises</w:t>
            </w:r>
          </w:p>
        </w:tc>
        <w:tc>
          <w:tcPr>
            <w:tcW w:w="2032" w:type="dxa"/>
          </w:tcPr>
          <w:p w14:paraId="21DA42D7"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challenges, employee commitment, autonomy</w:t>
            </w:r>
          </w:p>
        </w:tc>
      </w:tr>
      <w:tr w:rsidR="001C7056" w:rsidRPr="000E437E" w14:paraId="04B814CF" w14:textId="77777777" w:rsidTr="00FF165C">
        <w:tc>
          <w:tcPr>
            <w:tcW w:w="738" w:type="dxa"/>
          </w:tcPr>
          <w:p w14:paraId="1C3A421C" w14:textId="77777777" w:rsidR="001C7056" w:rsidRPr="000E437E" w:rsidRDefault="001C7056" w:rsidP="000E437E">
            <w:pPr>
              <w:jc w:val="both"/>
              <w:rPr>
                <w:rFonts w:ascii="Arial" w:hAnsi="Arial" w:cs="Arial"/>
              </w:rPr>
            </w:pPr>
            <w:r w:rsidRPr="000E437E">
              <w:rPr>
                <w:rFonts w:ascii="Arial" w:hAnsi="Arial" w:cs="Arial"/>
              </w:rPr>
              <w:t>3</w:t>
            </w:r>
          </w:p>
        </w:tc>
        <w:tc>
          <w:tcPr>
            <w:tcW w:w="2764" w:type="dxa"/>
          </w:tcPr>
          <w:p w14:paraId="0206FE5F"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Raghuram, P.</w:t>
            </w:r>
          </w:p>
        </w:tc>
        <w:tc>
          <w:tcPr>
            <w:tcW w:w="899" w:type="dxa"/>
          </w:tcPr>
          <w:p w14:paraId="61593FF4" w14:textId="77777777" w:rsidR="001C7056" w:rsidRPr="000E437E" w:rsidRDefault="001C7056" w:rsidP="000E437E">
            <w:pPr>
              <w:jc w:val="both"/>
              <w:rPr>
                <w:rFonts w:ascii="Arial" w:hAnsi="Arial" w:cs="Arial"/>
              </w:rPr>
            </w:pPr>
            <w:r w:rsidRPr="000E437E">
              <w:rPr>
                <w:rFonts w:ascii="Arial" w:hAnsi="Arial" w:cs="Arial"/>
              </w:rPr>
              <w:t>2021</w:t>
            </w:r>
          </w:p>
        </w:tc>
        <w:tc>
          <w:tcPr>
            <w:tcW w:w="2583" w:type="dxa"/>
          </w:tcPr>
          <w:p w14:paraId="37F74B63"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Working and Its Implications</w:t>
            </w:r>
          </w:p>
        </w:tc>
        <w:tc>
          <w:tcPr>
            <w:tcW w:w="2032" w:type="dxa"/>
          </w:tcPr>
          <w:p w14:paraId="2513D3F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complexities, employee engagement, culture impact</w:t>
            </w:r>
          </w:p>
        </w:tc>
      </w:tr>
      <w:tr w:rsidR="001C7056" w:rsidRPr="000E437E" w14:paraId="7A10500B" w14:textId="77777777" w:rsidTr="00FF165C">
        <w:tc>
          <w:tcPr>
            <w:tcW w:w="738" w:type="dxa"/>
          </w:tcPr>
          <w:p w14:paraId="25030DC3" w14:textId="77777777" w:rsidR="001C7056" w:rsidRPr="000E437E" w:rsidRDefault="001C7056" w:rsidP="000E437E">
            <w:pPr>
              <w:jc w:val="both"/>
              <w:rPr>
                <w:rFonts w:ascii="Arial" w:hAnsi="Arial" w:cs="Arial"/>
              </w:rPr>
            </w:pPr>
            <w:r w:rsidRPr="000E437E">
              <w:rPr>
                <w:rFonts w:ascii="Arial" w:hAnsi="Arial" w:cs="Arial"/>
              </w:rPr>
              <w:t>4</w:t>
            </w:r>
          </w:p>
        </w:tc>
        <w:tc>
          <w:tcPr>
            <w:tcW w:w="2764" w:type="dxa"/>
          </w:tcPr>
          <w:p w14:paraId="0133AD0A"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Luthia, R. &amp; Sathiamoorthy, B.</w:t>
            </w:r>
          </w:p>
        </w:tc>
        <w:tc>
          <w:tcPr>
            <w:tcW w:w="899" w:type="dxa"/>
          </w:tcPr>
          <w:p w14:paraId="3681F8C7" w14:textId="77777777" w:rsidR="001C7056" w:rsidRPr="000E437E" w:rsidRDefault="001C7056" w:rsidP="000E437E">
            <w:pPr>
              <w:jc w:val="both"/>
              <w:rPr>
                <w:rFonts w:ascii="Arial" w:hAnsi="Arial" w:cs="Arial"/>
              </w:rPr>
            </w:pPr>
            <w:r w:rsidRPr="000E437E">
              <w:rPr>
                <w:rFonts w:ascii="Arial" w:hAnsi="Arial" w:cs="Arial"/>
              </w:rPr>
              <w:t>2021</w:t>
            </w:r>
          </w:p>
        </w:tc>
        <w:tc>
          <w:tcPr>
            <w:tcW w:w="2583" w:type="dxa"/>
          </w:tcPr>
          <w:p w14:paraId="3331C136"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The Global Shift to Remote Work: Analysis and Insights</w:t>
            </w:r>
          </w:p>
        </w:tc>
        <w:tc>
          <w:tcPr>
            <w:tcW w:w="2032" w:type="dxa"/>
          </w:tcPr>
          <w:p w14:paraId="16CE0E89"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global impact, organizational culture</w:t>
            </w:r>
          </w:p>
        </w:tc>
      </w:tr>
      <w:tr w:rsidR="001C7056" w:rsidRPr="000E437E" w14:paraId="1F1ED3AB" w14:textId="77777777" w:rsidTr="00FF165C">
        <w:tc>
          <w:tcPr>
            <w:tcW w:w="738" w:type="dxa"/>
          </w:tcPr>
          <w:p w14:paraId="5EDBB1A0" w14:textId="77777777" w:rsidR="001C7056" w:rsidRPr="000E437E" w:rsidRDefault="001C7056" w:rsidP="000E437E">
            <w:pPr>
              <w:jc w:val="both"/>
              <w:rPr>
                <w:rFonts w:ascii="Arial" w:hAnsi="Arial" w:cs="Arial"/>
              </w:rPr>
            </w:pPr>
            <w:r w:rsidRPr="000E437E">
              <w:rPr>
                <w:rFonts w:ascii="Arial" w:hAnsi="Arial" w:cs="Arial"/>
              </w:rPr>
              <w:t>5</w:t>
            </w:r>
          </w:p>
        </w:tc>
        <w:tc>
          <w:tcPr>
            <w:tcW w:w="2764" w:type="dxa"/>
          </w:tcPr>
          <w:p w14:paraId="2D3A3C3D"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Largan, A. &amp; Morris, C.</w:t>
            </w:r>
          </w:p>
        </w:tc>
        <w:tc>
          <w:tcPr>
            <w:tcW w:w="899" w:type="dxa"/>
          </w:tcPr>
          <w:p w14:paraId="2E25C654" w14:textId="77777777" w:rsidR="001C7056" w:rsidRPr="000E437E" w:rsidRDefault="001C7056" w:rsidP="000E437E">
            <w:pPr>
              <w:jc w:val="both"/>
              <w:rPr>
                <w:rFonts w:ascii="Arial" w:hAnsi="Arial" w:cs="Arial"/>
              </w:rPr>
            </w:pPr>
            <w:r w:rsidRPr="000E437E">
              <w:rPr>
                <w:rFonts w:ascii="Arial" w:hAnsi="Arial" w:cs="Arial"/>
              </w:rPr>
              <w:t>2019</w:t>
            </w:r>
          </w:p>
        </w:tc>
        <w:tc>
          <w:tcPr>
            <w:tcW w:w="2583" w:type="dxa"/>
          </w:tcPr>
          <w:p w14:paraId="7A365A01"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Secondary Research Methods in Business</w:t>
            </w:r>
          </w:p>
        </w:tc>
        <w:tc>
          <w:tcPr>
            <w:tcW w:w="2032" w:type="dxa"/>
          </w:tcPr>
          <w:p w14:paraId="1227E23C"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Secondary research methodology, pattern recognition</w:t>
            </w:r>
          </w:p>
        </w:tc>
      </w:tr>
      <w:tr w:rsidR="001C7056" w:rsidRPr="000E437E" w14:paraId="7ABC23A8" w14:textId="77777777" w:rsidTr="00FF165C">
        <w:tc>
          <w:tcPr>
            <w:tcW w:w="738" w:type="dxa"/>
          </w:tcPr>
          <w:p w14:paraId="7CAAFF9D" w14:textId="77777777" w:rsidR="001C7056" w:rsidRPr="000E437E" w:rsidRDefault="001C7056" w:rsidP="000E437E">
            <w:pPr>
              <w:jc w:val="both"/>
              <w:rPr>
                <w:rFonts w:ascii="Arial" w:hAnsi="Arial" w:cs="Arial"/>
              </w:rPr>
            </w:pPr>
            <w:r w:rsidRPr="000E437E">
              <w:rPr>
                <w:rFonts w:ascii="Arial" w:hAnsi="Arial" w:cs="Arial"/>
              </w:rPr>
              <w:lastRenderedPageBreak/>
              <w:t>6</w:t>
            </w:r>
          </w:p>
        </w:tc>
        <w:tc>
          <w:tcPr>
            <w:tcW w:w="2764" w:type="dxa"/>
          </w:tcPr>
          <w:p w14:paraId="471D2897"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Negi, R.</w:t>
            </w:r>
          </w:p>
        </w:tc>
        <w:tc>
          <w:tcPr>
            <w:tcW w:w="899" w:type="dxa"/>
          </w:tcPr>
          <w:p w14:paraId="44AAFAC1"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2021</w:t>
            </w:r>
          </w:p>
        </w:tc>
        <w:tc>
          <w:tcPr>
            <w:tcW w:w="2583" w:type="dxa"/>
          </w:tcPr>
          <w:p w14:paraId="6E62860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Approaches to Business Research</w:t>
            </w:r>
          </w:p>
        </w:tc>
        <w:tc>
          <w:tcPr>
            <w:tcW w:w="2032" w:type="dxa"/>
          </w:tcPr>
          <w:p w14:paraId="54BD3C38"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Research design, ethical issues, data gathering</w:t>
            </w:r>
          </w:p>
        </w:tc>
      </w:tr>
      <w:tr w:rsidR="001C7056" w:rsidRPr="000E437E" w14:paraId="356B5647" w14:textId="77777777" w:rsidTr="00FF165C">
        <w:tc>
          <w:tcPr>
            <w:tcW w:w="738" w:type="dxa"/>
          </w:tcPr>
          <w:p w14:paraId="1EB0D2C7" w14:textId="77777777" w:rsidR="001C7056" w:rsidRPr="000E437E" w:rsidRDefault="001C7056" w:rsidP="000E437E">
            <w:pPr>
              <w:jc w:val="both"/>
              <w:rPr>
                <w:rFonts w:ascii="Arial" w:hAnsi="Arial" w:cs="Arial"/>
              </w:rPr>
            </w:pPr>
            <w:r w:rsidRPr="000E437E">
              <w:rPr>
                <w:rFonts w:ascii="Arial" w:hAnsi="Arial" w:cs="Arial"/>
              </w:rPr>
              <w:t>7</w:t>
            </w:r>
          </w:p>
        </w:tc>
        <w:tc>
          <w:tcPr>
            <w:tcW w:w="2764" w:type="dxa"/>
          </w:tcPr>
          <w:p w14:paraId="0092E1C1"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Dr. Chintala Lakshmana Rao and Dr Veena Prasad Vemuri</w:t>
            </w:r>
          </w:p>
        </w:tc>
        <w:tc>
          <w:tcPr>
            <w:tcW w:w="899" w:type="dxa"/>
          </w:tcPr>
          <w:p w14:paraId="1DEB6B34" w14:textId="77777777" w:rsidR="001C7056" w:rsidRPr="000E437E" w:rsidRDefault="001C7056" w:rsidP="000E437E">
            <w:pPr>
              <w:jc w:val="both"/>
              <w:rPr>
                <w:rFonts w:ascii="Arial" w:hAnsi="Arial" w:cs="Arial"/>
              </w:rPr>
            </w:pPr>
            <w:r w:rsidRPr="000E437E">
              <w:rPr>
                <w:rFonts w:ascii="Arial" w:hAnsi="Arial" w:cs="Arial"/>
              </w:rPr>
              <w:t>2023</w:t>
            </w:r>
          </w:p>
        </w:tc>
        <w:tc>
          <w:tcPr>
            <w:tcW w:w="2583" w:type="dxa"/>
          </w:tcPr>
          <w:p w14:paraId="6B7C654F"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Impact of Remote Work on Employee Engagement</w:t>
            </w:r>
          </w:p>
        </w:tc>
        <w:tc>
          <w:tcPr>
            <w:tcW w:w="2032" w:type="dxa"/>
          </w:tcPr>
          <w:p w14:paraId="1E476E9E"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Employee engagement, remote work, organizational commitment</w:t>
            </w:r>
          </w:p>
        </w:tc>
      </w:tr>
      <w:tr w:rsidR="001C7056" w:rsidRPr="000E437E" w14:paraId="66EAD316" w14:textId="77777777" w:rsidTr="00FF165C">
        <w:tc>
          <w:tcPr>
            <w:tcW w:w="738" w:type="dxa"/>
          </w:tcPr>
          <w:p w14:paraId="71D9A214" w14:textId="77777777" w:rsidR="001C7056" w:rsidRPr="000E437E" w:rsidRDefault="001C7056" w:rsidP="000E437E">
            <w:pPr>
              <w:jc w:val="both"/>
              <w:rPr>
                <w:rFonts w:ascii="Arial" w:hAnsi="Arial" w:cs="Arial"/>
              </w:rPr>
            </w:pPr>
            <w:r w:rsidRPr="000E437E">
              <w:rPr>
                <w:rFonts w:ascii="Arial" w:hAnsi="Arial" w:cs="Arial"/>
              </w:rPr>
              <w:t>8</w:t>
            </w:r>
          </w:p>
        </w:tc>
        <w:tc>
          <w:tcPr>
            <w:tcW w:w="2764" w:type="dxa"/>
          </w:tcPr>
          <w:p w14:paraId="452BD3A0"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Soroui, A.</w:t>
            </w:r>
          </w:p>
        </w:tc>
        <w:tc>
          <w:tcPr>
            <w:tcW w:w="899" w:type="dxa"/>
          </w:tcPr>
          <w:p w14:paraId="3D626C6E" w14:textId="77777777" w:rsidR="001C7056" w:rsidRPr="000E437E" w:rsidRDefault="001C7056" w:rsidP="000E437E">
            <w:pPr>
              <w:jc w:val="both"/>
              <w:rPr>
                <w:rFonts w:ascii="Arial" w:hAnsi="Arial" w:cs="Arial"/>
              </w:rPr>
            </w:pPr>
            <w:r w:rsidRPr="000E437E">
              <w:rPr>
                <w:rFonts w:ascii="Arial" w:hAnsi="Arial" w:cs="Arial"/>
              </w:rPr>
              <w:t>2020</w:t>
            </w:r>
          </w:p>
        </w:tc>
        <w:tc>
          <w:tcPr>
            <w:tcW w:w="2583" w:type="dxa"/>
          </w:tcPr>
          <w:p w14:paraId="03E6807F"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Trends in Employee Engagement Post-Pandemic</w:t>
            </w:r>
          </w:p>
        </w:tc>
        <w:tc>
          <w:tcPr>
            <w:tcW w:w="2032" w:type="dxa"/>
          </w:tcPr>
          <w:p w14:paraId="3CDC3505"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Engagement trends, performance, loyalty</w:t>
            </w:r>
          </w:p>
        </w:tc>
      </w:tr>
      <w:tr w:rsidR="001C7056" w:rsidRPr="000E437E" w14:paraId="62C97D17" w14:textId="77777777" w:rsidTr="00FF165C">
        <w:tc>
          <w:tcPr>
            <w:tcW w:w="738" w:type="dxa"/>
          </w:tcPr>
          <w:p w14:paraId="59B0DDC4" w14:textId="77777777" w:rsidR="001C7056" w:rsidRPr="000E437E" w:rsidRDefault="001C7056" w:rsidP="000E437E">
            <w:pPr>
              <w:jc w:val="both"/>
              <w:rPr>
                <w:rFonts w:ascii="Arial" w:hAnsi="Arial" w:cs="Arial"/>
              </w:rPr>
            </w:pPr>
            <w:r w:rsidRPr="000E437E">
              <w:rPr>
                <w:rFonts w:ascii="Arial" w:hAnsi="Arial" w:cs="Arial"/>
              </w:rPr>
              <w:t>9</w:t>
            </w:r>
          </w:p>
        </w:tc>
        <w:tc>
          <w:tcPr>
            <w:tcW w:w="2764" w:type="dxa"/>
          </w:tcPr>
          <w:p w14:paraId="71387BD2"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Gratton, L</w:t>
            </w:r>
          </w:p>
        </w:tc>
        <w:tc>
          <w:tcPr>
            <w:tcW w:w="899" w:type="dxa"/>
          </w:tcPr>
          <w:p w14:paraId="1EF31C68" w14:textId="77777777" w:rsidR="001C7056" w:rsidRPr="000E437E" w:rsidRDefault="001C7056" w:rsidP="000E437E">
            <w:pPr>
              <w:jc w:val="both"/>
              <w:rPr>
                <w:rFonts w:ascii="Arial" w:hAnsi="Arial" w:cs="Arial"/>
              </w:rPr>
            </w:pPr>
            <w:r w:rsidRPr="000E437E">
              <w:rPr>
                <w:rFonts w:ascii="Arial" w:hAnsi="Arial" w:cs="Arial"/>
              </w:rPr>
              <w:t>2022</w:t>
            </w:r>
          </w:p>
        </w:tc>
        <w:tc>
          <w:tcPr>
            <w:tcW w:w="2583" w:type="dxa"/>
          </w:tcPr>
          <w:p w14:paraId="6F9571A8"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The Future of Work and Employee Engagement</w:t>
            </w:r>
          </w:p>
        </w:tc>
        <w:tc>
          <w:tcPr>
            <w:tcW w:w="2032" w:type="dxa"/>
          </w:tcPr>
          <w:p w14:paraId="53363CD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Leadership, communication, professional growth</w:t>
            </w:r>
          </w:p>
        </w:tc>
      </w:tr>
      <w:tr w:rsidR="001C7056" w:rsidRPr="000E437E" w14:paraId="5CA99D18" w14:textId="77777777" w:rsidTr="00FF165C">
        <w:tc>
          <w:tcPr>
            <w:tcW w:w="738" w:type="dxa"/>
          </w:tcPr>
          <w:p w14:paraId="66D0CBE5" w14:textId="77777777" w:rsidR="001C7056" w:rsidRPr="000E437E" w:rsidRDefault="001C7056" w:rsidP="000E437E">
            <w:pPr>
              <w:jc w:val="both"/>
              <w:rPr>
                <w:rFonts w:ascii="Arial" w:hAnsi="Arial" w:cs="Arial"/>
              </w:rPr>
            </w:pPr>
            <w:r w:rsidRPr="000E437E">
              <w:rPr>
                <w:rFonts w:ascii="Arial" w:hAnsi="Arial" w:cs="Arial"/>
              </w:rPr>
              <w:t>10</w:t>
            </w:r>
          </w:p>
        </w:tc>
        <w:tc>
          <w:tcPr>
            <w:tcW w:w="2764" w:type="dxa"/>
          </w:tcPr>
          <w:p w14:paraId="732B09A6"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Cox, A. and Soobiah, R.</w:t>
            </w:r>
          </w:p>
        </w:tc>
        <w:tc>
          <w:tcPr>
            <w:tcW w:w="899" w:type="dxa"/>
          </w:tcPr>
          <w:p w14:paraId="551E1000" w14:textId="77777777" w:rsidR="001C7056" w:rsidRPr="000E437E" w:rsidRDefault="001C7056" w:rsidP="000E437E">
            <w:pPr>
              <w:jc w:val="both"/>
              <w:rPr>
                <w:rFonts w:ascii="Arial" w:hAnsi="Arial" w:cs="Arial"/>
              </w:rPr>
            </w:pPr>
            <w:r w:rsidRPr="000E437E">
              <w:rPr>
                <w:rFonts w:ascii="Arial" w:hAnsi="Arial" w:cs="Arial"/>
              </w:rPr>
              <w:t>2018</w:t>
            </w:r>
          </w:p>
        </w:tc>
        <w:tc>
          <w:tcPr>
            <w:tcW w:w="2583" w:type="dxa"/>
          </w:tcPr>
          <w:p w14:paraId="7D58C303"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Evaluating Engagement: The Role of Surveys</w:t>
            </w:r>
          </w:p>
        </w:tc>
        <w:tc>
          <w:tcPr>
            <w:tcW w:w="2032" w:type="dxa"/>
          </w:tcPr>
          <w:p w14:paraId="513E4353"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Engagement surveys, job satisfaction, organizational commitment</w:t>
            </w:r>
          </w:p>
        </w:tc>
      </w:tr>
      <w:tr w:rsidR="001C7056" w:rsidRPr="000E437E" w14:paraId="1C4949A3" w14:textId="77777777" w:rsidTr="00FF165C">
        <w:tc>
          <w:tcPr>
            <w:tcW w:w="738" w:type="dxa"/>
          </w:tcPr>
          <w:p w14:paraId="71FC88AB" w14:textId="77777777" w:rsidR="001C7056" w:rsidRPr="000E437E" w:rsidRDefault="001C7056" w:rsidP="000E437E">
            <w:pPr>
              <w:jc w:val="both"/>
              <w:rPr>
                <w:rFonts w:ascii="Arial" w:hAnsi="Arial" w:cs="Arial"/>
              </w:rPr>
            </w:pPr>
            <w:r w:rsidRPr="000E437E">
              <w:rPr>
                <w:rFonts w:ascii="Arial" w:hAnsi="Arial" w:cs="Arial"/>
              </w:rPr>
              <w:t>11</w:t>
            </w:r>
          </w:p>
        </w:tc>
        <w:tc>
          <w:tcPr>
            <w:tcW w:w="2764" w:type="dxa"/>
          </w:tcPr>
          <w:p w14:paraId="0013F7FE"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Mäkikangas, A. et al.</w:t>
            </w:r>
          </w:p>
        </w:tc>
        <w:tc>
          <w:tcPr>
            <w:tcW w:w="899" w:type="dxa"/>
          </w:tcPr>
          <w:p w14:paraId="191D8618" w14:textId="77777777" w:rsidR="001C7056" w:rsidRPr="000E437E" w:rsidRDefault="001C7056" w:rsidP="000E437E">
            <w:pPr>
              <w:jc w:val="both"/>
              <w:rPr>
                <w:rFonts w:ascii="Arial" w:hAnsi="Arial" w:cs="Arial"/>
              </w:rPr>
            </w:pPr>
            <w:r w:rsidRPr="000E437E">
              <w:rPr>
                <w:rFonts w:ascii="Arial" w:hAnsi="Arial" w:cs="Arial"/>
              </w:rPr>
              <w:t>2022</w:t>
            </w:r>
          </w:p>
        </w:tc>
        <w:tc>
          <w:tcPr>
            <w:tcW w:w="2583" w:type="dxa"/>
          </w:tcPr>
          <w:p w14:paraId="1CAE10C0"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Employee Engagement in Remote Settings</w:t>
            </w:r>
          </w:p>
        </w:tc>
        <w:tc>
          <w:tcPr>
            <w:tcW w:w="2032" w:type="dxa"/>
          </w:tcPr>
          <w:p w14:paraId="5CC56890"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autonomy, engagement measurement</w:t>
            </w:r>
          </w:p>
        </w:tc>
      </w:tr>
      <w:tr w:rsidR="001C7056" w:rsidRPr="000E437E" w14:paraId="224F2A37" w14:textId="77777777" w:rsidTr="00FF165C">
        <w:tc>
          <w:tcPr>
            <w:tcW w:w="738" w:type="dxa"/>
          </w:tcPr>
          <w:p w14:paraId="429AA637" w14:textId="77777777" w:rsidR="001C7056" w:rsidRPr="000E437E" w:rsidRDefault="001C7056" w:rsidP="000E437E">
            <w:pPr>
              <w:jc w:val="both"/>
              <w:rPr>
                <w:rFonts w:ascii="Arial" w:hAnsi="Arial" w:cs="Arial"/>
              </w:rPr>
            </w:pPr>
            <w:r w:rsidRPr="000E437E">
              <w:rPr>
                <w:rFonts w:ascii="Arial" w:hAnsi="Arial" w:cs="Arial"/>
              </w:rPr>
              <w:t>12</w:t>
            </w:r>
          </w:p>
        </w:tc>
        <w:tc>
          <w:tcPr>
            <w:tcW w:w="2764" w:type="dxa"/>
          </w:tcPr>
          <w:p w14:paraId="41E76811"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Laker, B.</w:t>
            </w:r>
          </w:p>
        </w:tc>
        <w:tc>
          <w:tcPr>
            <w:tcW w:w="899" w:type="dxa"/>
          </w:tcPr>
          <w:p w14:paraId="65903714" w14:textId="77777777" w:rsidR="001C7056" w:rsidRPr="000E437E" w:rsidRDefault="001C7056" w:rsidP="000E437E">
            <w:pPr>
              <w:jc w:val="both"/>
              <w:rPr>
                <w:rFonts w:ascii="Arial" w:hAnsi="Arial" w:cs="Arial"/>
              </w:rPr>
            </w:pPr>
            <w:r w:rsidRPr="000E437E">
              <w:rPr>
                <w:rFonts w:ascii="Arial" w:hAnsi="Arial" w:cs="Arial"/>
              </w:rPr>
              <w:t>2020</w:t>
            </w:r>
          </w:p>
        </w:tc>
        <w:tc>
          <w:tcPr>
            <w:tcW w:w="2583" w:type="dxa"/>
          </w:tcPr>
          <w:p w14:paraId="689DF179"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and Its Effects on Employee Engagement</w:t>
            </w:r>
          </w:p>
        </w:tc>
        <w:tc>
          <w:tcPr>
            <w:tcW w:w="2032" w:type="dxa"/>
          </w:tcPr>
          <w:p w14:paraId="0E45AECA"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Telework, communication barriers, work-life balance</w:t>
            </w:r>
          </w:p>
        </w:tc>
      </w:tr>
      <w:tr w:rsidR="001C7056" w:rsidRPr="000E437E" w14:paraId="34E6DD9E" w14:textId="77777777" w:rsidTr="00FF165C">
        <w:tc>
          <w:tcPr>
            <w:tcW w:w="738" w:type="dxa"/>
          </w:tcPr>
          <w:p w14:paraId="5213479C" w14:textId="77777777" w:rsidR="001C7056" w:rsidRPr="000E437E" w:rsidRDefault="001C7056" w:rsidP="000E437E">
            <w:pPr>
              <w:jc w:val="both"/>
              <w:rPr>
                <w:rFonts w:ascii="Arial" w:hAnsi="Arial" w:cs="Arial"/>
              </w:rPr>
            </w:pPr>
            <w:r w:rsidRPr="000E437E">
              <w:rPr>
                <w:rFonts w:ascii="Arial" w:hAnsi="Arial" w:cs="Arial"/>
              </w:rPr>
              <w:t>13</w:t>
            </w:r>
          </w:p>
        </w:tc>
        <w:tc>
          <w:tcPr>
            <w:tcW w:w="2764" w:type="dxa"/>
          </w:tcPr>
          <w:p w14:paraId="48AF1E63"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Spicer, A.</w:t>
            </w:r>
          </w:p>
        </w:tc>
        <w:tc>
          <w:tcPr>
            <w:tcW w:w="899" w:type="dxa"/>
          </w:tcPr>
          <w:p w14:paraId="012D9954" w14:textId="77777777" w:rsidR="001C7056" w:rsidRPr="000E437E" w:rsidRDefault="001C7056" w:rsidP="000E437E">
            <w:pPr>
              <w:jc w:val="both"/>
              <w:rPr>
                <w:rFonts w:ascii="Arial" w:hAnsi="Arial" w:cs="Arial"/>
              </w:rPr>
            </w:pPr>
            <w:r w:rsidRPr="000E437E">
              <w:rPr>
                <w:rFonts w:ascii="Arial" w:hAnsi="Arial" w:cs="Arial"/>
              </w:rPr>
              <w:t>2020</w:t>
            </w:r>
          </w:p>
        </w:tc>
        <w:tc>
          <w:tcPr>
            <w:tcW w:w="2583" w:type="dxa"/>
          </w:tcPr>
          <w:p w14:paraId="4D5FEB6E"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"Dynamics of Organizational Culture in Remote Work"</w:t>
            </w:r>
          </w:p>
        </w:tc>
        <w:tc>
          <w:tcPr>
            <w:tcW w:w="2032" w:type="dxa"/>
          </w:tcPr>
          <w:p w14:paraId="73D7B27A"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organizational culture, communication</w:t>
            </w:r>
          </w:p>
        </w:tc>
      </w:tr>
      <w:tr w:rsidR="001C7056" w:rsidRPr="000E437E" w14:paraId="1F6E2C3E" w14:textId="77777777" w:rsidTr="00FF165C">
        <w:tc>
          <w:tcPr>
            <w:tcW w:w="738" w:type="dxa"/>
          </w:tcPr>
          <w:p w14:paraId="17D0D470" w14:textId="77777777" w:rsidR="001C7056" w:rsidRPr="000E437E" w:rsidRDefault="001C7056" w:rsidP="000E437E">
            <w:pPr>
              <w:jc w:val="both"/>
              <w:rPr>
                <w:rFonts w:ascii="Arial" w:hAnsi="Arial" w:cs="Arial"/>
              </w:rPr>
            </w:pPr>
            <w:r w:rsidRPr="000E437E">
              <w:rPr>
                <w:rFonts w:ascii="Arial" w:hAnsi="Arial" w:cs="Arial"/>
              </w:rPr>
              <w:t>14</w:t>
            </w:r>
          </w:p>
        </w:tc>
        <w:tc>
          <w:tcPr>
            <w:tcW w:w="2764" w:type="dxa"/>
          </w:tcPr>
          <w:p w14:paraId="41727E97"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Bagga, C.K., Gera, S., Haque, E.</w:t>
            </w:r>
          </w:p>
        </w:tc>
        <w:tc>
          <w:tcPr>
            <w:tcW w:w="899" w:type="dxa"/>
          </w:tcPr>
          <w:p w14:paraId="606F3FA5" w14:textId="77777777" w:rsidR="001C7056" w:rsidRPr="000E437E" w:rsidRDefault="001C7056" w:rsidP="000E437E">
            <w:pPr>
              <w:jc w:val="both"/>
              <w:rPr>
                <w:rFonts w:ascii="Arial" w:hAnsi="Arial" w:cs="Arial"/>
              </w:rPr>
            </w:pPr>
            <w:r w:rsidRPr="000E437E">
              <w:rPr>
                <w:rFonts w:ascii="Arial" w:hAnsi="Arial" w:cs="Arial"/>
              </w:rPr>
              <w:t>2022</w:t>
            </w:r>
          </w:p>
        </w:tc>
        <w:tc>
          <w:tcPr>
            <w:tcW w:w="2583" w:type="dxa"/>
          </w:tcPr>
          <w:p w14:paraId="26E98026"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"The Binding Glue of Remote Work: Organizational Culture"</w:t>
            </w:r>
          </w:p>
        </w:tc>
        <w:tc>
          <w:tcPr>
            <w:tcW w:w="2032" w:type="dxa"/>
          </w:tcPr>
          <w:p w14:paraId="66E5F829"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Virtual communication, employee cohesion, organizational identity</w:t>
            </w:r>
          </w:p>
        </w:tc>
      </w:tr>
      <w:tr w:rsidR="001C7056" w:rsidRPr="000E437E" w14:paraId="4BFB6CEF" w14:textId="77777777" w:rsidTr="00FF165C">
        <w:tc>
          <w:tcPr>
            <w:tcW w:w="738" w:type="dxa"/>
          </w:tcPr>
          <w:p w14:paraId="60A3F6DA" w14:textId="77777777" w:rsidR="001C7056" w:rsidRPr="000E437E" w:rsidRDefault="001C7056" w:rsidP="000E437E">
            <w:pPr>
              <w:jc w:val="both"/>
              <w:rPr>
                <w:rFonts w:ascii="Arial" w:hAnsi="Arial" w:cs="Arial"/>
              </w:rPr>
            </w:pPr>
            <w:r w:rsidRPr="000E437E">
              <w:rPr>
                <w:rFonts w:ascii="Arial" w:hAnsi="Arial" w:cs="Arial"/>
              </w:rPr>
              <w:t>15</w:t>
            </w:r>
          </w:p>
        </w:tc>
        <w:tc>
          <w:tcPr>
            <w:tcW w:w="2764" w:type="dxa"/>
          </w:tcPr>
          <w:p w14:paraId="0D41E91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Adisa, T., Ogbonnaya, C., Adekoya, A.</w:t>
            </w:r>
          </w:p>
        </w:tc>
        <w:tc>
          <w:tcPr>
            <w:tcW w:w="899" w:type="dxa"/>
          </w:tcPr>
          <w:p w14:paraId="34987778" w14:textId="77777777" w:rsidR="001C7056" w:rsidRPr="000E437E" w:rsidRDefault="001C7056" w:rsidP="000E437E">
            <w:pPr>
              <w:jc w:val="both"/>
              <w:rPr>
                <w:rFonts w:ascii="Arial" w:hAnsi="Arial" w:cs="Arial"/>
              </w:rPr>
            </w:pPr>
            <w:r w:rsidRPr="000E437E">
              <w:rPr>
                <w:rFonts w:ascii="Arial" w:hAnsi="Arial" w:cs="Arial"/>
              </w:rPr>
              <w:t>2021</w:t>
            </w:r>
          </w:p>
        </w:tc>
        <w:tc>
          <w:tcPr>
            <w:tcW w:w="2583" w:type="dxa"/>
          </w:tcPr>
          <w:p w14:paraId="582BF515"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"Employee Participation and Engagement in Remote Settings"</w:t>
            </w:r>
          </w:p>
        </w:tc>
        <w:tc>
          <w:tcPr>
            <w:tcW w:w="2032" w:type="dxa"/>
          </w:tcPr>
          <w:p w14:paraId="29661334"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employee engagement, participation</w:t>
            </w:r>
          </w:p>
        </w:tc>
      </w:tr>
      <w:tr w:rsidR="001C7056" w:rsidRPr="000E437E" w14:paraId="7AC21E06" w14:textId="77777777" w:rsidTr="00FF165C">
        <w:tc>
          <w:tcPr>
            <w:tcW w:w="738" w:type="dxa"/>
          </w:tcPr>
          <w:p w14:paraId="078EEBC3" w14:textId="77777777" w:rsidR="001C7056" w:rsidRPr="000E437E" w:rsidRDefault="001C7056" w:rsidP="000E437E">
            <w:pPr>
              <w:jc w:val="both"/>
              <w:rPr>
                <w:rFonts w:ascii="Arial" w:hAnsi="Arial" w:cs="Arial"/>
              </w:rPr>
            </w:pPr>
            <w:r w:rsidRPr="000E437E">
              <w:rPr>
                <w:rFonts w:ascii="Arial" w:hAnsi="Arial" w:cs="Arial"/>
              </w:rPr>
              <w:t>16</w:t>
            </w:r>
          </w:p>
        </w:tc>
        <w:tc>
          <w:tcPr>
            <w:tcW w:w="2764" w:type="dxa"/>
          </w:tcPr>
          <w:p w14:paraId="10F750A4"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Asatiani, A., et al.</w:t>
            </w:r>
          </w:p>
        </w:tc>
        <w:tc>
          <w:tcPr>
            <w:tcW w:w="899" w:type="dxa"/>
          </w:tcPr>
          <w:p w14:paraId="7ADD4AEA" w14:textId="77777777" w:rsidR="001C7056" w:rsidRPr="000E437E" w:rsidRDefault="001C7056" w:rsidP="000E437E">
            <w:pPr>
              <w:jc w:val="both"/>
              <w:rPr>
                <w:rFonts w:ascii="Arial" w:hAnsi="Arial" w:cs="Arial"/>
              </w:rPr>
            </w:pPr>
            <w:r w:rsidRPr="000E437E">
              <w:rPr>
                <w:rFonts w:ascii="Arial" w:hAnsi="Arial" w:cs="Arial"/>
              </w:rPr>
              <w:t>2020</w:t>
            </w:r>
          </w:p>
        </w:tc>
        <w:tc>
          <w:tcPr>
            <w:tcW w:w="2583" w:type="dxa"/>
          </w:tcPr>
          <w:p w14:paraId="168FDAB6"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"Work-Life Balance and Job Satisfaction in Remote Work Environments"</w:t>
            </w:r>
          </w:p>
        </w:tc>
        <w:tc>
          <w:tcPr>
            <w:tcW w:w="2032" w:type="dxa"/>
          </w:tcPr>
          <w:p w14:paraId="27C63A95"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job satisfaction, work-life balance</w:t>
            </w:r>
          </w:p>
        </w:tc>
      </w:tr>
      <w:tr w:rsidR="001C7056" w:rsidRPr="000E437E" w14:paraId="1385A468" w14:textId="77777777" w:rsidTr="00FF165C">
        <w:tc>
          <w:tcPr>
            <w:tcW w:w="738" w:type="dxa"/>
          </w:tcPr>
          <w:p w14:paraId="0406B95B" w14:textId="77777777" w:rsidR="001C7056" w:rsidRPr="000E437E" w:rsidRDefault="001C7056" w:rsidP="000E437E">
            <w:pPr>
              <w:jc w:val="both"/>
              <w:rPr>
                <w:rFonts w:ascii="Arial" w:hAnsi="Arial" w:cs="Arial"/>
              </w:rPr>
            </w:pPr>
            <w:r w:rsidRPr="000E437E">
              <w:rPr>
                <w:rFonts w:ascii="Arial" w:hAnsi="Arial" w:cs="Arial"/>
              </w:rPr>
              <w:lastRenderedPageBreak/>
              <w:t>17</w:t>
            </w:r>
          </w:p>
        </w:tc>
        <w:tc>
          <w:tcPr>
            <w:tcW w:w="2764" w:type="dxa"/>
          </w:tcPr>
          <w:p w14:paraId="11017E33"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Chanana, N., Sangeeta</w:t>
            </w:r>
          </w:p>
        </w:tc>
        <w:tc>
          <w:tcPr>
            <w:tcW w:w="899" w:type="dxa"/>
          </w:tcPr>
          <w:p w14:paraId="01532F77" w14:textId="77777777" w:rsidR="001C7056" w:rsidRPr="000E437E" w:rsidRDefault="001C7056" w:rsidP="000E437E">
            <w:pPr>
              <w:jc w:val="both"/>
              <w:rPr>
                <w:rFonts w:ascii="Arial" w:hAnsi="Arial" w:cs="Arial"/>
              </w:rPr>
            </w:pPr>
            <w:r w:rsidRPr="000E437E">
              <w:rPr>
                <w:rFonts w:ascii="Arial" w:hAnsi="Arial" w:cs="Arial"/>
              </w:rPr>
              <w:t>2020</w:t>
            </w:r>
          </w:p>
        </w:tc>
        <w:tc>
          <w:tcPr>
            <w:tcW w:w="2583" w:type="dxa"/>
          </w:tcPr>
          <w:p w14:paraId="6F509FE6"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and Organizational Engagement: The Role of Communication"</w:t>
            </w:r>
          </w:p>
        </w:tc>
        <w:tc>
          <w:tcPr>
            <w:tcW w:w="2032" w:type="dxa"/>
          </w:tcPr>
          <w:p w14:paraId="03133930"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employee engagement, communication</w:t>
            </w:r>
          </w:p>
        </w:tc>
      </w:tr>
      <w:tr w:rsidR="001C7056" w:rsidRPr="000E437E" w14:paraId="552D044C" w14:textId="77777777" w:rsidTr="00FF165C">
        <w:tc>
          <w:tcPr>
            <w:tcW w:w="738" w:type="dxa"/>
          </w:tcPr>
          <w:p w14:paraId="0900E594" w14:textId="77777777" w:rsidR="001C7056" w:rsidRPr="000E437E" w:rsidRDefault="001C7056" w:rsidP="000E437E">
            <w:pPr>
              <w:jc w:val="both"/>
              <w:rPr>
                <w:rFonts w:ascii="Arial" w:hAnsi="Arial" w:cs="Arial"/>
              </w:rPr>
            </w:pPr>
            <w:r w:rsidRPr="000E437E">
              <w:rPr>
                <w:rFonts w:ascii="Arial" w:hAnsi="Arial" w:cs="Arial"/>
              </w:rPr>
              <w:t>18</w:t>
            </w:r>
          </w:p>
        </w:tc>
        <w:tc>
          <w:tcPr>
            <w:tcW w:w="2764" w:type="dxa"/>
          </w:tcPr>
          <w:p w14:paraId="0274274D"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Lesener, T., Gusy, B., Wolter, C.</w:t>
            </w:r>
          </w:p>
        </w:tc>
        <w:tc>
          <w:tcPr>
            <w:tcW w:w="899" w:type="dxa"/>
          </w:tcPr>
          <w:p w14:paraId="3D1461DB" w14:textId="77777777" w:rsidR="001C7056" w:rsidRPr="000E437E" w:rsidRDefault="001C7056" w:rsidP="000E437E">
            <w:pPr>
              <w:jc w:val="both"/>
              <w:rPr>
                <w:rFonts w:ascii="Arial" w:hAnsi="Arial" w:cs="Arial"/>
              </w:rPr>
            </w:pPr>
            <w:r w:rsidRPr="000E437E">
              <w:rPr>
                <w:rFonts w:ascii="Arial" w:hAnsi="Arial" w:cs="Arial"/>
              </w:rPr>
              <w:t>2018</w:t>
            </w:r>
          </w:p>
        </w:tc>
        <w:tc>
          <w:tcPr>
            <w:tcW w:w="2583" w:type="dxa"/>
          </w:tcPr>
          <w:p w14:paraId="51FAE0D5"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"The Job Demands-Resources Model: Applications in Remote Work"</w:t>
            </w:r>
          </w:p>
        </w:tc>
        <w:tc>
          <w:tcPr>
            <w:tcW w:w="2032" w:type="dxa"/>
          </w:tcPr>
          <w:p w14:paraId="209026C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Job demands, resources, remote work, employee engagement</w:t>
            </w:r>
          </w:p>
        </w:tc>
      </w:tr>
      <w:tr w:rsidR="001C7056" w:rsidRPr="000E437E" w14:paraId="3D88B263" w14:textId="77777777" w:rsidTr="00FF165C">
        <w:tc>
          <w:tcPr>
            <w:tcW w:w="738" w:type="dxa"/>
          </w:tcPr>
          <w:p w14:paraId="3B0ACD8C" w14:textId="77777777" w:rsidR="001C7056" w:rsidRPr="000E437E" w:rsidRDefault="001C7056" w:rsidP="000E437E">
            <w:pPr>
              <w:jc w:val="both"/>
              <w:rPr>
                <w:rFonts w:ascii="Arial" w:hAnsi="Arial" w:cs="Arial"/>
              </w:rPr>
            </w:pPr>
            <w:r w:rsidRPr="000E437E">
              <w:rPr>
                <w:rFonts w:ascii="Arial" w:hAnsi="Arial" w:cs="Arial"/>
              </w:rPr>
              <w:t>19</w:t>
            </w:r>
          </w:p>
        </w:tc>
        <w:tc>
          <w:tcPr>
            <w:tcW w:w="2764" w:type="dxa"/>
          </w:tcPr>
          <w:p w14:paraId="287C49F4"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Mazzetti, G., et al.</w:t>
            </w:r>
          </w:p>
        </w:tc>
        <w:tc>
          <w:tcPr>
            <w:tcW w:w="899" w:type="dxa"/>
          </w:tcPr>
          <w:p w14:paraId="432DE42A" w14:textId="77777777" w:rsidR="001C7056" w:rsidRPr="000E437E" w:rsidRDefault="001C7056" w:rsidP="000E437E">
            <w:pPr>
              <w:jc w:val="both"/>
              <w:rPr>
                <w:rFonts w:ascii="Arial" w:hAnsi="Arial" w:cs="Arial"/>
              </w:rPr>
            </w:pPr>
            <w:r w:rsidRPr="000E437E">
              <w:rPr>
                <w:rFonts w:ascii="Arial" w:hAnsi="Arial" w:cs="Arial"/>
              </w:rPr>
              <w:t>2021</w:t>
            </w:r>
          </w:p>
        </w:tc>
        <w:tc>
          <w:tcPr>
            <w:tcW w:w="2583" w:type="dxa"/>
          </w:tcPr>
          <w:p w14:paraId="529706E2"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"Exploring Job Demands and Resources in Remote Work"</w:t>
            </w:r>
          </w:p>
        </w:tc>
        <w:tc>
          <w:tcPr>
            <w:tcW w:w="2032" w:type="dxa"/>
          </w:tcPr>
          <w:p w14:paraId="06EFEDF6"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job demands, job resources, employee well-being</w:t>
            </w:r>
          </w:p>
        </w:tc>
      </w:tr>
      <w:tr w:rsidR="001C7056" w:rsidRPr="000E437E" w14:paraId="64A0AFF2" w14:textId="77777777" w:rsidTr="00FF165C">
        <w:tc>
          <w:tcPr>
            <w:tcW w:w="738" w:type="dxa"/>
          </w:tcPr>
          <w:p w14:paraId="40304666" w14:textId="77777777" w:rsidR="001C7056" w:rsidRPr="000E437E" w:rsidRDefault="001C7056" w:rsidP="000E437E">
            <w:pPr>
              <w:jc w:val="both"/>
              <w:rPr>
                <w:rFonts w:ascii="Arial" w:hAnsi="Arial" w:cs="Arial"/>
              </w:rPr>
            </w:pPr>
            <w:r w:rsidRPr="000E437E">
              <w:rPr>
                <w:rFonts w:ascii="Arial" w:hAnsi="Arial" w:cs="Arial"/>
              </w:rPr>
              <w:t>20</w:t>
            </w:r>
          </w:p>
        </w:tc>
        <w:tc>
          <w:tcPr>
            <w:tcW w:w="2764" w:type="dxa"/>
          </w:tcPr>
          <w:p w14:paraId="17098702"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Kutaula, S., Gillani, W., Budhwar, P.</w:t>
            </w:r>
          </w:p>
        </w:tc>
        <w:tc>
          <w:tcPr>
            <w:tcW w:w="899" w:type="dxa"/>
          </w:tcPr>
          <w:p w14:paraId="638D03EF" w14:textId="77777777" w:rsidR="001C7056" w:rsidRPr="000E437E" w:rsidRDefault="001C7056" w:rsidP="000E437E">
            <w:pPr>
              <w:jc w:val="both"/>
              <w:rPr>
                <w:rFonts w:ascii="Arial" w:hAnsi="Arial" w:cs="Arial"/>
              </w:rPr>
            </w:pPr>
            <w:r w:rsidRPr="000E437E">
              <w:rPr>
                <w:rFonts w:ascii="Arial" w:hAnsi="Arial" w:cs="Arial"/>
              </w:rPr>
              <w:t>2019</w:t>
            </w:r>
          </w:p>
        </w:tc>
        <w:tc>
          <w:tcPr>
            <w:tcW w:w="2583" w:type="dxa"/>
          </w:tcPr>
          <w:p w14:paraId="33DCC81C"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"The Psychological Contract in Remote Work Environments"</w:t>
            </w:r>
          </w:p>
        </w:tc>
        <w:tc>
          <w:tcPr>
            <w:tcW w:w="2032" w:type="dxa"/>
          </w:tcPr>
          <w:p w14:paraId="37F59D4F"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Psychological contract, remote work, trust, communication</w:t>
            </w:r>
          </w:p>
        </w:tc>
      </w:tr>
      <w:tr w:rsidR="001C7056" w:rsidRPr="000E437E" w14:paraId="689732F3" w14:textId="77777777" w:rsidTr="00FF165C">
        <w:tc>
          <w:tcPr>
            <w:tcW w:w="738" w:type="dxa"/>
          </w:tcPr>
          <w:p w14:paraId="038AC55D" w14:textId="77777777" w:rsidR="001C7056" w:rsidRPr="000E437E" w:rsidRDefault="001C7056" w:rsidP="000E437E">
            <w:pPr>
              <w:jc w:val="both"/>
              <w:rPr>
                <w:rFonts w:ascii="Arial" w:hAnsi="Arial" w:cs="Arial"/>
              </w:rPr>
            </w:pPr>
            <w:r w:rsidRPr="000E437E">
              <w:rPr>
                <w:rFonts w:ascii="Arial" w:hAnsi="Arial" w:cs="Arial"/>
              </w:rPr>
              <w:t>21</w:t>
            </w:r>
          </w:p>
        </w:tc>
        <w:tc>
          <w:tcPr>
            <w:tcW w:w="2764" w:type="dxa"/>
          </w:tcPr>
          <w:p w14:paraId="7DC22A38"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Soares, A., Mosquera, P.</w:t>
            </w:r>
          </w:p>
        </w:tc>
        <w:tc>
          <w:tcPr>
            <w:tcW w:w="899" w:type="dxa"/>
          </w:tcPr>
          <w:p w14:paraId="1CDA9158" w14:textId="77777777" w:rsidR="001C7056" w:rsidRPr="000E437E" w:rsidRDefault="001C7056" w:rsidP="000E437E">
            <w:pPr>
              <w:jc w:val="both"/>
              <w:rPr>
                <w:rFonts w:ascii="Arial" w:hAnsi="Arial" w:cs="Arial"/>
              </w:rPr>
            </w:pPr>
            <w:r w:rsidRPr="000E437E">
              <w:rPr>
                <w:rFonts w:ascii="Arial" w:hAnsi="Arial" w:cs="Arial"/>
              </w:rPr>
              <w:t>2019</w:t>
            </w:r>
          </w:p>
        </w:tc>
        <w:tc>
          <w:tcPr>
            <w:tcW w:w="2583" w:type="dxa"/>
          </w:tcPr>
          <w:p w14:paraId="08069F22"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"Trust and Communication in Remote Teams"</w:t>
            </w:r>
          </w:p>
        </w:tc>
        <w:tc>
          <w:tcPr>
            <w:tcW w:w="2032" w:type="dxa"/>
          </w:tcPr>
          <w:p w14:paraId="01139DBE"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Psychological contract, remote work, team dynamics</w:t>
            </w:r>
          </w:p>
        </w:tc>
      </w:tr>
      <w:tr w:rsidR="001C7056" w:rsidRPr="000E437E" w14:paraId="26EE73F4" w14:textId="77777777" w:rsidTr="00FF165C">
        <w:tc>
          <w:tcPr>
            <w:tcW w:w="738" w:type="dxa"/>
          </w:tcPr>
          <w:p w14:paraId="0B8A8593" w14:textId="77777777" w:rsidR="001C7056" w:rsidRPr="000E437E" w:rsidRDefault="001C7056" w:rsidP="000E437E">
            <w:pPr>
              <w:jc w:val="both"/>
              <w:rPr>
                <w:rFonts w:ascii="Arial" w:hAnsi="Arial" w:cs="Arial"/>
              </w:rPr>
            </w:pPr>
            <w:r w:rsidRPr="000E437E">
              <w:rPr>
                <w:rFonts w:ascii="Arial" w:hAnsi="Arial" w:cs="Arial"/>
              </w:rPr>
              <w:t>22</w:t>
            </w:r>
          </w:p>
        </w:tc>
        <w:tc>
          <w:tcPr>
            <w:tcW w:w="2764" w:type="dxa"/>
          </w:tcPr>
          <w:p w14:paraId="5C33098E"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Shaik, S., Makhecha, U.</w:t>
            </w:r>
          </w:p>
        </w:tc>
        <w:tc>
          <w:tcPr>
            <w:tcW w:w="899" w:type="dxa"/>
          </w:tcPr>
          <w:p w14:paraId="2D026C6C" w14:textId="77777777" w:rsidR="001C7056" w:rsidRPr="000E437E" w:rsidRDefault="001C7056" w:rsidP="000E437E">
            <w:pPr>
              <w:jc w:val="both"/>
              <w:rPr>
                <w:rFonts w:ascii="Arial" w:hAnsi="Arial" w:cs="Arial"/>
              </w:rPr>
            </w:pPr>
            <w:r w:rsidRPr="000E437E">
              <w:rPr>
                <w:rFonts w:ascii="Arial" w:hAnsi="Arial" w:cs="Arial"/>
              </w:rPr>
              <w:t>2019</w:t>
            </w:r>
          </w:p>
        </w:tc>
        <w:tc>
          <w:tcPr>
            <w:tcW w:w="2583" w:type="dxa"/>
          </w:tcPr>
          <w:p w14:paraId="51062AEC"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Dynamics at Multinational Corporations"</w:t>
            </w:r>
          </w:p>
        </w:tc>
        <w:tc>
          <w:tcPr>
            <w:tcW w:w="2032" w:type="dxa"/>
          </w:tcPr>
          <w:p w14:paraId="74A988B5"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employee engagement, organizational culture</w:t>
            </w:r>
          </w:p>
        </w:tc>
      </w:tr>
      <w:tr w:rsidR="001C7056" w:rsidRPr="000E437E" w14:paraId="4739F5EE" w14:textId="77777777" w:rsidTr="00FF165C">
        <w:tc>
          <w:tcPr>
            <w:tcW w:w="738" w:type="dxa"/>
          </w:tcPr>
          <w:p w14:paraId="24E31635" w14:textId="77777777" w:rsidR="001C7056" w:rsidRPr="000E437E" w:rsidRDefault="001C7056" w:rsidP="000E437E">
            <w:pPr>
              <w:jc w:val="both"/>
              <w:rPr>
                <w:rFonts w:ascii="Arial" w:hAnsi="Arial" w:cs="Arial"/>
              </w:rPr>
            </w:pPr>
            <w:r w:rsidRPr="000E437E">
              <w:rPr>
                <w:rFonts w:ascii="Arial" w:hAnsi="Arial" w:cs="Arial"/>
              </w:rPr>
              <w:t>23</w:t>
            </w:r>
          </w:p>
        </w:tc>
        <w:tc>
          <w:tcPr>
            <w:tcW w:w="2764" w:type="dxa"/>
          </w:tcPr>
          <w:p w14:paraId="36D7BC6E"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Cheong et al.</w:t>
            </w:r>
          </w:p>
        </w:tc>
        <w:tc>
          <w:tcPr>
            <w:tcW w:w="899" w:type="dxa"/>
          </w:tcPr>
          <w:p w14:paraId="0D64A540" w14:textId="77777777" w:rsidR="001C7056" w:rsidRPr="000E437E" w:rsidRDefault="001C7056" w:rsidP="000E437E">
            <w:pPr>
              <w:jc w:val="both"/>
              <w:rPr>
                <w:rFonts w:ascii="Arial" w:hAnsi="Arial" w:cs="Arial"/>
              </w:rPr>
            </w:pPr>
            <w:r w:rsidRPr="000E437E">
              <w:rPr>
                <w:rFonts w:ascii="Arial" w:hAnsi="Arial" w:cs="Arial"/>
              </w:rPr>
              <w:t>2023</w:t>
            </w:r>
          </w:p>
        </w:tc>
        <w:tc>
          <w:tcPr>
            <w:tcW w:w="2583" w:type="dxa"/>
          </w:tcPr>
          <w:p w14:paraId="69244131"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The Impact of Remote Work on Organizational Culture at HSBC in the COVID-19 Era</w:t>
            </w:r>
          </w:p>
        </w:tc>
        <w:tc>
          <w:tcPr>
            <w:tcW w:w="2032" w:type="dxa"/>
          </w:tcPr>
          <w:p w14:paraId="2EE5F6CD"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COVID-19, organizational culture, HSBC</w:t>
            </w:r>
          </w:p>
        </w:tc>
      </w:tr>
      <w:tr w:rsidR="001C7056" w:rsidRPr="000E437E" w14:paraId="5C60CBA4" w14:textId="77777777" w:rsidTr="00FF165C">
        <w:tc>
          <w:tcPr>
            <w:tcW w:w="738" w:type="dxa"/>
          </w:tcPr>
          <w:p w14:paraId="159C950A" w14:textId="77777777" w:rsidR="001C7056" w:rsidRPr="000E437E" w:rsidRDefault="001C7056" w:rsidP="000E437E">
            <w:pPr>
              <w:jc w:val="both"/>
              <w:rPr>
                <w:rFonts w:ascii="Arial" w:hAnsi="Arial" w:cs="Arial"/>
              </w:rPr>
            </w:pPr>
            <w:r w:rsidRPr="000E437E">
              <w:rPr>
                <w:rFonts w:ascii="Arial" w:hAnsi="Arial" w:cs="Arial"/>
              </w:rPr>
              <w:t>24</w:t>
            </w:r>
          </w:p>
        </w:tc>
        <w:tc>
          <w:tcPr>
            <w:tcW w:w="2764" w:type="dxa"/>
          </w:tcPr>
          <w:p w14:paraId="330E517D"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Saunders et al.</w:t>
            </w:r>
          </w:p>
        </w:tc>
        <w:tc>
          <w:tcPr>
            <w:tcW w:w="899" w:type="dxa"/>
          </w:tcPr>
          <w:p w14:paraId="4758EC5F" w14:textId="77777777" w:rsidR="001C7056" w:rsidRPr="000E437E" w:rsidRDefault="001C7056" w:rsidP="000E437E">
            <w:pPr>
              <w:jc w:val="both"/>
              <w:rPr>
                <w:rFonts w:ascii="Arial" w:hAnsi="Arial" w:cs="Arial"/>
              </w:rPr>
            </w:pPr>
            <w:r w:rsidRPr="000E437E">
              <w:rPr>
                <w:rFonts w:ascii="Arial" w:hAnsi="Arial" w:cs="Arial"/>
              </w:rPr>
              <w:t>2015</w:t>
            </w:r>
          </w:p>
        </w:tc>
        <w:tc>
          <w:tcPr>
            <w:tcW w:w="2583" w:type="dxa"/>
          </w:tcPr>
          <w:p w14:paraId="3970C8B0"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Structured Research Strategies in the Banking Sector</w:t>
            </w:r>
          </w:p>
        </w:tc>
        <w:tc>
          <w:tcPr>
            <w:tcW w:w="2032" w:type="dxa"/>
          </w:tcPr>
          <w:p w14:paraId="36CFC90D"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Research methodologies, banking sector, structured approach</w:t>
            </w:r>
          </w:p>
        </w:tc>
      </w:tr>
      <w:tr w:rsidR="001C7056" w:rsidRPr="000E437E" w14:paraId="6E3B9CFE" w14:textId="77777777" w:rsidTr="00FF165C">
        <w:tc>
          <w:tcPr>
            <w:tcW w:w="738" w:type="dxa"/>
          </w:tcPr>
          <w:p w14:paraId="08713D34" w14:textId="77777777" w:rsidR="001C7056" w:rsidRPr="000E437E" w:rsidRDefault="001C7056" w:rsidP="000E437E">
            <w:pPr>
              <w:jc w:val="both"/>
              <w:rPr>
                <w:rFonts w:ascii="Arial" w:hAnsi="Arial" w:cs="Arial"/>
              </w:rPr>
            </w:pPr>
            <w:r w:rsidRPr="000E437E">
              <w:rPr>
                <w:rFonts w:ascii="Arial" w:hAnsi="Arial" w:cs="Arial"/>
              </w:rPr>
              <w:t>25</w:t>
            </w:r>
          </w:p>
        </w:tc>
        <w:tc>
          <w:tcPr>
            <w:tcW w:w="2764" w:type="dxa"/>
          </w:tcPr>
          <w:p w14:paraId="7B45B992"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Saunders et al</w:t>
            </w:r>
          </w:p>
        </w:tc>
        <w:tc>
          <w:tcPr>
            <w:tcW w:w="899" w:type="dxa"/>
          </w:tcPr>
          <w:p w14:paraId="3CED1365" w14:textId="77777777" w:rsidR="001C7056" w:rsidRPr="000E437E" w:rsidRDefault="001C7056" w:rsidP="000E437E">
            <w:pPr>
              <w:jc w:val="both"/>
              <w:rPr>
                <w:rFonts w:ascii="Arial" w:hAnsi="Arial" w:cs="Arial"/>
              </w:rPr>
            </w:pPr>
            <w:r w:rsidRPr="000E437E">
              <w:rPr>
                <w:rFonts w:ascii="Arial" w:hAnsi="Arial" w:cs="Arial"/>
              </w:rPr>
              <w:t>2016</w:t>
            </w:r>
          </w:p>
        </w:tc>
        <w:tc>
          <w:tcPr>
            <w:tcW w:w="2583" w:type="dxa"/>
          </w:tcPr>
          <w:p w14:paraId="6E0DDF2F"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Advances in Research Methodologies within the Banking Industry</w:t>
            </w:r>
          </w:p>
        </w:tc>
        <w:tc>
          <w:tcPr>
            <w:tcW w:w="2032" w:type="dxa"/>
          </w:tcPr>
          <w:p w14:paraId="2537F195"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Research methodologies, banking sector</w:t>
            </w:r>
          </w:p>
        </w:tc>
      </w:tr>
      <w:tr w:rsidR="001C7056" w:rsidRPr="000E437E" w14:paraId="7EC6FD7F" w14:textId="77777777" w:rsidTr="00FF165C">
        <w:tc>
          <w:tcPr>
            <w:tcW w:w="738" w:type="dxa"/>
          </w:tcPr>
          <w:p w14:paraId="0002C180" w14:textId="77777777" w:rsidR="001C7056" w:rsidRPr="000E437E" w:rsidRDefault="001C7056" w:rsidP="000E437E">
            <w:pPr>
              <w:jc w:val="both"/>
              <w:rPr>
                <w:rFonts w:ascii="Arial" w:hAnsi="Arial" w:cs="Arial"/>
              </w:rPr>
            </w:pPr>
            <w:r w:rsidRPr="000E437E">
              <w:rPr>
                <w:rFonts w:ascii="Arial" w:hAnsi="Arial" w:cs="Arial"/>
              </w:rPr>
              <w:t>26</w:t>
            </w:r>
          </w:p>
        </w:tc>
        <w:tc>
          <w:tcPr>
            <w:tcW w:w="2764" w:type="dxa"/>
          </w:tcPr>
          <w:p w14:paraId="04C5FD7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Zaman et al.</w:t>
            </w:r>
          </w:p>
        </w:tc>
        <w:tc>
          <w:tcPr>
            <w:tcW w:w="899" w:type="dxa"/>
          </w:tcPr>
          <w:p w14:paraId="3A9A1115" w14:textId="77777777" w:rsidR="001C7056" w:rsidRPr="000E437E" w:rsidRDefault="001C7056" w:rsidP="000E437E">
            <w:pPr>
              <w:jc w:val="both"/>
              <w:rPr>
                <w:rFonts w:ascii="Arial" w:hAnsi="Arial" w:cs="Arial"/>
              </w:rPr>
            </w:pPr>
            <w:r w:rsidRPr="000E437E">
              <w:rPr>
                <w:rFonts w:ascii="Arial" w:hAnsi="Arial" w:cs="Arial"/>
              </w:rPr>
              <w:t>2022</w:t>
            </w:r>
          </w:p>
        </w:tc>
        <w:tc>
          <w:tcPr>
            <w:tcW w:w="2583" w:type="dxa"/>
          </w:tcPr>
          <w:p w14:paraId="438E192F"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Empirical Evidence and Methodology Choice in Banking Research</w:t>
            </w:r>
          </w:p>
        </w:tc>
        <w:tc>
          <w:tcPr>
            <w:tcW w:w="2032" w:type="dxa"/>
          </w:tcPr>
          <w:p w14:paraId="3D68F68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Banking, research strategies, empirical evidence</w:t>
            </w:r>
          </w:p>
        </w:tc>
      </w:tr>
      <w:tr w:rsidR="001C7056" w:rsidRPr="000E437E" w14:paraId="627A31B6" w14:textId="77777777" w:rsidTr="00FF165C">
        <w:tc>
          <w:tcPr>
            <w:tcW w:w="738" w:type="dxa"/>
          </w:tcPr>
          <w:p w14:paraId="32F7EA86" w14:textId="77777777" w:rsidR="001C7056" w:rsidRPr="000E437E" w:rsidRDefault="001C7056" w:rsidP="000E437E">
            <w:pPr>
              <w:jc w:val="both"/>
              <w:rPr>
                <w:rFonts w:ascii="Arial" w:hAnsi="Arial" w:cs="Arial"/>
              </w:rPr>
            </w:pPr>
            <w:r w:rsidRPr="000E437E">
              <w:rPr>
                <w:rFonts w:ascii="Arial" w:hAnsi="Arial" w:cs="Arial"/>
              </w:rPr>
              <w:t>27</w:t>
            </w:r>
          </w:p>
        </w:tc>
        <w:tc>
          <w:tcPr>
            <w:tcW w:w="2764" w:type="dxa"/>
          </w:tcPr>
          <w:p w14:paraId="6BECD40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Moraliyage et al.</w:t>
            </w:r>
          </w:p>
        </w:tc>
        <w:tc>
          <w:tcPr>
            <w:tcW w:w="899" w:type="dxa"/>
          </w:tcPr>
          <w:p w14:paraId="778FA121" w14:textId="77777777" w:rsidR="001C7056" w:rsidRPr="000E437E" w:rsidRDefault="001C7056" w:rsidP="000E437E">
            <w:pPr>
              <w:jc w:val="both"/>
              <w:rPr>
                <w:rFonts w:ascii="Arial" w:hAnsi="Arial" w:cs="Arial"/>
              </w:rPr>
            </w:pPr>
            <w:r w:rsidRPr="000E437E">
              <w:rPr>
                <w:rFonts w:ascii="Arial" w:hAnsi="Arial" w:cs="Arial"/>
              </w:rPr>
              <w:t>2022</w:t>
            </w:r>
          </w:p>
        </w:tc>
        <w:tc>
          <w:tcPr>
            <w:tcW w:w="2583" w:type="dxa"/>
          </w:tcPr>
          <w:p w14:paraId="5C2567FF"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 xml:space="preserve">Application of Deep Learning in Banking </w:t>
            </w:r>
            <w:r w:rsidRPr="000E437E">
              <w:rPr>
                <w:rFonts w:ascii="Arial" w:hAnsi="Arial" w:cs="Arial"/>
                <w:color w:val="0D0D0D"/>
                <w:shd w:val="clear" w:color="auto" w:fill="FFFFFF"/>
              </w:rPr>
              <w:lastRenderedPageBreak/>
              <w:t>Services Classification</w:t>
            </w:r>
          </w:p>
        </w:tc>
        <w:tc>
          <w:tcPr>
            <w:tcW w:w="2032" w:type="dxa"/>
          </w:tcPr>
          <w:p w14:paraId="221388F7"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lastRenderedPageBreak/>
              <w:t>Research methods, banking services</w:t>
            </w:r>
          </w:p>
        </w:tc>
      </w:tr>
      <w:tr w:rsidR="001C7056" w:rsidRPr="000E437E" w14:paraId="36A98A93" w14:textId="77777777" w:rsidTr="00FF165C">
        <w:tc>
          <w:tcPr>
            <w:tcW w:w="738" w:type="dxa"/>
          </w:tcPr>
          <w:p w14:paraId="04D205FC" w14:textId="77777777" w:rsidR="001C7056" w:rsidRPr="000E437E" w:rsidRDefault="001C7056" w:rsidP="000E437E">
            <w:pPr>
              <w:jc w:val="both"/>
              <w:rPr>
                <w:rFonts w:ascii="Arial" w:hAnsi="Arial" w:cs="Arial"/>
              </w:rPr>
            </w:pPr>
            <w:r w:rsidRPr="000E437E">
              <w:rPr>
                <w:rFonts w:ascii="Arial" w:hAnsi="Arial" w:cs="Arial"/>
              </w:rPr>
              <w:t>28</w:t>
            </w:r>
          </w:p>
        </w:tc>
        <w:tc>
          <w:tcPr>
            <w:tcW w:w="2764" w:type="dxa"/>
          </w:tcPr>
          <w:p w14:paraId="083C597C"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Süfer et al.</w:t>
            </w:r>
          </w:p>
        </w:tc>
        <w:tc>
          <w:tcPr>
            <w:tcW w:w="899" w:type="dxa"/>
          </w:tcPr>
          <w:p w14:paraId="0E41A1B9" w14:textId="77777777" w:rsidR="001C7056" w:rsidRPr="000E437E" w:rsidRDefault="001C7056" w:rsidP="000E437E">
            <w:pPr>
              <w:jc w:val="both"/>
              <w:rPr>
                <w:rFonts w:ascii="Arial" w:hAnsi="Arial" w:cs="Arial"/>
              </w:rPr>
            </w:pPr>
            <w:r w:rsidRPr="000E437E">
              <w:rPr>
                <w:rFonts w:ascii="Arial" w:hAnsi="Arial" w:cs="Arial"/>
              </w:rPr>
              <w:t>2017</w:t>
            </w:r>
          </w:p>
        </w:tc>
        <w:tc>
          <w:tcPr>
            <w:tcW w:w="2583" w:type="dxa"/>
          </w:tcPr>
          <w:p w14:paraId="06E5E81D"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Mathematical Modelling of Financial Trends and Consumer Behaviour</w:t>
            </w:r>
          </w:p>
        </w:tc>
        <w:tc>
          <w:tcPr>
            <w:tcW w:w="2032" w:type="dxa"/>
          </w:tcPr>
          <w:p w14:paraId="3D0652F6"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Mathematical models, financial trends</w:t>
            </w:r>
          </w:p>
        </w:tc>
      </w:tr>
      <w:tr w:rsidR="001C7056" w:rsidRPr="000E437E" w14:paraId="310689BB" w14:textId="77777777" w:rsidTr="00FF165C">
        <w:tc>
          <w:tcPr>
            <w:tcW w:w="738" w:type="dxa"/>
          </w:tcPr>
          <w:p w14:paraId="2135EFC3" w14:textId="77777777" w:rsidR="001C7056" w:rsidRPr="000E437E" w:rsidRDefault="001C7056" w:rsidP="000E437E">
            <w:pPr>
              <w:jc w:val="both"/>
              <w:rPr>
                <w:rFonts w:ascii="Arial" w:hAnsi="Arial" w:cs="Arial"/>
              </w:rPr>
            </w:pPr>
            <w:r w:rsidRPr="000E437E">
              <w:rPr>
                <w:rFonts w:ascii="Arial" w:hAnsi="Arial" w:cs="Arial"/>
              </w:rPr>
              <w:t>29</w:t>
            </w:r>
          </w:p>
        </w:tc>
        <w:tc>
          <w:tcPr>
            <w:tcW w:w="2764" w:type="dxa"/>
          </w:tcPr>
          <w:p w14:paraId="2D3BD4D2"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Khosa et al.</w:t>
            </w:r>
          </w:p>
        </w:tc>
        <w:tc>
          <w:tcPr>
            <w:tcW w:w="899" w:type="dxa"/>
          </w:tcPr>
          <w:p w14:paraId="6B6052FB" w14:textId="77777777" w:rsidR="001C7056" w:rsidRPr="000E437E" w:rsidRDefault="001C7056" w:rsidP="000E437E">
            <w:pPr>
              <w:jc w:val="both"/>
              <w:rPr>
                <w:rFonts w:ascii="Arial" w:hAnsi="Arial" w:cs="Arial"/>
              </w:rPr>
            </w:pPr>
            <w:r w:rsidRPr="000E437E">
              <w:rPr>
                <w:rFonts w:ascii="Arial" w:hAnsi="Arial" w:cs="Arial"/>
              </w:rPr>
              <w:t>2015</w:t>
            </w:r>
          </w:p>
        </w:tc>
        <w:tc>
          <w:tcPr>
            <w:tcW w:w="2583" w:type="dxa"/>
          </w:tcPr>
          <w:p w14:paraId="695C4717"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Analytical Models in Consumer Financial Behaviour</w:t>
            </w:r>
          </w:p>
        </w:tc>
        <w:tc>
          <w:tcPr>
            <w:tcW w:w="2032" w:type="dxa"/>
          </w:tcPr>
          <w:p w14:paraId="14202A61"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Financial consumer behaviour</w:t>
            </w:r>
          </w:p>
        </w:tc>
      </w:tr>
      <w:tr w:rsidR="001C7056" w:rsidRPr="000E437E" w14:paraId="251636FD" w14:textId="77777777" w:rsidTr="00FF165C">
        <w:tc>
          <w:tcPr>
            <w:tcW w:w="738" w:type="dxa"/>
          </w:tcPr>
          <w:p w14:paraId="62DE9124" w14:textId="77777777" w:rsidR="001C7056" w:rsidRPr="000E437E" w:rsidRDefault="001C7056" w:rsidP="000E437E">
            <w:pPr>
              <w:jc w:val="both"/>
              <w:rPr>
                <w:rFonts w:ascii="Arial" w:hAnsi="Arial" w:cs="Arial"/>
              </w:rPr>
            </w:pPr>
            <w:r w:rsidRPr="000E437E">
              <w:rPr>
                <w:rFonts w:ascii="Arial" w:hAnsi="Arial" w:cs="Arial"/>
              </w:rPr>
              <w:t>30</w:t>
            </w:r>
          </w:p>
        </w:tc>
        <w:tc>
          <w:tcPr>
            <w:tcW w:w="2764" w:type="dxa"/>
          </w:tcPr>
          <w:p w14:paraId="0F72F37D" w14:textId="77777777" w:rsidR="001C7056" w:rsidRPr="000E437E" w:rsidRDefault="001C7056" w:rsidP="000E437E">
            <w:pPr>
              <w:jc w:val="both"/>
              <w:rPr>
                <w:rFonts w:ascii="Arial" w:hAnsi="Arial" w:cs="Arial"/>
                <w:color w:val="0D0D0D"/>
              </w:rPr>
            </w:pPr>
            <w:r w:rsidRPr="000E437E">
              <w:rPr>
                <w:rFonts w:ascii="Arial" w:hAnsi="Arial" w:cs="Arial"/>
                <w:color w:val="0D0D0D"/>
              </w:rPr>
              <w:br/>
              <w:t>Martin et al.</w:t>
            </w:r>
          </w:p>
          <w:p w14:paraId="47F3BAFB" w14:textId="77777777" w:rsidR="001C7056" w:rsidRPr="000E437E" w:rsidRDefault="001C7056" w:rsidP="000E437E">
            <w:pPr>
              <w:jc w:val="both"/>
              <w:rPr>
                <w:rFonts w:ascii="Arial" w:hAnsi="Arial" w:cs="Arial"/>
              </w:rPr>
            </w:pPr>
          </w:p>
        </w:tc>
        <w:tc>
          <w:tcPr>
            <w:tcW w:w="899" w:type="dxa"/>
          </w:tcPr>
          <w:p w14:paraId="6C590E57" w14:textId="77777777" w:rsidR="001C7056" w:rsidRPr="000E437E" w:rsidRDefault="001C7056" w:rsidP="000E437E">
            <w:pPr>
              <w:jc w:val="both"/>
              <w:rPr>
                <w:rFonts w:ascii="Arial" w:hAnsi="Arial" w:cs="Arial"/>
              </w:rPr>
            </w:pPr>
            <w:r w:rsidRPr="000E437E">
              <w:rPr>
                <w:rFonts w:ascii="Arial" w:hAnsi="Arial" w:cs="Arial"/>
              </w:rPr>
              <w:t>2005</w:t>
            </w:r>
          </w:p>
        </w:tc>
        <w:tc>
          <w:tcPr>
            <w:tcW w:w="2583" w:type="dxa"/>
          </w:tcPr>
          <w:p w14:paraId="2F8813AC"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Market Trends and Risk Assessment Techniques</w:t>
            </w:r>
          </w:p>
        </w:tc>
        <w:tc>
          <w:tcPr>
            <w:tcW w:w="2032" w:type="dxa"/>
          </w:tcPr>
          <w:p w14:paraId="12676EE6"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Market trends, risk assessments</w:t>
            </w:r>
          </w:p>
        </w:tc>
      </w:tr>
      <w:tr w:rsidR="001C7056" w:rsidRPr="000E437E" w14:paraId="2DBAAF49" w14:textId="77777777" w:rsidTr="00FF165C">
        <w:tc>
          <w:tcPr>
            <w:tcW w:w="738" w:type="dxa"/>
          </w:tcPr>
          <w:p w14:paraId="60483BAF" w14:textId="77777777" w:rsidR="001C7056" w:rsidRPr="000E437E" w:rsidRDefault="001C7056" w:rsidP="000E437E">
            <w:pPr>
              <w:jc w:val="both"/>
              <w:rPr>
                <w:rFonts w:ascii="Arial" w:hAnsi="Arial" w:cs="Arial"/>
              </w:rPr>
            </w:pPr>
            <w:r w:rsidRPr="000E437E">
              <w:rPr>
                <w:rFonts w:ascii="Arial" w:hAnsi="Arial" w:cs="Arial"/>
              </w:rPr>
              <w:t>31</w:t>
            </w:r>
          </w:p>
        </w:tc>
        <w:tc>
          <w:tcPr>
            <w:tcW w:w="2764" w:type="dxa"/>
          </w:tcPr>
          <w:p w14:paraId="4E26961E"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Market trends, risk assessments</w:t>
            </w:r>
          </w:p>
        </w:tc>
        <w:tc>
          <w:tcPr>
            <w:tcW w:w="899" w:type="dxa"/>
          </w:tcPr>
          <w:p w14:paraId="3959EC2B" w14:textId="77777777" w:rsidR="001C7056" w:rsidRPr="000E437E" w:rsidRDefault="001C7056" w:rsidP="000E437E">
            <w:pPr>
              <w:jc w:val="both"/>
              <w:rPr>
                <w:rFonts w:ascii="Arial" w:hAnsi="Arial" w:cs="Arial"/>
              </w:rPr>
            </w:pPr>
            <w:r w:rsidRPr="000E437E">
              <w:rPr>
                <w:rFonts w:ascii="Arial" w:hAnsi="Arial" w:cs="Arial"/>
              </w:rPr>
              <w:t>2017</w:t>
            </w:r>
          </w:p>
        </w:tc>
        <w:tc>
          <w:tcPr>
            <w:tcW w:w="2583" w:type="dxa"/>
          </w:tcPr>
          <w:p w14:paraId="49C5FD58"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The Role of Genetic Mapping in Banking Risk Assessment</w:t>
            </w:r>
          </w:p>
        </w:tc>
        <w:tc>
          <w:tcPr>
            <w:tcW w:w="2032" w:type="dxa"/>
          </w:tcPr>
          <w:p w14:paraId="4B94FCFF"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Genetic mapping, banking insights</w:t>
            </w:r>
          </w:p>
        </w:tc>
      </w:tr>
      <w:tr w:rsidR="001C7056" w:rsidRPr="000E437E" w14:paraId="72EF96AB" w14:textId="77777777" w:rsidTr="00FF165C">
        <w:tc>
          <w:tcPr>
            <w:tcW w:w="738" w:type="dxa"/>
          </w:tcPr>
          <w:p w14:paraId="6DE34587" w14:textId="77777777" w:rsidR="001C7056" w:rsidRPr="000E437E" w:rsidRDefault="001C7056" w:rsidP="000E437E">
            <w:pPr>
              <w:jc w:val="both"/>
              <w:rPr>
                <w:rFonts w:ascii="Arial" w:hAnsi="Arial" w:cs="Arial"/>
              </w:rPr>
            </w:pPr>
            <w:r w:rsidRPr="000E437E">
              <w:rPr>
                <w:rFonts w:ascii="Arial" w:hAnsi="Arial" w:cs="Arial"/>
              </w:rPr>
              <w:t>32</w:t>
            </w:r>
          </w:p>
        </w:tc>
        <w:tc>
          <w:tcPr>
            <w:tcW w:w="2764" w:type="dxa"/>
          </w:tcPr>
          <w:p w14:paraId="42EF4D38"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Bandi et al.</w:t>
            </w:r>
          </w:p>
        </w:tc>
        <w:tc>
          <w:tcPr>
            <w:tcW w:w="899" w:type="dxa"/>
          </w:tcPr>
          <w:p w14:paraId="71723CE0" w14:textId="77777777" w:rsidR="001C7056" w:rsidRPr="000E437E" w:rsidRDefault="001C7056" w:rsidP="000E437E">
            <w:pPr>
              <w:jc w:val="both"/>
              <w:rPr>
                <w:rFonts w:ascii="Arial" w:hAnsi="Arial" w:cs="Arial"/>
              </w:rPr>
            </w:pPr>
            <w:r w:rsidRPr="000E437E">
              <w:rPr>
                <w:rFonts w:ascii="Arial" w:hAnsi="Arial" w:cs="Arial"/>
              </w:rPr>
              <w:t>2016</w:t>
            </w:r>
          </w:p>
        </w:tc>
        <w:tc>
          <w:tcPr>
            <w:tcW w:w="2583" w:type="dxa"/>
          </w:tcPr>
          <w:p w14:paraId="46964DE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Bandi et al.</w:t>
            </w:r>
          </w:p>
        </w:tc>
        <w:tc>
          <w:tcPr>
            <w:tcW w:w="2032" w:type="dxa"/>
          </w:tcPr>
          <w:p w14:paraId="0F38039F"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Financial products, customer demand forecasting</w:t>
            </w:r>
          </w:p>
        </w:tc>
      </w:tr>
      <w:tr w:rsidR="001C7056" w:rsidRPr="000E437E" w14:paraId="4EC4DC73" w14:textId="77777777" w:rsidTr="00FF165C">
        <w:tc>
          <w:tcPr>
            <w:tcW w:w="738" w:type="dxa"/>
          </w:tcPr>
          <w:p w14:paraId="6C7408E4" w14:textId="77777777" w:rsidR="001C7056" w:rsidRPr="000E437E" w:rsidRDefault="001C7056" w:rsidP="000E437E">
            <w:pPr>
              <w:jc w:val="both"/>
              <w:rPr>
                <w:rFonts w:ascii="Arial" w:hAnsi="Arial" w:cs="Arial"/>
              </w:rPr>
            </w:pPr>
            <w:r w:rsidRPr="000E437E">
              <w:rPr>
                <w:rFonts w:ascii="Arial" w:hAnsi="Arial" w:cs="Arial"/>
              </w:rPr>
              <w:t>33</w:t>
            </w:r>
          </w:p>
        </w:tc>
        <w:tc>
          <w:tcPr>
            <w:tcW w:w="2764" w:type="dxa"/>
          </w:tcPr>
          <w:p w14:paraId="3A860CE3" w14:textId="77777777" w:rsidR="001C7056" w:rsidRPr="000E437E" w:rsidRDefault="001C7056" w:rsidP="000E437E">
            <w:pPr>
              <w:jc w:val="both"/>
              <w:rPr>
                <w:rFonts w:ascii="Arial" w:hAnsi="Arial" w:cs="Arial"/>
                <w:color w:val="0D0D0D"/>
              </w:rPr>
            </w:pPr>
            <w:r w:rsidRPr="000E437E">
              <w:rPr>
                <w:rFonts w:ascii="Arial" w:hAnsi="Arial" w:cs="Arial"/>
                <w:color w:val="0D0D0D"/>
              </w:rPr>
              <w:br/>
              <w:t>Zhu et al.</w:t>
            </w:r>
          </w:p>
          <w:p w14:paraId="43A93642" w14:textId="77777777" w:rsidR="001C7056" w:rsidRPr="000E437E" w:rsidRDefault="001C7056" w:rsidP="000E437E">
            <w:pPr>
              <w:jc w:val="both"/>
              <w:rPr>
                <w:rFonts w:ascii="Arial" w:hAnsi="Arial" w:cs="Arial"/>
              </w:rPr>
            </w:pPr>
          </w:p>
        </w:tc>
        <w:tc>
          <w:tcPr>
            <w:tcW w:w="899" w:type="dxa"/>
          </w:tcPr>
          <w:p w14:paraId="4D935AFE"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2019</w:t>
            </w:r>
          </w:p>
        </w:tc>
        <w:tc>
          <w:tcPr>
            <w:tcW w:w="2583" w:type="dxa"/>
          </w:tcPr>
          <w:p w14:paraId="29169406"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Enhancing Operational Efficiency in HSBC UK</w:t>
            </w:r>
          </w:p>
        </w:tc>
        <w:tc>
          <w:tcPr>
            <w:tcW w:w="2032" w:type="dxa"/>
          </w:tcPr>
          <w:p w14:paraId="6239642C"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Service offerings, operational efficiency</w:t>
            </w:r>
          </w:p>
        </w:tc>
      </w:tr>
      <w:tr w:rsidR="001C7056" w:rsidRPr="000E437E" w14:paraId="5E318871" w14:textId="77777777" w:rsidTr="00FF165C">
        <w:tc>
          <w:tcPr>
            <w:tcW w:w="738" w:type="dxa"/>
          </w:tcPr>
          <w:p w14:paraId="714A1A44" w14:textId="77777777" w:rsidR="001C7056" w:rsidRPr="000E437E" w:rsidRDefault="001C7056" w:rsidP="000E437E">
            <w:pPr>
              <w:jc w:val="both"/>
              <w:rPr>
                <w:rFonts w:ascii="Arial" w:hAnsi="Arial" w:cs="Arial"/>
              </w:rPr>
            </w:pPr>
            <w:r w:rsidRPr="000E437E">
              <w:rPr>
                <w:rFonts w:ascii="Arial" w:hAnsi="Arial" w:cs="Arial"/>
              </w:rPr>
              <w:t>34</w:t>
            </w:r>
          </w:p>
        </w:tc>
        <w:tc>
          <w:tcPr>
            <w:tcW w:w="2764" w:type="dxa"/>
          </w:tcPr>
          <w:p w14:paraId="42DE9186"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Junjie and Yingxin</w:t>
            </w:r>
          </w:p>
        </w:tc>
        <w:tc>
          <w:tcPr>
            <w:tcW w:w="899" w:type="dxa"/>
          </w:tcPr>
          <w:p w14:paraId="6F818E07" w14:textId="77777777" w:rsidR="001C7056" w:rsidRPr="000E437E" w:rsidRDefault="001C7056" w:rsidP="000E437E">
            <w:pPr>
              <w:jc w:val="both"/>
              <w:rPr>
                <w:rFonts w:ascii="Arial" w:hAnsi="Arial" w:cs="Arial"/>
              </w:rPr>
            </w:pPr>
            <w:r w:rsidRPr="000E437E">
              <w:rPr>
                <w:rFonts w:ascii="Arial" w:hAnsi="Arial" w:cs="Arial"/>
              </w:rPr>
              <w:t>2022</w:t>
            </w:r>
          </w:p>
        </w:tc>
        <w:tc>
          <w:tcPr>
            <w:tcW w:w="2583" w:type="dxa"/>
          </w:tcPr>
          <w:p w14:paraId="5832A644"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Interpretivism in Research: Employee Opinions on Remote Work</w:t>
            </w:r>
          </w:p>
        </w:tc>
        <w:tc>
          <w:tcPr>
            <w:tcW w:w="2032" w:type="dxa"/>
          </w:tcPr>
          <w:p w14:paraId="2A216522"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Interpretivism, employee opinions, remote work</w:t>
            </w:r>
          </w:p>
        </w:tc>
      </w:tr>
      <w:tr w:rsidR="001C7056" w:rsidRPr="000E437E" w14:paraId="63C8D0E3" w14:textId="77777777" w:rsidTr="00FF165C">
        <w:tc>
          <w:tcPr>
            <w:tcW w:w="738" w:type="dxa"/>
          </w:tcPr>
          <w:p w14:paraId="2D4C2EA5" w14:textId="77777777" w:rsidR="001C7056" w:rsidRPr="000E437E" w:rsidRDefault="001C7056" w:rsidP="000E437E">
            <w:pPr>
              <w:jc w:val="both"/>
              <w:rPr>
                <w:rFonts w:ascii="Arial" w:hAnsi="Arial" w:cs="Arial"/>
              </w:rPr>
            </w:pPr>
            <w:r w:rsidRPr="000E437E">
              <w:rPr>
                <w:rFonts w:ascii="Arial" w:hAnsi="Arial" w:cs="Arial"/>
              </w:rPr>
              <w:t>35</w:t>
            </w:r>
          </w:p>
        </w:tc>
        <w:tc>
          <w:tcPr>
            <w:tcW w:w="2764" w:type="dxa"/>
          </w:tcPr>
          <w:p w14:paraId="5EA63061"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Elman et al.</w:t>
            </w:r>
          </w:p>
        </w:tc>
        <w:tc>
          <w:tcPr>
            <w:tcW w:w="899" w:type="dxa"/>
          </w:tcPr>
          <w:p w14:paraId="289ADB2C" w14:textId="77777777" w:rsidR="001C7056" w:rsidRPr="000E437E" w:rsidRDefault="001C7056" w:rsidP="000E437E">
            <w:pPr>
              <w:jc w:val="both"/>
              <w:rPr>
                <w:rFonts w:ascii="Arial" w:hAnsi="Arial" w:cs="Arial"/>
              </w:rPr>
            </w:pPr>
            <w:r w:rsidRPr="000E437E">
              <w:rPr>
                <w:rFonts w:ascii="Arial" w:hAnsi="Arial" w:cs="Arial"/>
              </w:rPr>
              <w:t>2019</w:t>
            </w:r>
          </w:p>
        </w:tc>
        <w:tc>
          <w:tcPr>
            <w:tcW w:w="2583" w:type="dxa"/>
          </w:tcPr>
          <w:p w14:paraId="57D6E9F8"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Exploratory Studies on Remote Work during COVID-19</w:t>
            </w:r>
          </w:p>
        </w:tc>
        <w:tc>
          <w:tcPr>
            <w:tcW w:w="2032" w:type="dxa"/>
          </w:tcPr>
          <w:p w14:paraId="6ADAB7C4"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Secondary qualitative sources, HSBC during COVID-19</w:t>
            </w:r>
          </w:p>
        </w:tc>
      </w:tr>
      <w:tr w:rsidR="001C7056" w:rsidRPr="000E437E" w14:paraId="64A188C9" w14:textId="77777777" w:rsidTr="00FF165C">
        <w:tc>
          <w:tcPr>
            <w:tcW w:w="738" w:type="dxa"/>
          </w:tcPr>
          <w:p w14:paraId="2A0289E1" w14:textId="77777777" w:rsidR="001C7056" w:rsidRPr="000E437E" w:rsidRDefault="001C7056" w:rsidP="000E437E">
            <w:pPr>
              <w:jc w:val="both"/>
              <w:rPr>
                <w:rFonts w:ascii="Arial" w:hAnsi="Arial" w:cs="Arial"/>
              </w:rPr>
            </w:pPr>
            <w:r w:rsidRPr="000E437E">
              <w:rPr>
                <w:rFonts w:ascii="Arial" w:hAnsi="Arial" w:cs="Arial"/>
              </w:rPr>
              <w:t>36</w:t>
            </w:r>
          </w:p>
        </w:tc>
        <w:tc>
          <w:tcPr>
            <w:tcW w:w="2764" w:type="dxa"/>
          </w:tcPr>
          <w:p w14:paraId="3E70486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Casula, Rangarajan, and Shields</w:t>
            </w:r>
          </w:p>
        </w:tc>
        <w:tc>
          <w:tcPr>
            <w:tcW w:w="899" w:type="dxa"/>
          </w:tcPr>
          <w:p w14:paraId="7496F5E1"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2020</w:t>
            </w:r>
          </w:p>
        </w:tc>
        <w:tc>
          <w:tcPr>
            <w:tcW w:w="2583" w:type="dxa"/>
          </w:tcPr>
          <w:p w14:paraId="5E639DBD"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The Role of Remote Work in Shaping Organizational Culture</w:t>
            </w:r>
          </w:p>
        </w:tc>
        <w:tc>
          <w:tcPr>
            <w:tcW w:w="2032" w:type="dxa"/>
          </w:tcPr>
          <w:p w14:paraId="2EA7562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Employee engagement, organizational culture, remote work</w:t>
            </w:r>
          </w:p>
        </w:tc>
      </w:tr>
      <w:tr w:rsidR="001C7056" w:rsidRPr="000E437E" w14:paraId="720EC9C7" w14:textId="77777777" w:rsidTr="00FF165C">
        <w:tc>
          <w:tcPr>
            <w:tcW w:w="738" w:type="dxa"/>
          </w:tcPr>
          <w:p w14:paraId="240966B4" w14:textId="77777777" w:rsidR="001C7056" w:rsidRPr="000E437E" w:rsidRDefault="001C7056" w:rsidP="000E437E">
            <w:pPr>
              <w:jc w:val="both"/>
              <w:rPr>
                <w:rFonts w:ascii="Arial" w:hAnsi="Arial" w:cs="Arial"/>
              </w:rPr>
            </w:pPr>
            <w:r w:rsidRPr="000E437E">
              <w:rPr>
                <w:rFonts w:ascii="Arial" w:hAnsi="Arial" w:cs="Arial"/>
              </w:rPr>
              <w:t>37</w:t>
            </w:r>
          </w:p>
        </w:tc>
        <w:tc>
          <w:tcPr>
            <w:tcW w:w="2764" w:type="dxa"/>
          </w:tcPr>
          <w:p w14:paraId="17B5DF82" w14:textId="77777777" w:rsidR="001C7056" w:rsidRPr="000E437E" w:rsidRDefault="001C7056" w:rsidP="000E437E">
            <w:pPr>
              <w:jc w:val="both"/>
              <w:rPr>
                <w:rFonts w:ascii="Arial" w:hAnsi="Arial" w:cs="Arial"/>
                <w:color w:val="0D0D0D"/>
              </w:rPr>
            </w:pPr>
            <w:r w:rsidRPr="000E437E">
              <w:rPr>
                <w:rFonts w:ascii="Arial" w:hAnsi="Arial" w:cs="Arial"/>
                <w:color w:val="0D0D0D"/>
              </w:rPr>
              <w:br/>
              <w:t>Kyngäs</w:t>
            </w:r>
          </w:p>
          <w:p w14:paraId="374C4915" w14:textId="77777777" w:rsidR="001C7056" w:rsidRPr="000E437E" w:rsidRDefault="001C7056" w:rsidP="000E437E">
            <w:pPr>
              <w:jc w:val="both"/>
              <w:rPr>
                <w:rFonts w:ascii="Arial" w:hAnsi="Arial" w:cs="Arial"/>
              </w:rPr>
            </w:pPr>
          </w:p>
        </w:tc>
        <w:tc>
          <w:tcPr>
            <w:tcW w:w="899" w:type="dxa"/>
          </w:tcPr>
          <w:p w14:paraId="049C6FB7" w14:textId="77777777" w:rsidR="001C7056" w:rsidRPr="000E437E" w:rsidRDefault="001C7056" w:rsidP="000E437E">
            <w:pPr>
              <w:jc w:val="both"/>
              <w:rPr>
                <w:rFonts w:ascii="Arial" w:hAnsi="Arial" w:cs="Arial"/>
              </w:rPr>
            </w:pPr>
            <w:r w:rsidRPr="000E437E">
              <w:rPr>
                <w:rFonts w:ascii="Arial" w:hAnsi="Arial" w:cs="Arial"/>
              </w:rPr>
              <w:t>2019</w:t>
            </w:r>
          </w:p>
        </w:tc>
        <w:tc>
          <w:tcPr>
            <w:tcW w:w="2583" w:type="dxa"/>
          </w:tcPr>
          <w:p w14:paraId="00768518"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The Inductive Approach in Post-Epidemic Research</w:t>
            </w:r>
          </w:p>
        </w:tc>
        <w:tc>
          <w:tcPr>
            <w:tcW w:w="2032" w:type="dxa"/>
          </w:tcPr>
          <w:p w14:paraId="5DDC9361"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Inductive research, empirical data analysis</w:t>
            </w:r>
          </w:p>
        </w:tc>
      </w:tr>
      <w:tr w:rsidR="001C7056" w:rsidRPr="000E437E" w14:paraId="1F47B782" w14:textId="77777777" w:rsidTr="00FF165C">
        <w:tc>
          <w:tcPr>
            <w:tcW w:w="738" w:type="dxa"/>
          </w:tcPr>
          <w:p w14:paraId="3C5FBEEB" w14:textId="77777777" w:rsidR="001C7056" w:rsidRPr="000E437E" w:rsidRDefault="001C7056" w:rsidP="000E437E">
            <w:pPr>
              <w:jc w:val="both"/>
              <w:rPr>
                <w:rFonts w:ascii="Arial" w:hAnsi="Arial" w:cs="Arial"/>
              </w:rPr>
            </w:pPr>
            <w:r w:rsidRPr="000E437E">
              <w:rPr>
                <w:rFonts w:ascii="Arial" w:hAnsi="Arial" w:cs="Arial"/>
              </w:rPr>
              <w:t>38</w:t>
            </w:r>
          </w:p>
        </w:tc>
        <w:tc>
          <w:tcPr>
            <w:tcW w:w="2764" w:type="dxa"/>
          </w:tcPr>
          <w:p w14:paraId="402C1F4D"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O’Kane, Smith and Lerman</w:t>
            </w:r>
          </w:p>
        </w:tc>
        <w:tc>
          <w:tcPr>
            <w:tcW w:w="899" w:type="dxa"/>
          </w:tcPr>
          <w:p w14:paraId="77B9B652" w14:textId="77777777" w:rsidR="001C7056" w:rsidRPr="000E437E" w:rsidRDefault="001C7056" w:rsidP="000E437E">
            <w:pPr>
              <w:jc w:val="both"/>
              <w:rPr>
                <w:rFonts w:ascii="Arial" w:hAnsi="Arial" w:cs="Arial"/>
              </w:rPr>
            </w:pPr>
            <w:r w:rsidRPr="000E437E">
              <w:rPr>
                <w:rFonts w:ascii="Arial" w:hAnsi="Arial" w:cs="Arial"/>
              </w:rPr>
              <w:t>2019</w:t>
            </w:r>
          </w:p>
        </w:tc>
        <w:tc>
          <w:tcPr>
            <w:tcW w:w="2583" w:type="dxa"/>
          </w:tcPr>
          <w:p w14:paraId="2A945077"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Summarizing Remote Work and Organizational Behavior</w:t>
            </w:r>
          </w:p>
        </w:tc>
        <w:tc>
          <w:tcPr>
            <w:tcW w:w="2032" w:type="dxa"/>
          </w:tcPr>
          <w:p w14:paraId="16DFB5A2"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Summarizing Remote Work and Organizational Behavior</w:t>
            </w:r>
          </w:p>
        </w:tc>
      </w:tr>
      <w:tr w:rsidR="001C7056" w:rsidRPr="000E437E" w14:paraId="3F8A4B92" w14:textId="77777777" w:rsidTr="00FF165C">
        <w:tc>
          <w:tcPr>
            <w:tcW w:w="738" w:type="dxa"/>
          </w:tcPr>
          <w:p w14:paraId="1D57BDC9" w14:textId="77777777" w:rsidR="001C7056" w:rsidRPr="000E437E" w:rsidRDefault="001C7056" w:rsidP="000E437E">
            <w:pPr>
              <w:jc w:val="both"/>
              <w:rPr>
                <w:rFonts w:ascii="Arial" w:hAnsi="Arial" w:cs="Arial"/>
              </w:rPr>
            </w:pPr>
            <w:r w:rsidRPr="000E437E">
              <w:rPr>
                <w:rFonts w:ascii="Arial" w:hAnsi="Arial" w:cs="Arial"/>
              </w:rPr>
              <w:t>39</w:t>
            </w:r>
          </w:p>
        </w:tc>
        <w:tc>
          <w:tcPr>
            <w:tcW w:w="2764" w:type="dxa"/>
          </w:tcPr>
          <w:p w14:paraId="4A188D67"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Rahman</w:t>
            </w:r>
          </w:p>
        </w:tc>
        <w:tc>
          <w:tcPr>
            <w:tcW w:w="899" w:type="dxa"/>
          </w:tcPr>
          <w:p w14:paraId="2AF589E7" w14:textId="77777777" w:rsidR="001C7056" w:rsidRPr="000E437E" w:rsidRDefault="001C7056" w:rsidP="000E437E">
            <w:pPr>
              <w:jc w:val="both"/>
              <w:rPr>
                <w:rFonts w:ascii="Arial" w:hAnsi="Arial" w:cs="Arial"/>
              </w:rPr>
            </w:pPr>
            <w:r w:rsidRPr="000E437E">
              <w:rPr>
                <w:rFonts w:ascii="Arial" w:hAnsi="Arial" w:cs="Arial"/>
              </w:rPr>
              <w:t>2020</w:t>
            </w:r>
          </w:p>
        </w:tc>
        <w:tc>
          <w:tcPr>
            <w:tcW w:w="2583" w:type="dxa"/>
          </w:tcPr>
          <w:p w14:paraId="28B82275"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Systematic Literature Reviews in Remote Work Research</w:t>
            </w:r>
          </w:p>
        </w:tc>
        <w:tc>
          <w:tcPr>
            <w:tcW w:w="2032" w:type="dxa"/>
          </w:tcPr>
          <w:p w14:paraId="3B0EBD8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Systematic literature review, transparency in data gathering</w:t>
            </w:r>
          </w:p>
        </w:tc>
      </w:tr>
      <w:tr w:rsidR="001C7056" w:rsidRPr="000E437E" w14:paraId="333F9765" w14:textId="77777777" w:rsidTr="00FF165C">
        <w:tc>
          <w:tcPr>
            <w:tcW w:w="738" w:type="dxa"/>
          </w:tcPr>
          <w:p w14:paraId="37820438" w14:textId="77777777" w:rsidR="001C7056" w:rsidRPr="000E437E" w:rsidRDefault="001C7056" w:rsidP="000E437E">
            <w:pPr>
              <w:jc w:val="both"/>
              <w:rPr>
                <w:rFonts w:ascii="Arial" w:hAnsi="Arial" w:cs="Arial"/>
              </w:rPr>
            </w:pPr>
            <w:r w:rsidRPr="000E437E">
              <w:rPr>
                <w:rFonts w:ascii="Arial" w:hAnsi="Arial" w:cs="Arial"/>
              </w:rPr>
              <w:lastRenderedPageBreak/>
              <w:t>40</w:t>
            </w:r>
          </w:p>
        </w:tc>
        <w:tc>
          <w:tcPr>
            <w:tcW w:w="2764" w:type="dxa"/>
          </w:tcPr>
          <w:p w14:paraId="11E8AC91"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Djafar et al.</w:t>
            </w:r>
          </w:p>
        </w:tc>
        <w:tc>
          <w:tcPr>
            <w:tcW w:w="899" w:type="dxa"/>
          </w:tcPr>
          <w:p w14:paraId="2630F073" w14:textId="77777777" w:rsidR="001C7056" w:rsidRPr="000E437E" w:rsidRDefault="001C7056" w:rsidP="000E437E">
            <w:pPr>
              <w:jc w:val="both"/>
              <w:rPr>
                <w:rFonts w:ascii="Arial" w:hAnsi="Arial" w:cs="Arial"/>
              </w:rPr>
            </w:pPr>
            <w:r w:rsidRPr="000E437E">
              <w:rPr>
                <w:rFonts w:ascii="Arial" w:hAnsi="Arial" w:cs="Arial"/>
              </w:rPr>
              <w:t>2021</w:t>
            </w:r>
          </w:p>
        </w:tc>
        <w:tc>
          <w:tcPr>
            <w:tcW w:w="2583" w:type="dxa"/>
          </w:tcPr>
          <w:p w14:paraId="3E8520FA"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Qualitative Research in Remote Work: A Thematic Analysis</w:t>
            </w:r>
          </w:p>
        </w:tc>
        <w:tc>
          <w:tcPr>
            <w:tcW w:w="2032" w:type="dxa"/>
          </w:tcPr>
          <w:p w14:paraId="144EEF50"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Thematic analysis, qualitative research</w:t>
            </w:r>
          </w:p>
        </w:tc>
      </w:tr>
      <w:tr w:rsidR="001C7056" w:rsidRPr="000E437E" w14:paraId="6D5A538B" w14:textId="77777777" w:rsidTr="00FF165C">
        <w:tc>
          <w:tcPr>
            <w:tcW w:w="738" w:type="dxa"/>
          </w:tcPr>
          <w:p w14:paraId="299FD489" w14:textId="77777777" w:rsidR="001C7056" w:rsidRPr="000E437E" w:rsidRDefault="001C7056" w:rsidP="000E437E">
            <w:pPr>
              <w:jc w:val="both"/>
              <w:rPr>
                <w:rFonts w:ascii="Arial" w:hAnsi="Arial" w:cs="Arial"/>
              </w:rPr>
            </w:pPr>
            <w:r w:rsidRPr="000E437E">
              <w:rPr>
                <w:rFonts w:ascii="Arial" w:hAnsi="Arial" w:cs="Arial"/>
              </w:rPr>
              <w:t>41</w:t>
            </w:r>
          </w:p>
        </w:tc>
        <w:tc>
          <w:tcPr>
            <w:tcW w:w="2764" w:type="dxa"/>
          </w:tcPr>
          <w:p w14:paraId="73A95340"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Pietilä et al.</w:t>
            </w:r>
          </w:p>
        </w:tc>
        <w:tc>
          <w:tcPr>
            <w:tcW w:w="899" w:type="dxa"/>
          </w:tcPr>
          <w:p w14:paraId="41EBA307" w14:textId="77777777" w:rsidR="001C7056" w:rsidRPr="000E437E" w:rsidRDefault="001C7056" w:rsidP="000E437E">
            <w:pPr>
              <w:jc w:val="both"/>
              <w:rPr>
                <w:rFonts w:ascii="Arial" w:hAnsi="Arial" w:cs="Arial"/>
              </w:rPr>
            </w:pPr>
            <w:r w:rsidRPr="000E437E">
              <w:rPr>
                <w:rFonts w:ascii="Arial" w:hAnsi="Arial" w:cs="Arial"/>
              </w:rPr>
              <w:t>2020</w:t>
            </w:r>
          </w:p>
        </w:tc>
        <w:tc>
          <w:tcPr>
            <w:tcW w:w="2583" w:type="dxa"/>
          </w:tcPr>
          <w:p w14:paraId="07DA2939"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Ethical Considerations in Remote Work Research</w:t>
            </w:r>
          </w:p>
        </w:tc>
        <w:tc>
          <w:tcPr>
            <w:tcW w:w="2032" w:type="dxa"/>
          </w:tcPr>
          <w:p w14:paraId="576C35D7"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Ethics, remote work, employee engagement, organisational culture</w:t>
            </w:r>
          </w:p>
        </w:tc>
      </w:tr>
      <w:tr w:rsidR="001C7056" w:rsidRPr="000E437E" w14:paraId="6F3845A1" w14:textId="77777777" w:rsidTr="00FF165C">
        <w:tc>
          <w:tcPr>
            <w:tcW w:w="738" w:type="dxa"/>
          </w:tcPr>
          <w:p w14:paraId="3D43DE8D" w14:textId="77777777" w:rsidR="001C7056" w:rsidRPr="000E437E" w:rsidRDefault="001C7056" w:rsidP="000E437E">
            <w:pPr>
              <w:jc w:val="both"/>
              <w:rPr>
                <w:rFonts w:ascii="Arial" w:hAnsi="Arial" w:cs="Arial"/>
              </w:rPr>
            </w:pPr>
            <w:r w:rsidRPr="000E437E">
              <w:rPr>
                <w:rFonts w:ascii="Arial" w:hAnsi="Arial" w:cs="Arial"/>
              </w:rPr>
              <w:t>42</w:t>
            </w:r>
          </w:p>
        </w:tc>
        <w:tc>
          <w:tcPr>
            <w:tcW w:w="2764" w:type="dxa"/>
          </w:tcPr>
          <w:p w14:paraId="6FBDA627"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Ralph and Baltes</w:t>
            </w:r>
          </w:p>
        </w:tc>
        <w:tc>
          <w:tcPr>
            <w:tcW w:w="899" w:type="dxa"/>
          </w:tcPr>
          <w:p w14:paraId="599C2BB0" w14:textId="77777777" w:rsidR="001C7056" w:rsidRPr="000E437E" w:rsidRDefault="001C7056" w:rsidP="000E437E">
            <w:pPr>
              <w:jc w:val="both"/>
              <w:rPr>
                <w:rFonts w:ascii="Arial" w:hAnsi="Arial" w:cs="Arial"/>
              </w:rPr>
            </w:pPr>
            <w:r w:rsidRPr="000E437E">
              <w:rPr>
                <w:rFonts w:ascii="Arial" w:hAnsi="Arial" w:cs="Arial"/>
              </w:rPr>
              <w:t>2022</w:t>
            </w:r>
          </w:p>
        </w:tc>
        <w:tc>
          <w:tcPr>
            <w:tcW w:w="2583" w:type="dxa"/>
          </w:tcPr>
          <w:p w14:paraId="5744F326"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Interpretivist Research on Remote Work and Organisational Culture</w:t>
            </w:r>
          </w:p>
        </w:tc>
        <w:tc>
          <w:tcPr>
            <w:tcW w:w="2032" w:type="dxa"/>
          </w:tcPr>
          <w:p w14:paraId="0B30EE72"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Interpretivism, remote work, organisational culture</w:t>
            </w:r>
          </w:p>
        </w:tc>
      </w:tr>
      <w:tr w:rsidR="001C7056" w:rsidRPr="000E437E" w14:paraId="5D29FA69" w14:textId="77777777" w:rsidTr="00FF165C">
        <w:tc>
          <w:tcPr>
            <w:tcW w:w="738" w:type="dxa"/>
          </w:tcPr>
          <w:p w14:paraId="5CD436DC" w14:textId="77777777" w:rsidR="001C7056" w:rsidRPr="000E437E" w:rsidRDefault="001C7056" w:rsidP="000E437E">
            <w:pPr>
              <w:jc w:val="both"/>
              <w:rPr>
                <w:rFonts w:ascii="Arial" w:hAnsi="Arial" w:cs="Arial"/>
              </w:rPr>
            </w:pPr>
            <w:r w:rsidRPr="000E437E">
              <w:rPr>
                <w:rFonts w:ascii="Arial" w:hAnsi="Arial" w:cs="Arial"/>
              </w:rPr>
              <w:t>43</w:t>
            </w:r>
          </w:p>
        </w:tc>
        <w:tc>
          <w:tcPr>
            <w:tcW w:w="2764" w:type="dxa"/>
          </w:tcPr>
          <w:p w14:paraId="54497C0C"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McPhail et al.</w:t>
            </w:r>
          </w:p>
        </w:tc>
        <w:tc>
          <w:tcPr>
            <w:tcW w:w="899" w:type="dxa"/>
          </w:tcPr>
          <w:p w14:paraId="2228C84E" w14:textId="77777777" w:rsidR="001C7056" w:rsidRPr="000E437E" w:rsidRDefault="001C7056" w:rsidP="000E437E">
            <w:pPr>
              <w:jc w:val="both"/>
              <w:rPr>
                <w:rFonts w:ascii="Arial" w:hAnsi="Arial" w:cs="Arial"/>
              </w:rPr>
            </w:pPr>
            <w:r w:rsidRPr="000E437E">
              <w:rPr>
                <w:rFonts w:ascii="Arial" w:hAnsi="Arial" w:cs="Arial"/>
              </w:rPr>
              <w:t>2023</w:t>
            </w:r>
          </w:p>
        </w:tc>
        <w:tc>
          <w:tcPr>
            <w:tcW w:w="2583" w:type="dxa"/>
          </w:tcPr>
          <w:p w14:paraId="11991A0D"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Impact of Remote Work on Employee Engagement at HSBC</w:t>
            </w:r>
          </w:p>
        </w:tc>
        <w:tc>
          <w:tcPr>
            <w:tcW w:w="2032" w:type="dxa"/>
          </w:tcPr>
          <w:p w14:paraId="398923AA"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employee engagement, HSBC</w:t>
            </w:r>
          </w:p>
        </w:tc>
      </w:tr>
      <w:tr w:rsidR="001C7056" w:rsidRPr="000E437E" w14:paraId="01853FFA" w14:textId="77777777" w:rsidTr="00FF165C">
        <w:tc>
          <w:tcPr>
            <w:tcW w:w="738" w:type="dxa"/>
          </w:tcPr>
          <w:p w14:paraId="2E787D31" w14:textId="77777777" w:rsidR="001C7056" w:rsidRPr="000E437E" w:rsidRDefault="001C7056" w:rsidP="000E437E">
            <w:pPr>
              <w:jc w:val="both"/>
              <w:rPr>
                <w:rFonts w:ascii="Arial" w:hAnsi="Arial" w:cs="Arial"/>
              </w:rPr>
            </w:pPr>
            <w:r w:rsidRPr="000E437E">
              <w:rPr>
                <w:rFonts w:ascii="Arial" w:hAnsi="Arial" w:cs="Arial"/>
              </w:rPr>
              <w:t>44</w:t>
            </w:r>
          </w:p>
        </w:tc>
        <w:tc>
          <w:tcPr>
            <w:tcW w:w="2764" w:type="dxa"/>
          </w:tcPr>
          <w:p w14:paraId="5F677B9E"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Aylott</w:t>
            </w:r>
          </w:p>
        </w:tc>
        <w:tc>
          <w:tcPr>
            <w:tcW w:w="899" w:type="dxa"/>
          </w:tcPr>
          <w:p w14:paraId="1FFE4CCB" w14:textId="77777777" w:rsidR="001C7056" w:rsidRPr="000E437E" w:rsidRDefault="001C7056" w:rsidP="000E437E">
            <w:pPr>
              <w:jc w:val="both"/>
              <w:rPr>
                <w:rFonts w:ascii="Arial" w:hAnsi="Arial" w:cs="Arial"/>
              </w:rPr>
            </w:pPr>
            <w:r w:rsidRPr="000E437E">
              <w:rPr>
                <w:rFonts w:ascii="Arial" w:hAnsi="Arial" w:cs="Arial"/>
              </w:rPr>
              <w:t>2022</w:t>
            </w:r>
          </w:p>
        </w:tc>
        <w:tc>
          <w:tcPr>
            <w:tcW w:w="2583" w:type="dxa"/>
          </w:tcPr>
          <w:p w14:paraId="79D4CCE7"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Productivity and Performance Metrics in Remote Work Environments</w:t>
            </w:r>
          </w:p>
        </w:tc>
        <w:tc>
          <w:tcPr>
            <w:tcW w:w="2032" w:type="dxa"/>
          </w:tcPr>
          <w:p w14:paraId="73C5ACD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productivity, performance metrics</w:t>
            </w:r>
          </w:p>
        </w:tc>
      </w:tr>
      <w:tr w:rsidR="001C7056" w:rsidRPr="000E437E" w14:paraId="3C2BEE4C" w14:textId="77777777" w:rsidTr="00FF165C">
        <w:tc>
          <w:tcPr>
            <w:tcW w:w="738" w:type="dxa"/>
          </w:tcPr>
          <w:p w14:paraId="6FF41B61" w14:textId="77777777" w:rsidR="001C7056" w:rsidRPr="000E437E" w:rsidRDefault="001C7056" w:rsidP="000E437E">
            <w:pPr>
              <w:jc w:val="both"/>
              <w:rPr>
                <w:rFonts w:ascii="Arial" w:hAnsi="Arial" w:cs="Arial"/>
              </w:rPr>
            </w:pPr>
            <w:r w:rsidRPr="000E437E">
              <w:rPr>
                <w:rFonts w:ascii="Arial" w:hAnsi="Arial" w:cs="Arial"/>
              </w:rPr>
              <w:t>45</w:t>
            </w:r>
          </w:p>
        </w:tc>
        <w:tc>
          <w:tcPr>
            <w:tcW w:w="2764" w:type="dxa"/>
          </w:tcPr>
          <w:p w14:paraId="02CB55F9"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Gratton</w:t>
            </w:r>
          </w:p>
        </w:tc>
        <w:tc>
          <w:tcPr>
            <w:tcW w:w="899" w:type="dxa"/>
          </w:tcPr>
          <w:p w14:paraId="4DADE887" w14:textId="77777777" w:rsidR="001C7056" w:rsidRPr="000E437E" w:rsidRDefault="001C7056" w:rsidP="000E437E">
            <w:pPr>
              <w:jc w:val="both"/>
              <w:rPr>
                <w:rFonts w:ascii="Arial" w:hAnsi="Arial" w:cs="Arial"/>
              </w:rPr>
            </w:pPr>
            <w:r w:rsidRPr="000E437E">
              <w:rPr>
                <w:rFonts w:ascii="Arial" w:hAnsi="Arial" w:cs="Arial"/>
              </w:rPr>
              <w:t>2022</w:t>
            </w:r>
          </w:p>
        </w:tc>
        <w:tc>
          <w:tcPr>
            <w:tcW w:w="2583" w:type="dxa"/>
          </w:tcPr>
          <w:p w14:paraId="23BE704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Influence of Remote Working on Employee Morale and Engagement at HSBC</w:t>
            </w:r>
          </w:p>
        </w:tc>
        <w:tc>
          <w:tcPr>
            <w:tcW w:w="2032" w:type="dxa"/>
          </w:tcPr>
          <w:p w14:paraId="5BE6B148"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employee morale, engagement, HSBC</w:t>
            </w:r>
          </w:p>
        </w:tc>
      </w:tr>
      <w:tr w:rsidR="001C7056" w:rsidRPr="000E437E" w14:paraId="5CC90BCA" w14:textId="77777777" w:rsidTr="00FF165C">
        <w:tc>
          <w:tcPr>
            <w:tcW w:w="738" w:type="dxa"/>
          </w:tcPr>
          <w:p w14:paraId="7C61BCF6" w14:textId="77777777" w:rsidR="001C7056" w:rsidRPr="000E437E" w:rsidRDefault="001C7056" w:rsidP="000E437E">
            <w:pPr>
              <w:jc w:val="both"/>
              <w:rPr>
                <w:rFonts w:ascii="Arial" w:hAnsi="Arial" w:cs="Arial"/>
              </w:rPr>
            </w:pPr>
            <w:r w:rsidRPr="000E437E">
              <w:rPr>
                <w:rFonts w:ascii="Arial" w:hAnsi="Arial" w:cs="Arial"/>
              </w:rPr>
              <w:t>46</w:t>
            </w:r>
          </w:p>
        </w:tc>
        <w:tc>
          <w:tcPr>
            <w:tcW w:w="2764" w:type="dxa"/>
          </w:tcPr>
          <w:p w14:paraId="4C9B2406"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Kurnia and Widigdo</w:t>
            </w:r>
          </w:p>
        </w:tc>
        <w:tc>
          <w:tcPr>
            <w:tcW w:w="899" w:type="dxa"/>
          </w:tcPr>
          <w:p w14:paraId="76C1E15A" w14:textId="77777777" w:rsidR="001C7056" w:rsidRPr="000E437E" w:rsidRDefault="001C7056" w:rsidP="000E437E">
            <w:pPr>
              <w:jc w:val="both"/>
              <w:rPr>
                <w:rFonts w:ascii="Arial" w:hAnsi="Arial" w:cs="Arial"/>
              </w:rPr>
            </w:pPr>
            <w:r w:rsidRPr="000E437E">
              <w:rPr>
                <w:rFonts w:ascii="Arial" w:hAnsi="Arial" w:cs="Arial"/>
              </w:rPr>
              <w:t>2021</w:t>
            </w:r>
          </w:p>
        </w:tc>
        <w:tc>
          <w:tcPr>
            <w:tcW w:w="2583" w:type="dxa"/>
          </w:tcPr>
          <w:p w14:paraId="06EF3E79"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Employee Well-being and Work-Life Balance in Remote Work Environments</w:t>
            </w:r>
          </w:p>
        </w:tc>
        <w:tc>
          <w:tcPr>
            <w:tcW w:w="2032" w:type="dxa"/>
          </w:tcPr>
          <w:p w14:paraId="233C5657"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Employee Well-being and Work-Life Balance in Remote Work Environments</w:t>
            </w:r>
          </w:p>
        </w:tc>
      </w:tr>
      <w:tr w:rsidR="001C7056" w:rsidRPr="000E437E" w14:paraId="6C76BF7B" w14:textId="77777777" w:rsidTr="00FF165C">
        <w:tc>
          <w:tcPr>
            <w:tcW w:w="738" w:type="dxa"/>
          </w:tcPr>
          <w:p w14:paraId="27D62976" w14:textId="77777777" w:rsidR="001C7056" w:rsidRPr="000E437E" w:rsidRDefault="001C7056" w:rsidP="000E437E">
            <w:pPr>
              <w:jc w:val="both"/>
              <w:rPr>
                <w:rFonts w:ascii="Arial" w:hAnsi="Arial" w:cs="Arial"/>
              </w:rPr>
            </w:pPr>
            <w:r w:rsidRPr="000E437E">
              <w:rPr>
                <w:rFonts w:ascii="Arial" w:hAnsi="Arial" w:cs="Arial"/>
              </w:rPr>
              <w:t>47</w:t>
            </w:r>
          </w:p>
        </w:tc>
        <w:tc>
          <w:tcPr>
            <w:tcW w:w="2764" w:type="dxa"/>
          </w:tcPr>
          <w:p w14:paraId="5E016EFA"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Stankevičienė et al.</w:t>
            </w:r>
          </w:p>
        </w:tc>
        <w:tc>
          <w:tcPr>
            <w:tcW w:w="899" w:type="dxa"/>
          </w:tcPr>
          <w:p w14:paraId="780B6839" w14:textId="77777777" w:rsidR="001C7056" w:rsidRPr="000E437E" w:rsidRDefault="001C7056" w:rsidP="000E437E">
            <w:pPr>
              <w:jc w:val="both"/>
              <w:rPr>
                <w:rFonts w:ascii="Arial" w:hAnsi="Arial" w:cs="Arial"/>
              </w:rPr>
            </w:pPr>
            <w:r w:rsidRPr="000E437E">
              <w:rPr>
                <w:rFonts w:ascii="Arial" w:hAnsi="Arial" w:cs="Arial"/>
              </w:rPr>
              <w:t>2021</w:t>
            </w:r>
          </w:p>
        </w:tc>
        <w:tc>
          <w:tcPr>
            <w:tcW w:w="2583" w:type="dxa"/>
          </w:tcPr>
          <w:p w14:paraId="68AA5920"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Analysis of Remote Work Impact on Engagement and Productivity at HSBC</w:t>
            </w:r>
          </w:p>
        </w:tc>
        <w:tc>
          <w:tcPr>
            <w:tcW w:w="2032" w:type="dxa"/>
          </w:tcPr>
          <w:p w14:paraId="6A2A1BBB"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engagement, productivity, HSBC</w:t>
            </w:r>
          </w:p>
        </w:tc>
      </w:tr>
      <w:tr w:rsidR="001C7056" w:rsidRPr="000E437E" w14:paraId="03FD338C" w14:textId="77777777" w:rsidTr="00FF165C">
        <w:tc>
          <w:tcPr>
            <w:tcW w:w="738" w:type="dxa"/>
          </w:tcPr>
          <w:p w14:paraId="229CB6C4" w14:textId="77777777" w:rsidR="001C7056" w:rsidRPr="000E437E" w:rsidRDefault="001C7056" w:rsidP="000E437E">
            <w:pPr>
              <w:jc w:val="both"/>
              <w:rPr>
                <w:rFonts w:ascii="Arial" w:hAnsi="Arial" w:cs="Arial"/>
              </w:rPr>
            </w:pPr>
            <w:r w:rsidRPr="000E437E">
              <w:rPr>
                <w:rFonts w:ascii="Arial" w:hAnsi="Arial" w:cs="Arial"/>
              </w:rPr>
              <w:t>48</w:t>
            </w:r>
          </w:p>
        </w:tc>
        <w:tc>
          <w:tcPr>
            <w:tcW w:w="2764" w:type="dxa"/>
          </w:tcPr>
          <w:p w14:paraId="711C3206"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Choudhury, Foroughi and Larson</w:t>
            </w:r>
          </w:p>
        </w:tc>
        <w:tc>
          <w:tcPr>
            <w:tcW w:w="899" w:type="dxa"/>
          </w:tcPr>
          <w:p w14:paraId="61B8128E" w14:textId="77777777" w:rsidR="001C7056" w:rsidRPr="000E437E" w:rsidRDefault="001C7056" w:rsidP="000E437E">
            <w:pPr>
              <w:jc w:val="both"/>
              <w:rPr>
                <w:rFonts w:ascii="Arial" w:hAnsi="Arial" w:cs="Arial"/>
              </w:rPr>
            </w:pPr>
            <w:r w:rsidRPr="000E437E">
              <w:rPr>
                <w:rFonts w:ascii="Arial" w:hAnsi="Arial" w:cs="Arial"/>
              </w:rPr>
              <w:t>2020</w:t>
            </w:r>
          </w:p>
        </w:tc>
        <w:tc>
          <w:tcPr>
            <w:tcW w:w="2583" w:type="dxa"/>
          </w:tcPr>
          <w:p w14:paraId="6DACAD85"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Hybrid Work Models: Balancing Productivity and Collaboration in Remote Work Settings</w:t>
            </w:r>
          </w:p>
        </w:tc>
        <w:tc>
          <w:tcPr>
            <w:tcW w:w="2032" w:type="dxa"/>
          </w:tcPr>
          <w:p w14:paraId="1489C2A7"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productivity, collaboration, hybrid work</w:t>
            </w:r>
          </w:p>
        </w:tc>
      </w:tr>
      <w:tr w:rsidR="001C7056" w:rsidRPr="000E437E" w14:paraId="047E2EA1" w14:textId="77777777" w:rsidTr="00FF165C">
        <w:tc>
          <w:tcPr>
            <w:tcW w:w="738" w:type="dxa"/>
          </w:tcPr>
          <w:p w14:paraId="23AF4226" w14:textId="77777777" w:rsidR="001C7056" w:rsidRPr="000E437E" w:rsidRDefault="001C7056" w:rsidP="000E437E">
            <w:pPr>
              <w:jc w:val="both"/>
              <w:rPr>
                <w:rFonts w:ascii="Arial" w:hAnsi="Arial" w:cs="Arial"/>
              </w:rPr>
            </w:pPr>
            <w:r w:rsidRPr="000E437E">
              <w:rPr>
                <w:rFonts w:ascii="Arial" w:hAnsi="Arial" w:cs="Arial"/>
              </w:rPr>
              <w:t>49</w:t>
            </w:r>
          </w:p>
        </w:tc>
        <w:tc>
          <w:tcPr>
            <w:tcW w:w="2764" w:type="dxa"/>
          </w:tcPr>
          <w:p w14:paraId="15897FCD"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Awada et al.</w:t>
            </w:r>
          </w:p>
        </w:tc>
        <w:tc>
          <w:tcPr>
            <w:tcW w:w="899" w:type="dxa"/>
          </w:tcPr>
          <w:p w14:paraId="56F8A6B3" w14:textId="77777777" w:rsidR="001C7056" w:rsidRPr="000E437E" w:rsidRDefault="001C7056" w:rsidP="000E437E">
            <w:pPr>
              <w:jc w:val="both"/>
              <w:rPr>
                <w:rFonts w:ascii="Arial" w:hAnsi="Arial" w:cs="Arial"/>
              </w:rPr>
            </w:pPr>
            <w:r w:rsidRPr="000E437E">
              <w:rPr>
                <w:rFonts w:ascii="Arial" w:hAnsi="Arial" w:cs="Arial"/>
              </w:rPr>
              <w:t>2021</w:t>
            </w:r>
          </w:p>
        </w:tc>
        <w:tc>
          <w:tcPr>
            <w:tcW w:w="2583" w:type="dxa"/>
          </w:tcPr>
          <w:p w14:paraId="1C2008F5"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and Employee Well-being: A Comparative Study</w:t>
            </w:r>
          </w:p>
        </w:tc>
        <w:tc>
          <w:tcPr>
            <w:tcW w:w="2032" w:type="dxa"/>
          </w:tcPr>
          <w:p w14:paraId="14045003"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Remote work, employee well-being, comparative study</w:t>
            </w:r>
          </w:p>
        </w:tc>
      </w:tr>
      <w:tr w:rsidR="001C7056" w:rsidRPr="000E437E" w14:paraId="08CF3600" w14:textId="77777777" w:rsidTr="00FF165C">
        <w:tc>
          <w:tcPr>
            <w:tcW w:w="738" w:type="dxa"/>
          </w:tcPr>
          <w:p w14:paraId="77CF780E" w14:textId="77777777" w:rsidR="001C7056" w:rsidRPr="000E437E" w:rsidRDefault="001C7056" w:rsidP="000E437E">
            <w:pPr>
              <w:jc w:val="both"/>
              <w:rPr>
                <w:rFonts w:ascii="Arial" w:hAnsi="Arial" w:cs="Arial"/>
              </w:rPr>
            </w:pPr>
            <w:r w:rsidRPr="000E437E">
              <w:rPr>
                <w:rFonts w:ascii="Arial" w:hAnsi="Arial" w:cs="Arial"/>
              </w:rPr>
              <w:t>50</w:t>
            </w:r>
          </w:p>
        </w:tc>
        <w:tc>
          <w:tcPr>
            <w:tcW w:w="2764" w:type="dxa"/>
          </w:tcPr>
          <w:p w14:paraId="6D3D994F"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Chatterjee, Chaudhuri and Vrontis</w:t>
            </w:r>
          </w:p>
        </w:tc>
        <w:tc>
          <w:tcPr>
            <w:tcW w:w="899" w:type="dxa"/>
          </w:tcPr>
          <w:p w14:paraId="6F2F5F03" w14:textId="77777777" w:rsidR="001C7056" w:rsidRPr="000E437E" w:rsidRDefault="001C7056" w:rsidP="000E437E">
            <w:pPr>
              <w:jc w:val="both"/>
              <w:rPr>
                <w:rFonts w:ascii="Arial" w:hAnsi="Arial" w:cs="Arial"/>
              </w:rPr>
            </w:pPr>
            <w:r w:rsidRPr="000E437E">
              <w:rPr>
                <w:rFonts w:ascii="Arial" w:hAnsi="Arial" w:cs="Arial"/>
              </w:rPr>
              <w:t>2021</w:t>
            </w:r>
          </w:p>
        </w:tc>
        <w:tc>
          <w:tcPr>
            <w:tcW w:w="2583" w:type="dxa"/>
          </w:tcPr>
          <w:p w14:paraId="075CE4EA"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t xml:space="preserve">Adapting to Remote Work: Challenges </w:t>
            </w:r>
            <w:r w:rsidRPr="000E437E">
              <w:rPr>
                <w:rFonts w:ascii="Arial" w:hAnsi="Arial" w:cs="Arial"/>
                <w:color w:val="0D0D0D"/>
                <w:shd w:val="clear" w:color="auto" w:fill="FFFFFF"/>
              </w:rPr>
              <w:lastRenderedPageBreak/>
              <w:t>and Opportunities at HSBC</w:t>
            </w:r>
          </w:p>
        </w:tc>
        <w:tc>
          <w:tcPr>
            <w:tcW w:w="2032" w:type="dxa"/>
          </w:tcPr>
          <w:p w14:paraId="11C68B00" w14:textId="77777777" w:rsidR="001C7056" w:rsidRPr="000E437E" w:rsidRDefault="001C7056" w:rsidP="000E437E">
            <w:pPr>
              <w:jc w:val="both"/>
              <w:rPr>
                <w:rFonts w:ascii="Arial" w:hAnsi="Arial" w:cs="Arial"/>
              </w:rPr>
            </w:pPr>
            <w:r w:rsidRPr="000E437E">
              <w:rPr>
                <w:rFonts w:ascii="Arial" w:hAnsi="Arial" w:cs="Arial"/>
                <w:color w:val="0D0D0D"/>
                <w:shd w:val="clear" w:color="auto" w:fill="FFFFFF"/>
              </w:rPr>
              <w:lastRenderedPageBreak/>
              <w:t xml:space="preserve">Remote work, challenges, </w:t>
            </w:r>
            <w:r w:rsidRPr="000E437E">
              <w:rPr>
                <w:rFonts w:ascii="Arial" w:hAnsi="Arial" w:cs="Arial"/>
                <w:color w:val="0D0D0D"/>
                <w:shd w:val="clear" w:color="auto" w:fill="FFFFFF"/>
              </w:rPr>
              <w:lastRenderedPageBreak/>
              <w:t>opportunities, HSBC</w:t>
            </w:r>
          </w:p>
        </w:tc>
      </w:tr>
      <w:tr w:rsidR="001C7056" w:rsidRPr="000E437E" w14:paraId="6EB5D5B7" w14:textId="77777777" w:rsidTr="00FF165C">
        <w:tc>
          <w:tcPr>
            <w:tcW w:w="738" w:type="dxa"/>
          </w:tcPr>
          <w:p w14:paraId="10575DEB" w14:textId="77777777" w:rsidR="001C7056" w:rsidRPr="000E437E" w:rsidRDefault="001C7056" w:rsidP="000E437E">
            <w:pPr>
              <w:jc w:val="both"/>
              <w:rPr>
                <w:rFonts w:ascii="Arial" w:hAnsi="Arial" w:cs="Arial"/>
              </w:rPr>
            </w:pPr>
            <w:r w:rsidRPr="000E437E">
              <w:rPr>
                <w:rFonts w:ascii="Arial" w:hAnsi="Arial" w:cs="Arial"/>
              </w:rPr>
              <w:lastRenderedPageBreak/>
              <w:t>51</w:t>
            </w:r>
          </w:p>
        </w:tc>
        <w:tc>
          <w:tcPr>
            <w:tcW w:w="2764" w:type="dxa"/>
          </w:tcPr>
          <w:p w14:paraId="02BAB187"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Sivaprasad and Mathew</w:t>
            </w:r>
          </w:p>
        </w:tc>
        <w:tc>
          <w:tcPr>
            <w:tcW w:w="899" w:type="dxa"/>
          </w:tcPr>
          <w:p w14:paraId="4F394183" w14:textId="77777777" w:rsidR="001C7056" w:rsidRPr="000E437E" w:rsidRDefault="001C7056" w:rsidP="000E437E">
            <w:pPr>
              <w:jc w:val="both"/>
              <w:rPr>
                <w:rFonts w:ascii="Arial" w:hAnsi="Arial" w:cs="Arial"/>
              </w:rPr>
            </w:pPr>
            <w:r w:rsidRPr="000E437E">
              <w:rPr>
                <w:rFonts w:ascii="Arial" w:hAnsi="Arial" w:cs="Arial"/>
              </w:rPr>
              <w:t>2021</w:t>
            </w:r>
          </w:p>
        </w:tc>
        <w:tc>
          <w:tcPr>
            <w:tcW w:w="2583" w:type="dxa"/>
          </w:tcPr>
          <w:p w14:paraId="629324A5"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Remote Work and Employee Satisfaction at HSBC Holdings plc</w:t>
            </w:r>
          </w:p>
        </w:tc>
        <w:tc>
          <w:tcPr>
            <w:tcW w:w="2032" w:type="dxa"/>
          </w:tcPr>
          <w:p w14:paraId="41F1A78E"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Job satisfaction, employee contentment, remote work</w:t>
            </w:r>
          </w:p>
        </w:tc>
      </w:tr>
      <w:tr w:rsidR="001C7056" w:rsidRPr="000E437E" w14:paraId="6D9C50C7" w14:textId="77777777" w:rsidTr="00FF165C">
        <w:tc>
          <w:tcPr>
            <w:tcW w:w="738" w:type="dxa"/>
          </w:tcPr>
          <w:p w14:paraId="50D4B33B" w14:textId="77777777" w:rsidR="001C7056" w:rsidRPr="000E437E" w:rsidRDefault="001C7056" w:rsidP="000E437E">
            <w:pPr>
              <w:jc w:val="both"/>
              <w:rPr>
                <w:rFonts w:ascii="Arial" w:hAnsi="Arial" w:cs="Arial"/>
              </w:rPr>
            </w:pPr>
            <w:r w:rsidRPr="000E437E">
              <w:rPr>
                <w:rFonts w:ascii="Arial" w:hAnsi="Arial" w:cs="Arial"/>
              </w:rPr>
              <w:t>52</w:t>
            </w:r>
          </w:p>
        </w:tc>
        <w:tc>
          <w:tcPr>
            <w:tcW w:w="2764" w:type="dxa"/>
          </w:tcPr>
          <w:p w14:paraId="0AECD20D"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Dr. Chintala Lakshmana Rao and Dr. Veena Prasad Vemuri</w:t>
            </w:r>
          </w:p>
        </w:tc>
        <w:tc>
          <w:tcPr>
            <w:tcW w:w="899" w:type="dxa"/>
          </w:tcPr>
          <w:p w14:paraId="3A42FA9D" w14:textId="77777777" w:rsidR="001C7056" w:rsidRPr="000E437E" w:rsidRDefault="001C7056" w:rsidP="000E437E">
            <w:pPr>
              <w:jc w:val="both"/>
              <w:rPr>
                <w:rFonts w:ascii="Arial" w:hAnsi="Arial" w:cs="Arial"/>
              </w:rPr>
            </w:pPr>
            <w:r w:rsidRPr="000E437E">
              <w:rPr>
                <w:rFonts w:ascii="Arial" w:hAnsi="Arial" w:cs="Arial"/>
              </w:rPr>
              <w:t>2023</w:t>
            </w:r>
          </w:p>
        </w:tc>
        <w:tc>
          <w:tcPr>
            <w:tcW w:w="2583" w:type="dxa"/>
          </w:tcPr>
          <w:p w14:paraId="36953439"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The Impact of Remote Work on Employee Well-being and Work-life Balance</w:t>
            </w:r>
          </w:p>
        </w:tc>
        <w:tc>
          <w:tcPr>
            <w:tcW w:w="2032" w:type="dxa"/>
          </w:tcPr>
          <w:p w14:paraId="15014AB9"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Stress reduction, work-life balance, remote work</w:t>
            </w:r>
          </w:p>
        </w:tc>
      </w:tr>
      <w:tr w:rsidR="001C7056" w:rsidRPr="000E437E" w14:paraId="1503852F" w14:textId="77777777" w:rsidTr="00FF165C">
        <w:tc>
          <w:tcPr>
            <w:tcW w:w="738" w:type="dxa"/>
          </w:tcPr>
          <w:p w14:paraId="20D3DDA1" w14:textId="77777777" w:rsidR="001C7056" w:rsidRPr="000E437E" w:rsidRDefault="001C7056" w:rsidP="000E437E">
            <w:pPr>
              <w:jc w:val="both"/>
              <w:rPr>
                <w:rFonts w:ascii="Arial" w:hAnsi="Arial" w:cs="Arial"/>
              </w:rPr>
            </w:pPr>
            <w:r w:rsidRPr="000E437E">
              <w:rPr>
                <w:rFonts w:ascii="Arial" w:hAnsi="Arial" w:cs="Arial"/>
              </w:rPr>
              <w:t>53</w:t>
            </w:r>
          </w:p>
        </w:tc>
        <w:tc>
          <w:tcPr>
            <w:tcW w:w="2764" w:type="dxa"/>
          </w:tcPr>
          <w:p w14:paraId="7AEA1C5C"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Adisa, Ogbonnaya and Adekoya</w:t>
            </w:r>
          </w:p>
        </w:tc>
        <w:tc>
          <w:tcPr>
            <w:tcW w:w="899" w:type="dxa"/>
          </w:tcPr>
          <w:p w14:paraId="024F0271" w14:textId="77777777" w:rsidR="001C7056" w:rsidRPr="000E437E" w:rsidRDefault="001C7056" w:rsidP="000E437E">
            <w:pPr>
              <w:jc w:val="both"/>
              <w:rPr>
                <w:rFonts w:ascii="Arial" w:hAnsi="Arial" w:cs="Arial"/>
              </w:rPr>
            </w:pPr>
            <w:r w:rsidRPr="000E437E">
              <w:rPr>
                <w:rFonts w:ascii="Arial" w:hAnsi="Arial" w:cs="Arial"/>
              </w:rPr>
              <w:t>2021</w:t>
            </w:r>
          </w:p>
        </w:tc>
        <w:tc>
          <w:tcPr>
            <w:tcW w:w="2583" w:type="dxa"/>
          </w:tcPr>
          <w:p w14:paraId="2C1D56D5"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Employee Engagement Levels Before and After Remote Work Adoption</w:t>
            </w:r>
          </w:p>
        </w:tc>
        <w:tc>
          <w:tcPr>
            <w:tcW w:w="2032" w:type="dxa"/>
          </w:tcPr>
          <w:p w14:paraId="7C99028B"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Employee engagement, job satisfaction, remote work</w:t>
            </w:r>
          </w:p>
        </w:tc>
      </w:tr>
      <w:tr w:rsidR="001C7056" w:rsidRPr="000E437E" w14:paraId="54D1141C" w14:textId="77777777" w:rsidTr="00FF165C">
        <w:tc>
          <w:tcPr>
            <w:tcW w:w="738" w:type="dxa"/>
          </w:tcPr>
          <w:p w14:paraId="43192B20" w14:textId="77777777" w:rsidR="001C7056" w:rsidRPr="000E437E" w:rsidRDefault="001C7056" w:rsidP="000E437E">
            <w:pPr>
              <w:jc w:val="both"/>
              <w:rPr>
                <w:rFonts w:ascii="Arial" w:hAnsi="Arial" w:cs="Arial"/>
              </w:rPr>
            </w:pPr>
            <w:r w:rsidRPr="000E437E">
              <w:rPr>
                <w:rFonts w:ascii="Arial" w:hAnsi="Arial" w:cs="Arial"/>
              </w:rPr>
              <w:t>54</w:t>
            </w:r>
          </w:p>
        </w:tc>
        <w:tc>
          <w:tcPr>
            <w:tcW w:w="2764" w:type="dxa"/>
          </w:tcPr>
          <w:p w14:paraId="3798364E"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Weideman and Hofmeyr</w:t>
            </w:r>
          </w:p>
        </w:tc>
        <w:tc>
          <w:tcPr>
            <w:tcW w:w="899" w:type="dxa"/>
          </w:tcPr>
          <w:p w14:paraId="65681358" w14:textId="77777777" w:rsidR="001C7056" w:rsidRPr="000E437E" w:rsidRDefault="001C7056" w:rsidP="000E437E">
            <w:pPr>
              <w:jc w:val="both"/>
              <w:rPr>
                <w:rFonts w:ascii="Arial" w:hAnsi="Arial" w:cs="Arial"/>
              </w:rPr>
            </w:pPr>
            <w:r w:rsidRPr="000E437E">
              <w:rPr>
                <w:rFonts w:ascii="Arial" w:hAnsi="Arial" w:cs="Arial"/>
              </w:rPr>
              <w:t>2020</w:t>
            </w:r>
          </w:p>
        </w:tc>
        <w:tc>
          <w:tcPr>
            <w:tcW w:w="2583" w:type="dxa"/>
          </w:tcPr>
          <w:p w14:paraId="64BAFBF8"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Effects of Remote Work on Employee Satisfaction</w:t>
            </w:r>
          </w:p>
        </w:tc>
        <w:tc>
          <w:tcPr>
            <w:tcW w:w="2032" w:type="dxa"/>
          </w:tcPr>
          <w:p w14:paraId="74615399"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Flexibility, work environment customization</w:t>
            </w:r>
          </w:p>
        </w:tc>
      </w:tr>
      <w:tr w:rsidR="001C7056" w:rsidRPr="000E437E" w14:paraId="1138C4B5" w14:textId="77777777" w:rsidTr="00FF165C">
        <w:tc>
          <w:tcPr>
            <w:tcW w:w="738" w:type="dxa"/>
          </w:tcPr>
          <w:p w14:paraId="73FD5601" w14:textId="77777777" w:rsidR="001C7056" w:rsidRPr="000E437E" w:rsidRDefault="001C7056" w:rsidP="000E437E">
            <w:pPr>
              <w:jc w:val="both"/>
              <w:rPr>
                <w:rFonts w:ascii="Arial" w:hAnsi="Arial" w:cs="Arial"/>
              </w:rPr>
            </w:pPr>
            <w:r w:rsidRPr="000E437E">
              <w:rPr>
                <w:rFonts w:ascii="Arial" w:hAnsi="Arial" w:cs="Arial"/>
              </w:rPr>
              <w:t>55</w:t>
            </w:r>
          </w:p>
        </w:tc>
        <w:tc>
          <w:tcPr>
            <w:tcW w:w="2764" w:type="dxa"/>
          </w:tcPr>
          <w:p w14:paraId="58D94A6A"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Griffiths</w:t>
            </w:r>
          </w:p>
        </w:tc>
        <w:tc>
          <w:tcPr>
            <w:tcW w:w="899" w:type="dxa"/>
          </w:tcPr>
          <w:p w14:paraId="2308ADA2" w14:textId="77777777" w:rsidR="001C7056" w:rsidRPr="000E437E" w:rsidRDefault="001C7056" w:rsidP="000E437E">
            <w:pPr>
              <w:jc w:val="both"/>
              <w:rPr>
                <w:rFonts w:ascii="Arial" w:hAnsi="Arial" w:cs="Arial"/>
              </w:rPr>
            </w:pPr>
            <w:r w:rsidRPr="000E437E">
              <w:rPr>
                <w:rFonts w:ascii="Arial" w:hAnsi="Arial" w:cs="Arial"/>
              </w:rPr>
              <w:t>2021</w:t>
            </w:r>
          </w:p>
        </w:tc>
        <w:tc>
          <w:tcPr>
            <w:tcW w:w="2583" w:type="dxa"/>
          </w:tcPr>
          <w:p w14:paraId="1EF9F3A0"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Organizational Culture Shifts Due to Remote Work at HSBC</w:t>
            </w:r>
          </w:p>
        </w:tc>
        <w:tc>
          <w:tcPr>
            <w:tcW w:w="2032" w:type="dxa"/>
          </w:tcPr>
          <w:p w14:paraId="7603F772"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Organizational culture, team cohesion, remote work</w:t>
            </w:r>
          </w:p>
        </w:tc>
      </w:tr>
      <w:tr w:rsidR="001C7056" w:rsidRPr="000E437E" w14:paraId="5C126F1D" w14:textId="77777777" w:rsidTr="00FF165C">
        <w:tc>
          <w:tcPr>
            <w:tcW w:w="738" w:type="dxa"/>
          </w:tcPr>
          <w:p w14:paraId="49DF03A2" w14:textId="77777777" w:rsidR="001C7056" w:rsidRPr="000E437E" w:rsidRDefault="001C7056" w:rsidP="000E437E">
            <w:pPr>
              <w:jc w:val="both"/>
              <w:rPr>
                <w:rFonts w:ascii="Arial" w:hAnsi="Arial" w:cs="Arial"/>
              </w:rPr>
            </w:pPr>
            <w:r w:rsidRPr="000E437E">
              <w:rPr>
                <w:rFonts w:ascii="Arial" w:hAnsi="Arial" w:cs="Arial"/>
              </w:rPr>
              <w:t>56</w:t>
            </w:r>
          </w:p>
        </w:tc>
        <w:tc>
          <w:tcPr>
            <w:tcW w:w="2764" w:type="dxa"/>
          </w:tcPr>
          <w:p w14:paraId="0B9B3A51"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Karakavuz</w:t>
            </w:r>
          </w:p>
        </w:tc>
        <w:tc>
          <w:tcPr>
            <w:tcW w:w="899" w:type="dxa"/>
          </w:tcPr>
          <w:p w14:paraId="5D18EE72" w14:textId="77777777" w:rsidR="001C7056" w:rsidRPr="000E437E" w:rsidRDefault="001C7056" w:rsidP="000E437E">
            <w:pPr>
              <w:jc w:val="both"/>
              <w:rPr>
                <w:rFonts w:ascii="Arial" w:hAnsi="Arial" w:cs="Arial"/>
              </w:rPr>
            </w:pPr>
            <w:r w:rsidRPr="000E437E">
              <w:rPr>
                <w:rFonts w:ascii="Arial" w:hAnsi="Arial" w:cs="Arial"/>
              </w:rPr>
              <w:t>2023</w:t>
            </w:r>
          </w:p>
        </w:tc>
        <w:tc>
          <w:tcPr>
            <w:tcW w:w="2583" w:type="dxa"/>
          </w:tcPr>
          <w:p w14:paraId="20806E06"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The New Dynamics of Organizational Culture in Remote Settings</w:t>
            </w:r>
          </w:p>
        </w:tc>
        <w:tc>
          <w:tcPr>
            <w:tcW w:w="2032" w:type="dxa"/>
          </w:tcPr>
          <w:p w14:paraId="7A099127"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Communication, community, organizational culture</w:t>
            </w:r>
          </w:p>
        </w:tc>
      </w:tr>
      <w:tr w:rsidR="001C7056" w:rsidRPr="000E437E" w14:paraId="66175158" w14:textId="77777777" w:rsidTr="00FF165C">
        <w:tc>
          <w:tcPr>
            <w:tcW w:w="738" w:type="dxa"/>
          </w:tcPr>
          <w:p w14:paraId="4A3DA5BE" w14:textId="77777777" w:rsidR="001C7056" w:rsidRPr="000E437E" w:rsidRDefault="001C7056" w:rsidP="000E437E">
            <w:pPr>
              <w:jc w:val="both"/>
              <w:rPr>
                <w:rFonts w:ascii="Arial" w:hAnsi="Arial" w:cs="Arial"/>
              </w:rPr>
            </w:pPr>
            <w:r w:rsidRPr="000E437E">
              <w:rPr>
                <w:rFonts w:ascii="Arial" w:hAnsi="Arial" w:cs="Arial"/>
              </w:rPr>
              <w:t>57</w:t>
            </w:r>
          </w:p>
        </w:tc>
        <w:tc>
          <w:tcPr>
            <w:tcW w:w="2764" w:type="dxa"/>
          </w:tcPr>
          <w:p w14:paraId="3A0C4DAE" w14:textId="77777777" w:rsidR="001C7056" w:rsidRPr="000E437E" w:rsidRDefault="001C7056" w:rsidP="000E437E">
            <w:pPr>
              <w:jc w:val="both"/>
              <w:rPr>
                <w:rFonts w:ascii="Arial" w:hAnsi="Arial" w:cs="Arial"/>
                <w:color w:val="0D0D0D"/>
              </w:rPr>
            </w:pPr>
            <w:r w:rsidRPr="000E437E">
              <w:rPr>
                <w:rFonts w:ascii="Arial" w:hAnsi="Arial" w:cs="Arial"/>
                <w:color w:val="0D0D0D"/>
              </w:rPr>
              <w:t>Smite et al.</w:t>
            </w:r>
          </w:p>
          <w:p w14:paraId="050CD605" w14:textId="77777777" w:rsidR="001C7056" w:rsidRPr="000E437E" w:rsidRDefault="001C7056" w:rsidP="000E437E">
            <w:pPr>
              <w:jc w:val="both"/>
              <w:rPr>
                <w:rFonts w:ascii="Arial" w:hAnsi="Arial" w:cs="Arial"/>
                <w:color w:val="0D0D0D"/>
                <w:shd w:val="clear" w:color="auto" w:fill="FFFFFF"/>
              </w:rPr>
            </w:pPr>
          </w:p>
        </w:tc>
        <w:tc>
          <w:tcPr>
            <w:tcW w:w="899" w:type="dxa"/>
          </w:tcPr>
          <w:p w14:paraId="587B2E12" w14:textId="77777777" w:rsidR="001C7056" w:rsidRPr="000E437E" w:rsidRDefault="001C7056" w:rsidP="000E437E">
            <w:pPr>
              <w:jc w:val="both"/>
              <w:rPr>
                <w:rFonts w:ascii="Arial" w:hAnsi="Arial" w:cs="Arial"/>
              </w:rPr>
            </w:pPr>
            <w:r w:rsidRPr="000E437E">
              <w:rPr>
                <w:rFonts w:ascii="Arial" w:hAnsi="Arial" w:cs="Arial"/>
              </w:rPr>
              <w:t>2022</w:t>
            </w:r>
          </w:p>
        </w:tc>
        <w:tc>
          <w:tcPr>
            <w:tcW w:w="2583" w:type="dxa"/>
          </w:tcPr>
          <w:p w14:paraId="08A3417C"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Challenges in Remote Work: A Banking Industry Perspective</w:t>
            </w:r>
          </w:p>
        </w:tc>
        <w:tc>
          <w:tcPr>
            <w:tcW w:w="2032" w:type="dxa"/>
          </w:tcPr>
          <w:p w14:paraId="7A13D675"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Team collaboration, creativity, communication</w:t>
            </w:r>
          </w:p>
        </w:tc>
      </w:tr>
      <w:tr w:rsidR="001C7056" w:rsidRPr="000E437E" w14:paraId="137DD8C4" w14:textId="77777777" w:rsidTr="00FF165C">
        <w:tc>
          <w:tcPr>
            <w:tcW w:w="738" w:type="dxa"/>
          </w:tcPr>
          <w:p w14:paraId="27988D23" w14:textId="77777777" w:rsidR="001C7056" w:rsidRPr="000E437E" w:rsidRDefault="001C7056" w:rsidP="000E437E">
            <w:pPr>
              <w:jc w:val="both"/>
              <w:rPr>
                <w:rFonts w:ascii="Arial" w:hAnsi="Arial" w:cs="Arial"/>
              </w:rPr>
            </w:pPr>
            <w:r w:rsidRPr="000E437E">
              <w:rPr>
                <w:rFonts w:ascii="Arial" w:hAnsi="Arial" w:cs="Arial"/>
              </w:rPr>
              <w:t>58</w:t>
            </w:r>
          </w:p>
        </w:tc>
        <w:tc>
          <w:tcPr>
            <w:tcW w:w="2764" w:type="dxa"/>
          </w:tcPr>
          <w:p w14:paraId="226B4E56"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Allas, Canal and Hunt</w:t>
            </w:r>
          </w:p>
        </w:tc>
        <w:tc>
          <w:tcPr>
            <w:tcW w:w="899" w:type="dxa"/>
          </w:tcPr>
          <w:p w14:paraId="09A8EBD3" w14:textId="77777777" w:rsidR="001C7056" w:rsidRPr="000E437E" w:rsidRDefault="001C7056" w:rsidP="000E437E">
            <w:pPr>
              <w:jc w:val="both"/>
              <w:rPr>
                <w:rFonts w:ascii="Arial" w:hAnsi="Arial" w:cs="Arial"/>
              </w:rPr>
            </w:pPr>
            <w:r w:rsidRPr="000E437E">
              <w:rPr>
                <w:rFonts w:ascii="Arial" w:hAnsi="Arial" w:cs="Arial"/>
              </w:rPr>
              <w:t>2020</w:t>
            </w:r>
          </w:p>
        </w:tc>
        <w:tc>
          <w:tcPr>
            <w:tcW w:w="2583" w:type="dxa"/>
          </w:tcPr>
          <w:p w14:paraId="306BA212"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Productivity and Efficiency in Remote Work</w:t>
            </w:r>
          </w:p>
        </w:tc>
        <w:tc>
          <w:tcPr>
            <w:tcW w:w="2032" w:type="dxa"/>
          </w:tcPr>
          <w:p w14:paraId="2C354AA8"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Productivity, efficiency, work-life balance</w:t>
            </w:r>
          </w:p>
        </w:tc>
      </w:tr>
      <w:tr w:rsidR="001C7056" w:rsidRPr="000E437E" w14:paraId="31C194D1" w14:textId="77777777" w:rsidTr="00FF165C">
        <w:tc>
          <w:tcPr>
            <w:tcW w:w="738" w:type="dxa"/>
          </w:tcPr>
          <w:p w14:paraId="5DF1807D" w14:textId="77777777" w:rsidR="001C7056" w:rsidRPr="000E437E" w:rsidRDefault="001C7056" w:rsidP="000E437E">
            <w:pPr>
              <w:jc w:val="both"/>
              <w:rPr>
                <w:rFonts w:ascii="Arial" w:hAnsi="Arial" w:cs="Arial"/>
              </w:rPr>
            </w:pPr>
            <w:r w:rsidRPr="000E437E">
              <w:rPr>
                <w:rFonts w:ascii="Arial" w:hAnsi="Arial" w:cs="Arial"/>
              </w:rPr>
              <w:t>59</w:t>
            </w:r>
          </w:p>
        </w:tc>
        <w:tc>
          <w:tcPr>
            <w:tcW w:w="2764" w:type="dxa"/>
          </w:tcPr>
          <w:p w14:paraId="14DB1879"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Mayhew and Anand</w:t>
            </w:r>
          </w:p>
        </w:tc>
        <w:tc>
          <w:tcPr>
            <w:tcW w:w="899" w:type="dxa"/>
          </w:tcPr>
          <w:p w14:paraId="3446A45D" w14:textId="77777777" w:rsidR="001C7056" w:rsidRPr="000E437E" w:rsidRDefault="001C7056" w:rsidP="000E437E">
            <w:pPr>
              <w:jc w:val="both"/>
              <w:rPr>
                <w:rFonts w:ascii="Arial" w:hAnsi="Arial" w:cs="Arial"/>
              </w:rPr>
            </w:pPr>
            <w:r w:rsidRPr="000E437E">
              <w:rPr>
                <w:rFonts w:ascii="Arial" w:hAnsi="Arial" w:cs="Arial"/>
              </w:rPr>
              <w:t>2020</w:t>
            </w:r>
          </w:p>
        </w:tc>
        <w:tc>
          <w:tcPr>
            <w:tcW w:w="2583" w:type="dxa"/>
          </w:tcPr>
          <w:p w14:paraId="151C456D"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Global Talent Recruitment in the Remote Work Era</w:t>
            </w:r>
          </w:p>
        </w:tc>
        <w:tc>
          <w:tcPr>
            <w:tcW w:w="2032" w:type="dxa"/>
          </w:tcPr>
          <w:p w14:paraId="78A01E91"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Talent acquisition, global reach, remote work</w:t>
            </w:r>
          </w:p>
        </w:tc>
      </w:tr>
      <w:tr w:rsidR="001C7056" w:rsidRPr="000E437E" w14:paraId="525DA50E" w14:textId="77777777" w:rsidTr="00FF165C">
        <w:tc>
          <w:tcPr>
            <w:tcW w:w="738" w:type="dxa"/>
          </w:tcPr>
          <w:p w14:paraId="6A76DE61" w14:textId="77777777" w:rsidR="001C7056" w:rsidRPr="000E437E" w:rsidRDefault="001C7056" w:rsidP="000E437E">
            <w:pPr>
              <w:jc w:val="both"/>
              <w:rPr>
                <w:rFonts w:ascii="Arial" w:hAnsi="Arial" w:cs="Arial"/>
              </w:rPr>
            </w:pPr>
            <w:r w:rsidRPr="000E437E">
              <w:rPr>
                <w:rFonts w:ascii="Arial" w:hAnsi="Arial" w:cs="Arial"/>
              </w:rPr>
              <w:t>60</w:t>
            </w:r>
          </w:p>
        </w:tc>
        <w:tc>
          <w:tcPr>
            <w:tcW w:w="2764" w:type="dxa"/>
          </w:tcPr>
          <w:p w14:paraId="6D3E21E0"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Haque et al.</w:t>
            </w:r>
          </w:p>
        </w:tc>
        <w:tc>
          <w:tcPr>
            <w:tcW w:w="899" w:type="dxa"/>
          </w:tcPr>
          <w:p w14:paraId="03A68B22" w14:textId="77777777" w:rsidR="001C7056" w:rsidRPr="000E437E" w:rsidRDefault="001C7056" w:rsidP="000E437E">
            <w:pPr>
              <w:jc w:val="both"/>
              <w:rPr>
                <w:rFonts w:ascii="Arial" w:hAnsi="Arial" w:cs="Arial"/>
              </w:rPr>
            </w:pPr>
            <w:r w:rsidRPr="000E437E">
              <w:rPr>
                <w:rFonts w:ascii="Arial" w:hAnsi="Arial" w:cs="Arial"/>
              </w:rPr>
              <w:t>2024</w:t>
            </w:r>
          </w:p>
        </w:tc>
        <w:tc>
          <w:tcPr>
            <w:tcW w:w="2583" w:type="dxa"/>
          </w:tcPr>
          <w:p w14:paraId="27345B77"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The Impact of Remote Work on Team Collaboration</w:t>
            </w:r>
          </w:p>
        </w:tc>
        <w:tc>
          <w:tcPr>
            <w:tcW w:w="2032" w:type="dxa"/>
          </w:tcPr>
          <w:p w14:paraId="1EA59BFB" w14:textId="77777777" w:rsidR="001C7056" w:rsidRPr="000E437E" w:rsidRDefault="001C7056" w:rsidP="000E437E">
            <w:pPr>
              <w:jc w:val="both"/>
              <w:rPr>
                <w:rFonts w:ascii="Arial" w:hAnsi="Arial" w:cs="Arial"/>
                <w:color w:val="0D0D0D"/>
                <w:shd w:val="clear" w:color="auto" w:fill="FFFFFF"/>
              </w:rPr>
            </w:pPr>
            <w:r w:rsidRPr="000E437E">
              <w:rPr>
                <w:rFonts w:ascii="Arial" w:hAnsi="Arial" w:cs="Arial"/>
                <w:color w:val="0D0D0D"/>
                <w:shd w:val="clear" w:color="auto" w:fill="FFFFFF"/>
              </w:rPr>
              <w:t>Remote work, collaboration tools, team synergy</w:t>
            </w:r>
          </w:p>
        </w:tc>
      </w:tr>
    </w:tbl>
    <w:p w14:paraId="5462E7F3" w14:textId="64AB3913" w:rsidR="001C7056" w:rsidRPr="000E437E" w:rsidRDefault="007125BE" w:rsidP="000E437E">
      <w:pPr>
        <w:pStyle w:val="Caption"/>
        <w:jc w:val="both"/>
        <w:rPr>
          <w:rFonts w:ascii="Arial" w:hAnsi="Arial" w:cs="Arial"/>
          <w:sz w:val="22"/>
          <w:szCs w:val="22"/>
          <w:lang w:val="en-US" w:bidi="th-TH"/>
        </w:rPr>
      </w:pPr>
      <w:bookmarkStart w:id="44" w:name="_Toc165886002"/>
      <w:r w:rsidRPr="000E437E">
        <w:rPr>
          <w:rFonts w:ascii="Arial" w:hAnsi="Arial" w:cs="Arial"/>
          <w:sz w:val="22"/>
          <w:szCs w:val="22"/>
        </w:rPr>
        <w:t xml:space="preserve">Table </w:t>
      </w:r>
      <w:r w:rsidRPr="000E437E">
        <w:rPr>
          <w:rFonts w:ascii="Arial" w:hAnsi="Arial" w:cs="Arial"/>
          <w:sz w:val="22"/>
          <w:szCs w:val="22"/>
        </w:rPr>
        <w:fldChar w:fldCharType="begin"/>
      </w:r>
      <w:r w:rsidRPr="000E437E">
        <w:rPr>
          <w:rFonts w:ascii="Arial" w:hAnsi="Arial" w:cs="Arial"/>
          <w:sz w:val="22"/>
          <w:szCs w:val="22"/>
        </w:rPr>
        <w:instrText xml:space="preserve"> SEQ Table \* ARABIC </w:instrText>
      </w:r>
      <w:r w:rsidRPr="000E437E">
        <w:rPr>
          <w:rFonts w:ascii="Arial" w:hAnsi="Arial" w:cs="Arial"/>
          <w:sz w:val="22"/>
          <w:szCs w:val="22"/>
        </w:rPr>
        <w:fldChar w:fldCharType="separate"/>
      </w:r>
      <w:r w:rsidRPr="000E437E">
        <w:rPr>
          <w:rFonts w:ascii="Arial" w:hAnsi="Arial" w:cs="Arial"/>
          <w:noProof/>
          <w:sz w:val="22"/>
          <w:szCs w:val="22"/>
        </w:rPr>
        <w:t>2</w:t>
      </w:r>
      <w:r w:rsidRPr="000E437E">
        <w:rPr>
          <w:rFonts w:ascii="Arial" w:hAnsi="Arial" w:cs="Arial"/>
          <w:sz w:val="22"/>
          <w:szCs w:val="22"/>
        </w:rPr>
        <w:fldChar w:fldCharType="end"/>
      </w:r>
      <w:r w:rsidR="001C7056" w:rsidRPr="000E437E">
        <w:rPr>
          <w:rFonts w:ascii="Arial" w:hAnsi="Arial" w:cs="Arial"/>
          <w:sz w:val="22"/>
          <w:szCs w:val="22"/>
          <w:lang w:val="en-US" w:bidi="th-TH"/>
        </w:rPr>
        <w:t xml:space="preserve"> (reference list )</w:t>
      </w:r>
      <w:bookmarkEnd w:id="44"/>
    </w:p>
    <w:p w14:paraId="0163BAC0" w14:textId="77777777" w:rsidR="000E5C61" w:rsidRPr="000E437E" w:rsidRDefault="000E5C61" w:rsidP="000E437E">
      <w:pPr>
        <w:spacing w:line="360" w:lineRule="auto"/>
        <w:jc w:val="both"/>
        <w:rPr>
          <w:rFonts w:ascii="Arial" w:hAnsi="Arial" w:cs="Arial"/>
          <w:sz w:val="22"/>
          <w:lang w:val="en-US" w:bidi="th-TH"/>
        </w:rPr>
      </w:pPr>
    </w:p>
    <w:p w14:paraId="75FB6031" w14:textId="00CB201B" w:rsidR="00953FA8" w:rsidRPr="000E437E" w:rsidRDefault="001C7056" w:rsidP="000E437E">
      <w:pPr>
        <w:spacing w:line="360" w:lineRule="auto"/>
        <w:jc w:val="both"/>
        <w:rPr>
          <w:rFonts w:ascii="Arial" w:hAnsi="Arial" w:cs="Arial"/>
          <w:sz w:val="22"/>
          <w:lang w:val="en-US" w:bidi="th-TH"/>
        </w:rPr>
      </w:pPr>
      <w:r w:rsidRPr="000E437E">
        <w:rPr>
          <w:rFonts w:ascii="Arial" w:hAnsi="Arial" w:cs="Arial"/>
          <w:sz w:val="22"/>
          <w:lang w:val="en-US" w:bidi="th-TH"/>
        </w:rPr>
        <w:t xml:space="preserve"> </w:t>
      </w:r>
    </w:p>
    <w:p w14:paraId="383247D7" w14:textId="77777777" w:rsidR="00953FA8" w:rsidRPr="000E437E" w:rsidRDefault="00953FA8" w:rsidP="000E437E">
      <w:pPr>
        <w:spacing w:line="360" w:lineRule="auto"/>
        <w:jc w:val="both"/>
        <w:rPr>
          <w:rFonts w:ascii="Arial" w:hAnsi="Arial" w:cs="Arial"/>
          <w:sz w:val="22"/>
          <w:lang w:val="en-US" w:bidi="th-TH"/>
        </w:rPr>
      </w:pPr>
    </w:p>
    <w:p w14:paraId="72FA69BE" w14:textId="77777777" w:rsidR="00953FA8" w:rsidRPr="000E437E" w:rsidRDefault="00953FA8" w:rsidP="000E437E">
      <w:pPr>
        <w:spacing w:line="360" w:lineRule="auto"/>
        <w:jc w:val="both"/>
        <w:rPr>
          <w:rFonts w:ascii="Arial" w:hAnsi="Arial" w:cs="Arial"/>
          <w:sz w:val="22"/>
          <w:lang w:val="en-US" w:bidi="th-TH"/>
        </w:rPr>
      </w:pPr>
    </w:p>
    <w:p w14:paraId="0B3B131C" w14:textId="77777777" w:rsidR="00664869" w:rsidRPr="000E437E" w:rsidRDefault="00664869" w:rsidP="000E437E">
      <w:pPr>
        <w:spacing w:line="360" w:lineRule="auto"/>
        <w:jc w:val="both"/>
        <w:rPr>
          <w:rFonts w:ascii="Arial" w:hAnsi="Arial" w:cs="Arial"/>
          <w:sz w:val="22"/>
          <w:lang w:val="en-US" w:bidi="th-TH"/>
        </w:rPr>
      </w:pPr>
    </w:p>
    <w:p w14:paraId="51F6B804" w14:textId="168C352C" w:rsidR="00DC51DB" w:rsidRPr="000E437E" w:rsidRDefault="00DC51DB" w:rsidP="000E437E">
      <w:pPr>
        <w:spacing w:line="360" w:lineRule="auto"/>
        <w:jc w:val="both"/>
        <w:rPr>
          <w:rFonts w:ascii="Arial" w:hAnsi="Arial" w:cs="Arial"/>
          <w:sz w:val="22"/>
          <w:lang w:val="en-US" w:bidi="th-TH"/>
        </w:rPr>
      </w:pPr>
    </w:p>
    <w:p w14:paraId="01EB2B89" w14:textId="77777777" w:rsidR="00D157A4" w:rsidRPr="000E437E" w:rsidRDefault="00D157A4" w:rsidP="000E437E">
      <w:pPr>
        <w:spacing w:line="360" w:lineRule="auto"/>
        <w:jc w:val="both"/>
        <w:rPr>
          <w:rFonts w:ascii="Arial" w:eastAsiaTheme="majorEastAsia" w:hAnsi="Arial" w:cs="Arial"/>
          <w:b/>
          <w:sz w:val="22"/>
          <w:lang w:val="en-US" w:bidi="th-TH"/>
        </w:rPr>
      </w:pPr>
      <w:r w:rsidRPr="000E437E">
        <w:rPr>
          <w:rFonts w:ascii="Arial" w:hAnsi="Arial" w:cs="Arial"/>
          <w:sz w:val="22"/>
        </w:rPr>
        <w:br w:type="page"/>
      </w:r>
    </w:p>
    <w:p w14:paraId="7BBDD46F" w14:textId="5C3BEC75" w:rsidR="009E2534" w:rsidRPr="000E437E" w:rsidRDefault="00DC51DB" w:rsidP="000E437E">
      <w:pPr>
        <w:pStyle w:val="Heading1"/>
        <w:spacing w:line="360" w:lineRule="auto"/>
        <w:jc w:val="both"/>
        <w:rPr>
          <w:rFonts w:ascii="Arial" w:hAnsi="Arial" w:cs="Arial"/>
          <w:color w:val="auto"/>
          <w:sz w:val="22"/>
          <w:szCs w:val="22"/>
        </w:rPr>
      </w:pPr>
      <w:bookmarkStart w:id="45" w:name="_Toc165886072"/>
      <w:r w:rsidRPr="000E437E">
        <w:rPr>
          <w:rFonts w:ascii="Arial" w:hAnsi="Arial" w:cs="Arial"/>
          <w:color w:val="auto"/>
          <w:sz w:val="22"/>
          <w:szCs w:val="22"/>
        </w:rPr>
        <w:lastRenderedPageBreak/>
        <w:t>References</w:t>
      </w:r>
      <w:bookmarkEnd w:id="45"/>
    </w:p>
    <w:p w14:paraId="05EA75E6"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Adisa, T.A., Ogbonnaya, C. and Adekoya, O.D. (2021). Remote working and employee engagement: a qualitative study of British workers during the pandemic. </w:t>
      </w:r>
      <w:r w:rsidRPr="000E437E">
        <w:rPr>
          <w:rFonts w:ascii="Arial" w:hAnsi="Arial" w:cs="Arial"/>
          <w:i/>
          <w:iCs/>
          <w:sz w:val="22"/>
          <w:szCs w:val="22"/>
        </w:rPr>
        <w:t>Information Technology &amp; People</w:t>
      </w:r>
      <w:r w:rsidRPr="000E437E">
        <w:rPr>
          <w:rFonts w:ascii="Arial" w:hAnsi="Arial" w:cs="Arial"/>
          <w:sz w:val="22"/>
          <w:szCs w:val="22"/>
        </w:rPr>
        <w:t xml:space="preserve">, 36(5). doi: </w:t>
      </w:r>
      <w:hyperlink r:id="rId20" w:history="1">
        <w:r w:rsidRPr="000E437E">
          <w:rPr>
            <w:rStyle w:val="Hyperlink"/>
            <w:rFonts w:ascii="Arial" w:hAnsi="Arial" w:cs="Arial"/>
            <w:color w:val="auto"/>
            <w:sz w:val="22"/>
            <w:szCs w:val="22"/>
          </w:rPr>
          <w:t>https://doi.org/10.1108/itp-12-2020-0850</w:t>
        </w:r>
      </w:hyperlink>
      <w:r w:rsidRPr="000E437E">
        <w:rPr>
          <w:rFonts w:ascii="Arial" w:hAnsi="Arial" w:cs="Arial"/>
          <w:sz w:val="22"/>
          <w:szCs w:val="22"/>
        </w:rPr>
        <w:t xml:space="preserve">. </w:t>
      </w:r>
    </w:p>
    <w:p w14:paraId="064B4696"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Allas, T., Canal, M. and Hunt, V. (2020). </w:t>
      </w:r>
      <w:r w:rsidRPr="000E437E">
        <w:rPr>
          <w:rFonts w:ascii="Arial" w:hAnsi="Arial" w:cs="Arial"/>
          <w:i/>
          <w:iCs/>
          <w:sz w:val="22"/>
          <w:szCs w:val="22"/>
        </w:rPr>
        <w:t>Public Sector Practice</w:t>
      </w:r>
      <w:r w:rsidRPr="000E437E">
        <w:rPr>
          <w:rFonts w:ascii="Arial" w:hAnsi="Arial" w:cs="Arial"/>
          <w:sz w:val="22"/>
          <w:szCs w:val="22"/>
        </w:rPr>
        <w:t xml:space="preserve">. [online] doi: </w:t>
      </w:r>
      <w:hyperlink r:id="rId21" w:history="1">
        <w:r w:rsidRPr="000E437E">
          <w:rPr>
            <w:rStyle w:val="Hyperlink"/>
            <w:rFonts w:ascii="Arial" w:hAnsi="Arial" w:cs="Arial"/>
            <w:color w:val="auto"/>
            <w:sz w:val="22"/>
            <w:szCs w:val="22"/>
          </w:rPr>
          <w:t>https://www.mckinsey.com/~/media/McKinsey/Industries/Public%20Sector/Our%20Insights/COVID%2019%20in%20the%20United%20Kingdom%20Assessing%20jobs%20at%20risk%20and%20the%20impact%20on%20people%20and%20places%20new/COVID-19-in-the-United-Kingdom-VF.pdf</w:t>
        </w:r>
      </w:hyperlink>
      <w:r w:rsidRPr="000E437E">
        <w:rPr>
          <w:rFonts w:ascii="Arial" w:hAnsi="Arial" w:cs="Arial"/>
          <w:sz w:val="22"/>
          <w:szCs w:val="22"/>
        </w:rPr>
        <w:t xml:space="preserve">. </w:t>
      </w:r>
    </w:p>
    <w:p w14:paraId="10DFAB2E"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Amoils, J. (2021). cre.org/rei Published by THE COUNSELORS OF REAL ESTATE®. [online] 45(23). doi: </w:t>
      </w:r>
      <w:hyperlink r:id="rId22" w:history="1">
        <w:r w:rsidRPr="000E437E">
          <w:rPr>
            <w:rStyle w:val="Hyperlink"/>
            <w:rFonts w:ascii="Arial" w:hAnsi="Arial" w:cs="Arial"/>
            <w:color w:val="auto"/>
            <w:sz w:val="22"/>
            <w:szCs w:val="22"/>
          </w:rPr>
          <w:t>https://cre.org/wp-content/uploads/2021/08/Real-Estate-Issues-The-Evolving-Workplace.pdf</w:t>
        </w:r>
      </w:hyperlink>
      <w:r w:rsidRPr="000E437E">
        <w:rPr>
          <w:rFonts w:ascii="Arial" w:hAnsi="Arial" w:cs="Arial"/>
          <w:sz w:val="22"/>
          <w:szCs w:val="22"/>
        </w:rPr>
        <w:t xml:space="preserve">. </w:t>
      </w:r>
    </w:p>
    <w:p w14:paraId="6FB6D083"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Asatiani, A., Hämäläinen, J., Penttinen, E. and Rossi, M. (2020). Constructing continuity across the organisational culture boundary in a highly virtual work environment. </w:t>
      </w:r>
      <w:r w:rsidRPr="000E437E">
        <w:rPr>
          <w:rFonts w:ascii="Arial" w:hAnsi="Arial" w:cs="Arial"/>
          <w:i/>
          <w:iCs/>
          <w:sz w:val="22"/>
          <w:szCs w:val="22"/>
        </w:rPr>
        <w:t>Information Systems Journal</w:t>
      </w:r>
      <w:r w:rsidRPr="000E437E">
        <w:rPr>
          <w:rFonts w:ascii="Arial" w:hAnsi="Arial" w:cs="Arial"/>
          <w:sz w:val="22"/>
          <w:szCs w:val="22"/>
        </w:rPr>
        <w:t xml:space="preserve">, [online] 31(1). doi: </w:t>
      </w:r>
      <w:hyperlink r:id="rId23" w:history="1">
        <w:r w:rsidRPr="000E437E">
          <w:rPr>
            <w:rStyle w:val="Hyperlink"/>
            <w:rFonts w:ascii="Arial" w:hAnsi="Arial" w:cs="Arial"/>
            <w:color w:val="auto"/>
            <w:sz w:val="22"/>
            <w:szCs w:val="22"/>
          </w:rPr>
          <w:t>https://doi.org/10.1111/isj.12293</w:t>
        </w:r>
      </w:hyperlink>
      <w:r w:rsidRPr="000E437E">
        <w:rPr>
          <w:rFonts w:ascii="Arial" w:hAnsi="Arial" w:cs="Arial"/>
          <w:sz w:val="22"/>
          <w:szCs w:val="22"/>
        </w:rPr>
        <w:t xml:space="preserve">. </w:t>
      </w:r>
    </w:p>
    <w:p w14:paraId="536A1265"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Awada, M., Lucas, G., Becerik-Gerber, B. and Roll, S. (2021). Working from home during the COVID-19 pandemic: Impact on office worker productivity and work experience. </w:t>
      </w:r>
      <w:r w:rsidRPr="000E437E">
        <w:rPr>
          <w:rFonts w:ascii="Arial" w:hAnsi="Arial" w:cs="Arial"/>
          <w:i/>
          <w:iCs/>
          <w:sz w:val="22"/>
          <w:szCs w:val="22"/>
        </w:rPr>
        <w:t>Work</w:t>
      </w:r>
      <w:r w:rsidRPr="000E437E">
        <w:rPr>
          <w:rFonts w:ascii="Arial" w:hAnsi="Arial" w:cs="Arial"/>
          <w:sz w:val="22"/>
          <w:szCs w:val="22"/>
        </w:rPr>
        <w:t xml:space="preserve">, [online] 69(4), pp.1171–1189. doi: </w:t>
      </w:r>
      <w:hyperlink r:id="rId24" w:history="1">
        <w:r w:rsidRPr="000E437E">
          <w:rPr>
            <w:rStyle w:val="Hyperlink"/>
            <w:rFonts w:ascii="Arial" w:hAnsi="Arial" w:cs="Arial"/>
            <w:color w:val="auto"/>
            <w:sz w:val="22"/>
            <w:szCs w:val="22"/>
          </w:rPr>
          <w:t>https://doi.org/10.3233/wor-210301</w:t>
        </w:r>
      </w:hyperlink>
      <w:r w:rsidRPr="000E437E">
        <w:rPr>
          <w:rFonts w:ascii="Arial" w:hAnsi="Arial" w:cs="Arial"/>
          <w:sz w:val="22"/>
          <w:szCs w:val="22"/>
        </w:rPr>
        <w:t xml:space="preserve">. </w:t>
      </w:r>
    </w:p>
    <w:p w14:paraId="2750A09B"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Aylott, E. (2022). </w:t>
      </w:r>
      <w:r w:rsidRPr="000E437E">
        <w:rPr>
          <w:rFonts w:ascii="Arial" w:hAnsi="Arial" w:cs="Arial"/>
          <w:i/>
          <w:iCs/>
          <w:sz w:val="22"/>
          <w:szCs w:val="22"/>
        </w:rPr>
        <w:t>Employee Relations: A Practical Introduction</w:t>
      </w:r>
      <w:r w:rsidRPr="000E437E">
        <w:rPr>
          <w:rFonts w:ascii="Arial" w:hAnsi="Arial" w:cs="Arial"/>
          <w:sz w:val="22"/>
          <w:szCs w:val="22"/>
        </w:rPr>
        <w:t xml:space="preserve">. [online] </w:t>
      </w:r>
      <w:r w:rsidRPr="000E437E">
        <w:rPr>
          <w:rFonts w:ascii="Arial" w:hAnsi="Arial" w:cs="Arial"/>
          <w:i/>
          <w:iCs/>
          <w:sz w:val="22"/>
          <w:szCs w:val="22"/>
        </w:rPr>
        <w:t>Google Books</w:t>
      </w:r>
      <w:r w:rsidRPr="000E437E">
        <w:rPr>
          <w:rFonts w:ascii="Arial" w:hAnsi="Arial" w:cs="Arial"/>
          <w:sz w:val="22"/>
          <w:szCs w:val="22"/>
        </w:rPr>
        <w:t xml:space="preserve">. Kogan Page Publishers. doi: </w:t>
      </w:r>
      <w:hyperlink r:id="rId25" w:history="1">
        <w:r w:rsidRPr="000E437E">
          <w:rPr>
            <w:rStyle w:val="Hyperlink"/>
            <w:rFonts w:ascii="Arial" w:hAnsi="Arial" w:cs="Arial"/>
            <w:color w:val="auto"/>
            <w:sz w:val="22"/>
            <w:szCs w:val="22"/>
          </w:rPr>
          <w:t>https://books.google.com/books?hl=en&amp;lr=&amp;id=WcdsEAAAQBAJ&amp;oi=fnd&amp;pg=PP1&amp;dq=Productivity+and+Performance+Metrics</w:t>
        </w:r>
      </w:hyperlink>
      <w:r w:rsidRPr="000E437E">
        <w:rPr>
          <w:rFonts w:ascii="Arial" w:hAnsi="Arial" w:cs="Arial"/>
          <w:sz w:val="22"/>
          <w:szCs w:val="22"/>
        </w:rPr>
        <w:t xml:space="preserve">. </w:t>
      </w:r>
    </w:p>
    <w:p w14:paraId="5B2E3412"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Bagga, S.K., Gera, S. and Haque, S.N. (2022). The mediating role of organizational culture: Transformational leadership and change management in virtual teams. </w:t>
      </w:r>
      <w:r w:rsidRPr="000E437E">
        <w:rPr>
          <w:rFonts w:ascii="Arial" w:hAnsi="Arial" w:cs="Arial"/>
          <w:i/>
          <w:iCs/>
          <w:sz w:val="22"/>
          <w:szCs w:val="22"/>
        </w:rPr>
        <w:t>Asia Pacific Management Review</w:t>
      </w:r>
      <w:r w:rsidRPr="000E437E">
        <w:rPr>
          <w:rFonts w:ascii="Arial" w:hAnsi="Arial" w:cs="Arial"/>
          <w:sz w:val="22"/>
          <w:szCs w:val="22"/>
        </w:rPr>
        <w:t xml:space="preserve">, [online] 28(2), pp.120–131. doi: </w:t>
      </w:r>
      <w:hyperlink r:id="rId26" w:history="1">
        <w:r w:rsidRPr="000E437E">
          <w:rPr>
            <w:rStyle w:val="Hyperlink"/>
            <w:rFonts w:ascii="Arial" w:hAnsi="Arial" w:cs="Arial"/>
            <w:color w:val="auto"/>
            <w:sz w:val="22"/>
            <w:szCs w:val="22"/>
          </w:rPr>
          <w:t>https://doi.org/10.1016/j.apmrv.2022.07.003</w:t>
        </w:r>
      </w:hyperlink>
      <w:r w:rsidRPr="000E437E">
        <w:rPr>
          <w:rFonts w:ascii="Arial" w:hAnsi="Arial" w:cs="Arial"/>
          <w:sz w:val="22"/>
          <w:szCs w:val="22"/>
        </w:rPr>
        <w:t xml:space="preserve">. </w:t>
      </w:r>
    </w:p>
    <w:p w14:paraId="1690879C"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Bogason, Á., Brynteson, M. and Salonen, H. (2024). </w:t>
      </w:r>
      <w:r w:rsidRPr="000E437E">
        <w:rPr>
          <w:rFonts w:ascii="Arial" w:hAnsi="Arial" w:cs="Arial"/>
          <w:i/>
          <w:iCs/>
          <w:sz w:val="22"/>
          <w:szCs w:val="22"/>
        </w:rPr>
        <w:t>Remote Work in Rural Areas : Possibilities and uncertainties</w:t>
      </w:r>
      <w:r w:rsidRPr="000E437E">
        <w:rPr>
          <w:rFonts w:ascii="Arial" w:hAnsi="Arial" w:cs="Arial"/>
          <w:sz w:val="22"/>
          <w:szCs w:val="22"/>
        </w:rPr>
        <w:t xml:space="preserve">. [online] </w:t>
      </w:r>
      <w:r w:rsidRPr="000E437E">
        <w:rPr>
          <w:rFonts w:ascii="Arial" w:hAnsi="Arial" w:cs="Arial"/>
          <w:i/>
          <w:iCs/>
          <w:sz w:val="22"/>
          <w:szCs w:val="22"/>
        </w:rPr>
        <w:t>www.diva-portal.org</w:t>
      </w:r>
      <w:r w:rsidRPr="000E437E">
        <w:rPr>
          <w:rFonts w:ascii="Arial" w:hAnsi="Arial" w:cs="Arial"/>
          <w:sz w:val="22"/>
          <w:szCs w:val="22"/>
        </w:rPr>
        <w:t xml:space="preserve">. Nordregio. doi: </w:t>
      </w:r>
      <w:hyperlink r:id="rId27" w:history="1">
        <w:r w:rsidRPr="000E437E">
          <w:rPr>
            <w:rStyle w:val="Hyperlink"/>
            <w:rFonts w:ascii="Arial" w:hAnsi="Arial" w:cs="Arial"/>
            <w:color w:val="auto"/>
            <w:sz w:val="22"/>
            <w:szCs w:val="22"/>
          </w:rPr>
          <w:t>https://www.diva-portal.org/smash/record.jsf?pid=diva2:1838949</w:t>
        </w:r>
      </w:hyperlink>
      <w:r w:rsidRPr="000E437E">
        <w:rPr>
          <w:rFonts w:ascii="Arial" w:hAnsi="Arial" w:cs="Arial"/>
          <w:sz w:val="22"/>
          <w:szCs w:val="22"/>
        </w:rPr>
        <w:t xml:space="preserve">. </w:t>
      </w:r>
    </w:p>
    <w:p w14:paraId="41AF22D2"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lastRenderedPageBreak/>
        <w:t xml:space="preserve">Casula, M., Rangarajan, N. and Shields, P. (2020). The potential of working hypotheses for deductive exploratory research. </w:t>
      </w:r>
      <w:r w:rsidRPr="000E437E">
        <w:rPr>
          <w:rFonts w:ascii="Arial" w:hAnsi="Arial" w:cs="Arial"/>
          <w:i/>
          <w:iCs/>
          <w:sz w:val="22"/>
          <w:szCs w:val="22"/>
        </w:rPr>
        <w:t>Quality &amp; Quantity</w:t>
      </w:r>
      <w:r w:rsidRPr="000E437E">
        <w:rPr>
          <w:rFonts w:ascii="Arial" w:hAnsi="Arial" w:cs="Arial"/>
          <w:sz w:val="22"/>
          <w:szCs w:val="22"/>
        </w:rPr>
        <w:t xml:space="preserve">, [online] 55(1), pp.1703–1725. doi: </w:t>
      </w:r>
      <w:hyperlink r:id="rId28" w:history="1">
        <w:r w:rsidRPr="000E437E">
          <w:rPr>
            <w:rStyle w:val="Hyperlink"/>
            <w:rFonts w:ascii="Arial" w:hAnsi="Arial" w:cs="Arial"/>
            <w:color w:val="auto"/>
            <w:sz w:val="22"/>
            <w:szCs w:val="22"/>
          </w:rPr>
          <w:t>https://doi.org/10.1007/s11135-020-01072-9</w:t>
        </w:r>
      </w:hyperlink>
      <w:r w:rsidRPr="000E437E">
        <w:rPr>
          <w:rFonts w:ascii="Arial" w:hAnsi="Arial" w:cs="Arial"/>
          <w:sz w:val="22"/>
          <w:szCs w:val="22"/>
        </w:rPr>
        <w:t xml:space="preserve">. </w:t>
      </w:r>
    </w:p>
    <w:p w14:paraId="76D7A023"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Chanana, N. and Sangeeta (2020). Employee engagement practices during COVID</w:t>
      </w:r>
      <w:r w:rsidRPr="000E437E">
        <w:rPr>
          <w:rFonts w:ascii="Cambria Math" w:hAnsi="Cambria Math" w:cs="Cambria Math"/>
          <w:sz w:val="22"/>
          <w:szCs w:val="22"/>
        </w:rPr>
        <w:t>‐</w:t>
      </w:r>
      <w:r w:rsidRPr="000E437E">
        <w:rPr>
          <w:rFonts w:ascii="Arial" w:hAnsi="Arial" w:cs="Arial"/>
          <w:sz w:val="22"/>
          <w:szCs w:val="22"/>
        </w:rPr>
        <w:t xml:space="preserve">19 lockdown. </w:t>
      </w:r>
      <w:r w:rsidRPr="000E437E">
        <w:rPr>
          <w:rFonts w:ascii="Arial" w:hAnsi="Arial" w:cs="Arial"/>
          <w:i/>
          <w:iCs/>
          <w:sz w:val="22"/>
          <w:szCs w:val="22"/>
        </w:rPr>
        <w:t>Journal of Public Affairs</w:t>
      </w:r>
      <w:r w:rsidRPr="000E437E">
        <w:rPr>
          <w:rFonts w:ascii="Arial" w:hAnsi="Arial" w:cs="Arial"/>
          <w:sz w:val="22"/>
          <w:szCs w:val="22"/>
        </w:rPr>
        <w:t xml:space="preserve">, [online] 21(4). doi: </w:t>
      </w:r>
      <w:hyperlink r:id="rId29" w:history="1">
        <w:r w:rsidRPr="000E437E">
          <w:rPr>
            <w:rStyle w:val="Hyperlink"/>
            <w:rFonts w:ascii="Arial" w:hAnsi="Arial" w:cs="Arial"/>
            <w:color w:val="auto"/>
            <w:sz w:val="22"/>
            <w:szCs w:val="22"/>
          </w:rPr>
          <w:t>https://doi.org/10.1002/pa.2508</w:t>
        </w:r>
      </w:hyperlink>
      <w:r w:rsidRPr="000E437E">
        <w:rPr>
          <w:rFonts w:ascii="Arial" w:hAnsi="Arial" w:cs="Arial"/>
          <w:sz w:val="22"/>
          <w:szCs w:val="22"/>
        </w:rPr>
        <w:t xml:space="preserve">. </w:t>
      </w:r>
    </w:p>
    <w:p w14:paraId="4927545A"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Chatterjee, S., Chaudhuri, R. and Vrontis, D. (2021). Does Remote Work Flexibility Enhance Organization Performance? Moderating Role of Organization Policy and Top Management Support. </w:t>
      </w:r>
      <w:r w:rsidRPr="000E437E">
        <w:rPr>
          <w:rFonts w:ascii="Arial" w:hAnsi="Arial" w:cs="Arial"/>
          <w:i/>
          <w:iCs/>
          <w:sz w:val="22"/>
          <w:szCs w:val="22"/>
        </w:rPr>
        <w:t>Journal of Business Research</w:t>
      </w:r>
      <w:r w:rsidRPr="000E437E">
        <w:rPr>
          <w:rFonts w:ascii="Arial" w:hAnsi="Arial" w:cs="Arial"/>
          <w:sz w:val="22"/>
          <w:szCs w:val="22"/>
        </w:rPr>
        <w:t xml:space="preserve">, [online] 139(1), pp.1501–1512. doi: </w:t>
      </w:r>
      <w:hyperlink r:id="rId30" w:history="1">
        <w:r w:rsidRPr="000E437E">
          <w:rPr>
            <w:rStyle w:val="Hyperlink"/>
            <w:rFonts w:ascii="Arial" w:hAnsi="Arial" w:cs="Arial"/>
            <w:color w:val="auto"/>
            <w:sz w:val="22"/>
            <w:szCs w:val="22"/>
          </w:rPr>
          <w:t>https://doi.org/10.1016/j.jbusres.2021.10.069</w:t>
        </w:r>
      </w:hyperlink>
      <w:r w:rsidRPr="000E437E">
        <w:rPr>
          <w:rFonts w:ascii="Arial" w:hAnsi="Arial" w:cs="Arial"/>
          <w:sz w:val="22"/>
          <w:szCs w:val="22"/>
        </w:rPr>
        <w:t xml:space="preserve">. </w:t>
      </w:r>
    </w:p>
    <w:p w14:paraId="04DBE16F"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Cheong, H., Lyons, A., Houghton, R. and Majumdar, A. (2023). Secondary Qualitative Research Methodology Using Online Data within the Context of Social Sciences. </w:t>
      </w:r>
      <w:r w:rsidRPr="000E437E">
        <w:rPr>
          <w:rFonts w:ascii="Arial" w:hAnsi="Arial" w:cs="Arial"/>
          <w:i/>
          <w:iCs/>
          <w:sz w:val="22"/>
          <w:szCs w:val="22"/>
        </w:rPr>
        <w:t>International Journal of Qualitative Methods</w:t>
      </w:r>
      <w:r w:rsidRPr="000E437E">
        <w:rPr>
          <w:rFonts w:ascii="Arial" w:hAnsi="Arial" w:cs="Arial"/>
          <w:sz w:val="22"/>
          <w:szCs w:val="22"/>
        </w:rPr>
        <w:t xml:space="preserve">, [online] 22(1). doi: </w:t>
      </w:r>
      <w:hyperlink r:id="rId31" w:history="1">
        <w:r w:rsidRPr="000E437E">
          <w:rPr>
            <w:rStyle w:val="Hyperlink"/>
            <w:rFonts w:ascii="Arial" w:hAnsi="Arial" w:cs="Arial"/>
            <w:color w:val="auto"/>
            <w:sz w:val="22"/>
            <w:szCs w:val="22"/>
          </w:rPr>
          <w:t>https://journals.sagepub.com/doi/full/10.1177/16094069231180160</w:t>
        </w:r>
      </w:hyperlink>
      <w:r w:rsidRPr="000E437E">
        <w:rPr>
          <w:rFonts w:ascii="Arial" w:hAnsi="Arial" w:cs="Arial"/>
          <w:sz w:val="22"/>
          <w:szCs w:val="22"/>
        </w:rPr>
        <w:t xml:space="preserve">. </w:t>
      </w:r>
    </w:p>
    <w:p w14:paraId="0263FF8C"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Choudhury, P., Foroughi, C. and Larson, B. (2020). Work</w:t>
      </w:r>
      <w:r w:rsidRPr="000E437E">
        <w:rPr>
          <w:rFonts w:ascii="Cambria Math" w:hAnsi="Cambria Math" w:cs="Cambria Math"/>
          <w:sz w:val="22"/>
          <w:szCs w:val="22"/>
        </w:rPr>
        <w:t>‐</w:t>
      </w:r>
      <w:r w:rsidRPr="000E437E">
        <w:rPr>
          <w:rFonts w:ascii="Arial" w:hAnsi="Arial" w:cs="Arial"/>
          <w:sz w:val="22"/>
          <w:szCs w:val="22"/>
        </w:rPr>
        <w:t>from</w:t>
      </w:r>
      <w:r w:rsidRPr="000E437E">
        <w:rPr>
          <w:rFonts w:ascii="Cambria Math" w:hAnsi="Cambria Math" w:cs="Cambria Math"/>
          <w:sz w:val="22"/>
          <w:szCs w:val="22"/>
        </w:rPr>
        <w:t>‐</w:t>
      </w:r>
      <w:r w:rsidRPr="000E437E">
        <w:rPr>
          <w:rFonts w:ascii="Arial" w:hAnsi="Arial" w:cs="Arial"/>
          <w:sz w:val="22"/>
          <w:szCs w:val="22"/>
        </w:rPr>
        <w:t xml:space="preserve">anywhere: The productivity effects of geographic flexibility. </w:t>
      </w:r>
      <w:r w:rsidRPr="000E437E">
        <w:rPr>
          <w:rFonts w:ascii="Arial" w:hAnsi="Arial" w:cs="Arial"/>
          <w:i/>
          <w:iCs/>
          <w:sz w:val="22"/>
          <w:szCs w:val="22"/>
        </w:rPr>
        <w:t>Strategic Management Journal</w:t>
      </w:r>
      <w:r w:rsidRPr="000E437E">
        <w:rPr>
          <w:rFonts w:ascii="Arial" w:hAnsi="Arial" w:cs="Arial"/>
          <w:sz w:val="22"/>
          <w:szCs w:val="22"/>
        </w:rPr>
        <w:t xml:space="preserve">, 42(4), pp.655–683. doi: </w:t>
      </w:r>
      <w:hyperlink r:id="rId32" w:history="1">
        <w:r w:rsidRPr="000E437E">
          <w:rPr>
            <w:rStyle w:val="Hyperlink"/>
            <w:rFonts w:ascii="Arial" w:hAnsi="Arial" w:cs="Arial"/>
            <w:color w:val="auto"/>
            <w:sz w:val="22"/>
            <w:szCs w:val="22"/>
          </w:rPr>
          <w:t>https://doi.org/10.1002/smj.3251</w:t>
        </w:r>
      </w:hyperlink>
      <w:r w:rsidRPr="000E437E">
        <w:rPr>
          <w:rFonts w:ascii="Arial" w:hAnsi="Arial" w:cs="Arial"/>
          <w:sz w:val="22"/>
          <w:szCs w:val="22"/>
        </w:rPr>
        <w:t xml:space="preserve">. </w:t>
      </w:r>
    </w:p>
    <w:p w14:paraId="514F5561"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Cox, P. and Soobiah, D. (2018). An empirical investigation into the corporate culture of UK listed banks. </w:t>
      </w:r>
      <w:r w:rsidRPr="000E437E">
        <w:rPr>
          <w:rFonts w:ascii="Arial" w:hAnsi="Arial" w:cs="Arial"/>
          <w:i/>
          <w:iCs/>
          <w:sz w:val="22"/>
          <w:szCs w:val="22"/>
        </w:rPr>
        <w:t>Journal of Financial Regulation and Compliance</w:t>
      </w:r>
      <w:r w:rsidRPr="000E437E">
        <w:rPr>
          <w:rFonts w:ascii="Arial" w:hAnsi="Arial" w:cs="Arial"/>
          <w:sz w:val="22"/>
          <w:szCs w:val="22"/>
        </w:rPr>
        <w:t xml:space="preserve">, 26(1), pp.120–134. doi: </w:t>
      </w:r>
      <w:hyperlink r:id="rId33" w:history="1">
        <w:r w:rsidRPr="000E437E">
          <w:rPr>
            <w:rStyle w:val="Hyperlink"/>
            <w:rFonts w:ascii="Arial" w:hAnsi="Arial" w:cs="Arial"/>
            <w:color w:val="auto"/>
            <w:sz w:val="22"/>
            <w:szCs w:val="22"/>
          </w:rPr>
          <w:t>https://doi.org/10.1108/jfrc-06-2016-0048</w:t>
        </w:r>
      </w:hyperlink>
      <w:r w:rsidRPr="000E437E">
        <w:rPr>
          <w:rFonts w:ascii="Arial" w:hAnsi="Arial" w:cs="Arial"/>
          <w:sz w:val="22"/>
          <w:szCs w:val="22"/>
        </w:rPr>
        <w:t xml:space="preserve">. </w:t>
      </w:r>
    </w:p>
    <w:p w14:paraId="6B8B5AEE"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Djafar, H., Yunus, R., DJ Pomalato, S.W. and Rasid, R. (2021). Qualitative and Quantitative Paradigm Constellation In Educational Research Methodology. </w:t>
      </w:r>
      <w:r w:rsidRPr="000E437E">
        <w:rPr>
          <w:rFonts w:ascii="Arial" w:hAnsi="Arial" w:cs="Arial"/>
          <w:i/>
          <w:iCs/>
          <w:sz w:val="22"/>
          <w:szCs w:val="22"/>
        </w:rPr>
        <w:t>International Journal of Educational Research &amp; Social Sciences</w:t>
      </w:r>
      <w:r w:rsidRPr="000E437E">
        <w:rPr>
          <w:rFonts w:ascii="Arial" w:hAnsi="Arial" w:cs="Arial"/>
          <w:sz w:val="22"/>
          <w:szCs w:val="22"/>
        </w:rPr>
        <w:t xml:space="preserve">, 2(2), pp.339–345. doi:  </w:t>
      </w:r>
      <w:hyperlink r:id="rId34" w:history="1">
        <w:r w:rsidRPr="000E437E">
          <w:rPr>
            <w:rStyle w:val="Hyperlink"/>
            <w:rFonts w:ascii="Arial" w:hAnsi="Arial" w:cs="Arial"/>
            <w:color w:val="auto"/>
            <w:sz w:val="22"/>
            <w:szCs w:val="22"/>
          </w:rPr>
          <w:t>https://doi.org/10.51601/ijersc.v2i2.70</w:t>
        </w:r>
      </w:hyperlink>
      <w:r w:rsidRPr="000E437E">
        <w:rPr>
          <w:rFonts w:ascii="Arial" w:hAnsi="Arial" w:cs="Arial"/>
          <w:sz w:val="22"/>
          <w:szCs w:val="22"/>
        </w:rPr>
        <w:t xml:space="preserve">. </w:t>
      </w:r>
    </w:p>
    <w:p w14:paraId="5C2C547F"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Dr. Chintala Lakshmana Rao, D.K.K.R. and Dr Veena Prasad Vemuri, C.B.K. (2023). The Impact of Remote Work on the Culture and Performance of Multinational Corporations. </w:t>
      </w:r>
      <w:r w:rsidRPr="000E437E">
        <w:rPr>
          <w:rFonts w:ascii="Arial" w:hAnsi="Arial" w:cs="Arial"/>
          <w:i/>
          <w:iCs/>
          <w:sz w:val="22"/>
          <w:szCs w:val="22"/>
        </w:rPr>
        <w:t>Journal of Informatics Education and Research</w:t>
      </w:r>
      <w:r w:rsidRPr="000E437E">
        <w:rPr>
          <w:rFonts w:ascii="Arial" w:hAnsi="Arial" w:cs="Arial"/>
          <w:sz w:val="22"/>
          <w:szCs w:val="22"/>
        </w:rPr>
        <w:t xml:space="preserve">, [online] 3(2). doi: </w:t>
      </w:r>
      <w:hyperlink r:id="rId35" w:history="1">
        <w:r w:rsidRPr="000E437E">
          <w:rPr>
            <w:rStyle w:val="Hyperlink"/>
            <w:rFonts w:ascii="Arial" w:hAnsi="Arial" w:cs="Arial"/>
            <w:color w:val="auto"/>
            <w:sz w:val="22"/>
            <w:szCs w:val="22"/>
          </w:rPr>
          <w:t>https://doi.org/10.52783/jier.v3i2.489</w:t>
        </w:r>
      </w:hyperlink>
      <w:r w:rsidRPr="000E437E">
        <w:rPr>
          <w:rFonts w:ascii="Arial" w:hAnsi="Arial" w:cs="Arial"/>
          <w:sz w:val="22"/>
          <w:szCs w:val="22"/>
        </w:rPr>
        <w:t xml:space="preserve">.  </w:t>
      </w:r>
    </w:p>
    <w:p w14:paraId="2BB265AD"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Dr. Chintala Lakshmana Rao, D.K.K.R. and Dr Veena Prasad Vemuri, C.B.K. (2023). The Impact of Remote Work on the Culture and Performance of Multinational Corporations. </w:t>
      </w:r>
      <w:r w:rsidRPr="000E437E">
        <w:rPr>
          <w:rFonts w:ascii="Arial" w:hAnsi="Arial" w:cs="Arial"/>
          <w:i/>
          <w:iCs/>
          <w:sz w:val="22"/>
          <w:szCs w:val="22"/>
        </w:rPr>
        <w:t>Journal of Informatics Education and Research</w:t>
      </w:r>
      <w:r w:rsidRPr="000E437E">
        <w:rPr>
          <w:rFonts w:ascii="Arial" w:hAnsi="Arial" w:cs="Arial"/>
          <w:sz w:val="22"/>
          <w:szCs w:val="22"/>
        </w:rPr>
        <w:t xml:space="preserve">, [online] 3(2). doi: </w:t>
      </w:r>
      <w:hyperlink r:id="rId36" w:history="1">
        <w:r w:rsidRPr="000E437E">
          <w:rPr>
            <w:rStyle w:val="Hyperlink"/>
            <w:rFonts w:ascii="Arial" w:hAnsi="Arial" w:cs="Arial"/>
            <w:color w:val="auto"/>
            <w:sz w:val="22"/>
            <w:szCs w:val="22"/>
          </w:rPr>
          <w:t>https://doi.org/10.52783/jier.v3i2.489</w:t>
        </w:r>
      </w:hyperlink>
      <w:r w:rsidRPr="000E437E">
        <w:rPr>
          <w:rFonts w:ascii="Arial" w:hAnsi="Arial" w:cs="Arial"/>
          <w:sz w:val="22"/>
          <w:szCs w:val="22"/>
        </w:rPr>
        <w:t xml:space="preserve">. </w:t>
      </w:r>
    </w:p>
    <w:p w14:paraId="75F37A02"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lastRenderedPageBreak/>
        <w:t xml:space="preserve">Elman, C., Gerring, J. and Mahoney, J. (2020). </w:t>
      </w:r>
      <w:r w:rsidRPr="000E437E">
        <w:rPr>
          <w:rFonts w:ascii="Arial" w:hAnsi="Arial" w:cs="Arial"/>
          <w:i/>
          <w:iCs/>
          <w:sz w:val="22"/>
          <w:szCs w:val="22"/>
        </w:rPr>
        <w:t>The Production of Knowledge: Enhancing Progress in Social Science</w:t>
      </w:r>
      <w:r w:rsidRPr="000E437E">
        <w:rPr>
          <w:rFonts w:ascii="Arial" w:hAnsi="Arial" w:cs="Arial"/>
          <w:sz w:val="22"/>
          <w:szCs w:val="22"/>
        </w:rPr>
        <w:t xml:space="preserve">. [online] </w:t>
      </w:r>
      <w:r w:rsidRPr="000E437E">
        <w:rPr>
          <w:rFonts w:ascii="Arial" w:hAnsi="Arial" w:cs="Arial"/>
          <w:i/>
          <w:iCs/>
          <w:sz w:val="22"/>
          <w:szCs w:val="22"/>
        </w:rPr>
        <w:t>Google Books</w:t>
      </w:r>
      <w:r w:rsidRPr="000E437E">
        <w:rPr>
          <w:rFonts w:ascii="Arial" w:hAnsi="Arial" w:cs="Arial"/>
          <w:sz w:val="22"/>
          <w:szCs w:val="22"/>
        </w:rPr>
        <w:t xml:space="preserve">. Cambridge University Press. doi: </w:t>
      </w:r>
      <w:hyperlink r:id="rId37" w:history="1">
        <w:r w:rsidRPr="000E437E">
          <w:rPr>
            <w:rStyle w:val="Hyperlink"/>
            <w:rFonts w:ascii="Arial" w:hAnsi="Arial" w:cs="Arial"/>
            <w:color w:val="auto"/>
            <w:sz w:val="22"/>
            <w:szCs w:val="22"/>
          </w:rPr>
          <w:t>https://books.google.com/books?hl=en&amp;lr=&amp;id=vlTMDwAAQBAJ&amp;oi=fnd&amp;pg=PA17&amp;dq=explanatory+research+design</w:t>
        </w:r>
      </w:hyperlink>
      <w:r w:rsidRPr="000E437E">
        <w:rPr>
          <w:rFonts w:ascii="Arial" w:hAnsi="Arial" w:cs="Arial"/>
          <w:sz w:val="22"/>
          <w:szCs w:val="22"/>
        </w:rPr>
        <w:t xml:space="preserve">. </w:t>
      </w:r>
    </w:p>
    <w:p w14:paraId="189C889A"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Gratton, L. (2022). </w:t>
      </w:r>
      <w:r w:rsidRPr="000E437E">
        <w:rPr>
          <w:rFonts w:ascii="Arial" w:hAnsi="Arial" w:cs="Arial"/>
          <w:i/>
          <w:iCs/>
          <w:sz w:val="22"/>
          <w:szCs w:val="22"/>
        </w:rPr>
        <w:t>Redesigning Work: How to Transform Your Organization and Make Hybrid Work for Everyone</w:t>
      </w:r>
      <w:r w:rsidRPr="000E437E">
        <w:rPr>
          <w:rFonts w:ascii="Arial" w:hAnsi="Arial" w:cs="Arial"/>
          <w:sz w:val="22"/>
          <w:szCs w:val="22"/>
        </w:rPr>
        <w:t xml:space="preserve">. [online] </w:t>
      </w:r>
      <w:r w:rsidRPr="000E437E">
        <w:rPr>
          <w:rFonts w:ascii="Arial" w:hAnsi="Arial" w:cs="Arial"/>
          <w:i/>
          <w:iCs/>
          <w:sz w:val="22"/>
          <w:szCs w:val="22"/>
        </w:rPr>
        <w:t>Google Books</w:t>
      </w:r>
      <w:r w:rsidRPr="000E437E">
        <w:rPr>
          <w:rFonts w:ascii="Arial" w:hAnsi="Arial" w:cs="Arial"/>
          <w:sz w:val="22"/>
          <w:szCs w:val="22"/>
        </w:rPr>
        <w:t xml:space="preserve">. MIT Press. doi: </w:t>
      </w:r>
      <w:hyperlink r:id="rId38" w:history="1">
        <w:r w:rsidRPr="000E437E">
          <w:rPr>
            <w:rStyle w:val="Hyperlink"/>
            <w:rFonts w:ascii="Arial" w:hAnsi="Arial" w:cs="Arial"/>
            <w:color w:val="auto"/>
            <w:sz w:val="22"/>
            <w:szCs w:val="22"/>
          </w:rPr>
          <w:t>https://books.google.com/books?hl=en&amp;lr=&amp;id=d9lYEAAAQBAJ&amp;oi=fnd&amp;pg=PR13&amp;dq=Impact</w:t>
        </w:r>
      </w:hyperlink>
      <w:r w:rsidRPr="000E437E">
        <w:rPr>
          <w:rFonts w:ascii="Arial" w:hAnsi="Arial" w:cs="Arial"/>
          <w:sz w:val="22"/>
          <w:szCs w:val="22"/>
        </w:rPr>
        <w:t xml:space="preserve">. </w:t>
      </w:r>
    </w:p>
    <w:p w14:paraId="483148BF"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Gratton, L. (2022). </w:t>
      </w:r>
      <w:r w:rsidRPr="000E437E">
        <w:rPr>
          <w:rFonts w:ascii="Arial" w:hAnsi="Arial" w:cs="Arial"/>
          <w:i/>
          <w:iCs/>
          <w:sz w:val="22"/>
          <w:szCs w:val="22"/>
        </w:rPr>
        <w:t>Redesigning Work: How to Transform Your Organization and Make Hybrid Work for Everyone</w:t>
      </w:r>
      <w:r w:rsidRPr="000E437E">
        <w:rPr>
          <w:rFonts w:ascii="Arial" w:hAnsi="Arial" w:cs="Arial"/>
          <w:sz w:val="22"/>
          <w:szCs w:val="22"/>
        </w:rPr>
        <w:t xml:space="preserve">. [online] </w:t>
      </w:r>
      <w:r w:rsidRPr="000E437E">
        <w:rPr>
          <w:rFonts w:ascii="Arial" w:hAnsi="Arial" w:cs="Arial"/>
          <w:i/>
          <w:iCs/>
          <w:sz w:val="22"/>
          <w:szCs w:val="22"/>
        </w:rPr>
        <w:t>Google Books</w:t>
      </w:r>
      <w:r w:rsidRPr="000E437E">
        <w:rPr>
          <w:rFonts w:ascii="Arial" w:hAnsi="Arial" w:cs="Arial"/>
          <w:sz w:val="22"/>
          <w:szCs w:val="22"/>
        </w:rPr>
        <w:t xml:space="preserve">. MIT Press. doi: </w:t>
      </w:r>
      <w:hyperlink r:id="rId39" w:history="1">
        <w:r w:rsidRPr="000E437E">
          <w:rPr>
            <w:rStyle w:val="Hyperlink"/>
            <w:rFonts w:ascii="Arial" w:hAnsi="Arial" w:cs="Arial"/>
            <w:color w:val="auto"/>
            <w:sz w:val="22"/>
            <w:szCs w:val="22"/>
          </w:rPr>
          <w:t>https://books.google.com/books?hl=en&amp;lr=&amp;id=d9lYEAAAQBAJ&amp;oi=fnd&amp;pg=PR13&amp;dq=Drivers</w:t>
        </w:r>
      </w:hyperlink>
      <w:r w:rsidRPr="000E437E">
        <w:rPr>
          <w:rFonts w:ascii="Arial" w:hAnsi="Arial" w:cs="Arial"/>
          <w:sz w:val="22"/>
          <w:szCs w:val="22"/>
        </w:rPr>
        <w:t xml:space="preserve">. </w:t>
      </w:r>
    </w:p>
    <w:p w14:paraId="25C0A832"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Griffiths, P.D. (2021). Conceptual Framework: Corporate Responsibility, Governance, Business Ethics, Culture and the Knowledge Economy. pp.7–52. doi: </w:t>
      </w:r>
      <w:hyperlink r:id="rId40" w:history="1">
        <w:r w:rsidRPr="000E437E">
          <w:rPr>
            <w:rStyle w:val="Hyperlink"/>
            <w:rFonts w:ascii="Arial" w:hAnsi="Arial" w:cs="Arial"/>
            <w:color w:val="auto"/>
            <w:sz w:val="22"/>
            <w:szCs w:val="22"/>
          </w:rPr>
          <w:t>https://doi.org/10.1007/978-3-030-78873-5_2</w:t>
        </w:r>
      </w:hyperlink>
      <w:r w:rsidRPr="000E437E">
        <w:rPr>
          <w:rFonts w:ascii="Arial" w:hAnsi="Arial" w:cs="Arial"/>
          <w:sz w:val="22"/>
          <w:szCs w:val="22"/>
        </w:rPr>
        <w:t xml:space="preserve">. </w:t>
      </w:r>
    </w:p>
    <w:p w14:paraId="6B0153B6"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Haque, A., Singh, K., Kaphle, S., Panchasara, H. and Tseng, W.-C. (2024). Shifting Workplace Paradigms: Twitter Sentiment Insights on Work from Home. </w:t>
      </w:r>
      <w:r w:rsidRPr="000E437E">
        <w:rPr>
          <w:rFonts w:ascii="Arial" w:hAnsi="Arial" w:cs="Arial"/>
          <w:i/>
          <w:iCs/>
          <w:sz w:val="22"/>
          <w:szCs w:val="22"/>
        </w:rPr>
        <w:t>Sustainability</w:t>
      </w:r>
      <w:r w:rsidRPr="000E437E">
        <w:rPr>
          <w:rFonts w:ascii="Arial" w:hAnsi="Arial" w:cs="Arial"/>
          <w:sz w:val="22"/>
          <w:szCs w:val="22"/>
        </w:rPr>
        <w:t xml:space="preserve">, [online] 16(2), p.871. doi: </w:t>
      </w:r>
      <w:hyperlink r:id="rId41" w:history="1">
        <w:r w:rsidRPr="000E437E">
          <w:rPr>
            <w:rStyle w:val="Hyperlink"/>
            <w:rFonts w:ascii="Arial" w:hAnsi="Arial" w:cs="Arial"/>
            <w:color w:val="auto"/>
            <w:sz w:val="22"/>
            <w:szCs w:val="22"/>
          </w:rPr>
          <w:t>https://doi.org/10.3390/su16020871</w:t>
        </w:r>
      </w:hyperlink>
      <w:r w:rsidRPr="000E437E">
        <w:rPr>
          <w:rFonts w:ascii="Arial" w:hAnsi="Arial" w:cs="Arial"/>
          <w:sz w:val="22"/>
          <w:szCs w:val="22"/>
        </w:rPr>
        <w:t xml:space="preserve">. </w:t>
      </w:r>
    </w:p>
    <w:p w14:paraId="2CF56D3F"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Junjie, M. and Yingxin, M. (2022). </w:t>
      </w:r>
      <w:r w:rsidRPr="000E437E">
        <w:rPr>
          <w:rFonts w:ascii="Arial" w:hAnsi="Arial" w:cs="Arial"/>
          <w:i/>
          <w:iCs/>
          <w:sz w:val="22"/>
          <w:szCs w:val="22"/>
        </w:rPr>
        <w:t>The Discussions of Positivism and Interpretivism</w:t>
      </w:r>
      <w:r w:rsidRPr="000E437E">
        <w:rPr>
          <w:rFonts w:ascii="Arial" w:hAnsi="Arial" w:cs="Arial"/>
          <w:sz w:val="22"/>
          <w:szCs w:val="22"/>
        </w:rPr>
        <w:t xml:space="preserve">. </w:t>
      </w:r>
      <w:r w:rsidRPr="000E437E">
        <w:rPr>
          <w:rFonts w:ascii="Arial" w:hAnsi="Arial" w:cs="Arial"/>
          <w:i/>
          <w:iCs/>
          <w:sz w:val="22"/>
          <w:szCs w:val="22"/>
        </w:rPr>
        <w:t>ERIC</w:t>
      </w:r>
      <w:r w:rsidRPr="000E437E">
        <w:rPr>
          <w:rFonts w:ascii="Arial" w:hAnsi="Arial" w:cs="Arial"/>
          <w:sz w:val="22"/>
          <w:szCs w:val="22"/>
        </w:rPr>
        <w:t xml:space="preserve">, Eric. doi: </w:t>
      </w:r>
      <w:hyperlink r:id="rId42" w:history="1">
        <w:r w:rsidRPr="000E437E">
          <w:rPr>
            <w:rStyle w:val="Hyperlink"/>
            <w:rFonts w:ascii="Arial" w:hAnsi="Arial" w:cs="Arial"/>
            <w:color w:val="auto"/>
            <w:sz w:val="22"/>
            <w:szCs w:val="22"/>
          </w:rPr>
          <w:t>https://eric.ed.gov/?id=ED619359</w:t>
        </w:r>
      </w:hyperlink>
      <w:r w:rsidRPr="000E437E">
        <w:rPr>
          <w:rFonts w:ascii="Arial" w:hAnsi="Arial" w:cs="Arial"/>
          <w:sz w:val="22"/>
          <w:szCs w:val="22"/>
        </w:rPr>
        <w:t xml:space="preserve"> </w:t>
      </w:r>
    </w:p>
    <w:p w14:paraId="5E6CD4BD"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Karakavuz, H. (2023). Examination of the Decision to Work Remotely During the COVID-19 Pandemic Period in Terms of Corporate Legitimacy and Corporate Logic: Analysis of CEO Opinions. </w:t>
      </w:r>
      <w:r w:rsidRPr="000E437E">
        <w:rPr>
          <w:rFonts w:ascii="Arial" w:hAnsi="Arial" w:cs="Arial"/>
          <w:i/>
          <w:iCs/>
          <w:sz w:val="22"/>
          <w:szCs w:val="22"/>
        </w:rPr>
        <w:t>Uluslararası Sosyal Bilimler Dergisi</w:t>
      </w:r>
      <w:r w:rsidRPr="000E437E">
        <w:rPr>
          <w:rFonts w:ascii="Arial" w:hAnsi="Arial" w:cs="Arial"/>
          <w:sz w:val="22"/>
          <w:szCs w:val="22"/>
        </w:rPr>
        <w:t xml:space="preserve">, [online] 7(31), pp.233–263. doi: </w:t>
      </w:r>
      <w:hyperlink r:id="rId43" w:history="1">
        <w:r w:rsidRPr="000E437E">
          <w:rPr>
            <w:rStyle w:val="Hyperlink"/>
            <w:rFonts w:ascii="Arial" w:hAnsi="Arial" w:cs="Arial"/>
            <w:color w:val="auto"/>
            <w:sz w:val="22"/>
            <w:szCs w:val="22"/>
          </w:rPr>
          <w:t>https://www.ceeol.com/search/article-detail?id=1204591</w:t>
        </w:r>
      </w:hyperlink>
      <w:r w:rsidRPr="000E437E">
        <w:rPr>
          <w:rFonts w:ascii="Arial" w:hAnsi="Arial" w:cs="Arial"/>
          <w:sz w:val="22"/>
          <w:szCs w:val="22"/>
        </w:rPr>
        <w:t xml:space="preserve">. </w:t>
      </w:r>
    </w:p>
    <w:p w14:paraId="102A421C"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Kundu, S. and Nag, S. (2021). </w:t>
      </w:r>
      <w:r w:rsidRPr="000E437E">
        <w:rPr>
          <w:rFonts w:ascii="Arial" w:hAnsi="Arial" w:cs="Arial"/>
          <w:i/>
          <w:iCs/>
          <w:sz w:val="22"/>
          <w:szCs w:val="22"/>
        </w:rPr>
        <w:t>Employee Engagement: Factors and Recommendations for Enhancing Employee Engagement during COVID-19 Pandemic</w:t>
      </w:r>
      <w:r w:rsidRPr="000E437E">
        <w:rPr>
          <w:rFonts w:ascii="Arial" w:hAnsi="Arial" w:cs="Arial"/>
          <w:sz w:val="22"/>
          <w:szCs w:val="22"/>
        </w:rPr>
        <w:t xml:space="preserve">. [online] papers.ssrn.com. doi: </w:t>
      </w:r>
      <w:hyperlink r:id="rId44" w:history="1">
        <w:r w:rsidRPr="000E437E">
          <w:rPr>
            <w:rStyle w:val="Hyperlink"/>
            <w:rFonts w:ascii="Arial" w:hAnsi="Arial" w:cs="Arial"/>
            <w:color w:val="auto"/>
            <w:sz w:val="22"/>
            <w:szCs w:val="22"/>
          </w:rPr>
          <w:t>https://papers.ssrn.com/sol3/papers.cfm?abstract_id=4130963</w:t>
        </w:r>
      </w:hyperlink>
      <w:r w:rsidRPr="000E437E">
        <w:rPr>
          <w:rFonts w:ascii="Arial" w:hAnsi="Arial" w:cs="Arial"/>
          <w:sz w:val="22"/>
          <w:szCs w:val="22"/>
        </w:rPr>
        <w:t xml:space="preserve">. </w:t>
      </w:r>
    </w:p>
    <w:p w14:paraId="4036F1C8"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Kurnia, C. and Widigdo, A.M.N. (2021). Effect of Work-Life Balance, Job Demand, Job Insecurity on Employee Performance at PT Jaya Lautan Global with Employee Well-Being as a Mediation Variable. </w:t>
      </w:r>
      <w:r w:rsidRPr="000E437E">
        <w:rPr>
          <w:rFonts w:ascii="Arial" w:hAnsi="Arial" w:cs="Arial"/>
          <w:i/>
          <w:iCs/>
          <w:sz w:val="22"/>
          <w:szCs w:val="22"/>
        </w:rPr>
        <w:t>European Journal of Business and Management Research</w:t>
      </w:r>
      <w:r w:rsidRPr="000E437E">
        <w:rPr>
          <w:rFonts w:ascii="Arial" w:hAnsi="Arial" w:cs="Arial"/>
          <w:sz w:val="22"/>
          <w:szCs w:val="22"/>
        </w:rPr>
        <w:t xml:space="preserve">, 6(5), pp.147–152. doi: </w:t>
      </w:r>
      <w:hyperlink r:id="rId45" w:history="1">
        <w:r w:rsidRPr="000E437E">
          <w:rPr>
            <w:rStyle w:val="Hyperlink"/>
            <w:rFonts w:ascii="Arial" w:hAnsi="Arial" w:cs="Arial"/>
            <w:color w:val="auto"/>
            <w:sz w:val="22"/>
            <w:szCs w:val="22"/>
          </w:rPr>
          <w:t>https://doi.org/10.24018/ejbmr.2021.6.5.948</w:t>
        </w:r>
      </w:hyperlink>
      <w:r w:rsidRPr="000E437E">
        <w:rPr>
          <w:rFonts w:ascii="Arial" w:hAnsi="Arial" w:cs="Arial"/>
          <w:sz w:val="22"/>
          <w:szCs w:val="22"/>
        </w:rPr>
        <w:t xml:space="preserve">. </w:t>
      </w:r>
    </w:p>
    <w:p w14:paraId="16E655AF"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lastRenderedPageBreak/>
        <w:t xml:space="preserve">Kutaula, S., Gillani, A. and Budhwar, P.S. (2019). An analysis of employment relationships in Asia using psychological contract theory: A review and research agenda. </w:t>
      </w:r>
      <w:r w:rsidRPr="000E437E">
        <w:rPr>
          <w:rFonts w:ascii="Arial" w:hAnsi="Arial" w:cs="Arial"/>
          <w:i/>
          <w:iCs/>
          <w:sz w:val="22"/>
          <w:szCs w:val="22"/>
        </w:rPr>
        <w:t>Human Resource Management Review</w:t>
      </w:r>
      <w:r w:rsidRPr="000E437E">
        <w:rPr>
          <w:rFonts w:ascii="Arial" w:hAnsi="Arial" w:cs="Arial"/>
          <w:sz w:val="22"/>
          <w:szCs w:val="22"/>
        </w:rPr>
        <w:t xml:space="preserve">, 30(4), p.100707. doi: </w:t>
      </w:r>
      <w:hyperlink r:id="rId46" w:history="1">
        <w:r w:rsidRPr="000E437E">
          <w:rPr>
            <w:rStyle w:val="Hyperlink"/>
            <w:rFonts w:ascii="Arial" w:hAnsi="Arial" w:cs="Arial"/>
            <w:color w:val="auto"/>
            <w:sz w:val="22"/>
            <w:szCs w:val="22"/>
          </w:rPr>
          <w:t>https://doi.org/10.1016/j.hrmr.2019.100707</w:t>
        </w:r>
      </w:hyperlink>
      <w:r w:rsidRPr="000E437E">
        <w:rPr>
          <w:rFonts w:ascii="Arial" w:hAnsi="Arial" w:cs="Arial"/>
          <w:sz w:val="22"/>
          <w:szCs w:val="22"/>
        </w:rPr>
        <w:t xml:space="preserve">. </w:t>
      </w:r>
    </w:p>
    <w:p w14:paraId="1D71CDC1"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Kyngäs, H. (2019). Inductive Content Analysis. </w:t>
      </w:r>
      <w:r w:rsidRPr="000E437E">
        <w:rPr>
          <w:rFonts w:ascii="Arial" w:hAnsi="Arial" w:cs="Arial"/>
          <w:i/>
          <w:iCs/>
          <w:sz w:val="22"/>
          <w:szCs w:val="22"/>
        </w:rPr>
        <w:t>The Application of Content Analysis in Nursing Science Research</w:t>
      </w:r>
      <w:r w:rsidRPr="000E437E">
        <w:rPr>
          <w:rFonts w:ascii="Arial" w:hAnsi="Arial" w:cs="Arial"/>
          <w:sz w:val="22"/>
          <w:szCs w:val="22"/>
        </w:rPr>
        <w:t xml:space="preserve">, [online] pp.13–21. doi: </w:t>
      </w:r>
      <w:hyperlink r:id="rId47" w:history="1">
        <w:r w:rsidRPr="000E437E">
          <w:rPr>
            <w:rStyle w:val="Hyperlink"/>
            <w:rFonts w:ascii="Arial" w:hAnsi="Arial" w:cs="Arial"/>
            <w:color w:val="auto"/>
            <w:sz w:val="22"/>
            <w:szCs w:val="22"/>
          </w:rPr>
          <w:t>https://doi.org/10.1007/978-3-030-30199-6_2</w:t>
        </w:r>
      </w:hyperlink>
      <w:r w:rsidRPr="000E437E">
        <w:rPr>
          <w:rFonts w:ascii="Arial" w:hAnsi="Arial" w:cs="Arial"/>
          <w:sz w:val="22"/>
          <w:szCs w:val="22"/>
        </w:rPr>
        <w:t xml:space="preserve">. </w:t>
      </w:r>
    </w:p>
    <w:p w14:paraId="31EF1AEA"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Laker, B. (2020). </w:t>
      </w:r>
      <w:r w:rsidRPr="000E437E">
        <w:rPr>
          <w:rFonts w:ascii="Arial" w:hAnsi="Arial" w:cs="Arial"/>
          <w:i/>
          <w:iCs/>
          <w:sz w:val="22"/>
          <w:szCs w:val="22"/>
        </w:rPr>
        <w:t>How leading companies are innovating remotely</w:t>
      </w:r>
      <w:r w:rsidRPr="000E437E">
        <w:rPr>
          <w:rFonts w:ascii="Arial" w:hAnsi="Arial" w:cs="Arial"/>
          <w:sz w:val="22"/>
          <w:szCs w:val="22"/>
        </w:rPr>
        <w:t xml:space="preserve">. [online] doi: </w:t>
      </w:r>
      <w:hyperlink r:id="rId48" w:history="1">
        <w:r w:rsidRPr="000E437E">
          <w:rPr>
            <w:rStyle w:val="Hyperlink"/>
            <w:rFonts w:ascii="Arial" w:hAnsi="Arial" w:cs="Arial"/>
            <w:color w:val="auto"/>
            <w:sz w:val="22"/>
            <w:szCs w:val="22"/>
          </w:rPr>
          <w:t>https://centaur.reading.ac.uk/92625/1/03Sep2020How%20the%20worlds%20best%20firms%20are%20innovating%20remotely.pdf</w:t>
        </w:r>
      </w:hyperlink>
      <w:r w:rsidRPr="000E437E">
        <w:rPr>
          <w:rFonts w:ascii="Arial" w:hAnsi="Arial" w:cs="Arial"/>
          <w:sz w:val="22"/>
          <w:szCs w:val="22"/>
        </w:rPr>
        <w:t xml:space="preserve">. </w:t>
      </w:r>
    </w:p>
    <w:p w14:paraId="3CE84685"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Largan, C. and Morris, T. (2019). </w:t>
      </w:r>
      <w:r w:rsidRPr="000E437E">
        <w:rPr>
          <w:rFonts w:ascii="Arial" w:hAnsi="Arial" w:cs="Arial"/>
          <w:i/>
          <w:iCs/>
          <w:sz w:val="22"/>
          <w:szCs w:val="22"/>
        </w:rPr>
        <w:t>Qualitative Secondary Research: A Step-By-Step Guide</w:t>
      </w:r>
      <w:r w:rsidRPr="000E437E">
        <w:rPr>
          <w:rFonts w:ascii="Arial" w:hAnsi="Arial" w:cs="Arial"/>
          <w:sz w:val="22"/>
          <w:szCs w:val="22"/>
        </w:rPr>
        <w:t xml:space="preserve">. [online] </w:t>
      </w:r>
      <w:r w:rsidRPr="000E437E">
        <w:rPr>
          <w:rFonts w:ascii="Arial" w:hAnsi="Arial" w:cs="Arial"/>
          <w:i/>
          <w:iCs/>
          <w:sz w:val="22"/>
          <w:szCs w:val="22"/>
        </w:rPr>
        <w:t>Google Books</w:t>
      </w:r>
      <w:r w:rsidRPr="000E437E">
        <w:rPr>
          <w:rFonts w:ascii="Arial" w:hAnsi="Arial" w:cs="Arial"/>
          <w:sz w:val="22"/>
          <w:szCs w:val="22"/>
        </w:rPr>
        <w:t xml:space="preserve">. SAGE Publications. doi: </w:t>
      </w:r>
      <w:hyperlink r:id="rId49" w:history="1">
        <w:r w:rsidRPr="000E437E">
          <w:rPr>
            <w:rStyle w:val="Hyperlink"/>
            <w:rFonts w:ascii="Arial" w:hAnsi="Arial" w:cs="Arial"/>
            <w:color w:val="auto"/>
            <w:sz w:val="22"/>
            <w:szCs w:val="22"/>
          </w:rPr>
          <w:t>https://books.google.com/books?hl=en&amp;lr=&amp;id=rqKODwAAQBAJ&amp;oi=fnd&amp;pg=PP1&amp;dq=secondary+research&amp;ots=b1TGtRNJQG&amp;sig=rAXE-DPyDTKLMtAt6bVTbQ25-r0</w:t>
        </w:r>
      </w:hyperlink>
      <w:r w:rsidRPr="000E437E">
        <w:rPr>
          <w:rFonts w:ascii="Arial" w:hAnsi="Arial" w:cs="Arial"/>
          <w:sz w:val="22"/>
          <w:szCs w:val="22"/>
        </w:rPr>
        <w:t xml:space="preserve">. </w:t>
      </w:r>
    </w:p>
    <w:p w14:paraId="35E6290B"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Lesener, T., Gusy, B. and Wolter, C. (2018). The job demands-resources model: A meta-analytic review of longitudinal studies. </w:t>
      </w:r>
      <w:r w:rsidRPr="000E437E">
        <w:rPr>
          <w:rFonts w:ascii="Arial" w:hAnsi="Arial" w:cs="Arial"/>
          <w:i/>
          <w:iCs/>
          <w:sz w:val="22"/>
          <w:szCs w:val="22"/>
        </w:rPr>
        <w:t>Work &amp; Stress</w:t>
      </w:r>
      <w:r w:rsidRPr="000E437E">
        <w:rPr>
          <w:rFonts w:ascii="Arial" w:hAnsi="Arial" w:cs="Arial"/>
          <w:sz w:val="22"/>
          <w:szCs w:val="22"/>
        </w:rPr>
        <w:t xml:space="preserve">, 33(1), pp.76–103. doi: </w:t>
      </w:r>
      <w:hyperlink r:id="rId50" w:history="1">
        <w:r w:rsidRPr="000E437E">
          <w:rPr>
            <w:rStyle w:val="Hyperlink"/>
            <w:rFonts w:ascii="Arial" w:hAnsi="Arial" w:cs="Arial"/>
            <w:color w:val="auto"/>
            <w:sz w:val="22"/>
            <w:szCs w:val="22"/>
          </w:rPr>
          <w:t>https://doi.org/10.1080/02678373.2018.1529065</w:t>
        </w:r>
      </w:hyperlink>
      <w:r w:rsidRPr="000E437E">
        <w:rPr>
          <w:rFonts w:ascii="Arial" w:hAnsi="Arial" w:cs="Arial"/>
          <w:sz w:val="22"/>
          <w:szCs w:val="22"/>
        </w:rPr>
        <w:t xml:space="preserve">. </w:t>
      </w:r>
    </w:p>
    <w:p w14:paraId="59C164D5"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Luthia, M. and Sathiamoorthy, M. (2021). IMPACT OF ORGANIZATIONAL SUPPORT THROUGH EMPLOYEE COMMUNICATION AND REWARDS ON EMPLOYEE ENGAGEMENT: A STUDY IN THE POST-COVID ERA. [online] 13(2). doi: </w:t>
      </w:r>
      <w:hyperlink r:id="rId51" w:history="1">
        <w:r w:rsidRPr="000E437E">
          <w:rPr>
            <w:rStyle w:val="Hyperlink"/>
            <w:rFonts w:ascii="Arial" w:hAnsi="Arial" w:cs="Arial"/>
            <w:color w:val="auto"/>
            <w:sz w:val="22"/>
            <w:szCs w:val="22"/>
          </w:rPr>
          <w:t>https://hrdc.gujaratuniversity.ac.in/Uploads/EJournalDetail/30/1046/51.pdf</w:t>
        </w:r>
      </w:hyperlink>
      <w:r w:rsidRPr="000E437E">
        <w:rPr>
          <w:rFonts w:ascii="Arial" w:hAnsi="Arial" w:cs="Arial"/>
          <w:sz w:val="22"/>
          <w:szCs w:val="22"/>
        </w:rPr>
        <w:t xml:space="preserve">. </w:t>
      </w:r>
    </w:p>
    <w:p w14:paraId="6B463769"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Mantesi, E., Chmutina, K. and Goodier, C. (2022). The office of the future: Operational energy consumption in the post-pandemic era. </w:t>
      </w:r>
      <w:r w:rsidRPr="000E437E">
        <w:rPr>
          <w:rFonts w:ascii="Arial" w:hAnsi="Arial" w:cs="Arial"/>
          <w:i/>
          <w:iCs/>
          <w:sz w:val="22"/>
          <w:szCs w:val="22"/>
        </w:rPr>
        <w:t>Energy Research &amp; Social Science</w:t>
      </w:r>
      <w:r w:rsidRPr="000E437E">
        <w:rPr>
          <w:rFonts w:ascii="Arial" w:hAnsi="Arial" w:cs="Arial"/>
          <w:sz w:val="22"/>
          <w:szCs w:val="22"/>
        </w:rPr>
        <w:t xml:space="preserve">, [online] 87(102472), p.102472. doi: </w:t>
      </w:r>
      <w:hyperlink r:id="rId52" w:history="1">
        <w:r w:rsidRPr="000E437E">
          <w:rPr>
            <w:rStyle w:val="Hyperlink"/>
            <w:rFonts w:ascii="Arial" w:hAnsi="Arial" w:cs="Arial"/>
            <w:color w:val="auto"/>
            <w:sz w:val="22"/>
            <w:szCs w:val="22"/>
          </w:rPr>
          <w:t>https://doi.org/10.1016/j.erss.2021.102472</w:t>
        </w:r>
      </w:hyperlink>
      <w:r w:rsidRPr="000E437E">
        <w:rPr>
          <w:rFonts w:ascii="Arial" w:hAnsi="Arial" w:cs="Arial"/>
          <w:sz w:val="22"/>
          <w:szCs w:val="22"/>
        </w:rPr>
        <w:t xml:space="preserve">. </w:t>
      </w:r>
    </w:p>
    <w:p w14:paraId="7FC8B6E5"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Mayhew, K. and Anand, P. (2020). COVID-19 and the UK Labour Market. </w:t>
      </w:r>
      <w:r w:rsidRPr="000E437E">
        <w:rPr>
          <w:rFonts w:ascii="Arial" w:hAnsi="Arial" w:cs="Arial"/>
          <w:i/>
          <w:iCs/>
          <w:sz w:val="22"/>
          <w:szCs w:val="22"/>
        </w:rPr>
        <w:t>Oxford Review of Economic Policy</w:t>
      </w:r>
      <w:r w:rsidRPr="000E437E">
        <w:rPr>
          <w:rFonts w:ascii="Arial" w:hAnsi="Arial" w:cs="Arial"/>
          <w:sz w:val="22"/>
          <w:szCs w:val="22"/>
        </w:rPr>
        <w:t xml:space="preserve">, [online] 36(1). doi: </w:t>
      </w:r>
      <w:hyperlink r:id="rId53" w:history="1">
        <w:r w:rsidRPr="000E437E">
          <w:rPr>
            <w:rStyle w:val="Hyperlink"/>
            <w:rFonts w:ascii="Arial" w:hAnsi="Arial" w:cs="Arial"/>
            <w:color w:val="auto"/>
            <w:sz w:val="22"/>
            <w:szCs w:val="22"/>
          </w:rPr>
          <w:t>https://doi.org/10.1093/oxrep/graa017</w:t>
        </w:r>
      </w:hyperlink>
      <w:r w:rsidRPr="000E437E">
        <w:rPr>
          <w:rFonts w:ascii="Arial" w:hAnsi="Arial" w:cs="Arial"/>
          <w:sz w:val="22"/>
          <w:szCs w:val="22"/>
        </w:rPr>
        <w:t xml:space="preserve">. </w:t>
      </w:r>
    </w:p>
    <w:p w14:paraId="521D63DB"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Mazzetti, G., Robledo, E., Vignoli, M., Topa, G., Guglielmi, D. and Schaufeli, W.B. (2021). Work Engagement: A meta-Analysis Using the Job Demands-Resources Model. </w:t>
      </w:r>
      <w:r w:rsidRPr="000E437E">
        <w:rPr>
          <w:rFonts w:ascii="Arial" w:hAnsi="Arial" w:cs="Arial"/>
          <w:i/>
          <w:iCs/>
          <w:sz w:val="22"/>
          <w:szCs w:val="22"/>
        </w:rPr>
        <w:t>Psychological Reports</w:t>
      </w:r>
      <w:r w:rsidRPr="000E437E">
        <w:rPr>
          <w:rFonts w:ascii="Arial" w:hAnsi="Arial" w:cs="Arial"/>
          <w:sz w:val="22"/>
          <w:szCs w:val="22"/>
        </w:rPr>
        <w:t xml:space="preserve">, 126(3), p.003329412110519. doi: </w:t>
      </w:r>
      <w:hyperlink r:id="rId54" w:history="1">
        <w:r w:rsidRPr="000E437E">
          <w:rPr>
            <w:rStyle w:val="Hyperlink"/>
            <w:rFonts w:ascii="Arial" w:hAnsi="Arial" w:cs="Arial"/>
            <w:color w:val="auto"/>
            <w:sz w:val="22"/>
            <w:szCs w:val="22"/>
          </w:rPr>
          <w:t>https://doi.org/10.1177/00332941211051988</w:t>
        </w:r>
      </w:hyperlink>
      <w:r w:rsidRPr="000E437E">
        <w:rPr>
          <w:rFonts w:ascii="Arial" w:hAnsi="Arial" w:cs="Arial"/>
          <w:sz w:val="22"/>
          <w:szCs w:val="22"/>
        </w:rPr>
        <w:t xml:space="preserve">. </w:t>
      </w:r>
    </w:p>
    <w:p w14:paraId="4C8C9B5B"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lastRenderedPageBreak/>
        <w:t xml:space="preserve">McPhail, R., Xi Wen Chan, May, R. and Adrian John Wilkinson (2023). Post-COVID remote working and its impact on people, productivity, and the planet: an exploratory scoping review. </w:t>
      </w:r>
      <w:r w:rsidRPr="000E437E">
        <w:rPr>
          <w:rFonts w:ascii="Arial" w:hAnsi="Arial" w:cs="Arial"/>
          <w:i/>
          <w:iCs/>
          <w:sz w:val="22"/>
          <w:szCs w:val="22"/>
        </w:rPr>
        <w:t>The International Journal of Human Resource Management</w:t>
      </w:r>
      <w:r w:rsidRPr="000E437E">
        <w:rPr>
          <w:rFonts w:ascii="Arial" w:hAnsi="Arial" w:cs="Arial"/>
          <w:sz w:val="22"/>
          <w:szCs w:val="22"/>
        </w:rPr>
        <w:t xml:space="preserve">, 35(1), pp.1–29. doi: </w:t>
      </w:r>
      <w:hyperlink r:id="rId55" w:history="1">
        <w:r w:rsidRPr="000E437E">
          <w:rPr>
            <w:rStyle w:val="Hyperlink"/>
            <w:rFonts w:ascii="Arial" w:hAnsi="Arial" w:cs="Arial"/>
            <w:color w:val="auto"/>
            <w:sz w:val="22"/>
            <w:szCs w:val="22"/>
          </w:rPr>
          <w:t>https://doi.org/10.1080/09585192.2023.2221385</w:t>
        </w:r>
      </w:hyperlink>
      <w:r w:rsidRPr="000E437E">
        <w:rPr>
          <w:rFonts w:ascii="Arial" w:hAnsi="Arial" w:cs="Arial"/>
          <w:sz w:val="22"/>
          <w:szCs w:val="22"/>
        </w:rPr>
        <w:t xml:space="preserve">. </w:t>
      </w:r>
    </w:p>
    <w:p w14:paraId="4930C0E2"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Negi, A. (2021). Effects of COVID-19: Redefining Work from home &amp; Employee Engagement. </w:t>
      </w:r>
      <w:r w:rsidRPr="000E437E">
        <w:rPr>
          <w:rFonts w:ascii="Arial" w:hAnsi="Arial" w:cs="Arial"/>
          <w:i/>
          <w:iCs/>
          <w:sz w:val="22"/>
          <w:szCs w:val="22"/>
        </w:rPr>
        <w:t>Transnational Marketing Journal (TMJ)</w:t>
      </w:r>
      <w:r w:rsidRPr="000E437E">
        <w:rPr>
          <w:rFonts w:ascii="Arial" w:hAnsi="Arial" w:cs="Arial"/>
          <w:sz w:val="22"/>
          <w:szCs w:val="22"/>
        </w:rPr>
        <w:t xml:space="preserve">, [online] 9(3), pp.521–538. doi: </w:t>
      </w:r>
      <w:hyperlink r:id="rId56" w:history="1">
        <w:r w:rsidRPr="000E437E">
          <w:rPr>
            <w:rStyle w:val="Hyperlink"/>
            <w:rFonts w:ascii="Arial" w:hAnsi="Arial" w:cs="Arial"/>
            <w:color w:val="auto"/>
            <w:sz w:val="22"/>
            <w:szCs w:val="22"/>
          </w:rPr>
          <w:t>https://www.ceeol.com/search/article-detail?id=998373</w:t>
        </w:r>
      </w:hyperlink>
      <w:r w:rsidRPr="000E437E">
        <w:rPr>
          <w:rFonts w:ascii="Arial" w:hAnsi="Arial" w:cs="Arial"/>
          <w:sz w:val="22"/>
          <w:szCs w:val="22"/>
        </w:rPr>
        <w:t xml:space="preserve">. </w:t>
      </w:r>
    </w:p>
    <w:p w14:paraId="6E647B3C"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O’Kane, P., Smith, A. and Lerman, M.P. (2019). Building Transparency and Trustworthiness in Inductive Research Through Computer-Aided Qualitative Data Analysis Software. </w:t>
      </w:r>
      <w:r w:rsidRPr="000E437E">
        <w:rPr>
          <w:rFonts w:ascii="Arial" w:hAnsi="Arial" w:cs="Arial"/>
          <w:i/>
          <w:iCs/>
          <w:sz w:val="22"/>
          <w:szCs w:val="22"/>
        </w:rPr>
        <w:t>Organizational Research Methods</w:t>
      </w:r>
      <w:r w:rsidRPr="000E437E">
        <w:rPr>
          <w:rFonts w:ascii="Arial" w:hAnsi="Arial" w:cs="Arial"/>
          <w:sz w:val="22"/>
          <w:szCs w:val="22"/>
        </w:rPr>
        <w:t xml:space="preserve">, 24(1), p.109442811986501. doi: </w:t>
      </w:r>
      <w:hyperlink r:id="rId57" w:history="1">
        <w:r w:rsidRPr="000E437E">
          <w:rPr>
            <w:rStyle w:val="Hyperlink"/>
            <w:rFonts w:ascii="Arial" w:hAnsi="Arial" w:cs="Arial"/>
            <w:color w:val="auto"/>
            <w:sz w:val="22"/>
            <w:szCs w:val="22"/>
          </w:rPr>
          <w:t>https://doi.org/10.1177/1094428119865016</w:t>
        </w:r>
      </w:hyperlink>
      <w:r w:rsidRPr="000E437E">
        <w:rPr>
          <w:rFonts w:ascii="Arial" w:hAnsi="Arial" w:cs="Arial"/>
          <w:sz w:val="22"/>
          <w:szCs w:val="22"/>
        </w:rPr>
        <w:t xml:space="preserve">. </w:t>
      </w:r>
    </w:p>
    <w:p w14:paraId="1FD8A489"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Pass, S. and Ridgway, M. (2022). An informed discussion on the impact of COVID-19 and ‘enforced’ remote working on employee engagement. </w:t>
      </w:r>
      <w:r w:rsidRPr="000E437E">
        <w:rPr>
          <w:rFonts w:ascii="Arial" w:hAnsi="Arial" w:cs="Arial"/>
          <w:i/>
          <w:iCs/>
          <w:sz w:val="22"/>
          <w:szCs w:val="22"/>
        </w:rPr>
        <w:t>Human Resource Development International</w:t>
      </w:r>
      <w:r w:rsidRPr="000E437E">
        <w:rPr>
          <w:rFonts w:ascii="Arial" w:hAnsi="Arial" w:cs="Arial"/>
          <w:sz w:val="22"/>
          <w:szCs w:val="22"/>
        </w:rPr>
        <w:t xml:space="preserve">, 25(2), pp.1–17. Doi: </w:t>
      </w:r>
      <w:hyperlink r:id="rId58" w:history="1">
        <w:r w:rsidRPr="000E437E">
          <w:rPr>
            <w:rStyle w:val="Hyperlink"/>
            <w:rFonts w:ascii="Arial" w:hAnsi="Arial" w:cs="Arial"/>
            <w:color w:val="auto"/>
            <w:sz w:val="22"/>
            <w:szCs w:val="22"/>
          </w:rPr>
          <w:t>https://www.tandfonline.com/doi/abs/10.1080/13678868.2022.2048605</w:t>
        </w:r>
      </w:hyperlink>
      <w:r w:rsidRPr="000E437E">
        <w:rPr>
          <w:rFonts w:ascii="Arial" w:hAnsi="Arial" w:cs="Arial"/>
          <w:sz w:val="22"/>
          <w:szCs w:val="22"/>
        </w:rPr>
        <w:t xml:space="preserve"> </w:t>
      </w:r>
    </w:p>
    <w:p w14:paraId="552CD96F"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Pietilä, A.-M., Nurmi, S.-M., Halkoaho, A. and Kyngäs, H. (2020). Qualitative Research: Ethical Considerations. </w:t>
      </w:r>
      <w:r w:rsidRPr="000E437E">
        <w:rPr>
          <w:rFonts w:ascii="Arial" w:hAnsi="Arial" w:cs="Arial"/>
          <w:i/>
          <w:iCs/>
          <w:sz w:val="22"/>
          <w:szCs w:val="22"/>
        </w:rPr>
        <w:t>The Application of Content Analysis in Nursing Science Research</w:t>
      </w:r>
      <w:r w:rsidRPr="000E437E">
        <w:rPr>
          <w:rFonts w:ascii="Arial" w:hAnsi="Arial" w:cs="Arial"/>
          <w:sz w:val="22"/>
          <w:szCs w:val="22"/>
        </w:rPr>
        <w:t xml:space="preserve">, 1(1), pp.49–69. Doi: </w:t>
      </w:r>
      <w:hyperlink r:id="rId59" w:history="1">
        <w:r w:rsidRPr="000E437E">
          <w:rPr>
            <w:rStyle w:val="Hyperlink"/>
            <w:rFonts w:ascii="Arial" w:hAnsi="Arial" w:cs="Arial"/>
            <w:color w:val="auto"/>
            <w:sz w:val="22"/>
            <w:szCs w:val="22"/>
          </w:rPr>
          <w:t>https://link.springer.com/chapter/10.1007/978-3-030-30199-6_6</w:t>
        </w:r>
      </w:hyperlink>
      <w:r w:rsidRPr="000E437E">
        <w:rPr>
          <w:rFonts w:ascii="Arial" w:hAnsi="Arial" w:cs="Arial"/>
          <w:sz w:val="22"/>
          <w:szCs w:val="22"/>
        </w:rPr>
        <w:t xml:space="preserve"> </w:t>
      </w:r>
    </w:p>
    <w:p w14:paraId="349E63F9"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Raghuram, S. (2021). Remote Work Implications for Organisational Culture. </w:t>
      </w:r>
      <w:r w:rsidRPr="000E437E">
        <w:rPr>
          <w:rFonts w:ascii="Arial" w:hAnsi="Arial" w:cs="Arial"/>
          <w:i/>
          <w:iCs/>
          <w:sz w:val="22"/>
          <w:szCs w:val="22"/>
        </w:rPr>
        <w:t>Work from Home: Multi-level Perspectives on the New Normal</w:t>
      </w:r>
      <w:r w:rsidRPr="000E437E">
        <w:rPr>
          <w:rFonts w:ascii="Arial" w:hAnsi="Arial" w:cs="Arial"/>
          <w:sz w:val="22"/>
          <w:szCs w:val="22"/>
        </w:rPr>
        <w:t xml:space="preserve">, pp.147–163. doi: </w:t>
      </w:r>
      <w:hyperlink r:id="rId60" w:history="1">
        <w:r w:rsidRPr="000E437E">
          <w:rPr>
            <w:rStyle w:val="Hyperlink"/>
            <w:rFonts w:ascii="Arial" w:hAnsi="Arial" w:cs="Arial"/>
            <w:color w:val="auto"/>
            <w:sz w:val="22"/>
            <w:szCs w:val="22"/>
          </w:rPr>
          <w:t>https://doi.org/10.1108/978-1-80071-661-220210009</w:t>
        </w:r>
      </w:hyperlink>
      <w:r w:rsidRPr="000E437E">
        <w:rPr>
          <w:rFonts w:ascii="Arial" w:hAnsi="Arial" w:cs="Arial"/>
          <w:sz w:val="22"/>
          <w:szCs w:val="22"/>
        </w:rPr>
        <w:t xml:space="preserve">. </w:t>
      </w:r>
    </w:p>
    <w:p w14:paraId="3B6E0978"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Rahman, S. (2020). The Advantages and Disadvantages of Using Qualitative and Quantitative Approaches and Methods in Language ‘Testing and Assessment’ Research: a Literature Review. </w:t>
      </w:r>
      <w:r w:rsidRPr="000E437E">
        <w:rPr>
          <w:rFonts w:ascii="Arial" w:hAnsi="Arial" w:cs="Arial"/>
          <w:i/>
          <w:iCs/>
          <w:sz w:val="22"/>
          <w:szCs w:val="22"/>
        </w:rPr>
        <w:t>Journal of Education and Learning</w:t>
      </w:r>
      <w:r w:rsidRPr="000E437E">
        <w:rPr>
          <w:rFonts w:ascii="Arial" w:hAnsi="Arial" w:cs="Arial"/>
          <w:sz w:val="22"/>
          <w:szCs w:val="22"/>
        </w:rPr>
        <w:t xml:space="preserve">, 6(1), pp.102–112. doi: </w:t>
      </w:r>
      <w:hyperlink r:id="rId61" w:history="1">
        <w:r w:rsidRPr="000E437E">
          <w:rPr>
            <w:rStyle w:val="Hyperlink"/>
            <w:rFonts w:ascii="Arial" w:hAnsi="Arial" w:cs="Arial"/>
            <w:color w:val="auto"/>
            <w:sz w:val="22"/>
            <w:szCs w:val="22"/>
          </w:rPr>
          <w:t>http://pearl.plymouth.ac.uk/handle/10026.1/16598</w:t>
        </w:r>
      </w:hyperlink>
      <w:r w:rsidRPr="000E437E">
        <w:rPr>
          <w:rFonts w:ascii="Arial" w:hAnsi="Arial" w:cs="Arial"/>
          <w:sz w:val="22"/>
          <w:szCs w:val="22"/>
        </w:rPr>
        <w:t xml:space="preserve"> </w:t>
      </w:r>
    </w:p>
    <w:p w14:paraId="076E1B69"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Ralph, P. and Baltes, S. (2022). Paving the way for mature secondary research: the seven types of literature review. doi: </w:t>
      </w:r>
      <w:hyperlink r:id="rId62" w:history="1">
        <w:r w:rsidRPr="000E437E">
          <w:rPr>
            <w:rStyle w:val="Hyperlink"/>
            <w:rFonts w:ascii="Arial" w:hAnsi="Arial" w:cs="Arial"/>
            <w:color w:val="auto"/>
            <w:sz w:val="22"/>
            <w:szCs w:val="22"/>
          </w:rPr>
          <w:t>https://doi.org/10.1145/3540250.3560877</w:t>
        </w:r>
      </w:hyperlink>
      <w:r w:rsidRPr="000E437E">
        <w:rPr>
          <w:rFonts w:ascii="Arial" w:hAnsi="Arial" w:cs="Arial"/>
          <w:sz w:val="22"/>
          <w:szCs w:val="22"/>
        </w:rPr>
        <w:t xml:space="preserve">. </w:t>
      </w:r>
    </w:p>
    <w:p w14:paraId="261E4451"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Shaik, F.F. and Makhecha, U.P. (2019). Drivers of Employee Engagement in Global Virtual Teams. </w:t>
      </w:r>
      <w:r w:rsidRPr="000E437E">
        <w:rPr>
          <w:rFonts w:ascii="Arial" w:hAnsi="Arial" w:cs="Arial"/>
          <w:i/>
          <w:iCs/>
          <w:sz w:val="22"/>
          <w:szCs w:val="22"/>
        </w:rPr>
        <w:t>Australasian Journal of Information Systems</w:t>
      </w:r>
      <w:r w:rsidRPr="000E437E">
        <w:rPr>
          <w:rFonts w:ascii="Arial" w:hAnsi="Arial" w:cs="Arial"/>
          <w:sz w:val="22"/>
          <w:szCs w:val="22"/>
        </w:rPr>
        <w:t xml:space="preserve">, 23(23). doi: </w:t>
      </w:r>
      <w:hyperlink r:id="rId63" w:history="1">
        <w:r w:rsidRPr="000E437E">
          <w:rPr>
            <w:rStyle w:val="Hyperlink"/>
            <w:rFonts w:ascii="Arial" w:hAnsi="Arial" w:cs="Arial"/>
            <w:color w:val="auto"/>
            <w:sz w:val="22"/>
            <w:szCs w:val="22"/>
          </w:rPr>
          <w:t>https://doi.org/10.3127/ajis.v23i0.1770</w:t>
        </w:r>
      </w:hyperlink>
      <w:r w:rsidRPr="000E437E">
        <w:rPr>
          <w:rFonts w:ascii="Arial" w:hAnsi="Arial" w:cs="Arial"/>
          <w:sz w:val="22"/>
          <w:szCs w:val="22"/>
        </w:rPr>
        <w:t xml:space="preserve">. </w:t>
      </w:r>
    </w:p>
    <w:p w14:paraId="722FA19A"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lastRenderedPageBreak/>
        <w:t xml:space="preserve">Sivaprasad, S. and Mathew, S. (2021). Corporate governance practices and the pandemic crisis: UK evidence. </w:t>
      </w:r>
      <w:r w:rsidRPr="000E437E">
        <w:rPr>
          <w:rFonts w:ascii="Arial" w:hAnsi="Arial" w:cs="Arial"/>
          <w:i/>
          <w:iCs/>
          <w:sz w:val="22"/>
          <w:szCs w:val="22"/>
        </w:rPr>
        <w:t>Corporate Governance: The International Journal of Business in Society</w:t>
      </w:r>
      <w:r w:rsidRPr="000E437E">
        <w:rPr>
          <w:rFonts w:ascii="Arial" w:hAnsi="Arial" w:cs="Arial"/>
          <w:sz w:val="22"/>
          <w:szCs w:val="22"/>
        </w:rPr>
        <w:t xml:space="preserve">, 21(6), pp.983–995. doi: </w:t>
      </w:r>
      <w:hyperlink r:id="rId64" w:history="1">
        <w:r w:rsidRPr="000E437E">
          <w:rPr>
            <w:rStyle w:val="Hyperlink"/>
            <w:rFonts w:ascii="Arial" w:hAnsi="Arial" w:cs="Arial"/>
            <w:color w:val="auto"/>
            <w:sz w:val="22"/>
            <w:szCs w:val="22"/>
          </w:rPr>
          <w:t>https://doi.org/10.1108/cg-08-2020-0357</w:t>
        </w:r>
      </w:hyperlink>
      <w:r w:rsidRPr="000E437E">
        <w:rPr>
          <w:rFonts w:ascii="Arial" w:hAnsi="Arial" w:cs="Arial"/>
          <w:sz w:val="22"/>
          <w:szCs w:val="22"/>
        </w:rPr>
        <w:t xml:space="preserve">. </w:t>
      </w:r>
    </w:p>
    <w:p w14:paraId="28578A68"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Smite, D., Moe, N.B., Hildrum, J., Huerta, J.G. and Mendez, D. (2022). Work-from-home is here to stay: Call for flexibility in post-pandemic work policies. </w:t>
      </w:r>
      <w:r w:rsidRPr="000E437E">
        <w:rPr>
          <w:rFonts w:ascii="Arial" w:hAnsi="Arial" w:cs="Arial"/>
          <w:i/>
          <w:iCs/>
          <w:sz w:val="22"/>
          <w:szCs w:val="22"/>
        </w:rPr>
        <w:t>Journal of Systems and Software</w:t>
      </w:r>
      <w:r w:rsidRPr="000E437E">
        <w:rPr>
          <w:rFonts w:ascii="Arial" w:hAnsi="Arial" w:cs="Arial"/>
          <w:sz w:val="22"/>
          <w:szCs w:val="22"/>
        </w:rPr>
        <w:t xml:space="preserve">, [online] 195(111552), p.111552. doi: </w:t>
      </w:r>
      <w:hyperlink r:id="rId65" w:history="1">
        <w:r w:rsidRPr="000E437E">
          <w:rPr>
            <w:rStyle w:val="Hyperlink"/>
            <w:rFonts w:ascii="Arial" w:hAnsi="Arial" w:cs="Arial"/>
            <w:color w:val="auto"/>
            <w:sz w:val="22"/>
            <w:szCs w:val="22"/>
          </w:rPr>
          <w:t>https://doi.org/10.1016/j.jss.2022.111552</w:t>
        </w:r>
      </w:hyperlink>
      <w:r w:rsidRPr="000E437E">
        <w:rPr>
          <w:rFonts w:ascii="Arial" w:hAnsi="Arial" w:cs="Arial"/>
          <w:sz w:val="22"/>
          <w:szCs w:val="22"/>
        </w:rPr>
        <w:t xml:space="preserve">. </w:t>
      </w:r>
    </w:p>
    <w:p w14:paraId="41657C31"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Soares, M.E. and Mosquera, P. (2019). Fostering work engagement: The role of the psychological contract. </w:t>
      </w:r>
      <w:r w:rsidRPr="000E437E">
        <w:rPr>
          <w:rFonts w:ascii="Arial" w:hAnsi="Arial" w:cs="Arial"/>
          <w:i/>
          <w:iCs/>
          <w:sz w:val="22"/>
          <w:szCs w:val="22"/>
        </w:rPr>
        <w:t>Journal of Business Research</w:t>
      </w:r>
      <w:r w:rsidRPr="000E437E">
        <w:rPr>
          <w:rFonts w:ascii="Arial" w:hAnsi="Arial" w:cs="Arial"/>
          <w:sz w:val="22"/>
          <w:szCs w:val="22"/>
        </w:rPr>
        <w:t xml:space="preserve">, 101, pp.469–476. doi: </w:t>
      </w:r>
      <w:hyperlink r:id="rId66" w:history="1">
        <w:r w:rsidRPr="000E437E">
          <w:rPr>
            <w:rStyle w:val="Hyperlink"/>
            <w:rFonts w:ascii="Arial" w:hAnsi="Arial" w:cs="Arial"/>
            <w:color w:val="auto"/>
            <w:sz w:val="22"/>
            <w:szCs w:val="22"/>
          </w:rPr>
          <w:t>https://doi.org/10.1016/j.jbusres.2019.01.003</w:t>
        </w:r>
      </w:hyperlink>
      <w:r w:rsidRPr="000E437E">
        <w:rPr>
          <w:rFonts w:ascii="Arial" w:hAnsi="Arial" w:cs="Arial"/>
          <w:sz w:val="22"/>
          <w:szCs w:val="22"/>
        </w:rPr>
        <w:t xml:space="preserve">. </w:t>
      </w:r>
    </w:p>
    <w:p w14:paraId="6D5A376B"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Spicer, A. (2020). Organizational Culture and COVID</w:t>
      </w:r>
      <w:r w:rsidRPr="000E437E">
        <w:rPr>
          <w:rFonts w:ascii="Cambria Math" w:hAnsi="Cambria Math" w:cs="Cambria Math"/>
          <w:sz w:val="22"/>
          <w:szCs w:val="22"/>
        </w:rPr>
        <w:t>‐</w:t>
      </w:r>
      <w:r w:rsidRPr="000E437E">
        <w:rPr>
          <w:rFonts w:ascii="Arial" w:hAnsi="Arial" w:cs="Arial"/>
          <w:sz w:val="22"/>
          <w:szCs w:val="22"/>
        </w:rPr>
        <w:t xml:space="preserve">19. </w:t>
      </w:r>
      <w:r w:rsidRPr="000E437E">
        <w:rPr>
          <w:rFonts w:ascii="Arial" w:hAnsi="Arial" w:cs="Arial"/>
          <w:i/>
          <w:iCs/>
          <w:sz w:val="22"/>
          <w:szCs w:val="22"/>
        </w:rPr>
        <w:t>Journal of Management Studies</w:t>
      </w:r>
      <w:r w:rsidRPr="000E437E">
        <w:rPr>
          <w:rFonts w:ascii="Arial" w:hAnsi="Arial" w:cs="Arial"/>
          <w:sz w:val="22"/>
          <w:szCs w:val="22"/>
        </w:rPr>
        <w:t xml:space="preserve">, [online] 57(8), pp.1737–1740. doi: </w:t>
      </w:r>
      <w:hyperlink r:id="rId67" w:history="1">
        <w:r w:rsidRPr="000E437E">
          <w:rPr>
            <w:rStyle w:val="Hyperlink"/>
            <w:rFonts w:ascii="Arial" w:hAnsi="Arial" w:cs="Arial"/>
            <w:color w:val="auto"/>
            <w:sz w:val="22"/>
            <w:szCs w:val="22"/>
          </w:rPr>
          <w:t>https://doi.org/10.1111/joms.12625</w:t>
        </w:r>
      </w:hyperlink>
      <w:r w:rsidRPr="000E437E">
        <w:rPr>
          <w:rFonts w:ascii="Arial" w:hAnsi="Arial" w:cs="Arial"/>
          <w:sz w:val="22"/>
          <w:szCs w:val="22"/>
        </w:rPr>
        <w:t xml:space="preserve">. </w:t>
      </w:r>
    </w:p>
    <w:p w14:paraId="390CF8FC"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Stankevičienė, A., Tamaševičius, V., Diskienė, D., Grakauskas, Ž. and Rudinskaja, L. (2021). THE MEDIATING EFFECT OF WORK-LIFE BALANCE ON THE RELATIONSHIP BETWEEN WORK CULTURE AND EMPLOYEE WELL-BEING. </w:t>
      </w:r>
      <w:r w:rsidRPr="000E437E">
        <w:rPr>
          <w:rFonts w:ascii="Arial" w:hAnsi="Arial" w:cs="Arial"/>
          <w:i/>
          <w:iCs/>
          <w:sz w:val="22"/>
          <w:szCs w:val="22"/>
        </w:rPr>
        <w:t>Journal of Business Economics and Management</w:t>
      </w:r>
      <w:r w:rsidRPr="000E437E">
        <w:rPr>
          <w:rFonts w:ascii="Arial" w:hAnsi="Arial" w:cs="Arial"/>
          <w:sz w:val="22"/>
          <w:szCs w:val="22"/>
        </w:rPr>
        <w:t xml:space="preserve">, 22(4), pp.988–1007. doi: </w:t>
      </w:r>
      <w:hyperlink r:id="rId68" w:history="1">
        <w:r w:rsidRPr="000E437E">
          <w:rPr>
            <w:rStyle w:val="Hyperlink"/>
            <w:rFonts w:ascii="Arial" w:hAnsi="Arial" w:cs="Arial"/>
            <w:color w:val="auto"/>
            <w:sz w:val="22"/>
            <w:szCs w:val="22"/>
          </w:rPr>
          <w:t>https://epublications.vu.lt/object/elaba:98773357/</w:t>
        </w:r>
      </w:hyperlink>
      <w:r w:rsidRPr="000E437E">
        <w:rPr>
          <w:rFonts w:ascii="Arial" w:hAnsi="Arial" w:cs="Arial"/>
          <w:sz w:val="22"/>
          <w:szCs w:val="22"/>
        </w:rPr>
        <w:t xml:space="preserve"> </w:t>
      </w:r>
    </w:p>
    <w:p w14:paraId="41B8B1CA"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Surma, M.J., Nunes, R.J., Rook, C. and Loder, A. (2021). Assessing Employee Engagement in a Post-COVID-19 Workplace Ecosystem. </w:t>
      </w:r>
      <w:r w:rsidRPr="000E437E">
        <w:rPr>
          <w:rFonts w:ascii="Arial" w:hAnsi="Arial" w:cs="Arial"/>
          <w:i/>
          <w:iCs/>
          <w:sz w:val="22"/>
          <w:szCs w:val="22"/>
        </w:rPr>
        <w:t>Sustainability</w:t>
      </w:r>
      <w:r w:rsidRPr="000E437E">
        <w:rPr>
          <w:rFonts w:ascii="Arial" w:hAnsi="Arial" w:cs="Arial"/>
          <w:sz w:val="22"/>
          <w:szCs w:val="22"/>
        </w:rPr>
        <w:t xml:space="preserve">, 13(20), p.11443. doi: </w:t>
      </w:r>
      <w:hyperlink r:id="rId69" w:history="1">
        <w:r w:rsidRPr="000E437E">
          <w:rPr>
            <w:rStyle w:val="Hyperlink"/>
            <w:rFonts w:ascii="Arial" w:hAnsi="Arial" w:cs="Arial"/>
            <w:color w:val="auto"/>
            <w:sz w:val="22"/>
            <w:szCs w:val="22"/>
          </w:rPr>
          <w:t>https://doi.org/10.3390/su132011443</w:t>
        </w:r>
      </w:hyperlink>
      <w:r w:rsidRPr="000E437E">
        <w:rPr>
          <w:rFonts w:ascii="Arial" w:hAnsi="Arial" w:cs="Arial"/>
          <w:sz w:val="22"/>
          <w:szCs w:val="22"/>
        </w:rPr>
        <w:t xml:space="preserve">. </w:t>
      </w:r>
    </w:p>
    <w:p w14:paraId="65896ED8" w14:textId="77777777" w:rsidR="008800C6" w:rsidRPr="000E437E" w:rsidRDefault="00880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Weideman, M. and Hofmeyr, K.B. (2020). The influence of flexible work arrangements on employee engagement: An exploratory study. </w:t>
      </w:r>
      <w:r w:rsidRPr="000E437E">
        <w:rPr>
          <w:rFonts w:ascii="Arial" w:hAnsi="Arial" w:cs="Arial"/>
          <w:i/>
          <w:iCs/>
          <w:sz w:val="22"/>
          <w:szCs w:val="22"/>
        </w:rPr>
        <w:t>SA Journal of Human Resource Management</w:t>
      </w:r>
      <w:r w:rsidRPr="000E437E">
        <w:rPr>
          <w:rFonts w:ascii="Arial" w:hAnsi="Arial" w:cs="Arial"/>
          <w:sz w:val="22"/>
          <w:szCs w:val="22"/>
        </w:rPr>
        <w:t xml:space="preserve">, [online] 18(1), pp.1–18. doi: </w:t>
      </w:r>
      <w:hyperlink r:id="rId70" w:history="1">
        <w:r w:rsidRPr="000E437E">
          <w:rPr>
            <w:rStyle w:val="Hyperlink"/>
            <w:rFonts w:ascii="Arial" w:hAnsi="Arial" w:cs="Arial"/>
            <w:color w:val="auto"/>
            <w:sz w:val="22"/>
            <w:szCs w:val="22"/>
          </w:rPr>
          <w:t>https://www.researchgate.net/publication/341128275_The_influence_of_flexible_work_arrangements_on_employee_engagement_An_exploratory_study</w:t>
        </w:r>
      </w:hyperlink>
      <w:r w:rsidRPr="000E437E">
        <w:rPr>
          <w:rFonts w:ascii="Arial" w:hAnsi="Arial" w:cs="Arial"/>
          <w:sz w:val="22"/>
          <w:szCs w:val="22"/>
        </w:rPr>
        <w:t xml:space="preserve">. </w:t>
      </w:r>
    </w:p>
    <w:p w14:paraId="320707B6" w14:textId="6FFBA69E" w:rsidR="003E4F38" w:rsidRPr="000E437E" w:rsidRDefault="003E4F38"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Artacho, M. (2020). </w:t>
      </w:r>
      <w:r w:rsidRPr="000E437E">
        <w:rPr>
          <w:rFonts w:ascii="Arial" w:hAnsi="Arial" w:cs="Arial"/>
          <w:i/>
          <w:iCs/>
          <w:sz w:val="22"/>
          <w:szCs w:val="22"/>
        </w:rPr>
        <w:t>How Employee Voice affects Employee Engagement?</w:t>
      </w:r>
      <w:r w:rsidRPr="000E437E">
        <w:rPr>
          <w:rFonts w:ascii="Arial" w:hAnsi="Arial" w:cs="Arial"/>
          <w:sz w:val="22"/>
          <w:szCs w:val="22"/>
        </w:rPr>
        <w:t xml:space="preserve"> [online] doi: </w:t>
      </w:r>
      <w:hyperlink r:id="rId71" w:history="1">
        <w:r w:rsidRPr="000E437E">
          <w:rPr>
            <w:rStyle w:val="Hyperlink"/>
            <w:rFonts w:ascii="Arial" w:hAnsi="Arial" w:cs="Arial"/>
            <w:color w:val="auto"/>
            <w:sz w:val="22"/>
            <w:szCs w:val="22"/>
          </w:rPr>
          <w:t>https://norma.ncirl.ie/4583/1/marcartacho.pdf</w:t>
        </w:r>
      </w:hyperlink>
      <w:r w:rsidRPr="000E437E">
        <w:rPr>
          <w:rFonts w:ascii="Arial" w:hAnsi="Arial" w:cs="Arial"/>
          <w:sz w:val="22"/>
          <w:szCs w:val="22"/>
        </w:rPr>
        <w:t xml:space="preserve">. </w:t>
      </w:r>
    </w:p>
    <w:p w14:paraId="52BF9CDE" w14:textId="49E9A60B" w:rsidR="003E4F38" w:rsidRPr="000E437E" w:rsidRDefault="003E4F38"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Aylott, E. (2022). </w:t>
      </w:r>
      <w:r w:rsidRPr="000E437E">
        <w:rPr>
          <w:rFonts w:ascii="Arial" w:hAnsi="Arial" w:cs="Arial"/>
          <w:i/>
          <w:iCs/>
          <w:sz w:val="22"/>
          <w:szCs w:val="22"/>
        </w:rPr>
        <w:t>Employee Relations: A Practical Introduction</w:t>
      </w:r>
      <w:r w:rsidRPr="000E437E">
        <w:rPr>
          <w:rFonts w:ascii="Arial" w:hAnsi="Arial" w:cs="Arial"/>
          <w:sz w:val="22"/>
          <w:szCs w:val="22"/>
        </w:rPr>
        <w:t xml:space="preserve">. [online] </w:t>
      </w:r>
      <w:r w:rsidRPr="000E437E">
        <w:rPr>
          <w:rFonts w:ascii="Arial" w:hAnsi="Arial" w:cs="Arial"/>
          <w:i/>
          <w:iCs/>
          <w:sz w:val="22"/>
          <w:szCs w:val="22"/>
        </w:rPr>
        <w:t>Google Books</w:t>
      </w:r>
      <w:r w:rsidRPr="000E437E">
        <w:rPr>
          <w:rFonts w:ascii="Arial" w:hAnsi="Arial" w:cs="Arial"/>
          <w:sz w:val="22"/>
          <w:szCs w:val="22"/>
        </w:rPr>
        <w:t xml:space="preserve">. Kogan Page Publishers. doi: </w:t>
      </w:r>
      <w:hyperlink r:id="rId72" w:history="1">
        <w:r w:rsidRPr="000E437E">
          <w:rPr>
            <w:rStyle w:val="Hyperlink"/>
            <w:rFonts w:ascii="Arial" w:hAnsi="Arial" w:cs="Arial"/>
            <w:color w:val="auto"/>
            <w:sz w:val="22"/>
            <w:szCs w:val="22"/>
          </w:rPr>
          <w:t>https://books.google.com/books?hl=en&amp;lr=&amp;id=WcdsEAAAQBAJ&amp;oi=fnd&amp;pg=PP1&amp;dq=Shift+to</w:t>
        </w:r>
        <w:r w:rsidRPr="000E437E">
          <w:rPr>
            <w:rStyle w:val="Hyperlink"/>
            <w:rFonts w:ascii="Arial" w:hAnsi="Arial" w:cs="Arial"/>
            <w:color w:val="auto"/>
            <w:sz w:val="22"/>
            <w:szCs w:val="22"/>
          </w:rPr>
          <w:lastRenderedPageBreak/>
          <w:t>+remote+work+impacted+employee+engagement+levels+at+HSBC+Holdings+plc&amp;ots=xy5cgrvIkA&amp;sig=GYoLVqE2GShb6de7I9R1VxsRGsI</w:t>
        </w:r>
      </w:hyperlink>
      <w:r w:rsidRPr="000E437E">
        <w:rPr>
          <w:rFonts w:ascii="Arial" w:hAnsi="Arial" w:cs="Arial"/>
          <w:sz w:val="22"/>
          <w:szCs w:val="22"/>
        </w:rPr>
        <w:t xml:space="preserve">. </w:t>
      </w:r>
    </w:p>
    <w:p w14:paraId="1BF1E2FE" w14:textId="03FE3D88" w:rsidR="003E4F38" w:rsidRPr="000E437E" w:rsidRDefault="003E4F38"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Barber, A. (2021). HSBC: Learning Without Change? </w:t>
      </w:r>
      <w:r w:rsidRPr="000E437E">
        <w:rPr>
          <w:rFonts w:ascii="Arial" w:hAnsi="Arial" w:cs="Arial"/>
          <w:i/>
          <w:iCs/>
          <w:sz w:val="22"/>
          <w:szCs w:val="22"/>
        </w:rPr>
        <w:t>UK Banks and the Lessons of the Great Financial Crisis</w:t>
      </w:r>
      <w:r w:rsidRPr="000E437E">
        <w:rPr>
          <w:rFonts w:ascii="Arial" w:hAnsi="Arial" w:cs="Arial"/>
          <w:sz w:val="22"/>
          <w:szCs w:val="22"/>
        </w:rPr>
        <w:t xml:space="preserve">, 1(1), pp.237–278. doi: </w:t>
      </w:r>
      <w:hyperlink r:id="rId73" w:history="1">
        <w:r w:rsidRPr="000E437E">
          <w:rPr>
            <w:rStyle w:val="Hyperlink"/>
            <w:rFonts w:ascii="Arial" w:hAnsi="Arial" w:cs="Arial"/>
            <w:color w:val="auto"/>
            <w:sz w:val="22"/>
            <w:szCs w:val="22"/>
          </w:rPr>
          <w:t>https://doi.org/10.1007/978-3-030-70254-0_7</w:t>
        </w:r>
      </w:hyperlink>
      <w:r w:rsidRPr="000E437E">
        <w:rPr>
          <w:rFonts w:ascii="Arial" w:hAnsi="Arial" w:cs="Arial"/>
          <w:sz w:val="22"/>
          <w:szCs w:val="22"/>
        </w:rPr>
        <w:t xml:space="preserve">. </w:t>
      </w:r>
    </w:p>
    <w:p w14:paraId="299DE4CB" w14:textId="0722D2A5" w:rsidR="003E4F38" w:rsidRPr="000E437E" w:rsidRDefault="003E4F38"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Binte Iqbal, S. (2022). Measuring customer satisfaction on the services of HSBC during Covid-19. </w:t>
      </w:r>
      <w:r w:rsidRPr="000E437E">
        <w:rPr>
          <w:rFonts w:ascii="Arial" w:hAnsi="Arial" w:cs="Arial"/>
          <w:i/>
          <w:iCs/>
          <w:sz w:val="22"/>
          <w:szCs w:val="22"/>
        </w:rPr>
        <w:t>dspace.bracu.ac.bd</w:t>
      </w:r>
      <w:r w:rsidRPr="000E437E">
        <w:rPr>
          <w:rFonts w:ascii="Arial" w:hAnsi="Arial" w:cs="Arial"/>
          <w:sz w:val="22"/>
          <w:szCs w:val="22"/>
        </w:rPr>
        <w:t xml:space="preserve">. [online] doi: </w:t>
      </w:r>
      <w:hyperlink r:id="rId74" w:history="1">
        <w:r w:rsidRPr="000E437E">
          <w:rPr>
            <w:rStyle w:val="Hyperlink"/>
            <w:rFonts w:ascii="Arial" w:hAnsi="Arial" w:cs="Arial"/>
            <w:color w:val="auto"/>
            <w:sz w:val="22"/>
            <w:szCs w:val="22"/>
          </w:rPr>
          <w:t>http://dspace.bracu.ac.bd/xmlui/handle/10361/18098</w:t>
        </w:r>
      </w:hyperlink>
      <w:r w:rsidRPr="000E437E">
        <w:rPr>
          <w:rFonts w:ascii="Arial" w:hAnsi="Arial" w:cs="Arial"/>
          <w:sz w:val="22"/>
          <w:szCs w:val="22"/>
        </w:rPr>
        <w:t xml:space="preserve">. </w:t>
      </w:r>
    </w:p>
    <w:p w14:paraId="295F1444" w14:textId="1385DE51" w:rsidR="003E4F38" w:rsidRPr="000E437E" w:rsidRDefault="003E4F38"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McPhail, R., Xi Wen Chan, May, R. and Adrian John Wilkinson (2023). Post-COVID remote working and its impact on people, productivity, and the planet: an exploratory scoping review. </w:t>
      </w:r>
      <w:r w:rsidRPr="000E437E">
        <w:rPr>
          <w:rFonts w:ascii="Arial" w:hAnsi="Arial" w:cs="Arial"/>
          <w:i/>
          <w:iCs/>
          <w:sz w:val="22"/>
          <w:szCs w:val="22"/>
        </w:rPr>
        <w:t>The International Journal of Human Resource Management</w:t>
      </w:r>
      <w:r w:rsidRPr="000E437E">
        <w:rPr>
          <w:rFonts w:ascii="Arial" w:hAnsi="Arial" w:cs="Arial"/>
          <w:sz w:val="22"/>
          <w:szCs w:val="22"/>
        </w:rPr>
        <w:t xml:space="preserve">, 35(1), pp.1–29. doi: </w:t>
      </w:r>
      <w:hyperlink r:id="rId75" w:history="1">
        <w:r w:rsidRPr="000E437E">
          <w:rPr>
            <w:rStyle w:val="Hyperlink"/>
            <w:rFonts w:ascii="Arial" w:hAnsi="Arial" w:cs="Arial"/>
            <w:color w:val="auto"/>
            <w:sz w:val="22"/>
            <w:szCs w:val="22"/>
          </w:rPr>
          <w:t>https://doi.org/10.1080/09585192.2023.2221385</w:t>
        </w:r>
      </w:hyperlink>
      <w:r w:rsidRPr="000E437E">
        <w:rPr>
          <w:rFonts w:ascii="Arial" w:hAnsi="Arial" w:cs="Arial"/>
          <w:sz w:val="22"/>
          <w:szCs w:val="22"/>
        </w:rPr>
        <w:t xml:space="preserve">. </w:t>
      </w:r>
    </w:p>
    <w:p w14:paraId="3F994A59" w14:textId="45A03150" w:rsidR="003E4F38" w:rsidRPr="000E437E" w:rsidRDefault="003E4F38"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Nguyen, N.P. and Mogaji, E. (2022). Redefining Banking Service Delivery: Information Technology Adoption by UK Banks Amid the COVID-19 Pandemic. </w:t>
      </w:r>
      <w:r w:rsidRPr="000E437E">
        <w:rPr>
          <w:rFonts w:ascii="Arial" w:hAnsi="Arial" w:cs="Arial"/>
          <w:i/>
          <w:iCs/>
          <w:sz w:val="22"/>
          <w:szCs w:val="22"/>
        </w:rPr>
        <w:t>Management and Information Technology in the Digital Era</w:t>
      </w:r>
      <w:r w:rsidRPr="000E437E">
        <w:rPr>
          <w:rFonts w:ascii="Arial" w:hAnsi="Arial" w:cs="Arial"/>
          <w:sz w:val="22"/>
          <w:szCs w:val="22"/>
        </w:rPr>
        <w:t xml:space="preserve">, pp.95–110. doi: </w:t>
      </w:r>
      <w:hyperlink r:id="rId76" w:history="1">
        <w:r w:rsidRPr="000E437E">
          <w:rPr>
            <w:rStyle w:val="Hyperlink"/>
            <w:rFonts w:ascii="Arial" w:hAnsi="Arial" w:cs="Arial"/>
            <w:color w:val="auto"/>
            <w:sz w:val="22"/>
            <w:szCs w:val="22"/>
          </w:rPr>
          <w:t>https://doi.org/10.1108/s1877-636120220000029007</w:t>
        </w:r>
      </w:hyperlink>
      <w:r w:rsidRPr="000E437E">
        <w:rPr>
          <w:rFonts w:ascii="Arial" w:hAnsi="Arial" w:cs="Arial"/>
          <w:sz w:val="22"/>
          <w:szCs w:val="22"/>
        </w:rPr>
        <w:t xml:space="preserve">. </w:t>
      </w:r>
    </w:p>
    <w:p w14:paraId="76C60368" w14:textId="15492667" w:rsidR="003E4F38" w:rsidRPr="000E437E" w:rsidRDefault="003E4F38"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Penubolu, Y. (2020). </w:t>
      </w:r>
      <w:r w:rsidRPr="000E437E">
        <w:rPr>
          <w:rFonts w:ascii="Arial" w:hAnsi="Arial" w:cs="Arial"/>
          <w:i/>
          <w:iCs/>
          <w:sz w:val="22"/>
          <w:szCs w:val="22"/>
        </w:rPr>
        <w:t>The Transformational Lens: Insights into people and performance management</w:t>
      </w:r>
      <w:r w:rsidRPr="000E437E">
        <w:rPr>
          <w:rFonts w:ascii="Arial" w:hAnsi="Arial" w:cs="Arial"/>
          <w:sz w:val="22"/>
          <w:szCs w:val="22"/>
        </w:rPr>
        <w:t xml:space="preserve">. [online] </w:t>
      </w:r>
      <w:r w:rsidRPr="000E437E">
        <w:rPr>
          <w:rFonts w:ascii="Arial" w:hAnsi="Arial" w:cs="Arial"/>
          <w:i/>
          <w:iCs/>
          <w:sz w:val="22"/>
          <w:szCs w:val="22"/>
        </w:rPr>
        <w:t>Google Books</w:t>
      </w:r>
      <w:r w:rsidRPr="000E437E">
        <w:rPr>
          <w:rFonts w:ascii="Arial" w:hAnsi="Arial" w:cs="Arial"/>
          <w:sz w:val="22"/>
          <w:szCs w:val="22"/>
        </w:rPr>
        <w:t xml:space="preserve">. Notion Press. doi: </w:t>
      </w:r>
      <w:hyperlink r:id="rId77" w:history="1">
        <w:r w:rsidRPr="000E437E">
          <w:rPr>
            <w:rStyle w:val="Hyperlink"/>
            <w:rFonts w:ascii="Arial" w:hAnsi="Arial" w:cs="Arial"/>
            <w:color w:val="auto"/>
            <w:sz w:val="22"/>
            <w:szCs w:val="22"/>
          </w:rPr>
          <w:t>https://books.google.com/books?hl=en&amp;lr=&amp;id=7sb9DwAAQBAJ&amp;oi=fnd&amp;pg=PT5&amp;dq=remote+work</w:t>
        </w:r>
      </w:hyperlink>
      <w:r w:rsidRPr="000E437E">
        <w:rPr>
          <w:rFonts w:ascii="Arial" w:hAnsi="Arial" w:cs="Arial"/>
          <w:sz w:val="22"/>
          <w:szCs w:val="22"/>
        </w:rPr>
        <w:t xml:space="preserve">. </w:t>
      </w:r>
    </w:p>
    <w:p w14:paraId="257DAD23" w14:textId="2DEFEAEE" w:rsidR="003E4F38" w:rsidRPr="000E437E" w:rsidRDefault="003E4F38"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Saleh, N.A. and Tuwaijri, N.A. (2022). Overseas Risks Leading to Business Failure in Foreign Markets: Study Case of HSBC in France. </w:t>
      </w:r>
      <w:r w:rsidRPr="000E437E">
        <w:rPr>
          <w:rFonts w:ascii="Arial" w:hAnsi="Arial" w:cs="Arial"/>
          <w:i/>
          <w:iCs/>
          <w:sz w:val="22"/>
          <w:szCs w:val="22"/>
        </w:rPr>
        <w:t>Open Journal of Business and Management</w:t>
      </w:r>
      <w:r w:rsidRPr="000E437E">
        <w:rPr>
          <w:rFonts w:ascii="Arial" w:hAnsi="Arial" w:cs="Arial"/>
          <w:sz w:val="22"/>
          <w:szCs w:val="22"/>
        </w:rPr>
        <w:t xml:space="preserve">, 10(05), pp.2209–2241. doi: </w:t>
      </w:r>
      <w:hyperlink r:id="rId78" w:history="1">
        <w:r w:rsidRPr="000E437E">
          <w:rPr>
            <w:rStyle w:val="Hyperlink"/>
            <w:rFonts w:ascii="Arial" w:hAnsi="Arial" w:cs="Arial"/>
            <w:color w:val="auto"/>
            <w:sz w:val="22"/>
            <w:szCs w:val="22"/>
          </w:rPr>
          <w:t>https://doi.org/10.4236/ojbm.2022.105112</w:t>
        </w:r>
      </w:hyperlink>
      <w:r w:rsidRPr="000E437E">
        <w:rPr>
          <w:rFonts w:ascii="Arial" w:hAnsi="Arial" w:cs="Arial"/>
          <w:sz w:val="22"/>
          <w:szCs w:val="22"/>
        </w:rPr>
        <w:t xml:space="preserve">. </w:t>
      </w:r>
    </w:p>
    <w:p w14:paraId="6167D109" w14:textId="5D756C55" w:rsidR="003E4F38" w:rsidRPr="000E437E" w:rsidRDefault="003E4F38"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Sophia Beckett Velez (2024). Compliance Failures in Global Banks. </w:t>
      </w:r>
      <w:r w:rsidRPr="000E437E">
        <w:rPr>
          <w:rFonts w:ascii="Arial" w:hAnsi="Arial" w:cs="Arial"/>
          <w:i/>
          <w:iCs/>
          <w:sz w:val="22"/>
          <w:szCs w:val="22"/>
        </w:rPr>
        <w:t>Emerald Publishing Limited eBooks</w:t>
      </w:r>
      <w:r w:rsidRPr="000E437E">
        <w:rPr>
          <w:rFonts w:ascii="Arial" w:hAnsi="Arial" w:cs="Arial"/>
          <w:sz w:val="22"/>
          <w:szCs w:val="22"/>
        </w:rPr>
        <w:t xml:space="preserve">, pp.37–47. doi: </w:t>
      </w:r>
      <w:hyperlink r:id="rId79" w:history="1">
        <w:r w:rsidRPr="000E437E">
          <w:rPr>
            <w:rStyle w:val="Hyperlink"/>
            <w:rFonts w:ascii="Arial" w:hAnsi="Arial" w:cs="Arial"/>
            <w:color w:val="auto"/>
            <w:sz w:val="22"/>
            <w:szCs w:val="22"/>
          </w:rPr>
          <w:t>https://doi.org/10.1108/978-1-83549-041-920241004</w:t>
        </w:r>
      </w:hyperlink>
      <w:r w:rsidRPr="000E437E">
        <w:rPr>
          <w:rFonts w:ascii="Arial" w:hAnsi="Arial" w:cs="Arial"/>
          <w:sz w:val="22"/>
          <w:szCs w:val="22"/>
        </w:rPr>
        <w:t xml:space="preserve">. </w:t>
      </w:r>
    </w:p>
    <w:p w14:paraId="2B941AB9" w14:textId="180576E9" w:rsidR="000D50C6" w:rsidRPr="000E437E" w:rsidRDefault="000D5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Asatiani, A., Hämäläinen, J., Penttinen, E. and Rossi, M. (2020). Constructing continuity across the organisational culture boundary in a highly virtual work environment. </w:t>
      </w:r>
      <w:r w:rsidRPr="000E437E">
        <w:rPr>
          <w:rFonts w:ascii="Arial" w:hAnsi="Arial" w:cs="Arial"/>
          <w:i/>
          <w:iCs/>
          <w:sz w:val="22"/>
          <w:szCs w:val="22"/>
        </w:rPr>
        <w:t>Information Systems Journal</w:t>
      </w:r>
      <w:r w:rsidRPr="000E437E">
        <w:rPr>
          <w:rFonts w:ascii="Arial" w:hAnsi="Arial" w:cs="Arial"/>
          <w:sz w:val="22"/>
          <w:szCs w:val="22"/>
        </w:rPr>
        <w:t>, [online] 31(1). doi:</w:t>
      </w:r>
      <w:r w:rsidR="006962BA" w:rsidRPr="000E437E">
        <w:rPr>
          <w:rFonts w:ascii="Arial" w:hAnsi="Arial" w:cs="Arial"/>
          <w:sz w:val="22"/>
          <w:szCs w:val="22"/>
        </w:rPr>
        <w:t xml:space="preserve"> </w:t>
      </w:r>
      <w:hyperlink r:id="rId80" w:history="1">
        <w:r w:rsidR="00585968" w:rsidRPr="000E437E">
          <w:rPr>
            <w:rStyle w:val="Hyperlink"/>
            <w:rFonts w:ascii="Arial" w:hAnsi="Arial" w:cs="Arial"/>
            <w:color w:val="auto"/>
            <w:sz w:val="22"/>
            <w:szCs w:val="22"/>
          </w:rPr>
          <w:t>https://doi.org/10.1111/isj.12293</w:t>
        </w:r>
      </w:hyperlink>
      <w:r w:rsidRPr="000E437E">
        <w:rPr>
          <w:rFonts w:ascii="Arial" w:hAnsi="Arial" w:cs="Arial"/>
          <w:sz w:val="22"/>
          <w:szCs w:val="22"/>
        </w:rPr>
        <w:t>.</w:t>
      </w:r>
      <w:r w:rsidR="00585968" w:rsidRPr="000E437E">
        <w:rPr>
          <w:rFonts w:ascii="Arial" w:hAnsi="Arial" w:cs="Arial"/>
          <w:sz w:val="22"/>
          <w:szCs w:val="22"/>
        </w:rPr>
        <w:t xml:space="preserve"> </w:t>
      </w:r>
    </w:p>
    <w:p w14:paraId="6BD1F78E" w14:textId="74052561" w:rsidR="000D50C6" w:rsidRPr="000E437E" w:rsidRDefault="000D5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Chanana, N. and Sangeeta (2020). Employee engagement practices during COVID</w:t>
      </w:r>
      <w:r w:rsidRPr="000E437E">
        <w:rPr>
          <w:rFonts w:ascii="Cambria Math" w:hAnsi="Cambria Math" w:cs="Cambria Math"/>
          <w:sz w:val="22"/>
          <w:szCs w:val="22"/>
        </w:rPr>
        <w:t>‐</w:t>
      </w:r>
      <w:r w:rsidRPr="000E437E">
        <w:rPr>
          <w:rFonts w:ascii="Arial" w:hAnsi="Arial" w:cs="Arial"/>
          <w:sz w:val="22"/>
          <w:szCs w:val="22"/>
        </w:rPr>
        <w:t xml:space="preserve">19 lockdown. </w:t>
      </w:r>
      <w:r w:rsidRPr="000E437E">
        <w:rPr>
          <w:rFonts w:ascii="Arial" w:hAnsi="Arial" w:cs="Arial"/>
          <w:i/>
          <w:iCs/>
          <w:sz w:val="22"/>
          <w:szCs w:val="22"/>
        </w:rPr>
        <w:t>Journal of Public Affairs</w:t>
      </w:r>
      <w:r w:rsidRPr="000E437E">
        <w:rPr>
          <w:rFonts w:ascii="Arial" w:hAnsi="Arial" w:cs="Arial"/>
          <w:sz w:val="22"/>
          <w:szCs w:val="22"/>
        </w:rPr>
        <w:t>, [online] 21(4). doi:</w:t>
      </w:r>
      <w:r w:rsidR="006962BA" w:rsidRPr="000E437E">
        <w:rPr>
          <w:rFonts w:ascii="Arial" w:hAnsi="Arial" w:cs="Arial"/>
          <w:sz w:val="22"/>
          <w:szCs w:val="22"/>
        </w:rPr>
        <w:t xml:space="preserve"> </w:t>
      </w:r>
      <w:hyperlink r:id="rId81" w:history="1">
        <w:r w:rsidR="00585968" w:rsidRPr="000E437E">
          <w:rPr>
            <w:rStyle w:val="Hyperlink"/>
            <w:rFonts w:ascii="Arial" w:hAnsi="Arial" w:cs="Arial"/>
            <w:color w:val="auto"/>
            <w:sz w:val="22"/>
            <w:szCs w:val="22"/>
          </w:rPr>
          <w:t>https://doi.org/10.1002/pa.2508</w:t>
        </w:r>
      </w:hyperlink>
      <w:r w:rsidRPr="000E437E">
        <w:rPr>
          <w:rFonts w:ascii="Arial" w:hAnsi="Arial" w:cs="Arial"/>
          <w:sz w:val="22"/>
          <w:szCs w:val="22"/>
        </w:rPr>
        <w:t>.</w:t>
      </w:r>
      <w:r w:rsidR="00585968" w:rsidRPr="000E437E">
        <w:rPr>
          <w:rFonts w:ascii="Arial" w:hAnsi="Arial" w:cs="Arial"/>
          <w:sz w:val="22"/>
          <w:szCs w:val="22"/>
        </w:rPr>
        <w:t xml:space="preserve"> </w:t>
      </w:r>
    </w:p>
    <w:p w14:paraId="7113064F" w14:textId="3129A3B1" w:rsidR="000D50C6" w:rsidRPr="000E437E" w:rsidRDefault="000D5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lastRenderedPageBreak/>
        <w:t xml:space="preserve">Madero Gómez, S., Ortiz Mendoza, O.E., Ramírez, J. and Olivas-Luján, M.R. (2020). Stress and myths related to the COVID-19 pandemic’s effects on remote work. </w:t>
      </w:r>
      <w:r w:rsidRPr="000E437E">
        <w:rPr>
          <w:rFonts w:ascii="Arial" w:hAnsi="Arial" w:cs="Arial"/>
          <w:i/>
          <w:iCs/>
          <w:sz w:val="22"/>
          <w:szCs w:val="22"/>
        </w:rPr>
        <w:t>Management Research: Journal of the Iberoamerican Academy of Management</w:t>
      </w:r>
      <w:r w:rsidRPr="000E437E">
        <w:rPr>
          <w:rFonts w:ascii="Arial" w:hAnsi="Arial" w:cs="Arial"/>
          <w:sz w:val="22"/>
          <w:szCs w:val="22"/>
        </w:rPr>
        <w:t xml:space="preserve">, 18(4), pp.401–420. doi: </w:t>
      </w:r>
      <w:hyperlink r:id="rId82" w:history="1">
        <w:r w:rsidRPr="000E437E">
          <w:rPr>
            <w:rStyle w:val="Hyperlink"/>
            <w:rFonts w:ascii="Arial" w:hAnsi="Arial" w:cs="Arial"/>
            <w:color w:val="auto"/>
            <w:sz w:val="22"/>
            <w:szCs w:val="22"/>
          </w:rPr>
          <w:t>https://doi.org/10.1108/mrjiam-06-2020-1065</w:t>
        </w:r>
      </w:hyperlink>
      <w:r w:rsidRPr="000E437E">
        <w:rPr>
          <w:rFonts w:ascii="Arial" w:hAnsi="Arial" w:cs="Arial"/>
          <w:sz w:val="22"/>
          <w:szCs w:val="22"/>
        </w:rPr>
        <w:t xml:space="preserve">. </w:t>
      </w:r>
    </w:p>
    <w:p w14:paraId="01E5EB21" w14:textId="200EE747" w:rsidR="000D50C6" w:rsidRPr="000E437E" w:rsidRDefault="000D5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Mäkikangas, A., Juutinen, S., Mäkiniemi, J.-P., Sjöblom, K. and Oksanen, A. (2022). Work engagement and its antecedents in remote work: A person-centered view. </w:t>
      </w:r>
      <w:r w:rsidRPr="000E437E">
        <w:rPr>
          <w:rFonts w:ascii="Arial" w:hAnsi="Arial" w:cs="Arial"/>
          <w:i/>
          <w:iCs/>
          <w:sz w:val="22"/>
          <w:szCs w:val="22"/>
        </w:rPr>
        <w:t>Work &amp; Stress</w:t>
      </w:r>
      <w:r w:rsidRPr="000E437E">
        <w:rPr>
          <w:rFonts w:ascii="Arial" w:hAnsi="Arial" w:cs="Arial"/>
          <w:sz w:val="22"/>
          <w:szCs w:val="22"/>
        </w:rPr>
        <w:t xml:space="preserve">, [online] 36(4), pp.1–25. doi: </w:t>
      </w:r>
      <w:hyperlink r:id="rId83" w:history="1">
        <w:r w:rsidRPr="000E437E">
          <w:rPr>
            <w:rStyle w:val="Hyperlink"/>
            <w:rFonts w:ascii="Arial" w:hAnsi="Arial" w:cs="Arial"/>
            <w:color w:val="auto"/>
            <w:sz w:val="22"/>
            <w:szCs w:val="22"/>
          </w:rPr>
          <w:t>https://doi.org/10.1080/02678373.2022.2080777</w:t>
        </w:r>
      </w:hyperlink>
      <w:r w:rsidRPr="000E437E">
        <w:rPr>
          <w:rFonts w:ascii="Arial" w:hAnsi="Arial" w:cs="Arial"/>
          <w:sz w:val="22"/>
          <w:szCs w:val="22"/>
        </w:rPr>
        <w:t xml:space="preserve">. </w:t>
      </w:r>
    </w:p>
    <w:p w14:paraId="6C7A1027" w14:textId="1F814F61" w:rsidR="000D50C6" w:rsidRPr="000E437E" w:rsidRDefault="000D5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Soroui, S.T. (2020). Understanding the drivers and implications of remote work from the local perspective: An exploratory study into the dis/reembedding dynamics. </w:t>
      </w:r>
      <w:r w:rsidRPr="000E437E">
        <w:rPr>
          <w:rFonts w:ascii="Arial" w:hAnsi="Arial" w:cs="Arial"/>
          <w:i/>
          <w:iCs/>
          <w:sz w:val="22"/>
          <w:szCs w:val="22"/>
        </w:rPr>
        <w:t>Technology in Society</w:t>
      </w:r>
      <w:r w:rsidRPr="000E437E">
        <w:rPr>
          <w:rFonts w:ascii="Arial" w:hAnsi="Arial" w:cs="Arial"/>
          <w:sz w:val="22"/>
          <w:szCs w:val="22"/>
        </w:rPr>
        <w:t xml:space="preserve">, 64, p.101328. doi: </w:t>
      </w:r>
      <w:hyperlink r:id="rId84" w:history="1">
        <w:r w:rsidRPr="000E437E">
          <w:rPr>
            <w:rStyle w:val="Hyperlink"/>
            <w:rFonts w:ascii="Arial" w:hAnsi="Arial" w:cs="Arial"/>
            <w:color w:val="auto"/>
            <w:sz w:val="22"/>
            <w:szCs w:val="22"/>
          </w:rPr>
          <w:t>https://doi.org/10.1016/j.techsoc.2020.101328</w:t>
        </w:r>
      </w:hyperlink>
      <w:r w:rsidRPr="000E437E">
        <w:rPr>
          <w:rFonts w:ascii="Arial" w:hAnsi="Arial" w:cs="Arial"/>
          <w:sz w:val="22"/>
          <w:szCs w:val="22"/>
        </w:rPr>
        <w:t xml:space="preserve">. </w:t>
      </w:r>
    </w:p>
    <w:p w14:paraId="21CA86BB" w14:textId="5ECFC641" w:rsidR="000D50C6" w:rsidRPr="000E437E" w:rsidRDefault="000D5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Spicer, A. (2020). Organizational Culture and COVID</w:t>
      </w:r>
      <w:r w:rsidRPr="000E437E">
        <w:rPr>
          <w:rFonts w:ascii="Cambria Math" w:hAnsi="Cambria Math" w:cs="Cambria Math"/>
          <w:sz w:val="22"/>
          <w:szCs w:val="22"/>
        </w:rPr>
        <w:t>‐</w:t>
      </w:r>
      <w:r w:rsidRPr="000E437E">
        <w:rPr>
          <w:rFonts w:ascii="Arial" w:hAnsi="Arial" w:cs="Arial"/>
          <w:sz w:val="22"/>
          <w:szCs w:val="22"/>
        </w:rPr>
        <w:t xml:space="preserve">19. </w:t>
      </w:r>
      <w:r w:rsidRPr="000E437E">
        <w:rPr>
          <w:rFonts w:ascii="Arial" w:hAnsi="Arial" w:cs="Arial"/>
          <w:i/>
          <w:iCs/>
          <w:sz w:val="22"/>
          <w:szCs w:val="22"/>
        </w:rPr>
        <w:t>Journal of Management Studies</w:t>
      </w:r>
      <w:r w:rsidRPr="000E437E">
        <w:rPr>
          <w:rFonts w:ascii="Arial" w:hAnsi="Arial" w:cs="Arial"/>
          <w:sz w:val="22"/>
          <w:szCs w:val="22"/>
        </w:rPr>
        <w:t xml:space="preserve">, [online] 57(8), pp.1737–1740. doi: </w:t>
      </w:r>
      <w:hyperlink r:id="rId85" w:history="1">
        <w:r w:rsidRPr="000E437E">
          <w:rPr>
            <w:rStyle w:val="Hyperlink"/>
            <w:rFonts w:ascii="Arial" w:hAnsi="Arial" w:cs="Arial"/>
            <w:color w:val="auto"/>
            <w:sz w:val="22"/>
            <w:szCs w:val="22"/>
          </w:rPr>
          <w:t>https://doi.org/10.1111/joms.12625</w:t>
        </w:r>
      </w:hyperlink>
      <w:r w:rsidRPr="000E437E">
        <w:rPr>
          <w:rFonts w:ascii="Arial" w:hAnsi="Arial" w:cs="Arial"/>
          <w:sz w:val="22"/>
          <w:szCs w:val="22"/>
        </w:rPr>
        <w:t xml:space="preserve">. </w:t>
      </w:r>
    </w:p>
    <w:p w14:paraId="719F8753" w14:textId="62BA2262" w:rsidR="000D50C6" w:rsidRPr="000E437E" w:rsidRDefault="000D50C6" w:rsidP="000E437E">
      <w:pPr>
        <w:pStyle w:val="NormalWeb"/>
        <w:spacing w:before="0" w:beforeAutospacing="0" w:after="240" w:afterAutospacing="0" w:line="360" w:lineRule="auto"/>
        <w:jc w:val="both"/>
        <w:rPr>
          <w:rFonts w:ascii="Arial" w:hAnsi="Arial" w:cs="Arial"/>
          <w:sz w:val="22"/>
          <w:szCs w:val="22"/>
        </w:rPr>
      </w:pPr>
      <w:r w:rsidRPr="000E437E">
        <w:rPr>
          <w:rFonts w:ascii="Arial" w:hAnsi="Arial" w:cs="Arial"/>
          <w:sz w:val="22"/>
          <w:szCs w:val="22"/>
        </w:rPr>
        <w:t xml:space="preserve">Yang, L., Holtz, D., Jaffe, S., Suri, S., Sinha, S., Weston, J., Joyce, C., Shah, N., Sherman, K., Hecht, B. and Teevan, J. (2021). The Effects of Remote Work on Collaboration among Information Workers. </w:t>
      </w:r>
      <w:r w:rsidRPr="000E437E">
        <w:rPr>
          <w:rFonts w:ascii="Arial" w:hAnsi="Arial" w:cs="Arial"/>
          <w:i/>
          <w:iCs/>
          <w:sz w:val="22"/>
          <w:szCs w:val="22"/>
        </w:rPr>
        <w:t>Nature Human Behaviour</w:t>
      </w:r>
      <w:r w:rsidRPr="000E437E">
        <w:rPr>
          <w:rFonts w:ascii="Arial" w:hAnsi="Arial" w:cs="Arial"/>
          <w:sz w:val="22"/>
          <w:szCs w:val="22"/>
        </w:rPr>
        <w:t xml:space="preserve">, [online] 6(6). Available at: </w:t>
      </w:r>
      <w:hyperlink r:id="rId86" w:history="1">
        <w:r w:rsidRPr="000E437E">
          <w:rPr>
            <w:rStyle w:val="Hyperlink"/>
            <w:rFonts w:ascii="Arial" w:hAnsi="Arial" w:cs="Arial"/>
            <w:color w:val="auto"/>
            <w:sz w:val="22"/>
            <w:szCs w:val="22"/>
          </w:rPr>
          <w:t>https://www.nature.com/articles/s41562-021-01196-4</w:t>
        </w:r>
      </w:hyperlink>
      <w:r w:rsidRPr="000E437E">
        <w:rPr>
          <w:rFonts w:ascii="Arial" w:hAnsi="Arial" w:cs="Arial"/>
          <w:sz w:val="22"/>
          <w:szCs w:val="22"/>
        </w:rPr>
        <w:t xml:space="preserve">. </w:t>
      </w:r>
    </w:p>
    <w:p w14:paraId="63C622E3" w14:textId="77777777" w:rsidR="000D50C6" w:rsidRPr="000E437E" w:rsidRDefault="000D50C6" w:rsidP="000E437E">
      <w:pPr>
        <w:pStyle w:val="NormalWeb"/>
        <w:spacing w:before="0" w:beforeAutospacing="0" w:after="240" w:afterAutospacing="0" w:line="360" w:lineRule="auto"/>
        <w:jc w:val="both"/>
        <w:rPr>
          <w:rFonts w:ascii="Arial" w:hAnsi="Arial" w:cs="Arial"/>
          <w:sz w:val="22"/>
          <w:szCs w:val="22"/>
        </w:rPr>
      </w:pPr>
    </w:p>
    <w:p w14:paraId="03F0981A" w14:textId="77777777" w:rsidR="003E4F38" w:rsidRPr="000E437E" w:rsidRDefault="003E4F38" w:rsidP="000E437E">
      <w:pPr>
        <w:pStyle w:val="NormalWeb"/>
        <w:spacing w:before="0" w:beforeAutospacing="0" w:after="240" w:afterAutospacing="0" w:line="360" w:lineRule="auto"/>
        <w:jc w:val="both"/>
        <w:rPr>
          <w:rFonts w:ascii="Arial" w:hAnsi="Arial" w:cs="Arial"/>
          <w:sz w:val="22"/>
          <w:szCs w:val="22"/>
        </w:rPr>
      </w:pPr>
    </w:p>
    <w:p w14:paraId="5C803F9B" w14:textId="77777777" w:rsidR="000F6136" w:rsidRPr="000E437E" w:rsidRDefault="000F6136" w:rsidP="000E437E">
      <w:pPr>
        <w:spacing w:line="360" w:lineRule="auto"/>
        <w:jc w:val="both"/>
        <w:rPr>
          <w:rFonts w:ascii="Arial" w:eastAsiaTheme="majorEastAsia" w:hAnsi="Arial" w:cs="Arial"/>
          <w:b/>
          <w:sz w:val="22"/>
          <w:lang w:val="en-US" w:bidi="th-TH"/>
        </w:rPr>
      </w:pPr>
      <w:r w:rsidRPr="000E437E">
        <w:rPr>
          <w:rFonts w:ascii="Arial" w:hAnsi="Arial" w:cs="Arial"/>
          <w:sz w:val="22"/>
        </w:rPr>
        <w:br w:type="page"/>
      </w:r>
    </w:p>
    <w:p w14:paraId="039FA228" w14:textId="66B22D49" w:rsidR="00DC51DB" w:rsidRPr="000E437E" w:rsidRDefault="00DC51DB" w:rsidP="000E437E">
      <w:pPr>
        <w:pStyle w:val="Heading1"/>
        <w:spacing w:line="360" w:lineRule="auto"/>
        <w:jc w:val="both"/>
        <w:rPr>
          <w:rFonts w:ascii="Arial" w:hAnsi="Arial" w:cs="Arial"/>
          <w:color w:val="auto"/>
          <w:sz w:val="22"/>
          <w:szCs w:val="22"/>
        </w:rPr>
      </w:pPr>
      <w:bookmarkStart w:id="46" w:name="_Toc165886073"/>
      <w:r w:rsidRPr="000E437E">
        <w:rPr>
          <w:rFonts w:ascii="Arial" w:hAnsi="Arial" w:cs="Arial"/>
          <w:color w:val="auto"/>
          <w:sz w:val="22"/>
          <w:szCs w:val="22"/>
        </w:rPr>
        <w:lastRenderedPageBreak/>
        <w:t>Appendices</w:t>
      </w:r>
      <w:bookmarkEnd w:id="46"/>
    </w:p>
    <w:p w14:paraId="27C5F2AE" w14:textId="6FFBC930" w:rsidR="00DC51DB" w:rsidRPr="000E437E" w:rsidRDefault="00DC51DB" w:rsidP="000E437E">
      <w:pPr>
        <w:spacing w:line="360" w:lineRule="auto"/>
        <w:jc w:val="both"/>
        <w:rPr>
          <w:rFonts w:ascii="Arial" w:hAnsi="Arial" w:cs="Arial"/>
          <w:sz w:val="22"/>
          <w:lang w:val="en-US" w:bidi="th-TH"/>
        </w:rPr>
      </w:pPr>
      <w:r w:rsidRPr="000E437E">
        <w:rPr>
          <w:rFonts w:ascii="Arial" w:hAnsi="Arial" w:cs="Arial"/>
          <w:noProof/>
          <w:sz w:val="22"/>
          <w:lang w:val="en-US" w:bidi="th-TH"/>
        </w:rPr>
        <w:drawing>
          <wp:inline distT="0" distB="0" distL="0" distR="0" wp14:anchorId="29621752" wp14:editId="33257962">
            <wp:extent cx="3524250" cy="2127849"/>
            <wp:effectExtent l="0" t="0" r="0" b="6350"/>
            <wp:docPr id="73589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275382" name=""/>
                    <pic:cNvPicPr/>
                  </pic:nvPicPr>
                  <pic:blipFill>
                    <a:blip r:embed="rId10"/>
                    <a:stretch>
                      <a:fillRect/>
                    </a:stretch>
                  </pic:blipFill>
                  <pic:spPr>
                    <a:xfrm>
                      <a:off x="0" y="0"/>
                      <a:ext cx="3533514" cy="2133443"/>
                    </a:xfrm>
                    <a:prstGeom prst="rect">
                      <a:avLst/>
                    </a:prstGeom>
                  </pic:spPr>
                </pic:pic>
              </a:graphicData>
            </a:graphic>
          </wp:inline>
        </w:drawing>
      </w:r>
    </w:p>
    <w:p w14:paraId="6488934F" w14:textId="1D390734" w:rsidR="00DC51DB" w:rsidRPr="000E437E" w:rsidRDefault="00086C08" w:rsidP="000E437E">
      <w:pPr>
        <w:spacing w:line="360" w:lineRule="auto"/>
        <w:jc w:val="both"/>
        <w:rPr>
          <w:rFonts w:ascii="Arial" w:hAnsi="Arial" w:cs="Arial"/>
          <w:sz w:val="22"/>
          <w:lang w:val="en-US" w:bidi="th-TH"/>
        </w:rPr>
      </w:pPr>
      <w:r w:rsidRPr="000E437E">
        <w:rPr>
          <w:rFonts w:ascii="Arial" w:hAnsi="Arial" w:cs="Arial"/>
          <w:b/>
          <w:bCs/>
          <w:noProof/>
          <w:sz w:val="22"/>
          <w:lang w:val="en-US" w:bidi="th-TH"/>
        </w:rPr>
        <w:drawing>
          <wp:inline distT="0" distB="0" distL="0" distR="0" wp14:anchorId="2FD609E4" wp14:editId="41464BEA">
            <wp:extent cx="2838846" cy="2781688"/>
            <wp:effectExtent l="0" t="0" r="0" b="0"/>
            <wp:docPr id="1968875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729532" name=""/>
                    <pic:cNvPicPr/>
                  </pic:nvPicPr>
                  <pic:blipFill>
                    <a:blip r:embed="rId11"/>
                    <a:stretch>
                      <a:fillRect/>
                    </a:stretch>
                  </pic:blipFill>
                  <pic:spPr>
                    <a:xfrm>
                      <a:off x="0" y="0"/>
                      <a:ext cx="2838846" cy="2781688"/>
                    </a:xfrm>
                    <a:prstGeom prst="rect">
                      <a:avLst/>
                    </a:prstGeom>
                  </pic:spPr>
                </pic:pic>
              </a:graphicData>
            </a:graphic>
          </wp:inline>
        </w:drawing>
      </w:r>
    </w:p>
    <w:p w14:paraId="1D4C666B" w14:textId="1EDC8D7B" w:rsidR="00DC51DB" w:rsidRPr="000E437E" w:rsidRDefault="00086C08" w:rsidP="000E437E">
      <w:pPr>
        <w:spacing w:line="360" w:lineRule="auto"/>
        <w:jc w:val="both"/>
        <w:rPr>
          <w:rFonts w:ascii="Arial" w:hAnsi="Arial" w:cs="Arial"/>
          <w:sz w:val="22"/>
          <w:lang w:val="en-US" w:bidi="th-TH"/>
        </w:rPr>
      </w:pPr>
      <w:r w:rsidRPr="000E437E">
        <w:rPr>
          <w:rFonts w:ascii="Arial" w:hAnsi="Arial" w:cs="Arial"/>
          <w:noProof/>
          <w:sz w:val="22"/>
        </w:rPr>
        <w:drawing>
          <wp:inline distT="0" distB="0" distL="0" distR="0" wp14:anchorId="0E2C6979" wp14:editId="38F5B5A6">
            <wp:extent cx="2790825" cy="1730790"/>
            <wp:effectExtent l="0" t="0" r="0" b="3175"/>
            <wp:docPr id="904605257" name="Picture 1" descr="Drivers of Employee Engagement: Top 8 drivers + Fre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vers of Employee Engagement: Top 8 drivers + Free Guid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859" t="8296" r="13462" b="14362"/>
                    <a:stretch/>
                  </pic:blipFill>
                  <pic:spPr bwMode="auto">
                    <a:xfrm>
                      <a:off x="0" y="0"/>
                      <a:ext cx="2803108" cy="1738408"/>
                    </a:xfrm>
                    <a:prstGeom prst="rect">
                      <a:avLst/>
                    </a:prstGeom>
                    <a:noFill/>
                    <a:ln>
                      <a:noFill/>
                    </a:ln>
                    <a:extLst>
                      <a:ext uri="{53640926-AAD7-44D8-BBD7-CCE9431645EC}">
                        <a14:shadowObscured xmlns:a14="http://schemas.microsoft.com/office/drawing/2010/main"/>
                      </a:ext>
                    </a:extLst>
                  </pic:spPr>
                </pic:pic>
              </a:graphicData>
            </a:graphic>
          </wp:inline>
        </w:drawing>
      </w:r>
    </w:p>
    <w:p w14:paraId="5CD0BDEF" w14:textId="4F135AC8" w:rsidR="007125BE" w:rsidRPr="000E437E" w:rsidRDefault="007125BE" w:rsidP="000E437E">
      <w:pPr>
        <w:spacing w:line="360" w:lineRule="auto"/>
        <w:jc w:val="both"/>
        <w:rPr>
          <w:rFonts w:ascii="Arial" w:hAnsi="Arial" w:cs="Arial"/>
          <w:sz w:val="22"/>
          <w:lang w:val="en-US" w:bidi="th-TH"/>
        </w:rPr>
      </w:pPr>
      <w:r w:rsidRPr="000E437E">
        <w:rPr>
          <w:rFonts w:ascii="Arial" w:hAnsi="Arial" w:cs="Arial"/>
          <w:noProof/>
          <w:color w:val="FF0000"/>
          <w:sz w:val="22"/>
          <w:lang w:val="en-US" w:bidi="th-TH"/>
        </w:rPr>
        <w:lastRenderedPageBreak/>
        <w:drawing>
          <wp:inline distT="0" distB="0" distL="0" distR="0" wp14:anchorId="348E8625" wp14:editId="5ABD0AF6">
            <wp:extent cx="4632960" cy="3489074"/>
            <wp:effectExtent l="0" t="0" r="0" b="0"/>
            <wp:docPr id="1170393055" name="Picture 1" descr="A diagram of a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979982" name="Picture 1" descr="A diagram of a method&#10;&#10;Description automatically generated"/>
                    <pic:cNvPicPr/>
                  </pic:nvPicPr>
                  <pic:blipFill>
                    <a:blip r:embed="rId17"/>
                    <a:stretch>
                      <a:fillRect/>
                    </a:stretch>
                  </pic:blipFill>
                  <pic:spPr>
                    <a:xfrm>
                      <a:off x="0" y="0"/>
                      <a:ext cx="4635095" cy="3490682"/>
                    </a:xfrm>
                    <a:prstGeom prst="rect">
                      <a:avLst/>
                    </a:prstGeom>
                  </pic:spPr>
                </pic:pic>
              </a:graphicData>
            </a:graphic>
          </wp:inline>
        </w:drawing>
      </w:r>
    </w:p>
    <w:p w14:paraId="2CC7C2E2" w14:textId="3542A0B0" w:rsidR="000F6136" w:rsidRPr="000E437E" w:rsidRDefault="000F6136" w:rsidP="000E437E">
      <w:pPr>
        <w:spacing w:line="360" w:lineRule="auto"/>
        <w:jc w:val="both"/>
        <w:rPr>
          <w:rFonts w:ascii="Arial" w:hAnsi="Arial" w:cs="Arial"/>
          <w:sz w:val="22"/>
          <w:lang w:val="en-US" w:bidi="th-TH"/>
        </w:rPr>
      </w:pPr>
      <w:r w:rsidRPr="000E437E">
        <w:rPr>
          <w:rFonts w:ascii="Arial" w:hAnsi="Arial" w:cs="Arial"/>
          <w:noProof/>
          <w:sz w:val="22"/>
        </w:rPr>
        <w:drawing>
          <wp:inline distT="0" distB="0" distL="0" distR="0" wp14:anchorId="2405ADC8" wp14:editId="08E89A57">
            <wp:extent cx="4495800" cy="1305511"/>
            <wp:effectExtent l="0" t="0" r="0" b="9525"/>
            <wp:docPr id="1155810176" name="Picture 2" descr="5 ways how Remote Work can improve your Company Culture | CustomerTh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ways how Remote Work can improve your Company Culture | CustomerThin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4692" cy="1308093"/>
                    </a:xfrm>
                    <a:prstGeom prst="rect">
                      <a:avLst/>
                    </a:prstGeom>
                    <a:noFill/>
                    <a:ln>
                      <a:noFill/>
                    </a:ln>
                  </pic:spPr>
                </pic:pic>
              </a:graphicData>
            </a:graphic>
          </wp:inline>
        </w:drawing>
      </w:r>
    </w:p>
    <w:p w14:paraId="2DB468EE" w14:textId="7D2A3F8F" w:rsidR="000F6136" w:rsidRPr="000E437E" w:rsidRDefault="000F6136" w:rsidP="000E437E">
      <w:pPr>
        <w:spacing w:line="360" w:lineRule="auto"/>
        <w:jc w:val="both"/>
        <w:rPr>
          <w:rFonts w:ascii="Arial" w:hAnsi="Arial" w:cs="Arial"/>
          <w:sz w:val="22"/>
          <w:lang w:val="en-US" w:bidi="th-TH"/>
        </w:rPr>
      </w:pPr>
      <w:r w:rsidRPr="000E437E">
        <w:rPr>
          <w:rFonts w:ascii="Arial" w:hAnsi="Arial" w:cs="Arial"/>
          <w:noProof/>
          <w:sz w:val="22"/>
        </w:rPr>
        <w:drawing>
          <wp:inline distT="0" distB="0" distL="0" distR="0" wp14:anchorId="58D54DA1" wp14:editId="0A0FFCEC">
            <wp:extent cx="2686050" cy="2021425"/>
            <wp:effectExtent l="0" t="0" r="0" b="0"/>
            <wp:docPr id="1712698668" name="Picture 3" descr="Job demands-resources theory in times of crises: New propositions -  Evangelia Demerouti, Arnold B. Bakker,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ob demands-resources theory in times of crises: New propositions -  Evangelia Demerouti, Arnold B. Bakker, 202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694327" cy="2027654"/>
                    </a:xfrm>
                    <a:prstGeom prst="rect">
                      <a:avLst/>
                    </a:prstGeom>
                    <a:noFill/>
                    <a:ln>
                      <a:noFill/>
                    </a:ln>
                  </pic:spPr>
                </pic:pic>
              </a:graphicData>
            </a:graphic>
          </wp:inline>
        </w:drawing>
      </w:r>
    </w:p>
    <w:p w14:paraId="072C7183" w14:textId="6C0DE512" w:rsidR="000F6136" w:rsidRPr="000E437E" w:rsidRDefault="000F6136" w:rsidP="000E437E">
      <w:pPr>
        <w:spacing w:line="360" w:lineRule="auto"/>
        <w:jc w:val="both"/>
        <w:rPr>
          <w:rFonts w:ascii="Arial" w:hAnsi="Arial" w:cs="Arial"/>
          <w:sz w:val="22"/>
          <w:lang w:val="en-US" w:bidi="th-TH"/>
        </w:rPr>
      </w:pPr>
      <w:r w:rsidRPr="000E437E">
        <w:rPr>
          <w:rFonts w:ascii="Arial" w:hAnsi="Arial" w:cs="Arial"/>
          <w:b/>
          <w:bCs/>
          <w:noProof/>
          <w:sz w:val="22"/>
          <w:lang w:val="en-US" w:bidi="th-TH"/>
        </w:rPr>
        <w:lastRenderedPageBreak/>
        <w:drawing>
          <wp:inline distT="0" distB="0" distL="0" distR="0" wp14:anchorId="6C19C3E5" wp14:editId="337D18CF">
            <wp:extent cx="3657600" cy="1500188"/>
            <wp:effectExtent l="0" t="0" r="0" b="5080"/>
            <wp:docPr id="18292658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60426" cy="1501347"/>
                    </a:xfrm>
                    <a:prstGeom prst="rect">
                      <a:avLst/>
                    </a:prstGeom>
                    <a:noFill/>
                  </pic:spPr>
                </pic:pic>
              </a:graphicData>
            </a:graphic>
          </wp:inline>
        </w:drawing>
      </w:r>
    </w:p>
    <w:p w14:paraId="468C59CD" w14:textId="115DD75B" w:rsidR="00205B25" w:rsidRPr="000E437E" w:rsidRDefault="00205B25" w:rsidP="000E437E">
      <w:pPr>
        <w:spacing w:line="360" w:lineRule="auto"/>
        <w:jc w:val="both"/>
        <w:rPr>
          <w:rFonts w:ascii="Arial" w:hAnsi="Arial" w:cs="Arial"/>
          <w:sz w:val="22"/>
          <w:lang w:val="en-US" w:bidi="th-TH"/>
        </w:rPr>
      </w:pPr>
      <w:r w:rsidRPr="000E437E">
        <w:rPr>
          <w:rFonts w:ascii="Arial" w:hAnsi="Arial" w:cs="Arial"/>
          <w:noProof/>
          <w:sz w:val="22"/>
          <w:lang w:val="en-US" w:bidi="th-TH"/>
        </w:rPr>
        <w:drawing>
          <wp:inline distT="0" distB="0" distL="0" distR="0" wp14:anchorId="581B7548" wp14:editId="306F1FFA">
            <wp:extent cx="3727693" cy="2228850"/>
            <wp:effectExtent l="0" t="0" r="6350" b="0"/>
            <wp:docPr id="191366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037174" name=""/>
                    <pic:cNvPicPr/>
                  </pic:nvPicPr>
                  <pic:blipFill>
                    <a:blip r:embed="rId18"/>
                    <a:stretch>
                      <a:fillRect/>
                    </a:stretch>
                  </pic:blipFill>
                  <pic:spPr>
                    <a:xfrm>
                      <a:off x="0" y="0"/>
                      <a:ext cx="3732197" cy="2231543"/>
                    </a:xfrm>
                    <a:prstGeom prst="rect">
                      <a:avLst/>
                    </a:prstGeom>
                  </pic:spPr>
                </pic:pic>
              </a:graphicData>
            </a:graphic>
          </wp:inline>
        </w:drawing>
      </w:r>
    </w:p>
    <w:p w14:paraId="2E3BBE29" w14:textId="05439BB2" w:rsidR="00205B25" w:rsidRPr="000E437E" w:rsidRDefault="00205B25" w:rsidP="000E437E">
      <w:pPr>
        <w:spacing w:line="360" w:lineRule="auto"/>
        <w:jc w:val="both"/>
        <w:rPr>
          <w:rFonts w:ascii="Arial" w:hAnsi="Arial" w:cs="Arial"/>
          <w:sz w:val="22"/>
          <w:lang w:val="en-US" w:bidi="th-TH"/>
        </w:rPr>
      </w:pPr>
      <w:r w:rsidRPr="000E437E">
        <w:rPr>
          <w:rFonts w:ascii="Arial" w:hAnsi="Arial" w:cs="Arial"/>
          <w:noProof/>
          <w:sz w:val="22"/>
          <w:lang w:val="en-US" w:bidi="th-TH"/>
        </w:rPr>
        <w:drawing>
          <wp:inline distT="0" distB="0" distL="0" distR="0" wp14:anchorId="0DB89F69" wp14:editId="7EC824E8">
            <wp:extent cx="3390899" cy="1997574"/>
            <wp:effectExtent l="0" t="0" r="635" b="3175"/>
            <wp:docPr id="1664958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355584" name=""/>
                    <pic:cNvPicPr/>
                  </pic:nvPicPr>
                  <pic:blipFill>
                    <a:blip r:embed="rId19"/>
                    <a:stretch>
                      <a:fillRect/>
                    </a:stretch>
                  </pic:blipFill>
                  <pic:spPr>
                    <a:xfrm>
                      <a:off x="0" y="0"/>
                      <a:ext cx="3404827" cy="2005779"/>
                    </a:xfrm>
                    <a:prstGeom prst="rect">
                      <a:avLst/>
                    </a:prstGeom>
                  </pic:spPr>
                </pic:pic>
              </a:graphicData>
            </a:graphic>
          </wp:inline>
        </w:drawing>
      </w:r>
    </w:p>
    <w:p w14:paraId="77A66274" w14:textId="451BFF31" w:rsidR="007125BE" w:rsidRPr="000E437E" w:rsidRDefault="007125BE" w:rsidP="000E437E">
      <w:pPr>
        <w:spacing w:line="360" w:lineRule="auto"/>
        <w:jc w:val="both"/>
        <w:rPr>
          <w:rFonts w:ascii="Arial" w:hAnsi="Arial" w:cs="Arial"/>
          <w:sz w:val="22"/>
          <w:lang w:val="en-US" w:bidi="th-TH"/>
        </w:rPr>
      </w:pPr>
      <w:r w:rsidRPr="000E437E">
        <w:rPr>
          <w:rFonts w:ascii="Arial" w:hAnsi="Arial" w:cs="Arial"/>
          <w:noProof/>
          <w:sz w:val="22"/>
        </w:rPr>
        <w:lastRenderedPageBreak/>
        <w:drawing>
          <wp:inline distT="0" distB="0" distL="0" distR="0" wp14:anchorId="5E19C8CD" wp14:editId="1E393DB0">
            <wp:extent cx="2790497" cy="3121611"/>
            <wp:effectExtent l="0" t="0" r="0" b="0"/>
            <wp:docPr id="210104276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258210" name="Picture 1" descr="A diagram of a 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99305" cy="3131464"/>
                    </a:xfrm>
                    <a:prstGeom prst="rect">
                      <a:avLst/>
                    </a:prstGeom>
                    <a:noFill/>
                    <a:ln>
                      <a:noFill/>
                    </a:ln>
                  </pic:spPr>
                </pic:pic>
              </a:graphicData>
            </a:graphic>
          </wp:inline>
        </w:drawing>
      </w:r>
    </w:p>
    <w:tbl>
      <w:tblPr>
        <w:tblStyle w:val="TableGrid"/>
        <w:tblW w:w="9805" w:type="dxa"/>
        <w:tblLook w:val="04A0" w:firstRow="1" w:lastRow="0" w:firstColumn="1" w:lastColumn="0" w:noHBand="0" w:noVBand="1"/>
      </w:tblPr>
      <w:tblGrid>
        <w:gridCol w:w="6655"/>
        <w:gridCol w:w="3150"/>
      </w:tblGrid>
      <w:tr w:rsidR="00544CAE" w:rsidRPr="000E437E" w14:paraId="2B73BBC9" w14:textId="77777777" w:rsidTr="00FF165C">
        <w:tc>
          <w:tcPr>
            <w:tcW w:w="6655" w:type="dxa"/>
            <w:hideMark/>
          </w:tcPr>
          <w:p w14:paraId="1AD062ED" w14:textId="77777777" w:rsidR="00205B25" w:rsidRPr="000E437E" w:rsidRDefault="00205B25" w:rsidP="000E437E">
            <w:pPr>
              <w:spacing w:line="360" w:lineRule="auto"/>
              <w:jc w:val="both"/>
              <w:rPr>
                <w:rFonts w:ascii="Arial" w:eastAsia="Times New Roman" w:hAnsi="Arial" w:cs="Arial"/>
                <w:b/>
                <w:bCs/>
                <w:lang w:val="en-US"/>
              </w:rPr>
            </w:pPr>
            <w:r w:rsidRPr="000E437E">
              <w:rPr>
                <w:rFonts w:ascii="Arial" w:eastAsia="Times New Roman" w:hAnsi="Arial" w:cs="Arial"/>
                <w:b/>
                <w:bCs/>
                <w:lang w:val="en-US"/>
              </w:rPr>
              <w:t>Analysis</w:t>
            </w:r>
          </w:p>
        </w:tc>
        <w:tc>
          <w:tcPr>
            <w:tcW w:w="3150" w:type="dxa"/>
            <w:hideMark/>
          </w:tcPr>
          <w:p w14:paraId="476FEA13" w14:textId="77777777" w:rsidR="00205B25" w:rsidRPr="000E437E" w:rsidRDefault="00205B25" w:rsidP="000E437E">
            <w:pPr>
              <w:spacing w:line="360" w:lineRule="auto"/>
              <w:jc w:val="both"/>
              <w:rPr>
                <w:rFonts w:ascii="Arial" w:eastAsia="Times New Roman" w:hAnsi="Arial" w:cs="Arial"/>
                <w:b/>
                <w:bCs/>
                <w:lang w:val="en-US"/>
              </w:rPr>
            </w:pPr>
            <w:r w:rsidRPr="000E437E">
              <w:rPr>
                <w:rFonts w:ascii="Arial" w:eastAsia="Times New Roman" w:hAnsi="Arial" w:cs="Arial"/>
                <w:b/>
                <w:bCs/>
                <w:lang w:val="en-US"/>
              </w:rPr>
              <w:t>Percentage/Value</w:t>
            </w:r>
          </w:p>
        </w:tc>
      </w:tr>
      <w:tr w:rsidR="00544CAE" w:rsidRPr="000E437E" w14:paraId="2B43A65F" w14:textId="77777777" w:rsidTr="00FF165C">
        <w:tc>
          <w:tcPr>
            <w:tcW w:w="6655" w:type="dxa"/>
            <w:hideMark/>
          </w:tcPr>
          <w:p w14:paraId="11F7E28B" w14:textId="77777777" w:rsidR="00205B25" w:rsidRPr="000E437E" w:rsidRDefault="00205B25" w:rsidP="000E437E">
            <w:pPr>
              <w:spacing w:line="360" w:lineRule="auto"/>
              <w:jc w:val="both"/>
              <w:rPr>
                <w:rFonts w:ascii="Arial" w:eastAsia="Times New Roman" w:hAnsi="Arial" w:cs="Arial"/>
                <w:lang w:val="en-US"/>
              </w:rPr>
            </w:pPr>
            <w:r w:rsidRPr="000E437E">
              <w:rPr>
                <w:rFonts w:ascii="Arial" w:eastAsia="Times New Roman" w:hAnsi="Arial" w:cs="Arial"/>
                <w:lang w:val="en-US"/>
              </w:rPr>
              <w:t>Decrease in reported stress levels</w:t>
            </w:r>
          </w:p>
        </w:tc>
        <w:tc>
          <w:tcPr>
            <w:tcW w:w="3150" w:type="dxa"/>
            <w:hideMark/>
          </w:tcPr>
          <w:p w14:paraId="6DBA9DC6" w14:textId="77777777" w:rsidR="00205B25" w:rsidRPr="000E437E" w:rsidRDefault="00205B25" w:rsidP="000E437E">
            <w:pPr>
              <w:spacing w:line="360" w:lineRule="auto"/>
              <w:jc w:val="both"/>
              <w:rPr>
                <w:rFonts w:ascii="Arial" w:eastAsia="Times New Roman" w:hAnsi="Arial" w:cs="Arial"/>
                <w:lang w:val="en-US"/>
              </w:rPr>
            </w:pPr>
            <w:r w:rsidRPr="000E437E">
              <w:rPr>
                <w:rFonts w:ascii="Arial" w:eastAsia="Times New Roman" w:hAnsi="Arial" w:cs="Arial"/>
                <w:lang w:val="en-US"/>
              </w:rPr>
              <w:t>20%</w:t>
            </w:r>
          </w:p>
        </w:tc>
      </w:tr>
      <w:tr w:rsidR="00544CAE" w:rsidRPr="000E437E" w14:paraId="49DB711A" w14:textId="77777777" w:rsidTr="00FF165C">
        <w:tc>
          <w:tcPr>
            <w:tcW w:w="6655" w:type="dxa"/>
            <w:hideMark/>
          </w:tcPr>
          <w:p w14:paraId="5D5264A6" w14:textId="77777777" w:rsidR="00205B25" w:rsidRPr="000E437E" w:rsidRDefault="00205B25" w:rsidP="000E437E">
            <w:pPr>
              <w:spacing w:line="360" w:lineRule="auto"/>
              <w:jc w:val="both"/>
              <w:rPr>
                <w:rFonts w:ascii="Arial" w:eastAsia="Times New Roman" w:hAnsi="Arial" w:cs="Arial"/>
                <w:lang w:val="en-US"/>
              </w:rPr>
            </w:pPr>
            <w:r w:rsidRPr="000E437E">
              <w:rPr>
                <w:rFonts w:ascii="Arial" w:eastAsia="Times New Roman" w:hAnsi="Arial" w:cs="Arial"/>
                <w:lang w:val="en-US"/>
              </w:rPr>
              <w:t>Increase in perceived work-life balance</w:t>
            </w:r>
          </w:p>
        </w:tc>
        <w:tc>
          <w:tcPr>
            <w:tcW w:w="3150" w:type="dxa"/>
            <w:hideMark/>
          </w:tcPr>
          <w:p w14:paraId="3CEC21DA" w14:textId="77777777" w:rsidR="00205B25" w:rsidRPr="000E437E" w:rsidRDefault="00205B25" w:rsidP="000E437E">
            <w:pPr>
              <w:spacing w:line="360" w:lineRule="auto"/>
              <w:jc w:val="both"/>
              <w:rPr>
                <w:rFonts w:ascii="Arial" w:eastAsia="Times New Roman" w:hAnsi="Arial" w:cs="Arial"/>
                <w:lang w:val="en-US"/>
              </w:rPr>
            </w:pPr>
            <w:r w:rsidRPr="000E437E">
              <w:rPr>
                <w:rFonts w:ascii="Arial" w:eastAsia="Times New Roman" w:hAnsi="Arial" w:cs="Arial"/>
                <w:lang w:val="en-US"/>
              </w:rPr>
              <w:t>25%</w:t>
            </w:r>
          </w:p>
        </w:tc>
      </w:tr>
      <w:tr w:rsidR="00E4410F" w:rsidRPr="000E437E" w14:paraId="7519FFF3" w14:textId="77777777" w:rsidTr="00FF165C">
        <w:tc>
          <w:tcPr>
            <w:tcW w:w="6655" w:type="dxa"/>
            <w:hideMark/>
          </w:tcPr>
          <w:p w14:paraId="028EC22C" w14:textId="77777777" w:rsidR="00205B25" w:rsidRPr="000E437E" w:rsidRDefault="00205B25" w:rsidP="000E437E">
            <w:pPr>
              <w:spacing w:line="360" w:lineRule="auto"/>
              <w:jc w:val="both"/>
              <w:rPr>
                <w:rFonts w:ascii="Arial" w:eastAsia="Times New Roman" w:hAnsi="Arial" w:cs="Arial"/>
                <w:lang w:val="en-US"/>
              </w:rPr>
            </w:pPr>
            <w:r w:rsidRPr="000E437E">
              <w:rPr>
                <w:rFonts w:ascii="Arial" w:eastAsia="Times New Roman" w:hAnsi="Arial" w:cs="Arial"/>
                <w:lang w:val="en-US"/>
              </w:rPr>
              <w:t>Correlation between remote work hours &amp; stress levels</w:t>
            </w:r>
          </w:p>
        </w:tc>
        <w:tc>
          <w:tcPr>
            <w:tcW w:w="3150" w:type="dxa"/>
            <w:hideMark/>
          </w:tcPr>
          <w:p w14:paraId="39BBCFA7" w14:textId="77777777" w:rsidR="00205B25" w:rsidRPr="000E437E" w:rsidRDefault="00205B25" w:rsidP="000E437E">
            <w:pPr>
              <w:spacing w:line="360" w:lineRule="auto"/>
              <w:jc w:val="both"/>
              <w:rPr>
                <w:rFonts w:ascii="Arial" w:eastAsia="Times New Roman" w:hAnsi="Arial" w:cs="Arial"/>
                <w:lang w:val="en-US"/>
              </w:rPr>
            </w:pPr>
            <w:r w:rsidRPr="000E437E">
              <w:rPr>
                <w:rFonts w:ascii="Arial" w:eastAsia="Times New Roman" w:hAnsi="Arial" w:cs="Arial"/>
                <w:lang w:val="en-US"/>
              </w:rPr>
              <w:t>-0.45 (negative)</w:t>
            </w:r>
          </w:p>
        </w:tc>
      </w:tr>
    </w:tbl>
    <w:p w14:paraId="6AD010DE" w14:textId="77777777" w:rsidR="00205B25" w:rsidRPr="000E437E" w:rsidRDefault="00205B25" w:rsidP="000E437E">
      <w:pPr>
        <w:spacing w:line="360" w:lineRule="auto"/>
        <w:jc w:val="both"/>
        <w:rPr>
          <w:rFonts w:ascii="Arial" w:hAnsi="Arial" w:cs="Arial"/>
          <w:sz w:val="22"/>
          <w:lang w:val="en-US" w:bidi="th-TH"/>
        </w:rPr>
      </w:pPr>
    </w:p>
    <w:sectPr w:rsidR="00205B25" w:rsidRPr="000E437E" w:rsidSect="009F0052">
      <w:footerReference w:type="default" r:id="rId8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7E63C9" w14:textId="77777777" w:rsidR="009F0052" w:rsidRDefault="009F0052" w:rsidP="004D32AF">
      <w:pPr>
        <w:spacing w:after="0" w:line="240" w:lineRule="auto"/>
      </w:pPr>
      <w:r>
        <w:separator/>
      </w:r>
    </w:p>
  </w:endnote>
  <w:endnote w:type="continuationSeparator" w:id="0">
    <w:p w14:paraId="3D1ED67A" w14:textId="77777777" w:rsidR="009F0052" w:rsidRDefault="009F0052" w:rsidP="004D3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545022"/>
      <w:docPartObj>
        <w:docPartGallery w:val="Page Numbers (Bottom of Page)"/>
        <w:docPartUnique/>
      </w:docPartObj>
    </w:sdtPr>
    <w:sdtEndPr>
      <w:rPr>
        <w:noProof/>
      </w:rPr>
    </w:sdtEndPr>
    <w:sdtContent>
      <w:p w14:paraId="3590C87C" w14:textId="4682BF55" w:rsidR="004D32AF" w:rsidRDefault="004D32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191E48" w14:textId="77777777" w:rsidR="004D32AF" w:rsidRDefault="004D3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5B0D2A" w14:textId="77777777" w:rsidR="009F0052" w:rsidRDefault="009F0052" w:rsidP="004D32AF">
      <w:pPr>
        <w:spacing w:after="0" w:line="240" w:lineRule="auto"/>
      </w:pPr>
      <w:r>
        <w:separator/>
      </w:r>
    </w:p>
  </w:footnote>
  <w:footnote w:type="continuationSeparator" w:id="0">
    <w:p w14:paraId="2810FABA" w14:textId="77777777" w:rsidR="009F0052" w:rsidRDefault="009F0052" w:rsidP="004D32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332A8"/>
    <w:multiLevelType w:val="hybridMultilevel"/>
    <w:tmpl w:val="4B7AD508"/>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1" w15:restartNumberingAfterBreak="0">
    <w:nsid w:val="1D625D4E"/>
    <w:multiLevelType w:val="multilevel"/>
    <w:tmpl w:val="90E8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971B59"/>
    <w:multiLevelType w:val="multilevel"/>
    <w:tmpl w:val="D77E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7E31D8"/>
    <w:multiLevelType w:val="multilevel"/>
    <w:tmpl w:val="CCDA5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0E4D88"/>
    <w:multiLevelType w:val="hybridMultilevel"/>
    <w:tmpl w:val="20BACD46"/>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5" w15:restartNumberingAfterBreak="0">
    <w:nsid w:val="59A26637"/>
    <w:multiLevelType w:val="multilevel"/>
    <w:tmpl w:val="153A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139218B"/>
    <w:multiLevelType w:val="multilevel"/>
    <w:tmpl w:val="F146B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AB334F"/>
    <w:multiLevelType w:val="multilevel"/>
    <w:tmpl w:val="269CB8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2032782">
    <w:abstractNumId w:val="3"/>
  </w:num>
  <w:num w:numId="2" w16cid:durableId="504828237">
    <w:abstractNumId w:val="1"/>
  </w:num>
  <w:num w:numId="3" w16cid:durableId="1475488234">
    <w:abstractNumId w:val="6"/>
  </w:num>
  <w:num w:numId="4" w16cid:durableId="1218932865">
    <w:abstractNumId w:val="2"/>
  </w:num>
  <w:num w:numId="5" w16cid:durableId="157120162">
    <w:abstractNumId w:val="5"/>
  </w:num>
  <w:num w:numId="6" w16cid:durableId="1283802317">
    <w:abstractNumId w:val="7"/>
  </w:num>
  <w:num w:numId="7" w16cid:durableId="1986272040">
    <w:abstractNumId w:val="0"/>
  </w:num>
  <w:num w:numId="8" w16cid:durableId="19629595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2AF"/>
    <w:rsid w:val="00021072"/>
    <w:rsid w:val="00031DC5"/>
    <w:rsid w:val="00033126"/>
    <w:rsid w:val="0008492C"/>
    <w:rsid w:val="00085C63"/>
    <w:rsid w:val="00086C08"/>
    <w:rsid w:val="000870A9"/>
    <w:rsid w:val="000A49D7"/>
    <w:rsid w:val="000A5C97"/>
    <w:rsid w:val="000C0ABE"/>
    <w:rsid w:val="000C1D89"/>
    <w:rsid w:val="000C6C66"/>
    <w:rsid w:val="000D155A"/>
    <w:rsid w:val="000D17C9"/>
    <w:rsid w:val="000D50C6"/>
    <w:rsid w:val="000E437E"/>
    <w:rsid w:val="000E5C61"/>
    <w:rsid w:val="000F6136"/>
    <w:rsid w:val="00106EB9"/>
    <w:rsid w:val="00106F14"/>
    <w:rsid w:val="001149A5"/>
    <w:rsid w:val="001162D3"/>
    <w:rsid w:val="0011750B"/>
    <w:rsid w:val="00124BDD"/>
    <w:rsid w:val="00126BCD"/>
    <w:rsid w:val="0012775A"/>
    <w:rsid w:val="00183C64"/>
    <w:rsid w:val="00187E4C"/>
    <w:rsid w:val="00193E55"/>
    <w:rsid w:val="001A59B0"/>
    <w:rsid w:val="001B22AB"/>
    <w:rsid w:val="001B377E"/>
    <w:rsid w:val="001B73F8"/>
    <w:rsid w:val="001B7701"/>
    <w:rsid w:val="001C7056"/>
    <w:rsid w:val="001E36C7"/>
    <w:rsid w:val="001E3A67"/>
    <w:rsid w:val="001F7AD4"/>
    <w:rsid w:val="00205B25"/>
    <w:rsid w:val="00223F7A"/>
    <w:rsid w:val="00226658"/>
    <w:rsid w:val="00254CAA"/>
    <w:rsid w:val="002558C7"/>
    <w:rsid w:val="00261501"/>
    <w:rsid w:val="002625AD"/>
    <w:rsid w:val="00271330"/>
    <w:rsid w:val="00271B28"/>
    <w:rsid w:val="00283B6F"/>
    <w:rsid w:val="002846E0"/>
    <w:rsid w:val="00286029"/>
    <w:rsid w:val="002B10CE"/>
    <w:rsid w:val="002D1045"/>
    <w:rsid w:val="002D20BF"/>
    <w:rsid w:val="003038CF"/>
    <w:rsid w:val="0030485C"/>
    <w:rsid w:val="00306913"/>
    <w:rsid w:val="003118A4"/>
    <w:rsid w:val="0032318C"/>
    <w:rsid w:val="0033034E"/>
    <w:rsid w:val="00334DC8"/>
    <w:rsid w:val="003512AA"/>
    <w:rsid w:val="00383173"/>
    <w:rsid w:val="003A337A"/>
    <w:rsid w:val="003A46FC"/>
    <w:rsid w:val="003B6236"/>
    <w:rsid w:val="003C3A74"/>
    <w:rsid w:val="003D2227"/>
    <w:rsid w:val="003D48D0"/>
    <w:rsid w:val="003E4F38"/>
    <w:rsid w:val="003F5817"/>
    <w:rsid w:val="00414EE6"/>
    <w:rsid w:val="004335D7"/>
    <w:rsid w:val="00435FA5"/>
    <w:rsid w:val="00455709"/>
    <w:rsid w:val="00464AE0"/>
    <w:rsid w:val="004752DA"/>
    <w:rsid w:val="004B4D21"/>
    <w:rsid w:val="004B53F2"/>
    <w:rsid w:val="004D32AF"/>
    <w:rsid w:val="004D550C"/>
    <w:rsid w:val="004E6064"/>
    <w:rsid w:val="00501EEE"/>
    <w:rsid w:val="00512230"/>
    <w:rsid w:val="0051678D"/>
    <w:rsid w:val="00522690"/>
    <w:rsid w:val="00526666"/>
    <w:rsid w:val="00541058"/>
    <w:rsid w:val="00544CAE"/>
    <w:rsid w:val="00552E45"/>
    <w:rsid w:val="00560580"/>
    <w:rsid w:val="00572F90"/>
    <w:rsid w:val="005817DE"/>
    <w:rsid w:val="00585968"/>
    <w:rsid w:val="00590ADE"/>
    <w:rsid w:val="005E0321"/>
    <w:rsid w:val="005E17FB"/>
    <w:rsid w:val="005E42AE"/>
    <w:rsid w:val="00601CD7"/>
    <w:rsid w:val="00601DA7"/>
    <w:rsid w:val="00602F3D"/>
    <w:rsid w:val="00604982"/>
    <w:rsid w:val="006175AF"/>
    <w:rsid w:val="006571B0"/>
    <w:rsid w:val="00664869"/>
    <w:rsid w:val="00683F61"/>
    <w:rsid w:val="0069042E"/>
    <w:rsid w:val="0069464A"/>
    <w:rsid w:val="006962BA"/>
    <w:rsid w:val="006A4D2D"/>
    <w:rsid w:val="006B0192"/>
    <w:rsid w:val="006E2812"/>
    <w:rsid w:val="006F35FA"/>
    <w:rsid w:val="006F58A1"/>
    <w:rsid w:val="00700BB7"/>
    <w:rsid w:val="00702477"/>
    <w:rsid w:val="0070329D"/>
    <w:rsid w:val="007068E3"/>
    <w:rsid w:val="0071197B"/>
    <w:rsid w:val="007125BE"/>
    <w:rsid w:val="00717A2E"/>
    <w:rsid w:val="00732B56"/>
    <w:rsid w:val="00736E49"/>
    <w:rsid w:val="007417C2"/>
    <w:rsid w:val="00765201"/>
    <w:rsid w:val="0077197B"/>
    <w:rsid w:val="00773B86"/>
    <w:rsid w:val="00781EB4"/>
    <w:rsid w:val="00794B49"/>
    <w:rsid w:val="007A063F"/>
    <w:rsid w:val="007B3BF4"/>
    <w:rsid w:val="00806841"/>
    <w:rsid w:val="0083735D"/>
    <w:rsid w:val="008643E9"/>
    <w:rsid w:val="0087277E"/>
    <w:rsid w:val="008800C6"/>
    <w:rsid w:val="008A1EC6"/>
    <w:rsid w:val="008A6CCF"/>
    <w:rsid w:val="008C1506"/>
    <w:rsid w:val="008C51BF"/>
    <w:rsid w:val="008D55B4"/>
    <w:rsid w:val="008E651B"/>
    <w:rsid w:val="0091563A"/>
    <w:rsid w:val="00953FA8"/>
    <w:rsid w:val="0096349E"/>
    <w:rsid w:val="0097193D"/>
    <w:rsid w:val="00992C14"/>
    <w:rsid w:val="009D112A"/>
    <w:rsid w:val="009D3004"/>
    <w:rsid w:val="009E2534"/>
    <w:rsid w:val="009F0052"/>
    <w:rsid w:val="009F27D0"/>
    <w:rsid w:val="009F7793"/>
    <w:rsid w:val="00A00B55"/>
    <w:rsid w:val="00A02D79"/>
    <w:rsid w:val="00A23F18"/>
    <w:rsid w:val="00A32139"/>
    <w:rsid w:val="00A32B68"/>
    <w:rsid w:val="00A40304"/>
    <w:rsid w:val="00A5164C"/>
    <w:rsid w:val="00A55421"/>
    <w:rsid w:val="00A55652"/>
    <w:rsid w:val="00A62EB9"/>
    <w:rsid w:val="00A74E9F"/>
    <w:rsid w:val="00A75A82"/>
    <w:rsid w:val="00B2053A"/>
    <w:rsid w:val="00B32A3A"/>
    <w:rsid w:val="00B45165"/>
    <w:rsid w:val="00B47E24"/>
    <w:rsid w:val="00B54B1D"/>
    <w:rsid w:val="00B60199"/>
    <w:rsid w:val="00B633D8"/>
    <w:rsid w:val="00B638AC"/>
    <w:rsid w:val="00B70BD2"/>
    <w:rsid w:val="00BA2E5F"/>
    <w:rsid w:val="00BA45BC"/>
    <w:rsid w:val="00BA474C"/>
    <w:rsid w:val="00BA5BD5"/>
    <w:rsid w:val="00BB02B2"/>
    <w:rsid w:val="00BB6526"/>
    <w:rsid w:val="00BB7181"/>
    <w:rsid w:val="00BC2E0C"/>
    <w:rsid w:val="00BE75E8"/>
    <w:rsid w:val="00C04280"/>
    <w:rsid w:val="00C2167F"/>
    <w:rsid w:val="00C25749"/>
    <w:rsid w:val="00C31631"/>
    <w:rsid w:val="00C4786B"/>
    <w:rsid w:val="00C62506"/>
    <w:rsid w:val="00C86B71"/>
    <w:rsid w:val="00C93E35"/>
    <w:rsid w:val="00CA73DA"/>
    <w:rsid w:val="00CB6DFE"/>
    <w:rsid w:val="00CC4C01"/>
    <w:rsid w:val="00CC6A43"/>
    <w:rsid w:val="00CD2F90"/>
    <w:rsid w:val="00D029DF"/>
    <w:rsid w:val="00D04CC7"/>
    <w:rsid w:val="00D157A4"/>
    <w:rsid w:val="00D24627"/>
    <w:rsid w:val="00D3034C"/>
    <w:rsid w:val="00D330AE"/>
    <w:rsid w:val="00D33249"/>
    <w:rsid w:val="00D5276F"/>
    <w:rsid w:val="00D71664"/>
    <w:rsid w:val="00D74B4D"/>
    <w:rsid w:val="00D960E5"/>
    <w:rsid w:val="00DA2A7B"/>
    <w:rsid w:val="00DB25E4"/>
    <w:rsid w:val="00DC0991"/>
    <w:rsid w:val="00DC33B7"/>
    <w:rsid w:val="00DC51DB"/>
    <w:rsid w:val="00DD284B"/>
    <w:rsid w:val="00DD7009"/>
    <w:rsid w:val="00DE143B"/>
    <w:rsid w:val="00DF2C19"/>
    <w:rsid w:val="00DF48C8"/>
    <w:rsid w:val="00DF5CFA"/>
    <w:rsid w:val="00E04542"/>
    <w:rsid w:val="00E12C7D"/>
    <w:rsid w:val="00E35324"/>
    <w:rsid w:val="00E37ADE"/>
    <w:rsid w:val="00E4410F"/>
    <w:rsid w:val="00E47AF1"/>
    <w:rsid w:val="00E52C96"/>
    <w:rsid w:val="00E56487"/>
    <w:rsid w:val="00E63594"/>
    <w:rsid w:val="00E64F54"/>
    <w:rsid w:val="00E92DF4"/>
    <w:rsid w:val="00E9696B"/>
    <w:rsid w:val="00EA4C04"/>
    <w:rsid w:val="00EB205A"/>
    <w:rsid w:val="00EB6143"/>
    <w:rsid w:val="00EC64ED"/>
    <w:rsid w:val="00ED5A87"/>
    <w:rsid w:val="00ED7EBB"/>
    <w:rsid w:val="00EE30B0"/>
    <w:rsid w:val="00F00004"/>
    <w:rsid w:val="00F0239F"/>
    <w:rsid w:val="00F12311"/>
    <w:rsid w:val="00F243CD"/>
    <w:rsid w:val="00F40187"/>
    <w:rsid w:val="00F602EC"/>
    <w:rsid w:val="00F62E4B"/>
    <w:rsid w:val="00F65DD5"/>
    <w:rsid w:val="00F82C55"/>
    <w:rsid w:val="00F96A13"/>
    <w:rsid w:val="00FA1F07"/>
    <w:rsid w:val="00FC4AE3"/>
    <w:rsid w:val="00FD0713"/>
    <w:rsid w:val="00FD591D"/>
    <w:rsid w:val="00FE2166"/>
    <w:rsid w:val="00FF165C"/>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437E1D"/>
  <w15:docId w15:val="{165857C0-526D-46CD-9E0B-2D7E26463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2AB"/>
    <w:rPr>
      <w:rFonts w:ascii="Times New Roman" w:hAnsi="Times New Roman"/>
      <w:kern w:val="0"/>
      <w:sz w:val="24"/>
      <w:szCs w:val="22"/>
      <w:lang w:val="en-IN" w:bidi="ar-SA"/>
    </w:rPr>
  </w:style>
  <w:style w:type="paragraph" w:styleId="Heading1">
    <w:name w:val="heading 1"/>
    <w:basedOn w:val="Normal"/>
    <w:next w:val="Normal"/>
    <w:link w:val="Heading1Char"/>
    <w:uiPriority w:val="9"/>
    <w:qFormat/>
    <w:rsid w:val="006175AF"/>
    <w:pPr>
      <w:keepNext/>
      <w:keepLines/>
      <w:spacing w:before="240" w:after="0"/>
      <w:outlineLvl w:val="0"/>
    </w:pPr>
    <w:rPr>
      <w:rFonts w:eastAsiaTheme="majorEastAsia" w:cstheme="majorBidi"/>
      <w:b/>
      <w:color w:val="000000" w:themeColor="text1"/>
      <w:szCs w:val="32"/>
      <w:lang w:val="en-US" w:bidi="th-TH"/>
    </w:rPr>
  </w:style>
  <w:style w:type="paragraph" w:styleId="Heading2">
    <w:name w:val="heading 2"/>
    <w:basedOn w:val="Normal"/>
    <w:next w:val="Normal"/>
    <w:link w:val="Heading2Char"/>
    <w:uiPriority w:val="9"/>
    <w:unhideWhenUsed/>
    <w:qFormat/>
    <w:rsid w:val="00BA5BD5"/>
    <w:pPr>
      <w:keepNext/>
      <w:keepLines/>
      <w:spacing w:before="40" w:after="0" w:line="276" w:lineRule="auto"/>
      <w:outlineLvl w:val="1"/>
    </w:pPr>
    <w:rPr>
      <w:rFonts w:eastAsiaTheme="majorEastAsia" w:cstheme="majorBidi"/>
      <w:b/>
      <w:color w:val="000000" w:themeColor="text1"/>
      <w:szCs w:val="26"/>
      <w:lang w:val="en-US" w:bidi="th-TH"/>
    </w:rPr>
  </w:style>
  <w:style w:type="paragraph" w:styleId="Heading3">
    <w:name w:val="heading 3"/>
    <w:basedOn w:val="Normal"/>
    <w:next w:val="Normal"/>
    <w:link w:val="Heading3Char"/>
    <w:uiPriority w:val="9"/>
    <w:semiHidden/>
    <w:unhideWhenUsed/>
    <w:qFormat/>
    <w:rsid w:val="004752DA"/>
    <w:pPr>
      <w:keepNext/>
      <w:keepLines/>
      <w:spacing w:before="40" w:after="0"/>
      <w:outlineLvl w:val="2"/>
    </w:pPr>
    <w:rPr>
      <w:rFonts w:eastAsiaTheme="majorEastAsia" w:cstheme="majorBidi"/>
      <w:b/>
      <w:color w:val="000000" w:themeColor="text1"/>
      <w:szCs w:val="30"/>
    </w:rPr>
  </w:style>
  <w:style w:type="paragraph" w:styleId="Heading4">
    <w:name w:val="heading 4"/>
    <w:basedOn w:val="Normal"/>
    <w:next w:val="Normal"/>
    <w:link w:val="Heading4Char"/>
    <w:uiPriority w:val="9"/>
    <w:semiHidden/>
    <w:unhideWhenUsed/>
    <w:qFormat/>
    <w:rsid w:val="004B53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5AF"/>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BA5BD5"/>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4752DA"/>
    <w:rPr>
      <w:rFonts w:ascii="Times New Roman" w:eastAsiaTheme="majorEastAsia" w:hAnsi="Times New Roman" w:cstheme="majorBidi"/>
      <w:b/>
      <w:color w:val="000000" w:themeColor="text1"/>
      <w:sz w:val="24"/>
      <w:szCs w:val="30"/>
    </w:rPr>
  </w:style>
  <w:style w:type="paragraph" w:styleId="Header">
    <w:name w:val="header"/>
    <w:basedOn w:val="Normal"/>
    <w:link w:val="HeaderChar"/>
    <w:uiPriority w:val="99"/>
    <w:unhideWhenUsed/>
    <w:rsid w:val="004D32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32AF"/>
    <w:rPr>
      <w:rFonts w:ascii="Times New Roman" w:hAnsi="Times New Roman"/>
      <w:kern w:val="0"/>
      <w:sz w:val="24"/>
      <w:szCs w:val="22"/>
      <w:lang w:val="en-IN" w:bidi="ar-SA"/>
    </w:rPr>
  </w:style>
  <w:style w:type="paragraph" w:styleId="Footer">
    <w:name w:val="footer"/>
    <w:basedOn w:val="Normal"/>
    <w:link w:val="FooterChar"/>
    <w:uiPriority w:val="99"/>
    <w:unhideWhenUsed/>
    <w:rsid w:val="004D32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32AF"/>
    <w:rPr>
      <w:rFonts w:ascii="Times New Roman" w:hAnsi="Times New Roman"/>
      <w:kern w:val="0"/>
      <w:sz w:val="24"/>
      <w:szCs w:val="22"/>
      <w:lang w:val="en-IN" w:bidi="ar-SA"/>
    </w:rPr>
  </w:style>
  <w:style w:type="paragraph" w:styleId="NormalWeb">
    <w:name w:val="Normal (Web)"/>
    <w:basedOn w:val="Normal"/>
    <w:uiPriority w:val="99"/>
    <w:unhideWhenUsed/>
    <w:rsid w:val="000F6136"/>
    <w:pPr>
      <w:spacing w:before="100" w:beforeAutospacing="1" w:after="100" w:afterAutospacing="1" w:line="240" w:lineRule="auto"/>
    </w:pPr>
    <w:rPr>
      <w:rFonts w:eastAsia="Times New Roman" w:cs="Times New Roman"/>
      <w:szCs w:val="24"/>
      <w:lang w:val="en-US"/>
    </w:rPr>
  </w:style>
  <w:style w:type="character" w:styleId="Hyperlink">
    <w:name w:val="Hyperlink"/>
    <w:basedOn w:val="DefaultParagraphFont"/>
    <w:uiPriority w:val="99"/>
    <w:unhideWhenUsed/>
    <w:rsid w:val="000F6136"/>
    <w:rPr>
      <w:color w:val="0563C1" w:themeColor="hyperlink"/>
      <w:u w:val="single"/>
    </w:rPr>
  </w:style>
  <w:style w:type="character" w:styleId="UnresolvedMention">
    <w:name w:val="Unresolved Mention"/>
    <w:basedOn w:val="DefaultParagraphFont"/>
    <w:uiPriority w:val="99"/>
    <w:semiHidden/>
    <w:unhideWhenUsed/>
    <w:rsid w:val="000F6136"/>
    <w:rPr>
      <w:color w:val="605E5C"/>
      <w:shd w:val="clear" w:color="auto" w:fill="E1DFDD"/>
    </w:rPr>
  </w:style>
  <w:style w:type="paragraph" w:styleId="TOCHeading">
    <w:name w:val="TOC Heading"/>
    <w:basedOn w:val="Heading1"/>
    <w:next w:val="Normal"/>
    <w:uiPriority w:val="39"/>
    <w:unhideWhenUsed/>
    <w:qFormat/>
    <w:rsid w:val="0091563A"/>
    <w:pPr>
      <w:outlineLvl w:val="9"/>
    </w:pPr>
    <w:rPr>
      <w:rFonts w:asciiTheme="majorHAnsi" w:hAnsiTheme="majorHAnsi"/>
      <w:b w:val="0"/>
      <w:color w:val="2F5496" w:themeColor="accent1" w:themeShade="BF"/>
      <w:sz w:val="32"/>
      <w:lang w:bidi="ar-SA"/>
    </w:rPr>
  </w:style>
  <w:style w:type="paragraph" w:styleId="TOC1">
    <w:name w:val="toc 1"/>
    <w:basedOn w:val="Normal"/>
    <w:next w:val="Normal"/>
    <w:autoRedefine/>
    <w:uiPriority w:val="39"/>
    <w:unhideWhenUsed/>
    <w:rsid w:val="0091563A"/>
    <w:pPr>
      <w:spacing w:after="100"/>
    </w:pPr>
  </w:style>
  <w:style w:type="paragraph" w:styleId="TOC2">
    <w:name w:val="toc 2"/>
    <w:basedOn w:val="Normal"/>
    <w:next w:val="Normal"/>
    <w:autoRedefine/>
    <w:uiPriority w:val="39"/>
    <w:unhideWhenUsed/>
    <w:rsid w:val="0091563A"/>
    <w:pPr>
      <w:spacing w:after="100"/>
      <w:ind w:left="240"/>
    </w:pPr>
  </w:style>
  <w:style w:type="table" w:styleId="TableGrid">
    <w:name w:val="Table Grid"/>
    <w:basedOn w:val="TableNormal"/>
    <w:uiPriority w:val="39"/>
    <w:rsid w:val="00205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541058"/>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541058"/>
    <w:rPr>
      <w:rFonts w:ascii="Arial" w:eastAsia="Times New Roman" w:hAnsi="Arial" w:cs="Arial"/>
      <w:vanish/>
      <w:kern w:val="0"/>
      <w:sz w:val="16"/>
      <w:szCs w:val="16"/>
      <w:lang w:bidi="ar-SA"/>
    </w:rPr>
  </w:style>
  <w:style w:type="character" w:customStyle="1" w:styleId="Heading4Char">
    <w:name w:val="Heading 4 Char"/>
    <w:basedOn w:val="DefaultParagraphFont"/>
    <w:link w:val="Heading4"/>
    <w:uiPriority w:val="9"/>
    <w:semiHidden/>
    <w:rsid w:val="004B53F2"/>
    <w:rPr>
      <w:rFonts w:asciiTheme="majorHAnsi" w:eastAsiaTheme="majorEastAsia" w:hAnsiTheme="majorHAnsi" w:cstheme="majorBidi"/>
      <w:i/>
      <w:iCs/>
      <w:color w:val="2F5496" w:themeColor="accent1" w:themeShade="BF"/>
      <w:kern w:val="0"/>
      <w:sz w:val="24"/>
      <w:szCs w:val="22"/>
      <w:lang w:val="en-IN" w:bidi="ar-SA"/>
    </w:rPr>
  </w:style>
  <w:style w:type="paragraph" w:styleId="Caption">
    <w:name w:val="caption"/>
    <w:basedOn w:val="Normal"/>
    <w:next w:val="Normal"/>
    <w:uiPriority w:val="35"/>
    <w:unhideWhenUsed/>
    <w:qFormat/>
    <w:rsid w:val="00717A2E"/>
    <w:pPr>
      <w:spacing w:after="200" w:line="240" w:lineRule="auto"/>
    </w:pPr>
    <w:rPr>
      <w:szCs w:val="24"/>
    </w:rPr>
  </w:style>
  <w:style w:type="paragraph" w:styleId="TableofFigures">
    <w:name w:val="table of figures"/>
    <w:basedOn w:val="Normal"/>
    <w:next w:val="Normal"/>
    <w:uiPriority w:val="99"/>
    <w:unhideWhenUsed/>
    <w:rsid w:val="007125BE"/>
    <w:pPr>
      <w:spacing w:after="0"/>
    </w:pPr>
  </w:style>
  <w:style w:type="paragraph" w:styleId="ListParagraph">
    <w:name w:val="List Paragraph"/>
    <w:basedOn w:val="Normal"/>
    <w:uiPriority w:val="34"/>
    <w:qFormat/>
    <w:rsid w:val="000D17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01897">
      <w:bodyDiv w:val="1"/>
      <w:marLeft w:val="0"/>
      <w:marRight w:val="0"/>
      <w:marTop w:val="0"/>
      <w:marBottom w:val="0"/>
      <w:divBdr>
        <w:top w:val="none" w:sz="0" w:space="0" w:color="auto"/>
        <w:left w:val="none" w:sz="0" w:space="0" w:color="auto"/>
        <w:bottom w:val="none" w:sz="0" w:space="0" w:color="auto"/>
        <w:right w:val="none" w:sz="0" w:space="0" w:color="auto"/>
      </w:divBdr>
      <w:divsChild>
        <w:div w:id="517353512">
          <w:marLeft w:val="0"/>
          <w:marRight w:val="0"/>
          <w:marTop w:val="0"/>
          <w:marBottom w:val="0"/>
          <w:divBdr>
            <w:top w:val="single" w:sz="6" w:space="0" w:color="auto"/>
            <w:left w:val="single" w:sz="6" w:space="0" w:color="auto"/>
            <w:bottom w:val="single" w:sz="6" w:space="0" w:color="auto"/>
            <w:right w:val="single" w:sz="6" w:space="0" w:color="auto"/>
          </w:divBdr>
        </w:div>
      </w:divsChild>
    </w:div>
    <w:div w:id="45567298">
      <w:bodyDiv w:val="1"/>
      <w:marLeft w:val="0"/>
      <w:marRight w:val="0"/>
      <w:marTop w:val="0"/>
      <w:marBottom w:val="0"/>
      <w:divBdr>
        <w:top w:val="none" w:sz="0" w:space="0" w:color="auto"/>
        <w:left w:val="none" w:sz="0" w:space="0" w:color="auto"/>
        <w:bottom w:val="none" w:sz="0" w:space="0" w:color="auto"/>
        <w:right w:val="none" w:sz="0" w:space="0" w:color="auto"/>
      </w:divBdr>
    </w:div>
    <w:div w:id="60718125">
      <w:bodyDiv w:val="1"/>
      <w:marLeft w:val="0"/>
      <w:marRight w:val="0"/>
      <w:marTop w:val="0"/>
      <w:marBottom w:val="0"/>
      <w:divBdr>
        <w:top w:val="none" w:sz="0" w:space="0" w:color="auto"/>
        <w:left w:val="none" w:sz="0" w:space="0" w:color="auto"/>
        <w:bottom w:val="none" w:sz="0" w:space="0" w:color="auto"/>
        <w:right w:val="none" w:sz="0" w:space="0" w:color="auto"/>
      </w:divBdr>
    </w:div>
    <w:div w:id="71894576">
      <w:bodyDiv w:val="1"/>
      <w:marLeft w:val="0"/>
      <w:marRight w:val="0"/>
      <w:marTop w:val="0"/>
      <w:marBottom w:val="0"/>
      <w:divBdr>
        <w:top w:val="none" w:sz="0" w:space="0" w:color="auto"/>
        <w:left w:val="none" w:sz="0" w:space="0" w:color="auto"/>
        <w:bottom w:val="none" w:sz="0" w:space="0" w:color="auto"/>
        <w:right w:val="none" w:sz="0" w:space="0" w:color="auto"/>
      </w:divBdr>
    </w:div>
    <w:div w:id="91975304">
      <w:bodyDiv w:val="1"/>
      <w:marLeft w:val="0"/>
      <w:marRight w:val="0"/>
      <w:marTop w:val="0"/>
      <w:marBottom w:val="0"/>
      <w:divBdr>
        <w:top w:val="none" w:sz="0" w:space="0" w:color="auto"/>
        <w:left w:val="none" w:sz="0" w:space="0" w:color="auto"/>
        <w:bottom w:val="none" w:sz="0" w:space="0" w:color="auto"/>
        <w:right w:val="none" w:sz="0" w:space="0" w:color="auto"/>
      </w:divBdr>
    </w:div>
    <w:div w:id="94909521">
      <w:bodyDiv w:val="1"/>
      <w:marLeft w:val="0"/>
      <w:marRight w:val="0"/>
      <w:marTop w:val="0"/>
      <w:marBottom w:val="0"/>
      <w:divBdr>
        <w:top w:val="none" w:sz="0" w:space="0" w:color="auto"/>
        <w:left w:val="none" w:sz="0" w:space="0" w:color="auto"/>
        <w:bottom w:val="none" w:sz="0" w:space="0" w:color="auto"/>
        <w:right w:val="none" w:sz="0" w:space="0" w:color="auto"/>
      </w:divBdr>
    </w:div>
    <w:div w:id="121927052">
      <w:bodyDiv w:val="1"/>
      <w:marLeft w:val="0"/>
      <w:marRight w:val="0"/>
      <w:marTop w:val="0"/>
      <w:marBottom w:val="0"/>
      <w:divBdr>
        <w:top w:val="none" w:sz="0" w:space="0" w:color="auto"/>
        <w:left w:val="none" w:sz="0" w:space="0" w:color="auto"/>
        <w:bottom w:val="none" w:sz="0" w:space="0" w:color="auto"/>
        <w:right w:val="none" w:sz="0" w:space="0" w:color="auto"/>
      </w:divBdr>
      <w:divsChild>
        <w:div w:id="939752397">
          <w:marLeft w:val="0"/>
          <w:marRight w:val="0"/>
          <w:marTop w:val="0"/>
          <w:marBottom w:val="0"/>
          <w:divBdr>
            <w:top w:val="single" w:sz="6" w:space="0" w:color="auto"/>
            <w:left w:val="single" w:sz="6" w:space="0" w:color="auto"/>
            <w:bottom w:val="single" w:sz="6" w:space="0" w:color="auto"/>
            <w:right w:val="single" w:sz="6" w:space="0" w:color="auto"/>
          </w:divBdr>
        </w:div>
      </w:divsChild>
    </w:div>
    <w:div w:id="196551889">
      <w:bodyDiv w:val="1"/>
      <w:marLeft w:val="0"/>
      <w:marRight w:val="0"/>
      <w:marTop w:val="0"/>
      <w:marBottom w:val="0"/>
      <w:divBdr>
        <w:top w:val="none" w:sz="0" w:space="0" w:color="auto"/>
        <w:left w:val="none" w:sz="0" w:space="0" w:color="auto"/>
        <w:bottom w:val="none" w:sz="0" w:space="0" w:color="auto"/>
        <w:right w:val="none" w:sz="0" w:space="0" w:color="auto"/>
      </w:divBdr>
    </w:div>
    <w:div w:id="256065009">
      <w:bodyDiv w:val="1"/>
      <w:marLeft w:val="0"/>
      <w:marRight w:val="0"/>
      <w:marTop w:val="0"/>
      <w:marBottom w:val="0"/>
      <w:divBdr>
        <w:top w:val="none" w:sz="0" w:space="0" w:color="auto"/>
        <w:left w:val="none" w:sz="0" w:space="0" w:color="auto"/>
        <w:bottom w:val="none" w:sz="0" w:space="0" w:color="auto"/>
        <w:right w:val="none" w:sz="0" w:space="0" w:color="auto"/>
      </w:divBdr>
    </w:div>
    <w:div w:id="306861480">
      <w:bodyDiv w:val="1"/>
      <w:marLeft w:val="0"/>
      <w:marRight w:val="0"/>
      <w:marTop w:val="0"/>
      <w:marBottom w:val="0"/>
      <w:divBdr>
        <w:top w:val="none" w:sz="0" w:space="0" w:color="auto"/>
        <w:left w:val="none" w:sz="0" w:space="0" w:color="auto"/>
        <w:bottom w:val="none" w:sz="0" w:space="0" w:color="auto"/>
        <w:right w:val="none" w:sz="0" w:space="0" w:color="auto"/>
      </w:divBdr>
    </w:div>
    <w:div w:id="307634649">
      <w:bodyDiv w:val="1"/>
      <w:marLeft w:val="0"/>
      <w:marRight w:val="0"/>
      <w:marTop w:val="0"/>
      <w:marBottom w:val="0"/>
      <w:divBdr>
        <w:top w:val="none" w:sz="0" w:space="0" w:color="auto"/>
        <w:left w:val="none" w:sz="0" w:space="0" w:color="auto"/>
        <w:bottom w:val="none" w:sz="0" w:space="0" w:color="auto"/>
        <w:right w:val="none" w:sz="0" w:space="0" w:color="auto"/>
      </w:divBdr>
      <w:divsChild>
        <w:div w:id="2139251706">
          <w:marLeft w:val="0"/>
          <w:marRight w:val="0"/>
          <w:marTop w:val="0"/>
          <w:marBottom w:val="0"/>
          <w:divBdr>
            <w:top w:val="single" w:sz="6" w:space="0" w:color="auto"/>
            <w:left w:val="single" w:sz="6" w:space="0" w:color="auto"/>
            <w:bottom w:val="single" w:sz="6" w:space="0" w:color="auto"/>
            <w:right w:val="single" w:sz="6" w:space="0" w:color="auto"/>
          </w:divBdr>
        </w:div>
      </w:divsChild>
    </w:div>
    <w:div w:id="374744925">
      <w:bodyDiv w:val="1"/>
      <w:marLeft w:val="0"/>
      <w:marRight w:val="0"/>
      <w:marTop w:val="0"/>
      <w:marBottom w:val="0"/>
      <w:divBdr>
        <w:top w:val="none" w:sz="0" w:space="0" w:color="auto"/>
        <w:left w:val="none" w:sz="0" w:space="0" w:color="auto"/>
        <w:bottom w:val="none" w:sz="0" w:space="0" w:color="auto"/>
        <w:right w:val="none" w:sz="0" w:space="0" w:color="auto"/>
      </w:divBdr>
    </w:div>
    <w:div w:id="377706678">
      <w:bodyDiv w:val="1"/>
      <w:marLeft w:val="0"/>
      <w:marRight w:val="0"/>
      <w:marTop w:val="0"/>
      <w:marBottom w:val="0"/>
      <w:divBdr>
        <w:top w:val="none" w:sz="0" w:space="0" w:color="auto"/>
        <w:left w:val="none" w:sz="0" w:space="0" w:color="auto"/>
        <w:bottom w:val="none" w:sz="0" w:space="0" w:color="auto"/>
        <w:right w:val="none" w:sz="0" w:space="0" w:color="auto"/>
      </w:divBdr>
    </w:div>
    <w:div w:id="414326963">
      <w:bodyDiv w:val="1"/>
      <w:marLeft w:val="0"/>
      <w:marRight w:val="0"/>
      <w:marTop w:val="0"/>
      <w:marBottom w:val="0"/>
      <w:divBdr>
        <w:top w:val="none" w:sz="0" w:space="0" w:color="auto"/>
        <w:left w:val="none" w:sz="0" w:space="0" w:color="auto"/>
        <w:bottom w:val="none" w:sz="0" w:space="0" w:color="auto"/>
        <w:right w:val="none" w:sz="0" w:space="0" w:color="auto"/>
      </w:divBdr>
    </w:div>
    <w:div w:id="417949737">
      <w:bodyDiv w:val="1"/>
      <w:marLeft w:val="0"/>
      <w:marRight w:val="0"/>
      <w:marTop w:val="0"/>
      <w:marBottom w:val="0"/>
      <w:divBdr>
        <w:top w:val="none" w:sz="0" w:space="0" w:color="auto"/>
        <w:left w:val="none" w:sz="0" w:space="0" w:color="auto"/>
        <w:bottom w:val="none" w:sz="0" w:space="0" w:color="auto"/>
        <w:right w:val="none" w:sz="0" w:space="0" w:color="auto"/>
      </w:divBdr>
      <w:divsChild>
        <w:div w:id="1162307219">
          <w:marLeft w:val="0"/>
          <w:marRight w:val="0"/>
          <w:marTop w:val="0"/>
          <w:marBottom w:val="0"/>
          <w:divBdr>
            <w:top w:val="single" w:sz="6" w:space="0" w:color="auto"/>
            <w:left w:val="single" w:sz="6" w:space="0" w:color="auto"/>
            <w:bottom w:val="single" w:sz="6" w:space="0" w:color="auto"/>
            <w:right w:val="single" w:sz="6" w:space="0" w:color="auto"/>
          </w:divBdr>
        </w:div>
      </w:divsChild>
    </w:div>
    <w:div w:id="419446573">
      <w:bodyDiv w:val="1"/>
      <w:marLeft w:val="0"/>
      <w:marRight w:val="0"/>
      <w:marTop w:val="0"/>
      <w:marBottom w:val="0"/>
      <w:divBdr>
        <w:top w:val="none" w:sz="0" w:space="0" w:color="auto"/>
        <w:left w:val="none" w:sz="0" w:space="0" w:color="auto"/>
        <w:bottom w:val="none" w:sz="0" w:space="0" w:color="auto"/>
        <w:right w:val="none" w:sz="0" w:space="0" w:color="auto"/>
      </w:divBdr>
    </w:div>
    <w:div w:id="451633309">
      <w:bodyDiv w:val="1"/>
      <w:marLeft w:val="0"/>
      <w:marRight w:val="0"/>
      <w:marTop w:val="0"/>
      <w:marBottom w:val="0"/>
      <w:divBdr>
        <w:top w:val="none" w:sz="0" w:space="0" w:color="auto"/>
        <w:left w:val="none" w:sz="0" w:space="0" w:color="auto"/>
        <w:bottom w:val="none" w:sz="0" w:space="0" w:color="auto"/>
        <w:right w:val="none" w:sz="0" w:space="0" w:color="auto"/>
      </w:divBdr>
    </w:div>
    <w:div w:id="453407913">
      <w:bodyDiv w:val="1"/>
      <w:marLeft w:val="0"/>
      <w:marRight w:val="0"/>
      <w:marTop w:val="0"/>
      <w:marBottom w:val="0"/>
      <w:divBdr>
        <w:top w:val="none" w:sz="0" w:space="0" w:color="auto"/>
        <w:left w:val="none" w:sz="0" w:space="0" w:color="auto"/>
        <w:bottom w:val="none" w:sz="0" w:space="0" w:color="auto"/>
        <w:right w:val="none" w:sz="0" w:space="0" w:color="auto"/>
      </w:divBdr>
    </w:div>
    <w:div w:id="464860719">
      <w:bodyDiv w:val="1"/>
      <w:marLeft w:val="0"/>
      <w:marRight w:val="0"/>
      <w:marTop w:val="0"/>
      <w:marBottom w:val="0"/>
      <w:divBdr>
        <w:top w:val="none" w:sz="0" w:space="0" w:color="auto"/>
        <w:left w:val="none" w:sz="0" w:space="0" w:color="auto"/>
        <w:bottom w:val="none" w:sz="0" w:space="0" w:color="auto"/>
        <w:right w:val="none" w:sz="0" w:space="0" w:color="auto"/>
      </w:divBdr>
    </w:div>
    <w:div w:id="472329141">
      <w:bodyDiv w:val="1"/>
      <w:marLeft w:val="0"/>
      <w:marRight w:val="0"/>
      <w:marTop w:val="0"/>
      <w:marBottom w:val="0"/>
      <w:divBdr>
        <w:top w:val="none" w:sz="0" w:space="0" w:color="auto"/>
        <w:left w:val="none" w:sz="0" w:space="0" w:color="auto"/>
        <w:bottom w:val="none" w:sz="0" w:space="0" w:color="auto"/>
        <w:right w:val="none" w:sz="0" w:space="0" w:color="auto"/>
      </w:divBdr>
    </w:div>
    <w:div w:id="475420735">
      <w:bodyDiv w:val="1"/>
      <w:marLeft w:val="0"/>
      <w:marRight w:val="0"/>
      <w:marTop w:val="0"/>
      <w:marBottom w:val="0"/>
      <w:divBdr>
        <w:top w:val="none" w:sz="0" w:space="0" w:color="auto"/>
        <w:left w:val="none" w:sz="0" w:space="0" w:color="auto"/>
        <w:bottom w:val="none" w:sz="0" w:space="0" w:color="auto"/>
        <w:right w:val="none" w:sz="0" w:space="0" w:color="auto"/>
      </w:divBdr>
    </w:div>
    <w:div w:id="479344073">
      <w:bodyDiv w:val="1"/>
      <w:marLeft w:val="0"/>
      <w:marRight w:val="0"/>
      <w:marTop w:val="0"/>
      <w:marBottom w:val="0"/>
      <w:divBdr>
        <w:top w:val="none" w:sz="0" w:space="0" w:color="auto"/>
        <w:left w:val="none" w:sz="0" w:space="0" w:color="auto"/>
        <w:bottom w:val="none" w:sz="0" w:space="0" w:color="auto"/>
        <w:right w:val="none" w:sz="0" w:space="0" w:color="auto"/>
      </w:divBdr>
    </w:div>
    <w:div w:id="487866732">
      <w:bodyDiv w:val="1"/>
      <w:marLeft w:val="0"/>
      <w:marRight w:val="0"/>
      <w:marTop w:val="0"/>
      <w:marBottom w:val="0"/>
      <w:divBdr>
        <w:top w:val="none" w:sz="0" w:space="0" w:color="auto"/>
        <w:left w:val="none" w:sz="0" w:space="0" w:color="auto"/>
        <w:bottom w:val="none" w:sz="0" w:space="0" w:color="auto"/>
        <w:right w:val="none" w:sz="0" w:space="0" w:color="auto"/>
      </w:divBdr>
      <w:divsChild>
        <w:div w:id="277032840">
          <w:marLeft w:val="0"/>
          <w:marRight w:val="0"/>
          <w:marTop w:val="0"/>
          <w:marBottom w:val="0"/>
          <w:divBdr>
            <w:top w:val="none" w:sz="0" w:space="0" w:color="auto"/>
            <w:left w:val="none" w:sz="0" w:space="0" w:color="auto"/>
            <w:bottom w:val="none" w:sz="0" w:space="0" w:color="auto"/>
            <w:right w:val="none" w:sz="0" w:space="0" w:color="auto"/>
          </w:divBdr>
        </w:div>
      </w:divsChild>
    </w:div>
    <w:div w:id="495997393">
      <w:bodyDiv w:val="1"/>
      <w:marLeft w:val="0"/>
      <w:marRight w:val="0"/>
      <w:marTop w:val="0"/>
      <w:marBottom w:val="0"/>
      <w:divBdr>
        <w:top w:val="none" w:sz="0" w:space="0" w:color="auto"/>
        <w:left w:val="none" w:sz="0" w:space="0" w:color="auto"/>
        <w:bottom w:val="none" w:sz="0" w:space="0" w:color="auto"/>
        <w:right w:val="none" w:sz="0" w:space="0" w:color="auto"/>
      </w:divBdr>
    </w:div>
    <w:div w:id="512646619">
      <w:bodyDiv w:val="1"/>
      <w:marLeft w:val="0"/>
      <w:marRight w:val="0"/>
      <w:marTop w:val="0"/>
      <w:marBottom w:val="0"/>
      <w:divBdr>
        <w:top w:val="none" w:sz="0" w:space="0" w:color="auto"/>
        <w:left w:val="none" w:sz="0" w:space="0" w:color="auto"/>
        <w:bottom w:val="none" w:sz="0" w:space="0" w:color="auto"/>
        <w:right w:val="none" w:sz="0" w:space="0" w:color="auto"/>
      </w:divBdr>
    </w:div>
    <w:div w:id="528371149">
      <w:bodyDiv w:val="1"/>
      <w:marLeft w:val="0"/>
      <w:marRight w:val="0"/>
      <w:marTop w:val="0"/>
      <w:marBottom w:val="0"/>
      <w:divBdr>
        <w:top w:val="none" w:sz="0" w:space="0" w:color="auto"/>
        <w:left w:val="none" w:sz="0" w:space="0" w:color="auto"/>
        <w:bottom w:val="none" w:sz="0" w:space="0" w:color="auto"/>
        <w:right w:val="none" w:sz="0" w:space="0" w:color="auto"/>
      </w:divBdr>
    </w:div>
    <w:div w:id="555511898">
      <w:bodyDiv w:val="1"/>
      <w:marLeft w:val="0"/>
      <w:marRight w:val="0"/>
      <w:marTop w:val="0"/>
      <w:marBottom w:val="0"/>
      <w:divBdr>
        <w:top w:val="none" w:sz="0" w:space="0" w:color="auto"/>
        <w:left w:val="none" w:sz="0" w:space="0" w:color="auto"/>
        <w:bottom w:val="none" w:sz="0" w:space="0" w:color="auto"/>
        <w:right w:val="none" w:sz="0" w:space="0" w:color="auto"/>
      </w:divBdr>
    </w:div>
    <w:div w:id="610011783">
      <w:bodyDiv w:val="1"/>
      <w:marLeft w:val="0"/>
      <w:marRight w:val="0"/>
      <w:marTop w:val="0"/>
      <w:marBottom w:val="0"/>
      <w:divBdr>
        <w:top w:val="none" w:sz="0" w:space="0" w:color="auto"/>
        <w:left w:val="none" w:sz="0" w:space="0" w:color="auto"/>
        <w:bottom w:val="none" w:sz="0" w:space="0" w:color="auto"/>
        <w:right w:val="none" w:sz="0" w:space="0" w:color="auto"/>
      </w:divBdr>
    </w:div>
    <w:div w:id="629478803">
      <w:bodyDiv w:val="1"/>
      <w:marLeft w:val="0"/>
      <w:marRight w:val="0"/>
      <w:marTop w:val="0"/>
      <w:marBottom w:val="0"/>
      <w:divBdr>
        <w:top w:val="none" w:sz="0" w:space="0" w:color="auto"/>
        <w:left w:val="none" w:sz="0" w:space="0" w:color="auto"/>
        <w:bottom w:val="none" w:sz="0" w:space="0" w:color="auto"/>
        <w:right w:val="none" w:sz="0" w:space="0" w:color="auto"/>
      </w:divBdr>
    </w:div>
    <w:div w:id="671031121">
      <w:bodyDiv w:val="1"/>
      <w:marLeft w:val="0"/>
      <w:marRight w:val="0"/>
      <w:marTop w:val="0"/>
      <w:marBottom w:val="0"/>
      <w:divBdr>
        <w:top w:val="none" w:sz="0" w:space="0" w:color="auto"/>
        <w:left w:val="none" w:sz="0" w:space="0" w:color="auto"/>
        <w:bottom w:val="none" w:sz="0" w:space="0" w:color="auto"/>
        <w:right w:val="none" w:sz="0" w:space="0" w:color="auto"/>
      </w:divBdr>
      <w:divsChild>
        <w:div w:id="1305701111">
          <w:marLeft w:val="0"/>
          <w:marRight w:val="0"/>
          <w:marTop w:val="0"/>
          <w:marBottom w:val="0"/>
          <w:divBdr>
            <w:top w:val="none" w:sz="0" w:space="0" w:color="auto"/>
            <w:left w:val="none" w:sz="0" w:space="0" w:color="auto"/>
            <w:bottom w:val="none" w:sz="0" w:space="0" w:color="auto"/>
            <w:right w:val="none" w:sz="0" w:space="0" w:color="auto"/>
          </w:divBdr>
        </w:div>
      </w:divsChild>
    </w:div>
    <w:div w:id="677922700">
      <w:bodyDiv w:val="1"/>
      <w:marLeft w:val="0"/>
      <w:marRight w:val="0"/>
      <w:marTop w:val="0"/>
      <w:marBottom w:val="0"/>
      <w:divBdr>
        <w:top w:val="none" w:sz="0" w:space="0" w:color="auto"/>
        <w:left w:val="none" w:sz="0" w:space="0" w:color="auto"/>
        <w:bottom w:val="none" w:sz="0" w:space="0" w:color="auto"/>
        <w:right w:val="none" w:sz="0" w:space="0" w:color="auto"/>
      </w:divBdr>
      <w:divsChild>
        <w:div w:id="1033724094">
          <w:marLeft w:val="0"/>
          <w:marRight w:val="0"/>
          <w:marTop w:val="0"/>
          <w:marBottom w:val="0"/>
          <w:divBdr>
            <w:top w:val="single" w:sz="6" w:space="0" w:color="auto"/>
            <w:left w:val="single" w:sz="6" w:space="0" w:color="auto"/>
            <w:bottom w:val="single" w:sz="6" w:space="0" w:color="auto"/>
            <w:right w:val="single" w:sz="6" w:space="0" w:color="auto"/>
          </w:divBdr>
        </w:div>
      </w:divsChild>
    </w:div>
    <w:div w:id="713311440">
      <w:bodyDiv w:val="1"/>
      <w:marLeft w:val="0"/>
      <w:marRight w:val="0"/>
      <w:marTop w:val="0"/>
      <w:marBottom w:val="0"/>
      <w:divBdr>
        <w:top w:val="none" w:sz="0" w:space="0" w:color="auto"/>
        <w:left w:val="none" w:sz="0" w:space="0" w:color="auto"/>
        <w:bottom w:val="none" w:sz="0" w:space="0" w:color="auto"/>
        <w:right w:val="none" w:sz="0" w:space="0" w:color="auto"/>
      </w:divBdr>
    </w:div>
    <w:div w:id="729154926">
      <w:bodyDiv w:val="1"/>
      <w:marLeft w:val="0"/>
      <w:marRight w:val="0"/>
      <w:marTop w:val="0"/>
      <w:marBottom w:val="0"/>
      <w:divBdr>
        <w:top w:val="none" w:sz="0" w:space="0" w:color="auto"/>
        <w:left w:val="none" w:sz="0" w:space="0" w:color="auto"/>
        <w:bottom w:val="none" w:sz="0" w:space="0" w:color="auto"/>
        <w:right w:val="none" w:sz="0" w:space="0" w:color="auto"/>
      </w:divBdr>
    </w:div>
    <w:div w:id="802236923">
      <w:bodyDiv w:val="1"/>
      <w:marLeft w:val="0"/>
      <w:marRight w:val="0"/>
      <w:marTop w:val="0"/>
      <w:marBottom w:val="0"/>
      <w:divBdr>
        <w:top w:val="none" w:sz="0" w:space="0" w:color="auto"/>
        <w:left w:val="none" w:sz="0" w:space="0" w:color="auto"/>
        <w:bottom w:val="none" w:sz="0" w:space="0" w:color="auto"/>
        <w:right w:val="none" w:sz="0" w:space="0" w:color="auto"/>
      </w:divBdr>
      <w:divsChild>
        <w:div w:id="939752851">
          <w:marLeft w:val="0"/>
          <w:marRight w:val="0"/>
          <w:marTop w:val="0"/>
          <w:marBottom w:val="0"/>
          <w:divBdr>
            <w:top w:val="single" w:sz="6" w:space="0" w:color="auto"/>
            <w:left w:val="single" w:sz="6" w:space="0" w:color="auto"/>
            <w:bottom w:val="single" w:sz="6" w:space="0" w:color="auto"/>
            <w:right w:val="single" w:sz="6" w:space="0" w:color="auto"/>
          </w:divBdr>
        </w:div>
      </w:divsChild>
    </w:div>
    <w:div w:id="904529775">
      <w:bodyDiv w:val="1"/>
      <w:marLeft w:val="0"/>
      <w:marRight w:val="0"/>
      <w:marTop w:val="0"/>
      <w:marBottom w:val="0"/>
      <w:divBdr>
        <w:top w:val="none" w:sz="0" w:space="0" w:color="auto"/>
        <w:left w:val="none" w:sz="0" w:space="0" w:color="auto"/>
        <w:bottom w:val="none" w:sz="0" w:space="0" w:color="auto"/>
        <w:right w:val="none" w:sz="0" w:space="0" w:color="auto"/>
      </w:divBdr>
    </w:div>
    <w:div w:id="920258987">
      <w:bodyDiv w:val="1"/>
      <w:marLeft w:val="0"/>
      <w:marRight w:val="0"/>
      <w:marTop w:val="0"/>
      <w:marBottom w:val="0"/>
      <w:divBdr>
        <w:top w:val="none" w:sz="0" w:space="0" w:color="auto"/>
        <w:left w:val="none" w:sz="0" w:space="0" w:color="auto"/>
        <w:bottom w:val="none" w:sz="0" w:space="0" w:color="auto"/>
        <w:right w:val="none" w:sz="0" w:space="0" w:color="auto"/>
      </w:divBdr>
    </w:div>
    <w:div w:id="1071777123">
      <w:bodyDiv w:val="1"/>
      <w:marLeft w:val="0"/>
      <w:marRight w:val="0"/>
      <w:marTop w:val="0"/>
      <w:marBottom w:val="0"/>
      <w:divBdr>
        <w:top w:val="none" w:sz="0" w:space="0" w:color="auto"/>
        <w:left w:val="none" w:sz="0" w:space="0" w:color="auto"/>
        <w:bottom w:val="none" w:sz="0" w:space="0" w:color="auto"/>
        <w:right w:val="none" w:sz="0" w:space="0" w:color="auto"/>
      </w:divBdr>
    </w:div>
    <w:div w:id="1074934257">
      <w:bodyDiv w:val="1"/>
      <w:marLeft w:val="0"/>
      <w:marRight w:val="0"/>
      <w:marTop w:val="0"/>
      <w:marBottom w:val="0"/>
      <w:divBdr>
        <w:top w:val="none" w:sz="0" w:space="0" w:color="auto"/>
        <w:left w:val="none" w:sz="0" w:space="0" w:color="auto"/>
        <w:bottom w:val="none" w:sz="0" w:space="0" w:color="auto"/>
        <w:right w:val="none" w:sz="0" w:space="0" w:color="auto"/>
      </w:divBdr>
    </w:div>
    <w:div w:id="1108240008">
      <w:bodyDiv w:val="1"/>
      <w:marLeft w:val="0"/>
      <w:marRight w:val="0"/>
      <w:marTop w:val="0"/>
      <w:marBottom w:val="0"/>
      <w:divBdr>
        <w:top w:val="none" w:sz="0" w:space="0" w:color="auto"/>
        <w:left w:val="none" w:sz="0" w:space="0" w:color="auto"/>
        <w:bottom w:val="none" w:sz="0" w:space="0" w:color="auto"/>
        <w:right w:val="none" w:sz="0" w:space="0" w:color="auto"/>
      </w:divBdr>
    </w:div>
    <w:div w:id="1117410785">
      <w:bodyDiv w:val="1"/>
      <w:marLeft w:val="0"/>
      <w:marRight w:val="0"/>
      <w:marTop w:val="0"/>
      <w:marBottom w:val="0"/>
      <w:divBdr>
        <w:top w:val="none" w:sz="0" w:space="0" w:color="auto"/>
        <w:left w:val="none" w:sz="0" w:space="0" w:color="auto"/>
        <w:bottom w:val="none" w:sz="0" w:space="0" w:color="auto"/>
        <w:right w:val="none" w:sz="0" w:space="0" w:color="auto"/>
      </w:divBdr>
    </w:div>
    <w:div w:id="1222596758">
      <w:bodyDiv w:val="1"/>
      <w:marLeft w:val="0"/>
      <w:marRight w:val="0"/>
      <w:marTop w:val="0"/>
      <w:marBottom w:val="0"/>
      <w:divBdr>
        <w:top w:val="none" w:sz="0" w:space="0" w:color="auto"/>
        <w:left w:val="none" w:sz="0" w:space="0" w:color="auto"/>
        <w:bottom w:val="none" w:sz="0" w:space="0" w:color="auto"/>
        <w:right w:val="none" w:sz="0" w:space="0" w:color="auto"/>
      </w:divBdr>
      <w:divsChild>
        <w:div w:id="789937097">
          <w:marLeft w:val="0"/>
          <w:marRight w:val="0"/>
          <w:marTop w:val="0"/>
          <w:marBottom w:val="0"/>
          <w:divBdr>
            <w:top w:val="single" w:sz="6" w:space="0" w:color="auto"/>
            <w:left w:val="single" w:sz="6" w:space="0" w:color="auto"/>
            <w:bottom w:val="single" w:sz="6" w:space="0" w:color="auto"/>
            <w:right w:val="single" w:sz="6" w:space="0" w:color="auto"/>
          </w:divBdr>
        </w:div>
      </w:divsChild>
    </w:div>
    <w:div w:id="1256403777">
      <w:bodyDiv w:val="1"/>
      <w:marLeft w:val="0"/>
      <w:marRight w:val="0"/>
      <w:marTop w:val="0"/>
      <w:marBottom w:val="0"/>
      <w:divBdr>
        <w:top w:val="none" w:sz="0" w:space="0" w:color="auto"/>
        <w:left w:val="none" w:sz="0" w:space="0" w:color="auto"/>
        <w:bottom w:val="none" w:sz="0" w:space="0" w:color="auto"/>
        <w:right w:val="none" w:sz="0" w:space="0" w:color="auto"/>
      </w:divBdr>
    </w:div>
    <w:div w:id="1325551874">
      <w:bodyDiv w:val="1"/>
      <w:marLeft w:val="0"/>
      <w:marRight w:val="0"/>
      <w:marTop w:val="0"/>
      <w:marBottom w:val="0"/>
      <w:divBdr>
        <w:top w:val="none" w:sz="0" w:space="0" w:color="auto"/>
        <w:left w:val="none" w:sz="0" w:space="0" w:color="auto"/>
        <w:bottom w:val="none" w:sz="0" w:space="0" w:color="auto"/>
        <w:right w:val="none" w:sz="0" w:space="0" w:color="auto"/>
      </w:divBdr>
    </w:div>
    <w:div w:id="1396319129">
      <w:bodyDiv w:val="1"/>
      <w:marLeft w:val="0"/>
      <w:marRight w:val="0"/>
      <w:marTop w:val="0"/>
      <w:marBottom w:val="0"/>
      <w:divBdr>
        <w:top w:val="none" w:sz="0" w:space="0" w:color="auto"/>
        <w:left w:val="none" w:sz="0" w:space="0" w:color="auto"/>
        <w:bottom w:val="none" w:sz="0" w:space="0" w:color="auto"/>
        <w:right w:val="none" w:sz="0" w:space="0" w:color="auto"/>
      </w:divBdr>
      <w:divsChild>
        <w:div w:id="1983078000">
          <w:marLeft w:val="0"/>
          <w:marRight w:val="0"/>
          <w:marTop w:val="0"/>
          <w:marBottom w:val="0"/>
          <w:divBdr>
            <w:top w:val="single" w:sz="6" w:space="0" w:color="auto"/>
            <w:left w:val="single" w:sz="6" w:space="0" w:color="auto"/>
            <w:bottom w:val="single" w:sz="6" w:space="0" w:color="auto"/>
            <w:right w:val="single" w:sz="6" w:space="0" w:color="auto"/>
          </w:divBdr>
        </w:div>
      </w:divsChild>
    </w:div>
    <w:div w:id="1408263296">
      <w:bodyDiv w:val="1"/>
      <w:marLeft w:val="0"/>
      <w:marRight w:val="0"/>
      <w:marTop w:val="0"/>
      <w:marBottom w:val="0"/>
      <w:divBdr>
        <w:top w:val="none" w:sz="0" w:space="0" w:color="auto"/>
        <w:left w:val="none" w:sz="0" w:space="0" w:color="auto"/>
        <w:bottom w:val="none" w:sz="0" w:space="0" w:color="auto"/>
        <w:right w:val="none" w:sz="0" w:space="0" w:color="auto"/>
      </w:divBdr>
    </w:div>
    <w:div w:id="1410081979">
      <w:bodyDiv w:val="1"/>
      <w:marLeft w:val="0"/>
      <w:marRight w:val="0"/>
      <w:marTop w:val="0"/>
      <w:marBottom w:val="0"/>
      <w:divBdr>
        <w:top w:val="none" w:sz="0" w:space="0" w:color="auto"/>
        <w:left w:val="none" w:sz="0" w:space="0" w:color="auto"/>
        <w:bottom w:val="none" w:sz="0" w:space="0" w:color="auto"/>
        <w:right w:val="none" w:sz="0" w:space="0" w:color="auto"/>
      </w:divBdr>
    </w:div>
    <w:div w:id="1450474208">
      <w:bodyDiv w:val="1"/>
      <w:marLeft w:val="0"/>
      <w:marRight w:val="0"/>
      <w:marTop w:val="0"/>
      <w:marBottom w:val="0"/>
      <w:divBdr>
        <w:top w:val="none" w:sz="0" w:space="0" w:color="auto"/>
        <w:left w:val="none" w:sz="0" w:space="0" w:color="auto"/>
        <w:bottom w:val="none" w:sz="0" w:space="0" w:color="auto"/>
        <w:right w:val="none" w:sz="0" w:space="0" w:color="auto"/>
      </w:divBdr>
      <w:divsChild>
        <w:div w:id="1133406134">
          <w:marLeft w:val="0"/>
          <w:marRight w:val="0"/>
          <w:marTop w:val="0"/>
          <w:marBottom w:val="0"/>
          <w:divBdr>
            <w:top w:val="none" w:sz="0" w:space="0" w:color="auto"/>
            <w:left w:val="none" w:sz="0" w:space="0" w:color="auto"/>
            <w:bottom w:val="none" w:sz="0" w:space="0" w:color="auto"/>
            <w:right w:val="none" w:sz="0" w:space="0" w:color="auto"/>
          </w:divBdr>
        </w:div>
      </w:divsChild>
    </w:div>
    <w:div w:id="1496611510">
      <w:bodyDiv w:val="1"/>
      <w:marLeft w:val="0"/>
      <w:marRight w:val="0"/>
      <w:marTop w:val="0"/>
      <w:marBottom w:val="0"/>
      <w:divBdr>
        <w:top w:val="none" w:sz="0" w:space="0" w:color="auto"/>
        <w:left w:val="none" w:sz="0" w:space="0" w:color="auto"/>
        <w:bottom w:val="none" w:sz="0" w:space="0" w:color="auto"/>
        <w:right w:val="none" w:sz="0" w:space="0" w:color="auto"/>
      </w:divBdr>
      <w:divsChild>
        <w:div w:id="743065565">
          <w:marLeft w:val="0"/>
          <w:marRight w:val="0"/>
          <w:marTop w:val="0"/>
          <w:marBottom w:val="0"/>
          <w:divBdr>
            <w:top w:val="single" w:sz="6" w:space="0" w:color="auto"/>
            <w:left w:val="single" w:sz="6" w:space="0" w:color="auto"/>
            <w:bottom w:val="single" w:sz="6" w:space="0" w:color="auto"/>
            <w:right w:val="single" w:sz="6" w:space="0" w:color="auto"/>
          </w:divBdr>
        </w:div>
      </w:divsChild>
    </w:div>
    <w:div w:id="1526365269">
      <w:bodyDiv w:val="1"/>
      <w:marLeft w:val="0"/>
      <w:marRight w:val="0"/>
      <w:marTop w:val="0"/>
      <w:marBottom w:val="0"/>
      <w:divBdr>
        <w:top w:val="none" w:sz="0" w:space="0" w:color="auto"/>
        <w:left w:val="none" w:sz="0" w:space="0" w:color="auto"/>
        <w:bottom w:val="none" w:sz="0" w:space="0" w:color="auto"/>
        <w:right w:val="none" w:sz="0" w:space="0" w:color="auto"/>
      </w:divBdr>
    </w:div>
    <w:div w:id="1605579790">
      <w:bodyDiv w:val="1"/>
      <w:marLeft w:val="0"/>
      <w:marRight w:val="0"/>
      <w:marTop w:val="0"/>
      <w:marBottom w:val="0"/>
      <w:divBdr>
        <w:top w:val="none" w:sz="0" w:space="0" w:color="auto"/>
        <w:left w:val="none" w:sz="0" w:space="0" w:color="auto"/>
        <w:bottom w:val="none" w:sz="0" w:space="0" w:color="auto"/>
        <w:right w:val="none" w:sz="0" w:space="0" w:color="auto"/>
      </w:divBdr>
    </w:div>
    <w:div w:id="1613435711">
      <w:bodyDiv w:val="1"/>
      <w:marLeft w:val="0"/>
      <w:marRight w:val="0"/>
      <w:marTop w:val="0"/>
      <w:marBottom w:val="0"/>
      <w:divBdr>
        <w:top w:val="none" w:sz="0" w:space="0" w:color="auto"/>
        <w:left w:val="none" w:sz="0" w:space="0" w:color="auto"/>
        <w:bottom w:val="none" w:sz="0" w:space="0" w:color="auto"/>
        <w:right w:val="none" w:sz="0" w:space="0" w:color="auto"/>
      </w:divBdr>
    </w:div>
    <w:div w:id="1708947867">
      <w:bodyDiv w:val="1"/>
      <w:marLeft w:val="0"/>
      <w:marRight w:val="0"/>
      <w:marTop w:val="0"/>
      <w:marBottom w:val="0"/>
      <w:divBdr>
        <w:top w:val="none" w:sz="0" w:space="0" w:color="auto"/>
        <w:left w:val="none" w:sz="0" w:space="0" w:color="auto"/>
        <w:bottom w:val="none" w:sz="0" w:space="0" w:color="auto"/>
        <w:right w:val="none" w:sz="0" w:space="0" w:color="auto"/>
      </w:divBdr>
      <w:divsChild>
        <w:div w:id="86007054">
          <w:marLeft w:val="0"/>
          <w:marRight w:val="0"/>
          <w:marTop w:val="0"/>
          <w:marBottom w:val="0"/>
          <w:divBdr>
            <w:top w:val="single" w:sz="6" w:space="0" w:color="auto"/>
            <w:left w:val="single" w:sz="6" w:space="0" w:color="auto"/>
            <w:bottom w:val="single" w:sz="6" w:space="0" w:color="auto"/>
            <w:right w:val="single" w:sz="6" w:space="0" w:color="auto"/>
          </w:divBdr>
        </w:div>
      </w:divsChild>
    </w:div>
    <w:div w:id="1718775184">
      <w:bodyDiv w:val="1"/>
      <w:marLeft w:val="0"/>
      <w:marRight w:val="0"/>
      <w:marTop w:val="0"/>
      <w:marBottom w:val="0"/>
      <w:divBdr>
        <w:top w:val="none" w:sz="0" w:space="0" w:color="auto"/>
        <w:left w:val="none" w:sz="0" w:space="0" w:color="auto"/>
        <w:bottom w:val="none" w:sz="0" w:space="0" w:color="auto"/>
        <w:right w:val="none" w:sz="0" w:space="0" w:color="auto"/>
      </w:divBdr>
      <w:divsChild>
        <w:div w:id="340016105">
          <w:marLeft w:val="0"/>
          <w:marRight w:val="0"/>
          <w:marTop w:val="0"/>
          <w:marBottom w:val="0"/>
          <w:divBdr>
            <w:top w:val="none" w:sz="0" w:space="0" w:color="auto"/>
            <w:left w:val="none" w:sz="0" w:space="0" w:color="auto"/>
            <w:bottom w:val="none" w:sz="0" w:space="0" w:color="auto"/>
            <w:right w:val="none" w:sz="0" w:space="0" w:color="auto"/>
          </w:divBdr>
        </w:div>
        <w:div w:id="1754930664">
          <w:marLeft w:val="0"/>
          <w:marRight w:val="0"/>
          <w:marTop w:val="0"/>
          <w:marBottom w:val="0"/>
          <w:divBdr>
            <w:top w:val="single" w:sz="2" w:space="0" w:color="E3E3E3"/>
            <w:left w:val="single" w:sz="2" w:space="0" w:color="E3E3E3"/>
            <w:bottom w:val="single" w:sz="2" w:space="0" w:color="E3E3E3"/>
            <w:right w:val="single" w:sz="2" w:space="0" w:color="E3E3E3"/>
          </w:divBdr>
          <w:divsChild>
            <w:div w:id="1016886536">
              <w:marLeft w:val="0"/>
              <w:marRight w:val="0"/>
              <w:marTop w:val="0"/>
              <w:marBottom w:val="0"/>
              <w:divBdr>
                <w:top w:val="single" w:sz="2" w:space="0" w:color="E3E3E3"/>
                <w:left w:val="single" w:sz="2" w:space="0" w:color="E3E3E3"/>
                <w:bottom w:val="single" w:sz="2" w:space="0" w:color="E3E3E3"/>
                <w:right w:val="single" w:sz="2" w:space="0" w:color="E3E3E3"/>
              </w:divBdr>
              <w:divsChild>
                <w:div w:id="97340543">
                  <w:marLeft w:val="0"/>
                  <w:marRight w:val="0"/>
                  <w:marTop w:val="0"/>
                  <w:marBottom w:val="0"/>
                  <w:divBdr>
                    <w:top w:val="single" w:sz="2" w:space="0" w:color="E3E3E3"/>
                    <w:left w:val="single" w:sz="2" w:space="0" w:color="E3E3E3"/>
                    <w:bottom w:val="single" w:sz="2" w:space="0" w:color="E3E3E3"/>
                    <w:right w:val="single" w:sz="2" w:space="0" w:color="E3E3E3"/>
                  </w:divBdr>
                  <w:divsChild>
                    <w:div w:id="13117096">
                      <w:marLeft w:val="0"/>
                      <w:marRight w:val="0"/>
                      <w:marTop w:val="0"/>
                      <w:marBottom w:val="0"/>
                      <w:divBdr>
                        <w:top w:val="single" w:sz="2" w:space="0" w:color="E3E3E3"/>
                        <w:left w:val="single" w:sz="2" w:space="0" w:color="E3E3E3"/>
                        <w:bottom w:val="single" w:sz="2" w:space="0" w:color="E3E3E3"/>
                        <w:right w:val="single" w:sz="2" w:space="0" w:color="E3E3E3"/>
                      </w:divBdr>
                      <w:divsChild>
                        <w:div w:id="157964007">
                          <w:marLeft w:val="0"/>
                          <w:marRight w:val="0"/>
                          <w:marTop w:val="0"/>
                          <w:marBottom w:val="0"/>
                          <w:divBdr>
                            <w:top w:val="single" w:sz="2" w:space="0" w:color="E3E3E3"/>
                            <w:left w:val="single" w:sz="2" w:space="0" w:color="E3E3E3"/>
                            <w:bottom w:val="single" w:sz="2" w:space="0" w:color="E3E3E3"/>
                            <w:right w:val="single" w:sz="2" w:space="0" w:color="E3E3E3"/>
                          </w:divBdr>
                          <w:divsChild>
                            <w:div w:id="1667367012">
                              <w:marLeft w:val="0"/>
                              <w:marRight w:val="0"/>
                              <w:marTop w:val="100"/>
                              <w:marBottom w:val="100"/>
                              <w:divBdr>
                                <w:top w:val="single" w:sz="2" w:space="0" w:color="E3E3E3"/>
                                <w:left w:val="single" w:sz="2" w:space="0" w:color="E3E3E3"/>
                                <w:bottom w:val="single" w:sz="2" w:space="0" w:color="E3E3E3"/>
                                <w:right w:val="single" w:sz="2" w:space="0" w:color="E3E3E3"/>
                              </w:divBdr>
                              <w:divsChild>
                                <w:div w:id="1632511568">
                                  <w:marLeft w:val="0"/>
                                  <w:marRight w:val="0"/>
                                  <w:marTop w:val="0"/>
                                  <w:marBottom w:val="0"/>
                                  <w:divBdr>
                                    <w:top w:val="single" w:sz="2" w:space="0" w:color="E3E3E3"/>
                                    <w:left w:val="single" w:sz="2" w:space="0" w:color="E3E3E3"/>
                                    <w:bottom w:val="single" w:sz="2" w:space="0" w:color="E3E3E3"/>
                                    <w:right w:val="single" w:sz="2" w:space="0" w:color="E3E3E3"/>
                                  </w:divBdr>
                                  <w:divsChild>
                                    <w:div w:id="429398707">
                                      <w:marLeft w:val="0"/>
                                      <w:marRight w:val="0"/>
                                      <w:marTop w:val="0"/>
                                      <w:marBottom w:val="0"/>
                                      <w:divBdr>
                                        <w:top w:val="single" w:sz="2" w:space="0" w:color="E3E3E3"/>
                                        <w:left w:val="single" w:sz="2" w:space="0" w:color="E3E3E3"/>
                                        <w:bottom w:val="single" w:sz="2" w:space="0" w:color="E3E3E3"/>
                                        <w:right w:val="single" w:sz="2" w:space="0" w:color="E3E3E3"/>
                                      </w:divBdr>
                                      <w:divsChild>
                                        <w:div w:id="135033184">
                                          <w:marLeft w:val="0"/>
                                          <w:marRight w:val="0"/>
                                          <w:marTop w:val="0"/>
                                          <w:marBottom w:val="0"/>
                                          <w:divBdr>
                                            <w:top w:val="single" w:sz="2" w:space="0" w:color="E3E3E3"/>
                                            <w:left w:val="single" w:sz="2" w:space="0" w:color="E3E3E3"/>
                                            <w:bottom w:val="single" w:sz="2" w:space="0" w:color="E3E3E3"/>
                                            <w:right w:val="single" w:sz="2" w:space="0" w:color="E3E3E3"/>
                                          </w:divBdr>
                                          <w:divsChild>
                                            <w:div w:id="1897818940">
                                              <w:marLeft w:val="0"/>
                                              <w:marRight w:val="0"/>
                                              <w:marTop w:val="0"/>
                                              <w:marBottom w:val="0"/>
                                              <w:divBdr>
                                                <w:top w:val="single" w:sz="2" w:space="0" w:color="E3E3E3"/>
                                                <w:left w:val="single" w:sz="2" w:space="0" w:color="E3E3E3"/>
                                                <w:bottom w:val="single" w:sz="2" w:space="0" w:color="E3E3E3"/>
                                                <w:right w:val="single" w:sz="2" w:space="0" w:color="E3E3E3"/>
                                              </w:divBdr>
                                              <w:divsChild>
                                                <w:div w:id="1446733344">
                                                  <w:marLeft w:val="0"/>
                                                  <w:marRight w:val="0"/>
                                                  <w:marTop w:val="0"/>
                                                  <w:marBottom w:val="0"/>
                                                  <w:divBdr>
                                                    <w:top w:val="single" w:sz="2" w:space="0" w:color="E3E3E3"/>
                                                    <w:left w:val="single" w:sz="2" w:space="0" w:color="E3E3E3"/>
                                                    <w:bottom w:val="single" w:sz="2" w:space="0" w:color="E3E3E3"/>
                                                    <w:right w:val="single" w:sz="2" w:space="0" w:color="E3E3E3"/>
                                                  </w:divBdr>
                                                  <w:divsChild>
                                                    <w:div w:id="9379115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27603686">
      <w:bodyDiv w:val="1"/>
      <w:marLeft w:val="0"/>
      <w:marRight w:val="0"/>
      <w:marTop w:val="0"/>
      <w:marBottom w:val="0"/>
      <w:divBdr>
        <w:top w:val="none" w:sz="0" w:space="0" w:color="auto"/>
        <w:left w:val="none" w:sz="0" w:space="0" w:color="auto"/>
        <w:bottom w:val="none" w:sz="0" w:space="0" w:color="auto"/>
        <w:right w:val="none" w:sz="0" w:space="0" w:color="auto"/>
      </w:divBdr>
      <w:divsChild>
        <w:div w:id="1905800560">
          <w:marLeft w:val="0"/>
          <w:marRight w:val="0"/>
          <w:marTop w:val="0"/>
          <w:marBottom w:val="0"/>
          <w:divBdr>
            <w:top w:val="single" w:sz="6" w:space="0" w:color="auto"/>
            <w:left w:val="single" w:sz="6" w:space="0" w:color="auto"/>
            <w:bottom w:val="single" w:sz="6" w:space="0" w:color="auto"/>
            <w:right w:val="single" w:sz="6" w:space="0" w:color="auto"/>
          </w:divBdr>
        </w:div>
      </w:divsChild>
    </w:div>
    <w:div w:id="1751148374">
      <w:bodyDiv w:val="1"/>
      <w:marLeft w:val="0"/>
      <w:marRight w:val="0"/>
      <w:marTop w:val="0"/>
      <w:marBottom w:val="0"/>
      <w:divBdr>
        <w:top w:val="none" w:sz="0" w:space="0" w:color="auto"/>
        <w:left w:val="none" w:sz="0" w:space="0" w:color="auto"/>
        <w:bottom w:val="none" w:sz="0" w:space="0" w:color="auto"/>
        <w:right w:val="none" w:sz="0" w:space="0" w:color="auto"/>
      </w:divBdr>
    </w:div>
    <w:div w:id="1795824071">
      <w:bodyDiv w:val="1"/>
      <w:marLeft w:val="0"/>
      <w:marRight w:val="0"/>
      <w:marTop w:val="0"/>
      <w:marBottom w:val="0"/>
      <w:divBdr>
        <w:top w:val="none" w:sz="0" w:space="0" w:color="auto"/>
        <w:left w:val="none" w:sz="0" w:space="0" w:color="auto"/>
        <w:bottom w:val="none" w:sz="0" w:space="0" w:color="auto"/>
        <w:right w:val="none" w:sz="0" w:space="0" w:color="auto"/>
      </w:divBdr>
    </w:div>
    <w:div w:id="1835418423">
      <w:bodyDiv w:val="1"/>
      <w:marLeft w:val="0"/>
      <w:marRight w:val="0"/>
      <w:marTop w:val="0"/>
      <w:marBottom w:val="0"/>
      <w:divBdr>
        <w:top w:val="none" w:sz="0" w:space="0" w:color="auto"/>
        <w:left w:val="none" w:sz="0" w:space="0" w:color="auto"/>
        <w:bottom w:val="none" w:sz="0" w:space="0" w:color="auto"/>
        <w:right w:val="none" w:sz="0" w:space="0" w:color="auto"/>
      </w:divBdr>
    </w:div>
    <w:div w:id="1860124420">
      <w:bodyDiv w:val="1"/>
      <w:marLeft w:val="0"/>
      <w:marRight w:val="0"/>
      <w:marTop w:val="0"/>
      <w:marBottom w:val="0"/>
      <w:divBdr>
        <w:top w:val="none" w:sz="0" w:space="0" w:color="auto"/>
        <w:left w:val="none" w:sz="0" w:space="0" w:color="auto"/>
        <w:bottom w:val="none" w:sz="0" w:space="0" w:color="auto"/>
        <w:right w:val="none" w:sz="0" w:space="0" w:color="auto"/>
      </w:divBdr>
    </w:div>
    <w:div w:id="1909878064">
      <w:bodyDiv w:val="1"/>
      <w:marLeft w:val="0"/>
      <w:marRight w:val="0"/>
      <w:marTop w:val="0"/>
      <w:marBottom w:val="0"/>
      <w:divBdr>
        <w:top w:val="none" w:sz="0" w:space="0" w:color="auto"/>
        <w:left w:val="none" w:sz="0" w:space="0" w:color="auto"/>
        <w:bottom w:val="none" w:sz="0" w:space="0" w:color="auto"/>
        <w:right w:val="none" w:sz="0" w:space="0" w:color="auto"/>
      </w:divBdr>
    </w:div>
    <w:div w:id="1953854876">
      <w:bodyDiv w:val="1"/>
      <w:marLeft w:val="0"/>
      <w:marRight w:val="0"/>
      <w:marTop w:val="0"/>
      <w:marBottom w:val="0"/>
      <w:divBdr>
        <w:top w:val="none" w:sz="0" w:space="0" w:color="auto"/>
        <w:left w:val="none" w:sz="0" w:space="0" w:color="auto"/>
        <w:bottom w:val="none" w:sz="0" w:space="0" w:color="auto"/>
        <w:right w:val="none" w:sz="0" w:space="0" w:color="auto"/>
      </w:divBdr>
    </w:div>
    <w:div w:id="1955869453">
      <w:bodyDiv w:val="1"/>
      <w:marLeft w:val="0"/>
      <w:marRight w:val="0"/>
      <w:marTop w:val="0"/>
      <w:marBottom w:val="0"/>
      <w:divBdr>
        <w:top w:val="none" w:sz="0" w:space="0" w:color="auto"/>
        <w:left w:val="none" w:sz="0" w:space="0" w:color="auto"/>
        <w:bottom w:val="none" w:sz="0" w:space="0" w:color="auto"/>
        <w:right w:val="none" w:sz="0" w:space="0" w:color="auto"/>
      </w:divBdr>
      <w:divsChild>
        <w:div w:id="79178293">
          <w:marLeft w:val="0"/>
          <w:marRight w:val="0"/>
          <w:marTop w:val="0"/>
          <w:marBottom w:val="0"/>
          <w:divBdr>
            <w:top w:val="single" w:sz="6" w:space="0" w:color="auto"/>
            <w:left w:val="single" w:sz="6" w:space="0" w:color="auto"/>
            <w:bottom w:val="single" w:sz="6" w:space="0" w:color="auto"/>
            <w:right w:val="single" w:sz="6" w:space="0" w:color="auto"/>
          </w:divBdr>
        </w:div>
      </w:divsChild>
    </w:div>
    <w:div w:id="1971403005">
      <w:bodyDiv w:val="1"/>
      <w:marLeft w:val="0"/>
      <w:marRight w:val="0"/>
      <w:marTop w:val="0"/>
      <w:marBottom w:val="0"/>
      <w:divBdr>
        <w:top w:val="none" w:sz="0" w:space="0" w:color="auto"/>
        <w:left w:val="none" w:sz="0" w:space="0" w:color="auto"/>
        <w:bottom w:val="none" w:sz="0" w:space="0" w:color="auto"/>
        <w:right w:val="none" w:sz="0" w:space="0" w:color="auto"/>
      </w:divBdr>
    </w:div>
    <w:div w:id="2031684115">
      <w:bodyDiv w:val="1"/>
      <w:marLeft w:val="0"/>
      <w:marRight w:val="0"/>
      <w:marTop w:val="0"/>
      <w:marBottom w:val="0"/>
      <w:divBdr>
        <w:top w:val="none" w:sz="0" w:space="0" w:color="auto"/>
        <w:left w:val="none" w:sz="0" w:space="0" w:color="auto"/>
        <w:bottom w:val="none" w:sz="0" w:space="0" w:color="auto"/>
        <w:right w:val="none" w:sz="0" w:space="0" w:color="auto"/>
      </w:divBdr>
    </w:div>
    <w:div w:id="2058578516">
      <w:bodyDiv w:val="1"/>
      <w:marLeft w:val="0"/>
      <w:marRight w:val="0"/>
      <w:marTop w:val="0"/>
      <w:marBottom w:val="0"/>
      <w:divBdr>
        <w:top w:val="none" w:sz="0" w:space="0" w:color="auto"/>
        <w:left w:val="none" w:sz="0" w:space="0" w:color="auto"/>
        <w:bottom w:val="none" w:sz="0" w:space="0" w:color="auto"/>
        <w:right w:val="none" w:sz="0" w:space="0" w:color="auto"/>
      </w:divBdr>
    </w:div>
    <w:div w:id="2080517413">
      <w:bodyDiv w:val="1"/>
      <w:marLeft w:val="0"/>
      <w:marRight w:val="0"/>
      <w:marTop w:val="0"/>
      <w:marBottom w:val="0"/>
      <w:divBdr>
        <w:top w:val="none" w:sz="0" w:space="0" w:color="auto"/>
        <w:left w:val="none" w:sz="0" w:space="0" w:color="auto"/>
        <w:bottom w:val="none" w:sz="0" w:space="0" w:color="auto"/>
        <w:right w:val="none" w:sz="0" w:space="0" w:color="auto"/>
      </w:divBdr>
    </w:div>
    <w:div w:id="2124566765">
      <w:bodyDiv w:val="1"/>
      <w:marLeft w:val="0"/>
      <w:marRight w:val="0"/>
      <w:marTop w:val="0"/>
      <w:marBottom w:val="0"/>
      <w:divBdr>
        <w:top w:val="none" w:sz="0" w:space="0" w:color="auto"/>
        <w:left w:val="none" w:sz="0" w:space="0" w:color="auto"/>
        <w:bottom w:val="none" w:sz="0" w:space="0" w:color="auto"/>
        <w:right w:val="none" w:sz="0" w:space="0" w:color="auto"/>
      </w:divBdr>
      <w:divsChild>
        <w:div w:id="803036161">
          <w:marLeft w:val="0"/>
          <w:marRight w:val="0"/>
          <w:marTop w:val="0"/>
          <w:marBottom w:val="0"/>
          <w:divBdr>
            <w:top w:val="single" w:sz="6" w:space="0" w:color="auto"/>
            <w:left w:val="single" w:sz="6" w:space="0" w:color="auto"/>
            <w:bottom w:val="single" w:sz="6" w:space="0" w:color="auto"/>
            <w:right w:val="single" w:sz="6" w:space="0" w:color="auto"/>
          </w:divBdr>
        </w:div>
      </w:divsChild>
    </w:div>
    <w:div w:id="2133160654">
      <w:bodyDiv w:val="1"/>
      <w:marLeft w:val="0"/>
      <w:marRight w:val="0"/>
      <w:marTop w:val="0"/>
      <w:marBottom w:val="0"/>
      <w:divBdr>
        <w:top w:val="none" w:sz="0" w:space="0" w:color="auto"/>
        <w:left w:val="none" w:sz="0" w:space="0" w:color="auto"/>
        <w:bottom w:val="none" w:sz="0" w:space="0" w:color="auto"/>
        <w:right w:val="none" w:sz="0" w:space="0" w:color="auto"/>
      </w:divBdr>
      <w:divsChild>
        <w:div w:id="152642969">
          <w:marLeft w:val="0"/>
          <w:marRight w:val="0"/>
          <w:marTop w:val="0"/>
          <w:marBottom w:val="0"/>
          <w:divBdr>
            <w:top w:val="single" w:sz="6" w:space="0" w:color="auto"/>
            <w:left w:val="single" w:sz="6" w:space="0" w:color="auto"/>
            <w:bottom w:val="single" w:sz="6" w:space="0" w:color="auto"/>
            <w:right w:val="single" w:sz="6" w:space="0" w:color="auto"/>
          </w:divBdr>
        </w:div>
      </w:divsChild>
    </w:div>
    <w:div w:id="2141070371">
      <w:bodyDiv w:val="1"/>
      <w:marLeft w:val="0"/>
      <w:marRight w:val="0"/>
      <w:marTop w:val="0"/>
      <w:marBottom w:val="0"/>
      <w:divBdr>
        <w:top w:val="none" w:sz="0" w:space="0" w:color="auto"/>
        <w:left w:val="none" w:sz="0" w:space="0" w:color="auto"/>
        <w:bottom w:val="none" w:sz="0" w:space="0" w:color="auto"/>
        <w:right w:val="none" w:sz="0" w:space="0" w:color="auto"/>
      </w:divBdr>
    </w:div>
    <w:div w:id="2146728597">
      <w:bodyDiv w:val="1"/>
      <w:marLeft w:val="0"/>
      <w:marRight w:val="0"/>
      <w:marTop w:val="0"/>
      <w:marBottom w:val="0"/>
      <w:divBdr>
        <w:top w:val="none" w:sz="0" w:space="0" w:color="auto"/>
        <w:left w:val="none" w:sz="0" w:space="0" w:color="auto"/>
        <w:bottom w:val="none" w:sz="0" w:space="0" w:color="auto"/>
        <w:right w:val="none" w:sz="0" w:space="0" w:color="auto"/>
      </w:divBdr>
      <w:divsChild>
        <w:div w:id="1383600057">
          <w:marLeft w:val="0"/>
          <w:marRight w:val="0"/>
          <w:marTop w:val="0"/>
          <w:marBottom w:val="0"/>
          <w:divBdr>
            <w:top w:val="single" w:sz="6" w:space="0" w:color="auto"/>
            <w:left w:val="single" w:sz="6" w:space="0" w:color="auto"/>
            <w:bottom w:val="single" w:sz="6" w:space="0" w:color="auto"/>
            <w:right w:val="single" w:sz="6"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apmrv.2022.07.003" TargetMode="External"/><Relationship Id="rId21" Type="http://schemas.openxmlformats.org/officeDocument/2006/relationships/hyperlink" Target="https://www.mckinsey.com/~/media/McKinsey/Industries/Public%20Sector/Our%20Insights/COVID%2019%20in%20the%20United%20Kingdom%20Assessing%20jobs%20at%20risk%20and%20the%20impact%20on%20people%20and%20places%20new/COVID-19-in-the-United-Kingdom-VF.pdf" TargetMode="External"/><Relationship Id="rId42" Type="http://schemas.openxmlformats.org/officeDocument/2006/relationships/hyperlink" Target="https://eric.ed.gov/?id=ED619359" TargetMode="External"/><Relationship Id="rId47" Type="http://schemas.openxmlformats.org/officeDocument/2006/relationships/hyperlink" Target="https://doi.org/10.1007/978-3-030-30199-6_2" TargetMode="External"/><Relationship Id="rId63" Type="http://schemas.openxmlformats.org/officeDocument/2006/relationships/hyperlink" Target="https://doi.org/10.3127/ajis.v23i0.1770" TargetMode="External"/><Relationship Id="rId68" Type="http://schemas.openxmlformats.org/officeDocument/2006/relationships/hyperlink" Target="https://epublications.vu.lt/object/elaba:98773357/" TargetMode="External"/><Relationship Id="rId84" Type="http://schemas.openxmlformats.org/officeDocument/2006/relationships/hyperlink" Target="https://doi.org/10.1016/j.techsoc.2020.101328" TargetMode="External"/><Relationship Id="rId89" Type="http://schemas.openxmlformats.org/officeDocument/2006/relationships/fontTable" Target="fontTable.xm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hyperlink" Target="https://doi.org/10.1002/smj.3251" TargetMode="External"/><Relationship Id="rId37" Type="http://schemas.openxmlformats.org/officeDocument/2006/relationships/hyperlink" Target="https://books.google.com/books?hl=en&amp;lr=&amp;id=vlTMDwAAQBAJ&amp;oi=fnd&amp;pg=PA17&amp;dq=explanatory+research+design" TargetMode="External"/><Relationship Id="rId53" Type="http://schemas.openxmlformats.org/officeDocument/2006/relationships/hyperlink" Target="https://doi.org/10.1093/oxrep/graa017" TargetMode="External"/><Relationship Id="rId58" Type="http://schemas.openxmlformats.org/officeDocument/2006/relationships/hyperlink" Target="https://www.tandfonline.com/doi/abs/10.1080/13678868.2022.2048605" TargetMode="External"/><Relationship Id="rId74" Type="http://schemas.openxmlformats.org/officeDocument/2006/relationships/hyperlink" Target="http://dspace.bracu.ac.bd/xmlui/handle/10361/18098" TargetMode="External"/><Relationship Id="rId79" Type="http://schemas.openxmlformats.org/officeDocument/2006/relationships/hyperlink" Target="https://doi.org/10.1108/978-1-83549-041-920241004"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image" Target="media/image6.png"/><Relationship Id="rId22" Type="http://schemas.openxmlformats.org/officeDocument/2006/relationships/hyperlink" Target="https://cre.org/wp-content/uploads/2021/08/Real-Estate-Issues-The-Evolving-Workplace.pdf" TargetMode="External"/><Relationship Id="rId27" Type="http://schemas.openxmlformats.org/officeDocument/2006/relationships/hyperlink" Target="https://www.diva-portal.org/smash/record.jsf?pid=diva2:1838949" TargetMode="External"/><Relationship Id="rId30" Type="http://schemas.openxmlformats.org/officeDocument/2006/relationships/hyperlink" Target="https://doi.org/10.1016/j.jbusres.2021.10.069" TargetMode="External"/><Relationship Id="rId35" Type="http://schemas.openxmlformats.org/officeDocument/2006/relationships/hyperlink" Target="https://doi.org/10.52783/jier.v3i2.489" TargetMode="External"/><Relationship Id="rId43" Type="http://schemas.openxmlformats.org/officeDocument/2006/relationships/hyperlink" Target="https://www.ceeol.com/search/article-detail?id=1204591" TargetMode="External"/><Relationship Id="rId48" Type="http://schemas.openxmlformats.org/officeDocument/2006/relationships/hyperlink" Target="https://centaur.reading.ac.uk/92625/1/03Sep2020How%20the%20worlds%20best%20firms%20are%20innovating%20remotely.pdf" TargetMode="External"/><Relationship Id="rId56" Type="http://schemas.openxmlformats.org/officeDocument/2006/relationships/hyperlink" Target="https://www.ceeol.com/search/article-detail?id=998373" TargetMode="External"/><Relationship Id="rId64" Type="http://schemas.openxmlformats.org/officeDocument/2006/relationships/hyperlink" Target="https://doi.org/10.1108/cg-08-2020-0357" TargetMode="External"/><Relationship Id="rId69" Type="http://schemas.openxmlformats.org/officeDocument/2006/relationships/hyperlink" Target="https://doi.org/10.3390/su132011443" TargetMode="External"/><Relationship Id="rId77" Type="http://schemas.openxmlformats.org/officeDocument/2006/relationships/hyperlink" Target="https://books.google.com/books?hl=en&amp;lr=&amp;id=7sb9DwAAQBAJ&amp;oi=fnd&amp;pg=PT5&amp;dq=remote+work" TargetMode="External"/><Relationship Id="rId8" Type="http://schemas.openxmlformats.org/officeDocument/2006/relationships/image" Target="media/image1.png"/><Relationship Id="rId51" Type="http://schemas.openxmlformats.org/officeDocument/2006/relationships/hyperlink" Target="https://hrdc.gujaratuniversity.ac.in/Uploads/EJournalDetail/30/1046/51.pdf" TargetMode="External"/><Relationship Id="rId72" Type="http://schemas.openxmlformats.org/officeDocument/2006/relationships/hyperlink" Target="https://books.google.com/books?hl=en&amp;lr=&amp;id=WcdsEAAAQBAJ&amp;oi=fnd&amp;pg=PP1&amp;dq=Shift+to+remote+work+impacted+employee+engagement+levels+at+HSBC+Holdings+plc&amp;ots=xy5cgrvIkA&amp;sig=GYoLVqE2GShb6de7I9R1VxsRGsI" TargetMode="External"/><Relationship Id="rId80" Type="http://schemas.openxmlformats.org/officeDocument/2006/relationships/hyperlink" Target="https://doi.org/10.1111/isj.12293" TargetMode="External"/><Relationship Id="rId85" Type="http://schemas.openxmlformats.org/officeDocument/2006/relationships/hyperlink" Target="https://doi.org/10.1111/joms.12625"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books.google.com/books?hl=en&amp;lr=&amp;id=WcdsEAAAQBAJ&amp;oi=fnd&amp;pg=PP1&amp;dq=Productivity+and+Performance+Metrics" TargetMode="External"/><Relationship Id="rId33" Type="http://schemas.openxmlformats.org/officeDocument/2006/relationships/hyperlink" Target="https://doi.org/10.1108/jfrc-06-2016-0048" TargetMode="External"/><Relationship Id="rId38" Type="http://schemas.openxmlformats.org/officeDocument/2006/relationships/hyperlink" Target="https://books.google.com/books?hl=en&amp;lr=&amp;id=d9lYEAAAQBAJ&amp;oi=fnd&amp;pg=PR13&amp;dq=Impact" TargetMode="External"/><Relationship Id="rId46" Type="http://schemas.openxmlformats.org/officeDocument/2006/relationships/hyperlink" Target="https://doi.org/10.1016/j.hrmr.2019.100707" TargetMode="External"/><Relationship Id="rId59" Type="http://schemas.openxmlformats.org/officeDocument/2006/relationships/hyperlink" Target="https://link.springer.com/chapter/10.1007/978-3-030-30199-6_6" TargetMode="External"/><Relationship Id="rId67" Type="http://schemas.openxmlformats.org/officeDocument/2006/relationships/hyperlink" Target="https://doi.org/10.1111/joms.12625" TargetMode="External"/><Relationship Id="rId20" Type="http://schemas.openxmlformats.org/officeDocument/2006/relationships/hyperlink" Target="https://doi.org/10.1108/itp-12-2020-0850" TargetMode="External"/><Relationship Id="rId41" Type="http://schemas.openxmlformats.org/officeDocument/2006/relationships/hyperlink" Target="https://doi.org/10.3390/su16020871" TargetMode="External"/><Relationship Id="rId54" Type="http://schemas.openxmlformats.org/officeDocument/2006/relationships/hyperlink" Target="https://doi.org/10.1177/00332941211051988" TargetMode="External"/><Relationship Id="rId62" Type="http://schemas.openxmlformats.org/officeDocument/2006/relationships/hyperlink" Target="https://doi.org/10.1145/3540250.3560877" TargetMode="External"/><Relationship Id="rId70" Type="http://schemas.openxmlformats.org/officeDocument/2006/relationships/hyperlink" Target="https://www.researchgate.net/publication/341128275_The_influence_of_flexible_work_arrangements_on_employee_engagement_An_exploratory_study" TargetMode="External"/><Relationship Id="rId75" Type="http://schemas.openxmlformats.org/officeDocument/2006/relationships/hyperlink" Target="https://doi.org/10.1080/09585192.2023.2221385" TargetMode="External"/><Relationship Id="rId83" Type="http://schemas.openxmlformats.org/officeDocument/2006/relationships/hyperlink" Target="https://doi.org/10.1080/02678373.2022.2080777"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doi.org/10.1111/isj.12293" TargetMode="External"/><Relationship Id="rId28" Type="http://schemas.openxmlformats.org/officeDocument/2006/relationships/hyperlink" Target="https://doi.org/10.1007/s11135-020-01072-9" TargetMode="External"/><Relationship Id="rId36" Type="http://schemas.openxmlformats.org/officeDocument/2006/relationships/hyperlink" Target="https://doi.org/10.52783/jier.v3i2.489" TargetMode="External"/><Relationship Id="rId49" Type="http://schemas.openxmlformats.org/officeDocument/2006/relationships/hyperlink" Target="https://books.google.com/books?hl=en&amp;lr=&amp;id=rqKODwAAQBAJ&amp;oi=fnd&amp;pg=PP1&amp;dq=secondary+research&amp;ots=b1TGtRNJQG&amp;sig=rAXE-DPyDTKLMtAt6bVTbQ25-r0" TargetMode="External"/><Relationship Id="rId57" Type="http://schemas.openxmlformats.org/officeDocument/2006/relationships/hyperlink" Target="https://doi.org/10.1177/1094428119865016" TargetMode="External"/><Relationship Id="rId10" Type="http://schemas.openxmlformats.org/officeDocument/2006/relationships/image" Target="media/image2.png"/><Relationship Id="rId31" Type="http://schemas.openxmlformats.org/officeDocument/2006/relationships/hyperlink" Target="https://journals.sagepub.com/doi/full/10.1177/16094069231180160" TargetMode="External"/><Relationship Id="rId44" Type="http://schemas.openxmlformats.org/officeDocument/2006/relationships/hyperlink" Target="https://papers.ssrn.com/sol3/papers.cfm?abstract_id=4130963" TargetMode="External"/><Relationship Id="rId52" Type="http://schemas.openxmlformats.org/officeDocument/2006/relationships/hyperlink" Target="https://doi.org/10.1016/j.erss.2021.102472" TargetMode="External"/><Relationship Id="rId60" Type="http://schemas.openxmlformats.org/officeDocument/2006/relationships/hyperlink" Target="https://doi.org/10.1108/978-1-80071-661-220210009" TargetMode="External"/><Relationship Id="rId65" Type="http://schemas.openxmlformats.org/officeDocument/2006/relationships/hyperlink" Target="https://doi.org/10.1016/j.jss.2022.111552" TargetMode="External"/><Relationship Id="rId73" Type="http://schemas.openxmlformats.org/officeDocument/2006/relationships/hyperlink" Target="https://doi.org/10.1007/978-3-030-70254-0_7" TargetMode="External"/><Relationship Id="rId78" Type="http://schemas.openxmlformats.org/officeDocument/2006/relationships/hyperlink" Target="https://doi.org/10.4236/ojbm.2022.105112" TargetMode="External"/><Relationship Id="rId81" Type="http://schemas.openxmlformats.org/officeDocument/2006/relationships/hyperlink" Target="https://doi.org/10.1002/pa.2508" TargetMode="External"/><Relationship Id="rId86" Type="http://schemas.openxmlformats.org/officeDocument/2006/relationships/hyperlink" Target="https://www.nature.com/articles/s41562-021-01196-4" TargetMode="External"/><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books.google.com/books?hl=en&amp;lr=&amp;id=d9lYEAAAQBAJ&amp;oi=fnd&amp;pg=PR13&amp;dq=Drivers" TargetMode="External"/><Relationship Id="rId34" Type="http://schemas.openxmlformats.org/officeDocument/2006/relationships/hyperlink" Target="https://doi.org/10.51601/ijersc.v2i2.70" TargetMode="External"/><Relationship Id="rId50" Type="http://schemas.openxmlformats.org/officeDocument/2006/relationships/hyperlink" Target="https://doi.org/10.1080/02678373.2018.1529065" TargetMode="External"/><Relationship Id="rId55" Type="http://schemas.openxmlformats.org/officeDocument/2006/relationships/hyperlink" Target="https://doi.org/10.1080/09585192.2023.2221385" TargetMode="External"/><Relationship Id="rId76" Type="http://schemas.openxmlformats.org/officeDocument/2006/relationships/hyperlink" Target="https://doi.org/10.1108/s1877-636120220000029007" TargetMode="External"/><Relationship Id="rId7" Type="http://schemas.openxmlformats.org/officeDocument/2006/relationships/endnotes" Target="endnotes.xml"/><Relationship Id="rId71" Type="http://schemas.openxmlformats.org/officeDocument/2006/relationships/hyperlink" Target="https://norma.ncirl.ie/4583/1/marcartacho.pdf" TargetMode="External"/><Relationship Id="rId2" Type="http://schemas.openxmlformats.org/officeDocument/2006/relationships/numbering" Target="numbering.xml"/><Relationship Id="rId29" Type="http://schemas.openxmlformats.org/officeDocument/2006/relationships/hyperlink" Target="https://doi.org/10.1002/pa.2508" TargetMode="External"/><Relationship Id="rId24" Type="http://schemas.openxmlformats.org/officeDocument/2006/relationships/hyperlink" Target="https://doi.org/10.3233/wor-210301" TargetMode="External"/><Relationship Id="rId40" Type="http://schemas.openxmlformats.org/officeDocument/2006/relationships/hyperlink" Target="https://doi.org/10.1007/978-3-030-78873-5_2" TargetMode="External"/><Relationship Id="rId45" Type="http://schemas.openxmlformats.org/officeDocument/2006/relationships/hyperlink" Target="https://doi.org/10.24018/ejbmr.2021.6.5.948" TargetMode="External"/><Relationship Id="rId66" Type="http://schemas.openxmlformats.org/officeDocument/2006/relationships/hyperlink" Target="https://doi.org/10.1016/j.jbusres.2019.01.003" TargetMode="External"/><Relationship Id="rId87" Type="http://schemas.openxmlformats.org/officeDocument/2006/relationships/image" Target="media/image12.jpeg"/><Relationship Id="rId61" Type="http://schemas.openxmlformats.org/officeDocument/2006/relationships/hyperlink" Target="http://pearl.plymouth.ac.uk/handle/10026.1/16598" TargetMode="External"/><Relationship Id="rId82" Type="http://schemas.openxmlformats.org/officeDocument/2006/relationships/hyperlink" Target="https://doi.org/10.1108/mrjiam-06-2020-1065" TargetMode="External"/><Relationship Id="rId1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D02AF-FE0C-4259-8A5A-8E1BB3F14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65</Pages>
  <Words>18130</Words>
  <Characters>109229</Characters>
  <Application>Microsoft Office Word</Application>
  <DocSecurity>0</DocSecurity>
  <Lines>2253</Lines>
  <Paragraphs>683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digvijay solanki</dc:creator>
  <cp:keywords/>
  <dc:description/>
  <cp:lastModifiedBy>Digvijaysinh solanki</cp:lastModifiedBy>
  <cp:revision>3</cp:revision>
  <dcterms:created xsi:type="dcterms:W3CDTF">2024-05-07T16:31:00Z</dcterms:created>
  <dcterms:modified xsi:type="dcterms:W3CDTF">2024-05-09T10:59:00Z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135e35ec-1c11-4bf2-93e8-128568b62adf</vt:lpwstr>
  </property>
</Properties>
</file>