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DE1850C" w:rsidR="005E6C44" w:rsidRPr="004C3A0B" w:rsidRDefault="00437EBF" w:rsidP="003F6F7B">
            <w:pPr>
              <w:rPr>
                <w:rFonts w:ascii="Arial" w:hAnsi="Arial" w:cs="Arial"/>
                <w:sz w:val="22"/>
                <w:szCs w:val="22"/>
              </w:rPr>
            </w:pPr>
            <w:r>
              <w:rPr>
                <w:rFonts w:ascii="Arial" w:hAnsi="Arial" w:cs="Arial"/>
                <w:sz w:val="22"/>
                <w:szCs w:val="22"/>
              </w:rPr>
              <w:t xml:space="preserve">Asma Begum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31A0F5B4" w:rsidR="005E6C44" w:rsidRPr="004C3A0B" w:rsidRDefault="006639F0" w:rsidP="003F6F7B">
            <w:pPr>
              <w:rPr>
                <w:rFonts w:ascii="Arial" w:hAnsi="Arial" w:cs="Arial"/>
                <w:sz w:val="22"/>
                <w:szCs w:val="22"/>
              </w:rPr>
            </w:pPr>
            <w:r>
              <w:rPr>
                <w:rFonts w:ascii="Arial" w:hAnsi="Arial" w:cs="Arial"/>
                <w:sz w:val="22"/>
                <w:szCs w:val="22"/>
              </w:rPr>
              <w:t>2503534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3432B0A" w:rsidR="005E6C44" w:rsidRPr="006639F0" w:rsidRDefault="006639F0" w:rsidP="003F6F7B">
            <w:pPr>
              <w:rPr>
                <w:rFonts w:ascii="Arial" w:hAnsi="Arial" w:cs="Arial"/>
                <w:sz w:val="22"/>
                <w:szCs w:val="22"/>
              </w:rPr>
            </w:pPr>
            <w:r>
              <w:rPr>
                <w:rFonts w:ascii="Arial" w:hAnsi="Arial" w:cs="Arial"/>
                <w:sz w:val="22"/>
                <w:szCs w:val="22"/>
              </w:rPr>
              <w:t>2503534@student.uwtsd.ac.uk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6545163" w:rsidR="005E6C44" w:rsidRPr="004C3A0B" w:rsidRDefault="00893C74" w:rsidP="003F6F7B">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3140768B" w:rsidR="005E6C44" w:rsidRPr="004C3A0B" w:rsidRDefault="00893C74" w:rsidP="003F6F7B">
            <w:pPr>
              <w:rPr>
                <w:rFonts w:ascii="Arial" w:hAnsi="Arial" w:cs="Arial"/>
                <w:sz w:val="22"/>
                <w:szCs w:val="22"/>
              </w:rPr>
            </w:pPr>
            <w:r>
              <w:rPr>
                <w:rFonts w:ascii="Arial" w:hAnsi="Arial" w:cs="Arial"/>
                <w:sz w:val="22"/>
                <w:szCs w:val="22"/>
              </w:rPr>
              <w:t>Ghulam Mujtaba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2EA50A8" w:rsidR="005E6C44" w:rsidRPr="00DD0929" w:rsidRDefault="00893C7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7B2AACD" w:rsidR="005E6C44" w:rsidRPr="004C3A0B" w:rsidRDefault="004B071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4FF74F73" w:rsidR="001B41AD" w:rsidRDefault="001F3A1C"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3C06A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1ACF185" w:rsidR="004C3D85" w:rsidRPr="004C3A0B" w:rsidRDefault="004C3AD2" w:rsidP="003C07E3">
            <w:pPr>
              <w:rPr>
                <w:rFonts w:ascii="Arial" w:hAnsi="Arial" w:cs="Arial"/>
                <w:sz w:val="22"/>
                <w:szCs w:val="22"/>
              </w:rPr>
            </w:pPr>
            <w:r w:rsidRPr="004C3AD2">
              <w:rPr>
                <w:rFonts w:ascii="Arial" w:hAnsi="Arial" w:cs="Arial"/>
                <w:sz w:val="22"/>
                <w:szCs w:val="22"/>
              </w:rPr>
              <w:t>Cross-National Perspectives on AI in Recruitment: A Comparative Study of MNCs in Europe and Asia</w:t>
            </w:r>
          </w:p>
        </w:tc>
      </w:tr>
      <w:tr w:rsidR="00A121A0" w:rsidRPr="004C3A0B" w14:paraId="52752113" w14:textId="77777777" w:rsidTr="003C06A4">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102C678" w:rsidR="004C3D85" w:rsidRPr="00FC14C7" w:rsidRDefault="00FC14C7" w:rsidP="003C07E3">
            <w:pPr>
              <w:rPr>
                <w:rFonts w:ascii="Arial" w:hAnsi="Arial" w:cs="Arial"/>
                <w:sz w:val="22"/>
                <w:szCs w:val="22"/>
              </w:rPr>
            </w:pPr>
            <w:r>
              <w:rPr>
                <w:rFonts w:ascii="Arial" w:hAnsi="Arial" w:cs="Arial"/>
                <w:sz w:val="22"/>
                <w:szCs w:val="22"/>
              </w:rPr>
              <w:t>16</w:t>
            </w:r>
            <w:r w:rsidR="00143567">
              <w:rPr>
                <w:rFonts w:ascii="Arial" w:hAnsi="Arial" w:cs="Arial"/>
                <w:sz w:val="22"/>
                <w:szCs w:val="22"/>
              </w:rPr>
              <w:t xml:space="preserve">June,2026. </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51650AC" w:rsidR="004C3D85" w:rsidRPr="00143567" w:rsidRDefault="00D3099B" w:rsidP="003C07E3">
            <w:pPr>
              <w:rPr>
                <w:rFonts w:ascii="Arial" w:hAnsi="Arial" w:cs="Arial"/>
                <w:sz w:val="22"/>
                <w:szCs w:val="22"/>
              </w:rPr>
            </w:pPr>
            <w:r>
              <w:rPr>
                <w:rFonts w:ascii="Arial" w:hAnsi="Arial" w:cs="Arial"/>
                <w:sz w:val="22"/>
                <w:szCs w:val="22"/>
              </w:rPr>
              <w:t>18</w:t>
            </w:r>
            <w:r w:rsidR="00E0258C">
              <w:rPr>
                <w:rFonts w:ascii="Arial" w:hAnsi="Arial" w:cs="Arial"/>
                <w:sz w:val="22"/>
                <w:szCs w:val="22"/>
              </w:rPr>
              <w:t xml:space="preserve"> September </w:t>
            </w:r>
            <w:r w:rsidR="00143567">
              <w:rPr>
                <w:rFonts w:ascii="Arial" w:hAnsi="Arial" w:cs="Arial"/>
                <w:sz w:val="22"/>
                <w:szCs w:val="22"/>
              </w:rPr>
              <w:t>, 2026</w:t>
            </w:r>
          </w:p>
        </w:tc>
      </w:tr>
      <w:tr w:rsidR="00F96C3F" w:rsidRPr="004C3A0B" w14:paraId="158575DD" w14:textId="77777777" w:rsidTr="003C06A4">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3C06A4">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9FAA3A4" w14:textId="4C25378D" w:rsidR="00F96C3F" w:rsidRPr="004A471D" w:rsidRDefault="005435C8" w:rsidP="00F96C3F">
            <w:pPr>
              <w:rPr>
                <w:sz w:val="24"/>
                <w:szCs w:val="24"/>
              </w:rPr>
            </w:pPr>
            <w:r w:rsidRPr="004A471D">
              <w:rPr>
                <w:sz w:val="24"/>
                <w:szCs w:val="24"/>
              </w:rPr>
              <w:t>This research seeks to examine how multinational corporations (MNCs) across Europe and Asia implement artificial intelligence (AI) in their recruitment processes. It focuses on HR professionals’ views of AI tools, particularly in relation to efficiency, fairness, ethical issues, diversity, and compliance with legal standards. While much of the existing literature concentrates on single-country studies, there is a lack of cross-national analysis. This study addresses that gap by comparing practices in Europe and Asia and offering recommendations for the ethical and responsible use of AI in global recruitment.</w:t>
            </w:r>
          </w:p>
          <w:p w14:paraId="5F64A457" w14:textId="65B8BD52" w:rsidR="00F96C3F" w:rsidRPr="00D131E7" w:rsidDel="00425DA7" w:rsidRDefault="00F96C3F" w:rsidP="00F96C3F">
            <w:pPr>
              <w:rPr>
                <w:rFonts w:ascii="Arial" w:hAnsi="Arial" w:cs="Arial"/>
              </w:rPr>
            </w:pPr>
          </w:p>
        </w:tc>
      </w:tr>
      <w:tr w:rsidR="00F96C3F" w:rsidRPr="006C1FDD" w:rsidDel="002A152D" w14:paraId="495F0243" w14:textId="77777777" w:rsidTr="003C06A4">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77777777" w:rsidR="00F96C3F" w:rsidRPr="00D3099B" w:rsidRDefault="00F96C3F" w:rsidP="00F96C3F">
            <w:pPr>
              <w:rPr>
                <w:rFonts w:ascii="Arial" w:hAnsi="Arial" w:cs="Arial"/>
              </w:rPr>
            </w:pPr>
          </w:p>
          <w:p w14:paraId="62C2E7DF" w14:textId="77777777" w:rsidR="007E5E39" w:rsidRPr="0071535F" w:rsidRDefault="007E5E39" w:rsidP="007E5E39">
            <w:pPr>
              <w:pStyle w:val="NormalWeb"/>
              <w:numPr>
                <w:ilvl w:val="0"/>
                <w:numId w:val="28"/>
              </w:numPr>
              <w:spacing w:line="360" w:lineRule="auto"/>
              <w:rPr>
                <w:rFonts w:asciiTheme="majorBidi" w:hAnsiTheme="majorBidi" w:cstheme="majorBidi"/>
              </w:rPr>
            </w:pPr>
            <w:r w:rsidRPr="0071535F">
              <w:rPr>
                <w:rFonts w:asciiTheme="majorBidi" w:hAnsiTheme="majorBidi" w:cstheme="majorBidi"/>
              </w:rPr>
              <w:t>How are AI technologies currently adopted in recruitment practices by MNCs in Europe and Asia?</w:t>
            </w:r>
          </w:p>
          <w:p w14:paraId="6A4630BF" w14:textId="77777777" w:rsidR="007E5E39" w:rsidRPr="0071535F" w:rsidRDefault="007E5E39" w:rsidP="007E5E39">
            <w:pPr>
              <w:pStyle w:val="NormalWeb"/>
              <w:numPr>
                <w:ilvl w:val="0"/>
                <w:numId w:val="28"/>
              </w:numPr>
              <w:spacing w:line="360" w:lineRule="auto"/>
              <w:rPr>
                <w:rFonts w:asciiTheme="majorBidi" w:hAnsiTheme="majorBidi" w:cstheme="majorBidi"/>
              </w:rPr>
            </w:pPr>
            <w:r w:rsidRPr="0071535F">
              <w:rPr>
                <w:rFonts w:asciiTheme="majorBidi" w:hAnsiTheme="majorBidi" w:cstheme="majorBidi"/>
              </w:rPr>
              <w:t>What cross-national differences exist in the perceived benefits and challenges of AI in talent acquisition?</w:t>
            </w:r>
          </w:p>
          <w:p w14:paraId="21C90E51" w14:textId="77777777" w:rsidR="007E5E39" w:rsidRPr="0071535F" w:rsidRDefault="007E5E39" w:rsidP="007E5E39">
            <w:pPr>
              <w:pStyle w:val="NormalWeb"/>
              <w:numPr>
                <w:ilvl w:val="0"/>
                <w:numId w:val="28"/>
              </w:numPr>
              <w:spacing w:line="360" w:lineRule="auto"/>
              <w:rPr>
                <w:rFonts w:asciiTheme="majorBidi" w:hAnsiTheme="majorBidi" w:cstheme="majorBidi"/>
              </w:rPr>
            </w:pPr>
            <w:r w:rsidRPr="0071535F">
              <w:rPr>
                <w:rFonts w:asciiTheme="majorBidi" w:hAnsiTheme="majorBidi" w:cstheme="majorBidi"/>
              </w:rPr>
              <w:t>How do regulatory and cultural contexts influence fairness, diversity, and inclusion outcomes in AI-driven recruitment?</w:t>
            </w:r>
          </w:p>
          <w:p w14:paraId="393707BA" w14:textId="77777777" w:rsidR="007E5E39" w:rsidRPr="0071535F" w:rsidRDefault="007E5E39" w:rsidP="007E5E39">
            <w:pPr>
              <w:pStyle w:val="NormalWeb"/>
              <w:numPr>
                <w:ilvl w:val="0"/>
                <w:numId w:val="28"/>
              </w:numPr>
              <w:spacing w:line="360" w:lineRule="auto"/>
              <w:rPr>
                <w:rFonts w:asciiTheme="majorBidi" w:hAnsiTheme="majorBidi" w:cstheme="majorBidi"/>
              </w:rPr>
            </w:pPr>
            <w:r w:rsidRPr="0071535F">
              <w:rPr>
                <w:rFonts w:asciiTheme="majorBidi" w:hAnsiTheme="majorBidi" w:cstheme="majorBidi"/>
              </w:rPr>
              <w:t>What ethical considerations and compliance strategies arise across these regions?</w:t>
            </w:r>
          </w:p>
          <w:p w14:paraId="76C0468A" w14:textId="0C1566B7" w:rsidR="00E0258C" w:rsidRPr="00E0258C" w:rsidRDefault="00E0258C" w:rsidP="00E0258C">
            <w:pPr>
              <w:rPr>
                <w:rFonts w:ascii="Arial" w:hAnsi="Arial" w:cs="Arial"/>
                <w:sz w:val="22"/>
                <w:szCs w:val="22"/>
              </w:rPr>
            </w:pPr>
          </w:p>
        </w:tc>
      </w:tr>
      <w:tr w:rsidR="00F96C3F" w:rsidRPr="004C3A0B" w14:paraId="5601B9CC" w14:textId="77777777" w:rsidTr="003C06A4">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27B90051" w:rsidR="00F96C3F" w:rsidRPr="00FB4D4E" w:rsidRDefault="00F96C3F" w:rsidP="00FB4D4E">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Research </w:t>
            </w:r>
            <w:r w:rsidR="00FB4D4E">
              <w:rPr>
                <w:rFonts w:ascii="Arial" w:hAnsi="Arial" w:cs="Arial"/>
                <w:b/>
                <w:bCs/>
                <w:sz w:val="22"/>
                <w:szCs w:val="22"/>
              </w:rPr>
              <w:t xml:space="preserve">Activity </w:t>
            </w:r>
          </w:p>
          <w:p w14:paraId="437F7542" w14:textId="77777777" w:rsidR="00CF2883" w:rsidRPr="0071535F" w:rsidRDefault="00CF2883">
            <w:pPr>
              <w:pStyle w:val="NormalWeb"/>
              <w:spacing w:line="360" w:lineRule="auto"/>
              <w:jc w:val="both"/>
              <w:rPr>
                <w:rFonts w:asciiTheme="majorBidi" w:hAnsiTheme="majorBidi" w:cstheme="majorBidi"/>
                <w:color w:val="000000" w:themeColor="text1"/>
              </w:rPr>
            </w:pPr>
            <w:r w:rsidRPr="0071535F">
              <w:rPr>
                <w:rFonts w:asciiTheme="majorBidi" w:hAnsiTheme="majorBidi" w:cstheme="majorBidi"/>
                <w:color w:val="000000" w:themeColor="text1"/>
              </w:rPr>
              <w:t>To investigate how multinational corporations in Europe and Asia adopt and perceive AI-enabled recruitment tools, with particular attention to cross-national differences in efficiency, fairness, and ethical practices.</w:t>
            </w:r>
          </w:p>
          <w:p w14:paraId="68975C9B" w14:textId="77777777" w:rsidR="00F96C3F" w:rsidRDefault="00F96C3F" w:rsidP="00F96C3F">
            <w:pPr>
              <w:rPr>
                <w:rFonts w:ascii="Arial" w:hAnsi="Arial" w:cs="Arial"/>
              </w:rPr>
            </w:pPr>
          </w:p>
          <w:p w14:paraId="574A3C8C" w14:textId="517E4D99" w:rsidR="00F96C3F" w:rsidRPr="00CF2883" w:rsidRDefault="00F96C3F" w:rsidP="00F96C3F">
            <w:pPr>
              <w:rPr>
                <w:rFonts w:ascii="Arial" w:hAnsi="Arial" w:cs="Arial"/>
              </w:rPr>
            </w:pPr>
          </w:p>
        </w:tc>
      </w:tr>
      <w:tr w:rsidR="00F96C3F" w:rsidRPr="004C3A0B" w14:paraId="15B95D37" w14:textId="77777777" w:rsidTr="003C06A4">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91998E5" w14:textId="77777777" w:rsidR="006D4423" w:rsidRPr="0071535F" w:rsidRDefault="006D4423" w:rsidP="006D4423">
            <w:pPr>
              <w:pStyle w:val="NormalWeb"/>
              <w:numPr>
                <w:ilvl w:val="0"/>
                <w:numId w:val="29"/>
              </w:numPr>
              <w:spacing w:line="360" w:lineRule="auto"/>
              <w:rPr>
                <w:rFonts w:asciiTheme="majorBidi" w:hAnsiTheme="majorBidi" w:cstheme="majorBidi"/>
              </w:rPr>
            </w:pPr>
            <w:r w:rsidRPr="0071535F">
              <w:rPr>
                <w:rFonts w:asciiTheme="majorBidi" w:hAnsiTheme="majorBidi" w:cstheme="majorBidi"/>
              </w:rPr>
              <w:t>To identify and categorise the AI recruitment tools used in MNCs across Europe and Asia.</w:t>
            </w:r>
          </w:p>
          <w:p w14:paraId="160B881F" w14:textId="77777777" w:rsidR="006D4423" w:rsidRPr="0071535F" w:rsidRDefault="006D4423" w:rsidP="006D4423">
            <w:pPr>
              <w:pStyle w:val="NormalWeb"/>
              <w:numPr>
                <w:ilvl w:val="0"/>
                <w:numId w:val="29"/>
              </w:numPr>
              <w:spacing w:line="360" w:lineRule="auto"/>
              <w:rPr>
                <w:rFonts w:asciiTheme="majorBidi" w:hAnsiTheme="majorBidi" w:cstheme="majorBidi"/>
              </w:rPr>
            </w:pPr>
            <w:r w:rsidRPr="0071535F">
              <w:rPr>
                <w:rFonts w:asciiTheme="majorBidi" w:hAnsiTheme="majorBidi" w:cstheme="majorBidi"/>
              </w:rPr>
              <w:t>To compare how these tools are perceived in terms of efficiency and candidate-job fit in different cultural and regulatory environments.</w:t>
            </w:r>
          </w:p>
          <w:p w14:paraId="5371DB90" w14:textId="77777777" w:rsidR="006D4423" w:rsidRPr="0071535F" w:rsidRDefault="006D4423" w:rsidP="006D4423">
            <w:pPr>
              <w:pStyle w:val="NormalWeb"/>
              <w:numPr>
                <w:ilvl w:val="0"/>
                <w:numId w:val="29"/>
              </w:numPr>
              <w:spacing w:line="360" w:lineRule="auto"/>
              <w:rPr>
                <w:rFonts w:asciiTheme="majorBidi" w:hAnsiTheme="majorBidi" w:cstheme="majorBidi"/>
              </w:rPr>
            </w:pPr>
            <w:r w:rsidRPr="0071535F">
              <w:rPr>
                <w:rFonts w:asciiTheme="majorBidi" w:hAnsiTheme="majorBidi" w:cstheme="majorBidi"/>
              </w:rPr>
              <w:t>To evaluate ethical, legal, and DEI concerns in AI-driven hiring across both contexts.</w:t>
            </w:r>
          </w:p>
          <w:p w14:paraId="5200F608" w14:textId="77777777" w:rsidR="006D4423" w:rsidRPr="0071535F" w:rsidRDefault="006D4423" w:rsidP="006D4423">
            <w:pPr>
              <w:pStyle w:val="NormalWeb"/>
              <w:numPr>
                <w:ilvl w:val="0"/>
                <w:numId w:val="29"/>
              </w:numPr>
              <w:spacing w:line="360" w:lineRule="auto"/>
              <w:rPr>
                <w:rFonts w:asciiTheme="majorBidi" w:hAnsiTheme="majorBidi" w:cstheme="majorBidi"/>
              </w:rPr>
            </w:pPr>
            <w:r w:rsidRPr="0071535F">
              <w:rPr>
                <w:rFonts w:asciiTheme="majorBidi" w:hAnsiTheme="majorBidi" w:cstheme="majorBidi"/>
              </w:rPr>
              <w:t>To generate recommendations for regionally sensitive and ethically responsible AI adoption in MNC recruitment.</w:t>
            </w:r>
          </w:p>
          <w:p w14:paraId="09EB7F21" w14:textId="77777777" w:rsidR="006D4423" w:rsidRPr="0071535F" w:rsidRDefault="006D4423">
            <w:pPr>
              <w:pStyle w:val="NormalWeb"/>
              <w:spacing w:line="360" w:lineRule="auto"/>
              <w:jc w:val="both"/>
              <w:rPr>
                <w:rFonts w:asciiTheme="majorBidi" w:hAnsiTheme="majorBidi" w:cstheme="majorBidi"/>
                <w:color w:val="000000" w:themeColor="text1"/>
              </w:rPr>
            </w:pPr>
            <w:r w:rsidRPr="0071535F">
              <w:rPr>
                <w:rFonts w:asciiTheme="majorBidi" w:hAnsiTheme="majorBidi" w:cstheme="majorBidi"/>
                <w:color w:val="000000" w:themeColor="text1"/>
              </w:rPr>
              <w:lastRenderedPageBreak/>
              <w:t>This study contributes by providing a comparative cross-national perspective, addressing a gap in existing literature that largely focuses on single-region contexts (US/Europe). It offers insights into how cultural and regulatory differences shape AI adoption in recruitment.</w:t>
            </w:r>
          </w:p>
          <w:p w14:paraId="195CBC88" w14:textId="4529C664" w:rsidR="00F96C3F" w:rsidRPr="006D4423" w:rsidRDefault="00F96C3F" w:rsidP="00F96C3F">
            <w:pPr>
              <w:rPr>
                <w:rFonts w:ascii="Arial" w:hAnsi="Arial" w:cs="Arial"/>
                <w:sz w:val="22"/>
                <w:szCs w:val="22"/>
              </w:rPr>
            </w:pPr>
          </w:p>
        </w:tc>
      </w:tr>
      <w:tr w:rsidR="00F96C3F" w:rsidRPr="004C3A0B" w14:paraId="67275614" w14:textId="77777777" w:rsidTr="003C06A4">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78134577" w14:textId="77777777" w:rsidR="00D40E6B" w:rsidRDefault="003C06A4" w:rsidP="00D40E6B">
            <w:pPr>
              <w:pStyle w:val="Heading1"/>
              <w:spacing w:line="360" w:lineRule="auto"/>
            </w:pPr>
            <w:r>
              <w:t>.</w:t>
            </w:r>
            <w:r w:rsidRPr="00943BF5">
              <w:t>The Research Methodology</w:t>
            </w:r>
            <w:bookmarkStart w:id="0" w:name="_Toc209627871"/>
          </w:p>
          <w:p w14:paraId="045489D6" w14:textId="77777777" w:rsidR="00D40E6B" w:rsidRDefault="00D40E6B" w:rsidP="00D40E6B">
            <w:pPr>
              <w:pStyle w:val="Heading1"/>
              <w:spacing w:line="360" w:lineRule="auto"/>
              <w:jc w:val="left"/>
            </w:pPr>
          </w:p>
          <w:p w14:paraId="1981FDE4" w14:textId="165CE1F1" w:rsidR="003C06A4" w:rsidRPr="0071535F" w:rsidRDefault="003C06A4" w:rsidP="00D40E6B">
            <w:pPr>
              <w:pStyle w:val="Heading1"/>
              <w:spacing w:line="360" w:lineRule="auto"/>
              <w:jc w:val="left"/>
            </w:pPr>
            <w:r>
              <w:t xml:space="preserve">1. </w:t>
            </w:r>
            <w:r w:rsidRPr="0071535F">
              <w:t>Research Design and Philosophical Positioning</w:t>
            </w:r>
            <w:bookmarkEnd w:id="0"/>
          </w:p>
          <w:p w14:paraId="2AF5DFCF"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This study adopts a qualitative, exploratory design grounded in an interpretivist paradigm. Given the research focus on how HR professionals in multinational corporations (MNCs) perceive and experience AI in recruitment, qualitative methods provide the necessary depth to capture nuance and context. Quantitative surveys could quantify adoption patterns but would risk flattening the complex ways in which professionals interpret fairness, efficiency, and ethical issues across national contexts. The interpretivist stance recognises that reality is socially constructed through lived experiences and that insights must be drawn from participants’ subjective understandings rather than imposed from predetermined categories (Creswell &amp; </w:t>
            </w:r>
            <w:proofErr w:type="spellStart"/>
            <w:r w:rsidRPr="00795F4A">
              <w:rPr>
                <w:rFonts w:asciiTheme="majorBidi" w:hAnsiTheme="majorBidi" w:cstheme="majorBidi"/>
                <w:color w:val="000000" w:themeColor="text1"/>
              </w:rPr>
              <w:t>Poth</w:t>
            </w:r>
            <w:proofErr w:type="spellEnd"/>
            <w:r w:rsidRPr="00795F4A">
              <w:rPr>
                <w:rFonts w:asciiTheme="majorBidi" w:hAnsiTheme="majorBidi" w:cstheme="majorBidi"/>
                <w:color w:val="000000" w:themeColor="text1"/>
              </w:rPr>
              <w:t>, 2018).</w:t>
            </w:r>
          </w:p>
          <w:p w14:paraId="23E5117F" w14:textId="77777777" w:rsidR="00D40E6B" w:rsidRDefault="003C06A4" w:rsidP="00322AB6">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This design is also justified on originality grounds. While much of the existing scholarship relies on conceptual models or secondary commentary, few studies explore comparative perceptions across Europe and Asia through direct engagement with HR practitioners. A qualitative methodology enables the study to surface both convergent and divergent interpretations across regulatory and cultural environments, providing a textured understanding of how AI is shaping recruitment in MNCs.</w:t>
            </w:r>
            <w:bookmarkStart w:id="1" w:name="_Toc209627872"/>
          </w:p>
          <w:p w14:paraId="1A15E15E" w14:textId="3A387B75" w:rsidR="003C06A4" w:rsidRPr="00322AB6" w:rsidRDefault="003C06A4" w:rsidP="00322AB6">
            <w:pPr>
              <w:pStyle w:val="NormalWeb"/>
              <w:spacing w:line="360" w:lineRule="auto"/>
              <w:jc w:val="both"/>
              <w:rPr>
                <w:rFonts w:asciiTheme="majorBidi" w:hAnsiTheme="majorBidi" w:cstheme="majorBidi"/>
                <w:color w:val="000000" w:themeColor="text1"/>
              </w:rPr>
            </w:pPr>
            <w:r>
              <w:t xml:space="preserve">2. </w:t>
            </w:r>
            <w:r w:rsidRPr="0071535F">
              <w:t>Sampling Strategy and Participants</w:t>
            </w:r>
            <w:bookmarkEnd w:id="1"/>
          </w:p>
          <w:p w14:paraId="5473826D"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study will employ purposive sampling to identify participants with direct experience in AI-enabled recruitment processes. Eligible participants include HR managers, talent acquisition specialists, and recruitment professionals working in MNCs that currently deploy or have piloted AI-based tools such as applicant tracking systems, automated resume screeners, or AI-enhanced video interview platforms.</w:t>
            </w:r>
          </w:p>
          <w:p w14:paraId="6E5F8109"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The target sample size is </w:t>
            </w:r>
            <w:r w:rsidRPr="00795F4A">
              <w:rPr>
                <w:rFonts w:asciiTheme="majorBidi" w:hAnsiTheme="majorBidi" w:cstheme="majorBidi"/>
                <w:b/>
                <w:bCs/>
                <w:color w:val="000000" w:themeColor="text1"/>
              </w:rPr>
              <w:t>10 to 12 participants</w:t>
            </w:r>
            <w:r w:rsidRPr="00795F4A">
              <w:rPr>
                <w:rFonts w:asciiTheme="majorBidi" w:hAnsiTheme="majorBidi" w:cstheme="majorBidi"/>
                <w:color w:val="000000" w:themeColor="text1"/>
              </w:rPr>
              <w:t xml:space="preserve">, split across Europe and Asia. This balance is intended to capture diverse regional perspectives while remaining feasible within the project’s time constraints. Interviews will last approximately </w:t>
            </w:r>
            <w:r w:rsidRPr="00795F4A">
              <w:rPr>
                <w:rFonts w:asciiTheme="majorBidi" w:hAnsiTheme="majorBidi" w:cstheme="majorBidi"/>
                <w:b/>
                <w:bCs/>
                <w:color w:val="000000" w:themeColor="text1"/>
              </w:rPr>
              <w:t>10–15 minutes</w:t>
            </w:r>
            <w:r w:rsidRPr="00795F4A">
              <w:rPr>
                <w:rFonts w:asciiTheme="majorBidi" w:hAnsiTheme="majorBidi" w:cstheme="majorBidi"/>
                <w:color w:val="000000" w:themeColor="text1"/>
              </w:rPr>
              <w:t>, acknowledging the practical limitations of recruiting busy professionals. While the relatively short interview duration may constrain depth, the use of focused, semi-structured questions will ensure that critical themes such as efficiency gains, fairness concerns, regulatory awareness, and diversity outcomes are consistently addressed.</w:t>
            </w:r>
          </w:p>
          <w:p w14:paraId="1A318806" w14:textId="77777777" w:rsidR="00D40E6B" w:rsidRDefault="003C06A4" w:rsidP="00D40E6B">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lastRenderedPageBreak/>
              <w:t>Recruitment will proceed through professional networks, LinkedIn outreach, and HR associations. Access to participants in different geographical regions will require careful attention to time zone differences and cultural considerations in communication.</w:t>
            </w:r>
            <w:bookmarkStart w:id="2" w:name="_Toc209627873"/>
          </w:p>
          <w:p w14:paraId="7ACA5171" w14:textId="28FD584F" w:rsidR="003C06A4" w:rsidRPr="00D40E6B" w:rsidRDefault="003C06A4" w:rsidP="00D40E6B">
            <w:pPr>
              <w:pStyle w:val="NormalWeb"/>
              <w:spacing w:line="360" w:lineRule="auto"/>
              <w:jc w:val="both"/>
              <w:rPr>
                <w:rFonts w:asciiTheme="majorBidi" w:hAnsiTheme="majorBidi" w:cstheme="majorBidi"/>
                <w:color w:val="000000" w:themeColor="text1"/>
              </w:rPr>
            </w:pPr>
            <w:r>
              <w:t xml:space="preserve">3. </w:t>
            </w:r>
            <w:r w:rsidRPr="0071535F">
              <w:t>Data Collection Procedures</w:t>
            </w:r>
            <w:bookmarkEnd w:id="2"/>
          </w:p>
          <w:p w14:paraId="3EA35A88"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Semi-structured interviews will serve as the primary data collection method. This approach combines flexibility with structure, ensuring comparability across cases while allowing participants to elaborate on issues salient to their own contexts.</w:t>
            </w:r>
          </w:p>
          <w:p w14:paraId="1BD4DE43"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interview schedule will include questions clustered around five domains:</w:t>
            </w:r>
          </w:p>
          <w:p w14:paraId="505F756C" w14:textId="77777777" w:rsidR="003C06A4" w:rsidRPr="00795F4A" w:rsidRDefault="003C06A4" w:rsidP="003C06A4">
            <w:pPr>
              <w:pStyle w:val="NormalWeb"/>
              <w:numPr>
                <w:ilvl w:val="0"/>
                <w:numId w:val="30"/>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Types of AI recruitment tools used and their organisational purpose.</w:t>
            </w:r>
          </w:p>
          <w:p w14:paraId="79289C34" w14:textId="77777777" w:rsidR="003C06A4" w:rsidRPr="00795F4A" w:rsidRDefault="003C06A4" w:rsidP="003C06A4">
            <w:pPr>
              <w:pStyle w:val="NormalWeb"/>
              <w:numPr>
                <w:ilvl w:val="0"/>
                <w:numId w:val="30"/>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Perceived benefits and efficiency gains from AI use.</w:t>
            </w:r>
          </w:p>
          <w:p w14:paraId="25FD6D47" w14:textId="77777777" w:rsidR="003C06A4" w:rsidRPr="00795F4A" w:rsidRDefault="003C06A4" w:rsidP="003C06A4">
            <w:pPr>
              <w:pStyle w:val="NormalWeb"/>
              <w:numPr>
                <w:ilvl w:val="0"/>
                <w:numId w:val="30"/>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Concerns about bias, fairness, and transparency in AI-enabled decisions.</w:t>
            </w:r>
          </w:p>
          <w:p w14:paraId="06561656" w14:textId="77777777" w:rsidR="003C06A4" w:rsidRPr="00795F4A" w:rsidRDefault="003C06A4" w:rsidP="003C06A4">
            <w:pPr>
              <w:pStyle w:val="NormalWeb"/>
              <w:numPr>
                <w:ilvl w:val="0"/>
                <w:numId w:val="30"/>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Perceptions of how AI adoption aligns with or challenges diversity, equity, and inclusion goals.</w:t>
            </w:r>
          </w:p>
          <w:p w14:paraId="2FA3970B" w14:textId="77777777" w:rsidR="003C06A4" w:rsidRPr="00795F4A" w:rsidRDefault="003C06A4" w:rsidP="003C06A4">
            <w:pPr>
              <w:pStyle w:val="NormalWeb"/>
              <w:numPr>
                <w:ilvl w:val="0"/>
                <w:numId w:val="30"/>
              </w:numPr>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Influence of legal and cultural contexts on adoption and ethical practices.</w:t>
            </w:r>
          </w:p>
          <w:p w14:paraId="5E8A3BBA" w14:textId="77777777" w:rsidR="00D40E6B" w:rsidRDefault="003C06A4" w:rsidP="00D40E6B">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Interviews will be conducted via secure video conferencing platforms such as Zoom or Microsoft Teams. Each will be audio recorded with participant consent and subsequently transcribed verbatim. Given the short 10–</w:t>
            </w:r>
            <w:r w:rsidRPr="0071535F">
              <w:rPr>
                <w:rFonts w:asciiTheme="majorBidi" w:hAnsiTheme="majorBidi" w:cstheme="majorBidi"/>
                <w:color w:val="000000" w:themeColor="text1"/>
              </w:rPr>
              <w:t>15-minute</w:t>
            </w:r>
            <w:r w:rsidRPr="00795F4A">
              <w:rPr>
                <w:rFonts w:asciiTheme="majorBidi" w:hAnsiTheme="majorBidi" w:cstheme="majorBidi"/>
                <w:color w:val="000000" w:themeColor="text1"/>
              </w:rPr>
              <w:t xml:space="preserve"> format, careful attention will be paid to ensuring that the core questions are covered efficiently, while allowing participants to add context through follow-up prompts.</w:t>
            </w:r>
            <w:bookmarkStart w:id="3" w:name="_Toc209627874"/>
          </w:p>
          <w:p w14:paraId="69DEFBF3" w14:textId="5C55B193" w:rsidR="003C06A4" w:rsidRPr="00D40E6B" w:rsidRDefault="003C06A4" w:rsidP="00D40E6B">
            <w:pPr>
              <w:pStyle w:val="NormalWeb"/>
              <w:spacing w:line="360" w:lineRule="auto"/>
              <w:jc w:val="both"/>
              <w:rPr>
                <w:rFonts w:asciiTheme="majorBidi" w:hAnsiTheme="majorBidi" w:cstheme="majorBidi"/>
                <w:color w:val="000000" w:themeColor="text1"/>
              </w:rPr>
            </w:pPr>
            <w:r>
              <w:t xml:space="preserve">4. </w:t>
            </w:r>
            <w:r w:rsidRPr="0071535F">
              <w:t>Data Analysis</w:t>
            </w:r>
            <w:bookmarkEnd w:id="3"/>
          </w:p>
          <w:p w14:paraId="2A74997B"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The collected data will be analysed using </w:t>
            </w:r>
            <w:r w:rsidRPr="00795F4A">
              <w:rPr>
                <w:rFonts w:asciiTheme="majorBidi" w:hAnsiTheme="majorBidi" w:cstheme="majorBidi"/>
                <w:b/>
                <w:bCs/>
                <w:color w:val="000000" w:themeColor="text1"/>
              </w:rPr>
              <w:t>thematic analysis</w:t>
            </w:r>
            <w:r w:rsidRPr="00795F4A">
              <w:rPr>
                <w:rFonts w:asciiTheme="majorBidi" w:hAnsiTheme="majorBidi" w:cstheme="majorBidi"/>
                <w:color w:val="000000" w:themeColor="text1"/>
              </w:rPr>
              <w:t xml:space="preserve"> following Braun and Clarke’s (2006) six-step framework: familiarisation, coding, theme development, theme review, defining and naming themes, and producing the report. The analysis will be conducted with the assistance of </w:t>
            </w:r>
            <w:r w:rsidRPr="00795F4A">
              <w:rPr>
                <w:rFonts w:asciiTheme="majorBidi" w:hAnsiTheme="majorBidi" w:cstheme="majorBidi"/>
                <w:b/>
                <w:bCs/>
                <w:color w:val="000000" w:themeColor="text1"/>
              </w:rPr>
              <w:t>NVivo software</w:t>
            </w:r>
            <w:r w:rsidRPr="00795F4A">
              <w:rPr>
                <w:rFonts w:asciiTheme="majorBidi" w:hAnsiTheme="majorBidi" w:cstheme="majorBidi"/>
                <w:color w:val="000000" w:themeColor="text1"/>
              </w:rPr>
              <w:t>, which will support systematic coding, retrieval of segments, and comparative cross-case analysis.</w:t>
            </w:r>
          </w:p>
          <w:p w14:paraId="5630D55B"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use of NVivo offers two key benefits. First, it ensures rigour by maintaining a transparent audit trail of codes and memos, which is particularly important given the comparative design. Second, NVivo enables more effective management of data when examining differences and similarities between European and Asian participants, thereby enhancing the study’s capacity for cross-national insights.</w:t>
            </w:r>
          </w:p>
          <w:p w14:paraId="6C82133D" w14:textId="77777777" w:rsidR="00BD0FB0" w:rsidRDefault="003C06A4" w:rsidP="00BD0FB0">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 xml:space="preserve">Themes are expected to emerge around efficiency, fairness, DEI, and regulatory awareness. However, the analysis will remain inductive, allowing unexpected themes to surface from participants’ own </w:t>
            </w:r>
            <w:r w:rsidRPr="00795F4A">
              <w:rPr>
                <w:rFonts w:asciiTheme="majorBidi" w:hAnsiTheme="majorBidi" w:cstheme="majorBidi"/>
                <w:color w:val="000000" w:themeColor="text1"/>
              </w:rPr>
              <w:lastRenderedPageBreak/>
              <w:t>accounts. Cross-case comparison will be central: codes from European interviews will be contrasted with those from Asian interviews to identify points of convergence and divergence.</w:t>
            </w:r>
            <w:bookmarkStart w:id="4" w:name="_Toc209627875"/>
          </w:p>
          <w:p w14:paraId="06BD5302" w14:textId="7C33DBBE" w:rsidR="003C06A4" w:rsidRPr="00BD0FB0" w:rsidRDefault="003C06A4" w:rsidP="00BD0FB0">
            <w:pPr>
              <w:pStyle w:val="NormalWeb"/>
              <w:spacing w:line="360" w:lineRule="auto"/>
              <w:jc w:val="both"/>
              <w:rPr>
                <w:rFonts w:asciiTheme="majorBidi" w:hAnsiTheme="majorBidi" w:cstheme="majorBidi"/>
                <w:color w:val="000000" w:themeColor="text1"/>
              </w:rPr>
            </w:pPr>
            <w:r>
              <w:t xml:space="preserve">5. </w:t>
            </w:r>
            <w:r w:rsidRPr="0071535F">
              <w:t>Ensuring Research Quality</w:t>
            </w:r>
            <w:bookmarkEnd w:id="4"/>
          </w:p>
          <w:p w14:paraId="2826191E"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To ensure credibility, dependability, and confirmability, several strategies will be applied. First, reflexivity will be maintained through a researcher diary, documenting assumptions, decisions, and emerging interpretations. Second, coding reliability will be enhanced by iterative refinement of the coding framework, with codes tested against multiple transcripts to check consistency. While inter-coder checks are not possible in a single-researcher dissertation, transparency in coding decisions through NVivo memos will help mitigate bias. Third, thematic saturation will be monitored, although with 10–12 short interviews, saturation will be treated pragmatically as the point when no new significant themes emerge.</w:t>
            </w:r>
          </w:p>
          <w:p w14:paraId="77750BE8" w14:textId="77777777" w:rsidR="00EC359A" w:rsidRDefault="003C06A4" w:rsidP="007C0C23">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Transferability will be supported by thick description of participants’ organisational contexts, ensuring that findings can be interpreted in relation to different MNC settings.</w:t>
            </w:r>
            <w:bookmarkStart w:id="5" w:name="_Toc209627876"/>
          </w:p>
          <w:p w14:paraId="4ED0F542" w14:textId="03B5FB44" w:rsidR="003C06A4" w:rsidRPr="007C0C23" w:rsidRDefault="003C06A4" w:rsidP="007C0C23">
            <w:pPr>
              <w:pStyle w:val="NormalWeb"/>
              <w:spacing w:line="360" w:lineRule="auto"/>
              <w:jc w:val="both"/>
              <w:rPr>
                <w:rFonts w:asciiTheme="majorBidi" w:hAnsiTheme="majorBidi" w:cstheme="majorBidi"/>
                <w:color w:val="000000" w:themeColor="text1"/>
              </w:rPr>
            </w:pPr>
            <w:r>
              <w:t xml:space="preserve">6. </w:t>
            </w:r>
            <w:r w:rsidRPr="0071535F">
              <w:t>Ethical Considerations</w:t>
            </w:r>
            <w:bookmarkEnd w:id="5"/>
          </w:p>
          <w:p w14:paraId="415DB97F"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The research will adhere strictly to Middlesex University’s ethical guidelines. Participants will receive an information sheet outlining the study’s purpose, procedures, and their rights, including the voluntary nature of participation. Written informed consent will be obtained prior to each interview.</w:t>
            </w:r>
          </w:p>
          <w:p w14:paraId="43A212C8"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All data will be anonymised, and pseudonyms will be used in reporting. Audio files and transcripts will be stored on encrypted devices and accessible only to the researcher. Given the cross-national nature of the study, particular care will be taken to ensure compliance with data protection laws, including GDPR in Europe and equivalent regimes in Asia. Participants will be assured that no identifiable corporate information will be disclosed and that they may withdraw at any stage without penalty.</w:t>
            </w:r>
          </w:p>
          <w:p w14:paraId="0014FEE9" w14:textId="77777777" w:rsidR="00EC359A" w:rsidRDefault="003C06A4" w:rsidP="00EC359A">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A further ethical consideration arises from the power dynamics of interviewing HR professionals who may feel accountable for their organisation’s AI adoption. The interview guide will therefore be carefully phrased to avoid blame or reputational harm, framing questions around organisational practices rather than individual responsibility</w:t>
            </w:r>
            <w:bookmarkStart w:id="6" w:name="_Toc209627877"/>
          </w:p>
          <w:p w14:paraId="022DFF4A" w14:textId="2DED34F2" w:rsidR="003C06A4" w:rsidRPr="00EC359A" w:rsidRDefault="003C06A4" w:rsidP="00EC359A">
            <w:pPr>
              <w:pStyle w:val="NormalWeb"/>
              <w:spacing w:line="360" w:lineRule="auto"/>
              <w:jc w:val="both"/>
              <w:rPr>
                <w:rFonts w:asciiTheme="majorBidi" w:hAnsiTheme="majorBidi" w:cstheme="majorBidi"/>
                <w:color w:val="000000" w:themeColor="text1"/>
              </w:rPr>
            </w:pPr>
            <w:r>
              <w:t xml:space="preserve">7. </w:t>
            </w:r>
            <w:r w:rsidRPr="0071535F">
              <w:t>Limitations</w:t>
            </w:r>
            <w:bookmarkEnd w:id="6"/>
          </w:p>
          <w:p w14:paraId="39A77321" w14:textId="77777777" w:rsidR="003C06A4" w:rsidRPr="00795F4A"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Several limitations must be acknowledged. The sample size of 10–12 participants limits the breadth of generalisation and the short interview duration (10–15 minutes) constrains the depth of responses. While NVivo-assisted thematic analysis can identify patterns and contrasts, the insights will remain context-</w:t>
            </w:r>
            <w:r w:rsidRPr="00795F4A">
              <w:rPr>
                <w:rFonts w:asciiTheme="majorBidi" w:hAnsiTheme="majorBidi" w:cstheme="majorBidi"/>
                <w:color w:val="000000" w:themeColor="text1"/>
              </w:rPr>
              <w:lastRenderedPageBreak/>
              <w:t>specific. Additionally, cross-national comparisons may be uneven if participant recruitment proves more successful in one region than the other.</w:t>
            </w:r>
          </w:p>
          <w:p w14:paraId="67F88A23" w14:textId="77777777" w:rsidR="003C06A4" w:rsidRPr="0071535F"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Despite these limitations, the study’s value lies in its exploratory, comparative perspective, which can provide novel insights into how cultural and regulatory differences shape HR professionals’ perceptions of AI recruitment.</w:t>
            </w:r>
          </w:p>
          <w:p w14:paraId="44D846B1" w14:textId="77777777" w:rsidR="003C06A4" w:rsidRPr="0071535F" w:rsidRDefault="003C06A4">
            <w:pPr>
              <w:pStyle w:val="NormalWeb"/>
              <w:spacing w:line="360" w:lineRule="auto"/>
              <w:jc w:val="both"/>
              <w:rPr>
                <w:rFonts w:asciiTheme="majorBidi" w:hAnsiTheme="majorBidi" w:cstheme="majorBidi"/>
                <w:color w:val="000000" w:themeColor="text1"/>
              </w:rPr>
            </w:pPr>
            <w:r w:rsidRPr="00795F4A">
              <w:rPr>
                <w:rFonts w:asciiTheme="majorBidi" w:hAnsiTheme="majorBidi" w:cstheme="majorBidi"/>
                <w:color w:val="000000" w:themeColor="text1"/>
              </w:rPr>
              <w:t>In summary, the methodology is designed to generate rich, comparative insights into how HR practitioners in Europe and Asia interpret AI-enabled recruitment. The use of semi-structured interviews, thematic analysis, and NVivo provides a rigorous yet flexible framework suited to the exploratory aims of the research. While limitations regarding sample size and interview duration must be acknowledged, the design remains well aligned with the study’s aim to uncover cross-national differences in perceptions of efficiency, fairness, and ethical practice in AI-driven recruitment.</w:t>
            </w:r>
          </w:p>
          <w:p w14:paraId="580C33AD" w14:textId="78BD9619" w:rsidR="00F96C3F" w:rsidRPr="004C3A0B" w:rsidRDefault="00F96C3F" w:rsidP="00F96C3F">
            <w:pPr>
              <w:rPr>
                <w:rFonts w:ascii="Arial" w:hAnsi="Arial" w:cs="Arial"/>
                <w:sz w:val="22"/>
                <w:szCs w:val="22"/>
              </w:rPr>
            </w:pPr>
          </w:p>
        </w:tc>
      </w:tr>
      <w:tr w:rsidR="00F96C3F" w:rsidRPr="004C3A0B" w14:paraId="570BB83E" w14:textId="77777777" w:rsidTr="003C06A4">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DCCB99B" w:rsidR="00C11423" w:rsidRPr="004C3A0B" w:rsidRDefault="00DD443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D705476" w:rsidR="00C11423" w:rsidRPr="004C3A0B" w:rsidRDefault="005400C8"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EEFB1F1" w:rsidR="00770C66" w:rsidRDefault="005400C8"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0048D3C"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106A6AC" w:rsidR="00D107AC" w:rsidRDefault="004D6F5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8D9B043"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E702580"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F43D1D5"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490A6212"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B81625A" w:rsidR="00770C66" w:rsidRPr="004C3A0B" w:rsidRDefault="004D6F5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A528494" w:rsidR="00770C66" w:rsidRPr="004C3A0B" w:rsidRDefault="004D6F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A482B56" w:rsidR="00770C66" w:rsidRPr="004C3A0B" w:rsidRDefault="004D6F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86E646D" w:rsidR="00770C66" w:rsidRPr="004C3A0B" w:rsidRDefault="004D6F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3CB0490" w:rsidR="00770C66" w:rsidRPr="004C3A0B" w:rsidRDefault="004D6F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198AAED" w:rsidR="00770C66" w:rsidRPr="004C3A0B" w:rsidRDefault="004D6F5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5B84B84" w:rsidR="00770C66" w:rsidRDefault="004D6F5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7FC50636" w:rsidR="00770C66" w:rsidRPr="006C1FDD" w:rsidRDefault="004D6F5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lastRenderedPageBreak/>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pPr>
              <w:autoSpaceDE w:val="0"/>
              <w:autoSpaceDN w:val="0"/>
              <w:adjustRightInd w:val="0"/>
              <w:jc w:val="both"/>
              <w:rPr>
                <w:rFonts w:ascii="Arial" w:hAnsi="Arial" w:cs="Arial"/>
                <w:bCs/>
                <w:sz w:val="22"/>
                <w:szCs w:val="22"/>
              </w:rPr>
            </w:pPr>
          </w:p>
          <w:p w14:paraId="132A75CA" w14:textId="77777777" w:rsidR="001B41AD" w:rsidRPr="00F11B19" w:rsidRDefault="001B41AD">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8A134B5" w:rsidR="001B41AD" w:rsidRPr="003C7DED" w:rsidRDefault="0096397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4D384CBB" w:rsidR="001B41A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C88025B" w:rsidR="001B41A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A1E51C9" w:rsidR="001B41A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04005D02" w:rsidR="001B41A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4A5DC88" w:rsidR="001B41AD" w:rsidRPr="003C7DE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1B7AE81D" w:rsidR="001B41AD" w:rsidRPr="003C7DE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091A11E8" w:rsidR="001B41AD" w:rsidRPr="003C7DE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AB3802A" w:rsidR="001B41AD" w:rsidRPr="003C7DE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5565175" w:rsidR="001B41AD" w:rsidRPr="003C7DE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10DD374A" w:rsidR="001B41AD" w:rsidRDefault="003D7CE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trPr>
          <w:trHeight w:val="403"/>
        </w:trPr>
        <w:tc>
          <w:tcPr>
            <w:tcW w:w="10487" w:type="dxa"/>
            <w:gridSpan w:val="5"/>
            <w:shd w:val="clear" w:color="auto" w:fill="F2F2F2" w:themeFill="background1" w:themeFillShade="F2"/>
            <w:vAlign w:val="center"/>
          </w:tcPr>
          <w:p w14:paraId="5CCE543C" w14:textId="77777777" w:rsidR="001B41AD" w:rsidRPr="003C7DED" w:rsidRDefault="001B41AD">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trPr>
          <w:trHeight w:val="403"/>
        </w:trPr>
        <w:tc>
          <w:tcPr>
            <w:tcW w:w="551" w:type="dxa"/>
            <w:vAlign w:val="center"/>
          </w:tcPr>
          <w:p w14:paraId="0DA0924A" w14:textId="77777777" w:rsidR="001B41AD" w:rsidRPr="003C7DED" w:rsidRDefault="001B41AD">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pPr>
              <w:autoSpaceDE w:val="0"/>
              <w:autoSpaceDN w:val="0"/>
              <w:adjustRightInd w:val="0"/>
              <w:rPr>
                <w:rFonts w:ascii="Arial" w:hAnsi="Arial" w:cs="Arial"/>
                <w:i/>
                <w:color w:val="808080"/>
                <w:sz w:val="18"/>
                <w:szCs w:val="18"/>
              </w:rPr>
            </w:pPr>
          </w:p>
          <w:p w14:paraId="6BEFE5E9" w14:textId="2D0ACB0C" w:rsidR="001B41AD" w:rsidRPr="003C7DED" w:rsidRDefault="001B41AD">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11E75661" w:rsidR="004D0161" w:rsidRPr="004C3A0B" w:rsidRDefault="00777641" w:rsidP="00694EA8">
            <w:pPr>
              <w:spacing w:before="100" w:beforeAutospacing="1" w:after="100" w:afterAutospacing="1"/>
              <w:rPr>
                <w:rFonts w:ascii="Arial" w:hAnsi="Arial" w:cs="Arial"/>
                <w:sz w:val="22"/>
                <w:szCs w:val="22"/>
              </w:rPr>
            </w:pPr>
            <w:r>
              <w:rPr>
                <w:rFonts w:ascii="Arial" w:hAnsi="Arial" w:cs="Arial"/>
                <w:sz w:val="22"/>
                <w:szCs w:val="22"/>
              </w:rPr>
              <w:t xml:space="preserve">Asma Begum </w:t>
            </w:r>
          </w:p>
        </w:tc>
        <w:tc>
          <w:tcPr>
            <w:tcW w:w="2139" w:type="dxa"/>
            <w:gridSpan w:val="3"/>
            <w:vAlign w:val="center"/>
          </w:tcPr>
          <w:p w14:paraId="7C2D2CC9" w14:textId="7E727181"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4422B9">
              <w:rPr>
                <w:rFonts w:ascii="Arial" w:hAnsi="Arial" w:cs="Arial"/>
                <w:b/>
                <w:bCs/>
                <w:sz w:val="22"/>
                <w:szCs w:val="22"/>
              </w:rPr>
              <w:t xml:space="preserve"> </w:t>
            </w:r>
            <w:r w:rsidR="00D85ADD">
              <w:rPr>
                <w:rFonts w:ascii="Arial" w:hAnsi="Arial" w:cs="Arial"/>
                <w:b/>
                <w:bCs/>
                <w:sz w:val="22"/>
                <w:szCs w:val="22"/>
              </w:rPr>
              <w:t>1</w:t>
            </w:r>
            <w:r w:rsidR="0068505B">
              <w:rPr>
                <w:rFonts w:ascii="Arial" w:hAnsi="Arial" w:cs="Arial"/>
                <w:b/>
                <w:bCs/>
                <w:sz w:val="22"/>
                <w:szCs w:val="22"/>
              </w:rPr>
              <w:t>5</w:t>
            </w:r>
            <w:r w:rsidR="00D85ADD">
              <w:rPr>
                <w:rFonts w:ascii="Arial" w:hAnsi="Arial" w:cs="Arial"/>
                <w:b/>
                <w:bCs/>
                <w:sz w:val="22"/>
                <w:szCs w:val="22"/>
              </w:rPr>
              <w:t>July</w:t>
            </w:r>
            <w:r w:rsidR="004422B9">
              <w:rPr>
                <w:rFonts w:ascii="Arial" w:hAnsi="Arial" w:cs="Arial"/>
                <w:b/>
                <w:bCs/>
                <w:sz w:val="22"/>
                <w:szCs w:val="22"/>
              </w:rPr>
              <w:t xml:space="preserve">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C48BC95" w:rsidR="00AA7E42" w:rsidRPr="004C3A0B" w:rsidRDefault="002C6CBB" w:rsidP="00CA7241">
            <w:pPr>
              <w:pStyle w:val="ListParagraph"/>
              <w:ind w:left="0"/>
              <w:rPr>
                <w:rFonts w:ascii="Arial" w:hAnsi="Arial" w:cs="Arial"/>
              </w:rPr>
            </w:pPr>
            <w:r>
              <w:rPr>
                <w:rFonts w:ascii="Arial" w:hAnsi="Arial" w:cs="Arial"/>
              </w:rPr>
              <w:t xml:space="preserve">Ghulam Mujtaba </w:t>
            </w:r>
          </w:p>
        </w:tc>
        <w:tc>
          <w:tcPr>
            <w:tcW w:w="2123" w:type="dxa"/>
            <w:vMerge w:val="restart"/>
          </w:tcPr>
          <w:p w14:paraId="7BA89991" w14:textId="4B5C6F4F" w:rsidR="00AA7E42" w:rsidRPr="004C3A0B" w:rsidRDefault="00AA7E42" w:rsidP="0092487B">
            <w:pPr>
              <w:pStyle w:val="ListParagraph"/>
              <w:ind w:left="0"/>
              <w:rPr>
                <w:rFonts w:ascii="Arial" w:hAnsi="Arial" w:cs="Arial"/>
              </w:rPr>
            </w:pPr>
            <w:r w:rsidRPr="004C3A0B">
              <w:rPr>
                <w:rFonts w:ascii="Arial" w:hAnsi="Arial" w:cs="Arial"/>
                <w:b/>
                <w:bCs/>
              </w:rPr>
              <w:t>Date:</w:t>
            </w:r>
            <w:r w:rsidR="0068505B">
              <w:rPr>
                <w:rFonts w:ascii="Arial" w:hAnsi="Arial" w:cs="Arial"/>
                <w:b/>
                <w:bCs/>
              </w:rPr>
              <w:t>15 July,2026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47BD25D3" w:rsidR="00AA7E42" w:rsidRPr="004C3A0B" w:rsidRDefault="00D85ADD" w:rsidP="0092487B">
            <w:pPr>
              <w:pStyle w:val="ListParagraph"/>
              <w:ind w:left="0"/>
              <w:rPr>
                <w:rFonts w:ascii="Arial" w:hAnsi="Arial" w:cs="Arial"/>
              </w:rPr>
            </w:pPr>
            <w:r>
              <w:rPr>
                <w:rFonts w:ascii="Arial" w:hAnsi="Arial" w:cs="Arial"/>
              </w:rPr>
              <w:t xml:space="preserve">Ghulam Mujtaba </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0DEE41" w14:textId="77777777" w:rsidR="00180D3A" w:rsidRDefault="00180D3A" w:rsidP="00390251">
      <w:r>
        <w:separator/>
      </w:r>
    </w:p>
    <w:p w14:paraId="637A0C7A" w14:textId="77777777" w:rsidR="00180D3A" w:rsidRDefault="00180D3A"/>
  </w:endnote>
  <w:endnote w:type="continuationSeparator" w:id="0">
    <w:p w14:paraId="40906060" w14:textId="77777777" w:rsidR="00180D3A" w:rsidRDefault="00180D3A" w:rsidP="00390251">
      <w:r>
        <w:continuationSeparator/>
      </w:r>
    </w:p>
    <w:p w14:paraId="7DCE0C3A" w14:textId="77777777" w:rsidR="00180D3A" w:rsidRDefault="00180D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54BDC50" w14:textId="77777777" w:rsidR="00180D3A" w:rsidRDefault="00180D3A" w:rsidP="00390251">
      <w:r>
        <w:separator/>
      </w:r>
    </w:p>
    <w:p w14:paraId="1A4FA1C9" w14:textId="77777777" w:rsidR="00180D3A" w:rsidRDefault="00180D3A"/>
  </w:footnote>
  <w:footnote w:type="continuationSeparator" w:id="0">
    <w:p w14:paraId="691F4B92" w14:textId="77777777" w:rsidR="00180D3A" w:rsidRDefault="00180D3A" w:rsidP="00390251">
      <w:r>
        <w:continuationSeparator/>
      </w:r>
    </w:p>
    <w:p w14:paraId="70A30890" w14:textId="77777777" w:rsidR="00180D3A" w:rsidRDefault="00180D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4DA77F1"/>
    <w:multiLevelType w:val="multilevel"/>
    <w:tmpl w:val="4C68A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2B70C6C"/>
    <w:multiLevelType w:val="hybridMultilevel"/>
    <w:tmpl w:val="557A9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E15B9F"/>
    <w:multiLevelType w:val="multilevel"/>
    <w:tmpl w:val="4EA45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2"/>
  </w:num>
  <w:num w:numId="3" w16cid:durableId="966281650">
    <w:abstractNumId w:val="2"/>
  </w:num>
  <w:num w:numId="4" w16cid:durableId="608397184">
    <w:abstractNumId w:val="27"/>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5"/>
  </w:num>
  <w:num w:numId="12" w16cid:durableId="201676574">
    <w:abstractNumId w:val="23"/>
  </w:num>
  <w:num w:numId="13" w16cid:durableId="189995854">
    <w:abstractNumId w:val="24"/>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4"/>
  </w:num>
  <w:num w:numId="19" w16cid:durableId="48265336">
    <w:abstractNumId w:val="26"/>
  </w:num>
  <w:num w:numId="20" w16cid:durableId="211818222">
    <w:abstractNumId w:val="5"/>
  </w:num>
  <w:num w:numId="21" w16cid:durableId="613946751">
    <w:abstractNumId w:val="15"/>
  </w:num>
  <w:num w:numId="22" w16cid:durableId="1399202975">
    <w:abstractNumId w:val="21"/>
  </w:num>
  <w:num w:numId="23" w16cid:durableId="1519847789">
    <w:abstractNumId w:val="1"/>
  </w:num>
  <w:num w:numId="24" w16cid:durableId="807361496">
    <w:abstractNumId w:val="10"/>
  </w:num>
  <w:num w:numId="25" w16cid:durableId="1316760866">
    <w:abstractNumId w:val="13"/>
  </w:num>
  <w:num w:numId="26" w16cid:durableId="1190681930">
    <w:abstractNumId w:val="28"/>
  </w:num>
  <w:num w:numId="27" w16cid:durableId="965308682">
    <w:abstractNumId w:val="20"/>
  </w:num>
  <w:num w:numId="28" w16cid:durableId="2037928172">
    <w:abstractNumId w:val="3"/>
  </w:num>
  <w:num w:numId="29" w16cid:durableId="1303120160">
    <w:abstractNumId w:val="17"/>
  </w:num>
  <w:num w:numId="30" w16cid:durableId="257830801">
    <w:abstractNumId w:val="1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6AE8"/>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3567"/>
    <w:rsid w:val="00144D85"/>
    <w:rsid w:val="0014639E"/>
    <w:rsid w:val="00150EE4"/>
    <w:rsid w:val="00151286"/>
    <w:rsid w:val="001513B3"/>
    <w:rsid w:val="00152F36"/>
    <w:rsid w:val="001612C0"/>
    <w:rsid w:val="001703BF"/>
    <w:rsid w:val="00171735"/>
    <w:rsid w:val="00173776"/>
    <w:rsid w:val="00174A02"/>
    <w:rsid w:val="001808C3"/>
    <w:rsid w:val="00180D3A"/>
    <w:rsid w:val="001817E2"/>
    <w:rsid w:val="0019117E"/>
    <w:rsid w:val="0019200D"/>
    <w:rsid w:val="00192411"/>
    <w:rsid w:val="00195B55"/>
    <w:rsid w:val="001A366F"/>
    <w:rsid w:val="001A4F87"/>
    <w:rsid w:val="001A7A8F"/>
    <w:rsid w:val="001B0B2F"/>
    <w:rsid w:val="001B41AD"/>
    <w:rsid w:val="001B66FA"/>
    <w:rsid w:val="001C09E8"/>
    <w:rsid w:val="001C269D"/>
    <w:rsid w:val="001C3CC4"/>
    <w:rsid w:val="001C7C72"/>
    <w:rsid w:val="001D0A8E"/>
    <w:rsid w:val="001D1817"/>
    <w:rsid w:val="001D3BD1"/>
    <w:rsid w:val="001E35F9"/>
    <w:rsid w:val="001F3A1C"/>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6CBB"/>
    <w:rsid w:val="002D1837"/>
    <w:rsid w:val="002D3115"/>
    <w:rsid w:val="002D427F"/>
    <w:rsid w:val="002D4DC9"/>
    <w:rsid w:val="002E0739"/>
    <w:rsid w:val="002E33E7"/>
    <w:rsid w:val="00303350"/>
    <w:rsid w:val="003171A8"/>
    <w:rsid w:val="00322AB6"/>
    <w:rsid w:val="003257BD"/>
    <w:rsid w:val="003264AE"/>
    <w:rsid w:val="003268ED"/>
    <w:rsid w:val="003302A1"/>
    <w:rsid w:val="00331A88"/>
    <w:rsid w:val="00332956"/>
    <w:rsid w:val="00344744"/>
    <w:rsid w:val="003479B7"/>
    <w:rsid w:val="003505BC"/>
    <w:rsid w:val="00354F34"/>
    <w:rsid w:val="00361382"/>
    <w:rsid w:val="00363F3A"/>
    <w:rsid w:val="003656A9"/>
    <w:rsid w:val="00382031"/>
    <w:rsid w:val="00390251"/>
    <w:rsid w:val="00391F98"/>
    <w:rsid w:val="00392D9A"/>
    <w:rsid w:val="00397B49"/>
    <w:rsid w:val="003A09CB"/>
    <w:rsid w:val="003A5C91"/>
    <w:rsid w:val="003B4D13"/>
    <w:rsid w:val="003B7AA2"/>
    <w:rsid w:val="003C06A4"/>
    <w:rsid w:val="003C07E3"/>
    <w:rsid w:val="003C31F5"/>
    <w:rsid w:val="003C3C40"/>
    <w:rsid w:val="003C5BF3"/>
    <w:rsid w:val="003C7018"/>
    <w:rsid w:val="003C76B6"/>
    <w:rsid w:val="003D0884"/>
    <w:rsid w:val="003D2A20"/>
    <w:rsid w:val="003D6F95"/>
    <w:rsid w:val="003D7CE1"/>
    <w:rsid w:val="003F088B"/>
    <w:rsid w:val="003F6F7B"/>
    <w:rsid w:val="003F73A5"/>
    <w:rsid w:val="00413863"/>
    <w:rsid w:val="00413EEB"/>
    <w:rsid w:val="0041408E"/>
    <w:rsid w:val="0041420E"/>
    <w:rsid w:val="00424773"/>
    <w:rsid w:val="00425DA7"/>
    <w:rsid w:val="0042679B"/>
    <w:rsid w:val="00430FA4"/>
    <w:rsid w:val="00437EBF"/>
    <w:rsid w:val="00442053"/>
    <w:rsid w:val="004422B9"/>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471D"/>
    <w:rsid w:val="004A7DD5"/>
    <w:rsid w:val="004B0715"/>
    <w:rsid w:val="004B7A0E"/>
    <w:rsid w:val="004C3A0B"/>
    <w:rsid w:val="004C3AD2"/>
    <w:rsid w:val="004C3D85"/>
    <w:rsid w:val="004C5C13"/>
    <w:rsid w:val="004D0161"/>
    <w:rsid w:val="004D5683"/>
    <w:rsid w:val="004D6F53"/>
    <w:rsid w:val="004E0338"/>
    <w:rsid w:val="004E4AC4"/>
    <w:rsid w:val="004E616D"/>
    <w:rsid w:val="004F059C"/>
    <w:rsid w:val="004F599C"/>
    <w:rsid w:val="005035A0"/>
    <w:rsid w:val="00515580"/>
    <w:rsid w:val="00526C56"/>
    <w:rsid w:val="00527AED"/>
    <w:rsid w:val="00527CB6"/>
    <w:rsid w:val="00531C04"/>
    <w:rsid w:val="0053302B"/>
    <w:rsid w:val="00536AEC"/>
    <w:rsid w:val="005400C8"/>
    <w:rsid w:val="005435C8"/>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84B"/>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639F0"/>
    <w:rsid w:val="006730D2"/>
    <w:rsid w:val="0067329C"/>
    <w:rsid w:val="00673714"/>
    <w:rsid w:val="00674DD6"/>
    <w:rsid w:val="00680981"/>
    <w:rsid w:val="00680CF3"/>
    <w:rsid w:val="00681B91"/>
    <w:rsid w:val="00682C6A"/>
    <w:rsid w:val="00683497"/>
    <w:rsid w:val="00683FAF"/>
    <w:rsid w:val="0068505B"/>
    <w:rsid w:val="006930C2"/>
    <w:rsid w:val="00694EA8"/>
    <w:rsid w:val="006B1685"/>
    <w:rsid w:val="006C1FDD"/>
    <w:rsid w:val="006D29FD"/>
    <w:rsid w:val="006D3C97"/>
    <w:rsid w:val="006D4423"/>
    <w:rsid w:val="006D4BBB"/>
    <w:rsid w:val="006E0AB0"/>
    <w:rsid w:val="006E1992"/>
    <w:rsid w:val="006F307C"/>
    <w:rsid w:val="006F4828"/>
    <w:rsid w:val="00700361"/>
    <w:rsid w:val="007055BC"/>
    <w:rsid w:val="00717E6F"/>
    <w:rsid w:val="00720BA7"/>
    <w:rsid w:val="00721A0F"/>
    <w:rsid w:val="00726348"/>
    <w:rsid w:val="00731CAC"/>
    <w:rsid w:val="00733B2B"/>
    <w:rsid w:val="00733EEB"/>
    <w:rsid w:val="007363A9"/>
    <w:rsid w:val="0074063A"/>
    <w:rsid w:val="007407AA"/>
    <w:rsid w:val="00743859"/>
    <w:rsid w:val="00751B2D"/>
    <w:rsid w:val="0076027F"/>
    <w:rsid w:val="00763A08"/>
    <w:rsid w:val="00765172"/>
    <w:rsid w:val="00765EE1"/>
    <w:rsid w:val="00767FC7"/>
    <w:rsid w:val="00770C66"/>
    <w:rsid w:val="00776145"/>
    <w:rsid w:val="00777641"/>
    <w:rsid w:val="007816BA"/>
    <w:rsid w:val="0078273B"/>
    <w:rsid w:val="007849BE"/>
    <w:rsid w:val="00784D14"/>
    <w:rsid w:val="007902A2"/>
    <w:rsid w:val="0079264D"/>
    <w:rsid w:val="00792842"/>
    <w:rsid w:val="007A4607"/>
    <w:rsid w:val="007B1754"/>
    <w:rsid w:val="007C044B"/>
    <w:rsid w:val="007C0C23"/>
    <w:rsid w:val="007C1498"/>
    <w:rsid w:val="007C17B4"/>
    <w:rsid w:val="007C3AC1"/>
    <w:rsid w:val="007C79AE"/>
    <w:rsid w:val="007D46AF"/>
    <w:rsid w:val="007D4E07"/>
    <w:rsid w:val="007D6412"/>
    <w:rsid w:val="007E14FB"/>
    <w:rsid w:val="007E5E39"/>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93C74"/>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2505"/>
    <w:rsid w:val="00913567"/>
    <w:rsid w:val="00913C80"/>
    <w:rsid w:val="00920981"/>
    <w:rsid w:val="0092487B"/>
    <w:rsid w:val="009300F7"/>
    <w:rsid w:val="00934BE3"/>
    <w:rsid w:val="0094056C"/>
    <w:rsid w:val="009440D0"/>
    <w:rsid w:val="00947984"/>
    <w:rsid w:val="0095110A"/>
    <w:rsid w:val="00953CB2"/>
    <w:rsid w:val="00954D22"/>
    <w:rsid w:val="009563B2"/>
    <w:rsid w:val="0096006D"/>
    <w:rsid w:val="00961B2E"/>
    <w:rsid w:val="00963972"/>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F47"/>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2B4"/>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567"/>
    <w:rsid w:val="00BC301B"/>
    <w:rsid w:val="00BD0FB0"/>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3128"/>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E6FDD"/>
    <w:rsid w:val="00CF2883"/>
    <w:rsid w:val="00CF4E46"/>
    <w:rsid w:val="00CF6CA5"/>
    <w:rsid w:val="00D07385"/>
    <w:rsid w:val="00D07C1B"/>
    <w:rsid w:val="00D107AC"/>
    <w:rsid w:val="00D131E7"/>
    <w:rsid w:val="00D155C0"/>
    <w:rsid w:val="00D174E2"/>
    <w:rsid w:val="00D267DA"/>
    <w:rsid w:val="00D3099B"/>
    <w:rsid w:val="00D36746"/>
    <w:rsid w:val="00D369B5"/>
    <w:rsid w:val="00D37985"/>
    <w:rsid w:val="00D37BF1"/>
    <w:rsid w:val="00D40CA0"/>
    <w:rsid w:val="00D40E6B"/>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85ADD"/>
    <w:rsid w:val="00D90204"/>
    <w:rsid w:val="00D929F1"/>
    <w:rsid w:val="00D97FF7"/>
    <w:rsid w:val="00DB1935"/>
    <w:rsid w:val="00DB37F4"/>
    <w:rsid w:val="00DB45E4"/>
    <w:rsid w:val="00DC3DDC"/>
    <w:rsid w:val="00DC4DFB"/>
    <w:rsid w:val="00DD0529"/>
    <w:rsid w:val="00DD05AB"/>
    <w:rsid w:val="00DD0929"/>
    <w:rsid w:val="00DD1665"/>
    <w:rsid w:val="00DD2B40"/>
    <w:rsid w:val="00DD4432"/>
    <w:rsid w:val="00DD4D69"/>
    <w:rsid w:val="00DE6682"/>
    <w:rsid w:val="00DF26D2"/>
    <w:rsid w:val="00DF6B40"/>
    <w:rsid w:val="00E0132E"/>
    <w:rsid w:val="00E0258C"/>
    <w:rsid w:val="00E0333A"/>
    <w:rsid w:val="00E16786"/>
    <w:rsid w:val="00E168CB"/>
    <w:rsid w:val="00E17AFC"/>
    <w:rsid w:val="00E239F4"/>
    <w:rsid w:val="00E25714"/>
    <w:rsid w:val="00E32138"/>
    <w:rsid w:val="00E349E5"/>
    <w:rsid w:val="00E43EC5"/>
    <w:rsid w:val="00E45AB0"/>
    <w:rsid w:val="00E57EF4"/>
    <w:rsid w:val="00E633CC"/>
    <w:rsid w:val="00E65973"/>
    <w:rsid w:val="00E6714D"/>
    <w:rsid w:val="00E72D84"/>
    <w:rsid w:val="00E73456"/>
    <w:rsid w:val="00E84BC8"/>
    <w:rsid w:val="00E914D8"/>
    <w:rsid w:val="00E93E44"/>
    <w:rsid w:val="00E95A30"/>
    <w:rsid w:val="00EA26D8"/>
    <w:rsid w:val="00EA5DE3"/>
    <w:rsid w:val="00EB6877"/>
    <w:rsid w:val="00EB722E"/>
    <w:rsid w:val="00EC0070"/>
    <w:rsid w:val="00EC11CA"/>
    <w:rsid w:val="00EC359A"/>
    <w:rsid w:val="00ED0AB1"/>
    <w:rsid w:val="00ED0C59"/>
    <w:rsid w:val="00ED4E18"/>
    <w:rsid w:val="00ED7B18"/>
    <w:rsid w:val="00EE2953"/>
    <w:rsid w:val="00EE29BA"/>
    <w:rsid w:val="00EE3A7B"/>
    <w:rsid w:val="00EE44C0"/>
    <w:rsid w:val="00EF0051"/>
    <w:rsid w:val="00EF139F"/>
    <w:rsid w:val="00EF1AA9"/>
    <w:rsid w:val="00EF6306"/>
    <w:rsid w:val="00F039C7"/>
    <w:rsid w:val="00F12CDD"/>
    <w:rsid w:val="00F21EB2"/>
    <w:rsid w:val="00F230F0"/>
    <w:rsid w:val="00F33A1A"/>
    <w:rsid w:val="00F37239"/>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D4E"/>
    <w:rsid w:val="00FB4F7A"/>
    <w:rsid w:val="00FB58A3"/>
    <w:rsid w:val="00FB6B35"/>
    <w:rsid w:val="00FC14C7"/>
    <w:rsid w:val="00FC7B46"/>
    <w:rsid w:val="00FD436F"/>
    <w:rsid w:val="00FD5A26"/>
    <w:rsid w:val="00FE3EC4"/>
    <w:rsid w:val="00FE4922"/>
    <w:rsid w:val="00FE5E39"/>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FBBCE3D-54E4-468B-906E-7B1DA494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unhideWhenUsed/>
    <w:qFormat/>
    <w:rsid w:val="003C06A4"/>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GB"/>
      <w14:ligatures w14:val="standardContextual"/>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rsid w:val="003C06A4"/>
    <w:rPr>
      <w:rFonts w:asciiTheme="majorHAnsi" w:eastAsiaTheme="majorEastAsia" w:hAnsiTheme="majorHAnsi" w:cstheme="majorBidi"/>
      <w:color w:val="365F91" w:themeColor="accent1" w:themeShade="BF"/>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4660</Words>
  <Characters>26566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Asma Begum (2503534)</cp:lastModifiedBy>
  <cp:revision>2</cp:revision>
  <cp:lastPrinted>2016-10-24T20:21:00Z</cp:lastPrinted>
  <dcterms:created xsi:type="dcterms:W3CDTF">2026-07-15T21:45:00Z</dcterms:created>
  <dcterms:modified xsi:type="dcterms:W3CDTF">2026-07-15T21:45:00Z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