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824807300"/>
        <w:docPartObj>
          <w:docPartGallery w:val="Cover Pages"/>
          <w:docPartUnique/>
        </w:docPartObj>
      </w:sdtPr>
      <w:sdtEndPr>
        <w:rPr>
          <w:rFonts w:ascii="Arial" w:hAnsi="Arial" w:cs="Arial"/>
          <w:b/>
          <w:bCs/>
          <w:color w:val="BF4E14" w:themeColor="accent2" w:themeShade="BF"/>
        </w:rPr>
      </w:sdtEndPr>
      <w:sdtContent>
        <w:p w14:paraId="1A81261C" w14:textId="27963C90" w:rsidR="00875984" w:rsidRDefault="00875984"/>
        <w:p w14:paraId="4F2A86A8" w14:textId="787F051F" w:rsidR="00875984" w:rsidRPr="00875984" w:rsidRDefault="00875984" w:rsidP="00875984">
          <w:pPr>
            <w:rPr>
              <w:rFonts w:ascii="Arial" w:hAnsi="Arial" w:cs="Arial"/>
              <w:b/>
              <w:bCs/>
              <w:color w:val="BF4E14" w:themeColor="accent2" w:themeShade="BF"/>
            </w:rPr>
          </w:pPr>
          <w:r w:rsidRPr="00875984">
            <w:rPr>
              <w:rFonts w:ascii="Arial" w:hAnsi="Arial" w:cs="Arial"/>
              <w:b/>
              <w:bCs/>
              <w:color w:val="BF4E14" w:themeColor="accent2" w:themeShade="BF"/>
            </w:rPr>
            <w:t>Module:</w:t>
          </w:r>
          <w:r>
            <w:rPr>
              <w:rFonts w:ascii="Arial" w:hAnsi="Arial" w:cs="Arial"/>
              <w:b/>
              <w:bCs/>
              <w:color w:val="BF4E14" w:themeColor="accent2" w:themeShade="BF"/>
            </w:rPr>
            <w:t xml:space="preserve"> </w:t>
          </w:r>
          <w:r w:rsidRPr="00875984">
            <w:rPr>
              <w:rFonts w:ascii="Arial" w:hAnsi="Arial" w:cs="Arial"/>
              <w:b/>
              <w:bCs/>
              <w:color w:val="BF4E14" w:themeColor="accent2" w:themeShade="BF"/>
            </w:rPr>
            <w:t>Social Enterprise: Theory and Practise</w:t>
          </w:r>
        </w:p>
        <w:p w14:paraId="2D7CC08F" w14:textId="2DD5F4F1" w:rsidR="00875984" w:rsidRPr="00875984" w:rsidRDefault="00875984" w:rsidP="00875984">
          <w:pPr>
            <w:rPr>
              <w:rFonts w:ascii="Arial" w:hAnsi="Arial" w:cs="Arial"/>
              <w:b/>
              <w:bCs/>
              <w:color w:val="BF4E14" w:themeColor="accent2" w:themeShade="BF"/>
            </w:rPr>
          </w:pPr>
          <w:r w:rsidRPr="00875984">
            <w:rPr>
              <w:rFonts w:ascii="Arial" w:hAnsi="Arial" w:cs="Arial"/>
              <w:b/>
              <w:bCs/>
              <w:color w:val="BF4E14" w:themeColor="accent2" w:themeShade="BF"/>
            </w:rPr>
            <w:t>Module code:</w:t>
          </w:r>
          <w:r>
            <w:rPr>
              <w:rFonts w:ascii="Arial" w:hAnsi="Arial" w:cs="Arial"/>
              <w:b/>
              <w:bCs/>
              <w:color w:val="BF4E14" w:themeColor="accent2" w:themeShade="BF"/>
            </w:rPr>
            <w:t xml:space="preserve"> </w:t>
          </w:r>
          <w:r w:rsidRPr="00875984">
            <w:rPr>
              <w:rFonts w:ascii="Arial" w:hAnsi="Arial" w:cs="Arial"/>
              <w:b/>
              <w:bCs/>
              <w:color w:val="BF4E14" w:themeColor="accent2" w:themeShade="BF"/>
            </w:rPr>
            <w:t>BMSE4009D</w:t>
          </w:r>
        </w:p>
        <w:p w14:paraId="39B844F1" w14:textId="77777777" w:rsidR="00875984" w:rsidRDefault="00875984" w:rsidP="00875984">
          <w:pPr>
            <w:rPr>
              <w:rFonts w:ascii="Arial" w:hAnsi="Arial" w:cs="Arial"/>
              <w:b/>
              <w:bCs/>
              <w:color w:val="BF4E14" w:themeColor="accent2" w:themeShade="BF"/>
            </w:rPr>
          </w:pPr>
          <w:r w:rsidRPr="00875984">
            <w:rPr>
              <w:rFonts w:ascii="Arial" w:hAnsi="Arial" w:cs="Arial"/>
              <w:b/>
              <w:bCs/>
              <w:color w:val="BF4E14" w:themeColor="accent2" w:themeShade="BF"/>
            </w:rPr>
            <w:t>Lecturer:</w:t>
          </w:r>
          <w:r>
            <w:rPr>
              <w:rFonts w:ascii="Arial" w:hAnsi="Arial" w:cs="Arial"/>
              <w:b/>
              <w:bCs/>
              <w:color w:val="BF4E14" w:themeColor="accent2" w:themeShade="BF"/>
            </w:rPr>
            <w:t xml:space="preserve"> </w:t>
          </w:r>
          <w:r w:rsidRPr="00875984">
            <w:rPr>
              <w:rFonts w:ascii="Arial" w:hAnsi="Arial" w:cs="Arial"/>
              <w:b/>
              <w:bCs/>
              <w:color w:val="BF4E14" w:themeColor="accent2" w:themeShade="BF"/>
            </w:rPr>
            <w:t>Jessica Shore</w:t>
          </w:r>
        </w:p>
        <w:p w14:paraId="4087C6D0" w14:textId="3ABAD9D4" w:rsidR="00875984" w:rsidRDefault="00875984" w:rsidP="00875984">
          <w:pPr>
            <w:rPr>
              <w:rFonts w:ascii="Arial" w:hAnsi="Arial" w:cs="Arial"/>
              <w:b/>
              <w:bCs/>
              <w:color w:val="BF4E14" w:themeColor="accent2" w:themeShade="BF"/>
            </w:rPr>
          </w:pPr>
          <w:r>
            <w:rPr>
              <w:noProof/>
            </w:rPr>
            <mc:AlternateContent>
              <mc:Choice Requires="wps">
                <w:drawing>
                  <wp:anchor distT="0" distB="0" distL="114300" distR="114300" simplePos="0" relativeHeight="251660288" behindDoc="0" locked="0" layoutInCell="1" allowOverlap="1" wp14:anchorId="38D54044" wp14:editId="6E042F12">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45500</wp14:pctPosVOffset>
                        </wp:positionV>
                      </mc:Choice>
                      <mc:Fallback>
                        <wp:positionV relativeFrom="page">
                          <wp:posOffset>4864735</wp:posOffset>
                        </wp:positionV>
                      </mc:Fallback>
                    </mc:AlternateContent>
                    <wp:extent cx="5590540" cy="3604895"/>
                    <wp:effectExtent l="0" t="0" r="10160" b="14605"/>
                    <wp:wrapSquare wrapText="bothSides"/>
                    <wp:docPr id="113" name="Text Box 113"/>
                    <wp:cNvGraphicFramePr/>
                    <a:graphic xmlns:a="http://schemas.openxmlformats.org/drawingml/2006/main">
                      <a:graphicData uri="http://schemas.microsoft.com/office/word/2010/wordprocessingShape">
                        <wps:wsp>
                          <wps:cNvSpPr txBox="1"/>
                          <wps:spPr>
                            <a:xfrm>
                              <a:off x="0" y="0"/>
                              <a:ext cx="5590572" cy="360551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B647FF2" w14:textId="4C4A1676" w:rsidR="00875984" w:rsidRPr="00875984" w:rsidRDefault="00875984">
                                <w:pPr>
                                  <w:pStyle w:val="NoSpacing"/>
                                  <w:jc w:val="right"/>
                                  <w:rPr>
                                    <w:rFonts w:ascii="Arial Black" w:hAnsi="Arial Black"/>
                                    <w:caps/>
                                    <w:color w:val="BF4E14" w:themeColor="accent2" w:themeShade="BF"/>
                                    <w:sz w:val="52"/>
                                    <w:szCs w:val="52"/>
                                  </w:rPr>
                                </w:pPr>
                                <w:sdt>
                                  <w:sdtPr>
                                    <w:rPr>
                                      <w:rFonts w:ascii="Arial Black" w:hAnsi="Arial Black"/>
                                      <w:caps/>
                                      <w:color w:val="BF4E14" w:themeColor="accent2" w:themeShade="BF"/>
                                      <w:sz w:val="52"/>
                                      <w:szCs w:val="52"/>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Content>
                                    <w:r w:rsidRPr="00875984">
                                      <w:rPr>
                                        <w:rFonts w:ascii="Arial Black" w:hAnsi="Arial Black"/>
                                        <w:caps/>
                                        <w:color w:val="BF4E14" w:themeColor="accent2" w:themeShade="BF"/>
                                        <w:sz w:val="52"/>
                                        <w:szCs w:val="52"/>
                                      </w:rPr>
                                      <w:t>Opportunities and Threats to Social Enterprise</w:t>
                                    </w:r>
                                  </w:sdtContent>
                                </w:sdt>
                              </w:p>
                              <w:sdt>
                                <w:sdtPr>
                                  <w:rPr>
                                    <w:smallCaps/>
                                    <w:color w:val="0E2841" w:themeColor="text2"/>
                                    <w:sz w:val="36"/>
                                    <w:szCs w:val="36"/>
                                  </w:rPr>
                                  <w:alias w:val="Subtitle"/>
                                  <w:tag w:val=""/>
                                  <w:id w:val="1615247542"/>
                                  <w:showingPlcHdr/>
                                  <w:dataBinding w:prefixMappings="xmlns:ns0='http://purl.org/dc/elements/1.1/' xmlns:ns1='http://schemas.openxmlformats.org/package/2006/metadata/core-properties' " w:xpath="/ns1:coreProperties[1]/ns0:subject[1]" w:storeItemID="{6C3C8BC8-F283-45AE-878A-BAB7291924A1}"/>
                                  <w:text/>
                                </w:sdtPr>
                                <w:sdtContent>
                                  <w:p w14:paraId="198D33F1" w14:textId="02A73F19" w:rsidR="00875984" w:rsidRDefault="00875984">
                                    <w:pPr>
                                      <w:pStyle w:val="NoSpacing"/>
                                      <w:jc w:val="right"/>
                                      <w:rPr>
                                        <w:smallCaps/>
                                        <w:color w:val="0E2841" w:themeColor="text2"/>
                                        <w:sz w:val="36"/>
                                        <w:szCs w:val="36"/>
                                      </w:rPr>
                                    </w:pPr>
                                    <w:r>
                                      <w:rPr>
                                        <w:smallCaps/>
                                        <w:color w:val="0E2841" w:themeColor="text2"/>
                                        <w:sz w:val="36"/>
                                        <w:szCs w:val="36"/>
                                      </w:rPr>
                                      <w:t xml:space="preserve">     </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38D54044" id="_x0000_t202" coordsize="21600,21600" o:spt="202" path="m,l,21600r21600,l21600,xe">
                    <v:stroke joinstyle="miter"/>
                    <v:path gradientshapeok="t" o:connecttype="rect"/>
                  </v:shapetype>
                  <v:shape id="Text Box 113" o:spid="_x0000_s1026" type="#_x0000_t202" style="position:absolute;margin-left:0;margin-top:0;width:440.2pt;height:283.85pt;z-index:251660288;visibility:visible;mso-wrap-style:square;mso-width-percent:0;mso-height-percent:0;mso-left-percent:150;mso-top-percent:455;mso-wrap-distance-left:9pt;mso-wrap-distance-top:0;mso-wrap-distance-right:9pt;mso-wrap-distance-bottom:0;mso-position-horizontal-relative:page;mso-position-vertical-relative:page;mso-width-percent:0;mso-height-percent:0;mso-left-percent:150;mso-top-percent:45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" filled="f" stroked="f" strokeweight=".5pt">
                    <v:textbox inset="0,0,0,0">
                      <w:txbxContent>
                        <w:p w14:paraId="3B647FF2" w14:textId="4C4A1676" w:rsidR="00875984" w:rsidRPr="00875984" w:rsidRDefault="00875984">
                          <w:pPr>
                            <w:pStyle w:val="NoSpacing"/>
                            <w:jc w:val="right"/>
                            <w:rPr>
                              <w:rFonts w:ascii="Arial Black" w:hAnsi="Arial Black"/>
                              <w:caps/>
                              <w:color w:val="BF4E14" w:themeColor="accent2" w:themeShade="BF"/>
                              <w:sz w:val="52"/>
                              <w:szCs w:val="52"/>
                            </w:rPr>
                          </w:pPr>
                          <w:sdt>
                            <w:sdtPr>
                              <w:rPr>
                                <w:rFonts w:ascii="Arial Black" w:hAnsi="Arial Black"/>
                                <w:caps/>
                                <w:color w:val="BF4E14" w:themeColor="accent2" w:themeShade="BF"/>
                                <w:sz w:val="52"/>
                                <w:szCs w:val="52"/>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Content>
                              <w:r w:rsidRPr="00875984">
                                <w:rPr>
                                  <w:rFonts w:ascii="Arial Black" w:hAnsi="Arial Black"/>
                                  <w:caps/>
                                  <w:color w:val="BF4E14" w:themeColor="accent2" w:themeShade="BF"/>
                                  <w:sz w:val="52"/>
                                  <w:szCs w:val="52"/>
                                </w:rPr>
                                <w:t>Opportunities and Threats to Social Enterprise</w:t>
                              </w:r>
                            </w:sdtContent>
                          </w:sdt>
                        </w:p>
                        <w:sdt>
                          <w:sdtPr>
                            <w:rPr>
                              <w:smallCaps/>
                              <w:color w:val="0E2841" w:themeColor="text2"/>
                              <w:sz w:val="36"/>
                              <w:szCs w:val="36"/>
                            </w:rPr>
                            <w:alias w:val="Subtitle"/>
                            <w:tag w:val=""/>
                            <w:id w:val="1615247542"/>
                            <w:showingPlcHdr/>
                            <w:dataBinding w:prefixMappings="xmlns:ns0='http://purl.org/dc/elements/1.1/' xmlns:ns1='http://schemas.openxmlformats.org/package/2006/metadata/core-properties' " w:xpath="/ns1:coreProperties[1]/ns0:subject[1]" w:storeItemID="{6C3C8BC8-F283-45AE-878A-BAB7291924A1}"/>
                            <w:text/>
                          </w:sdtPr>
                          <w:sdtContent>
                            <w:p w14:paraId="198D33F1" w14:textId="02A73F19" w:rsidR="00875984" w:rsidRDefault="00875984">
                              <w:pPr>
                                <w:pStyle w:val="NoSpacing"/>
                                <w:jc w:val="right"/>
                                <w:rPr>
                                  <w:smallCaps/>
                                  <w:color w:val="0E2841" w:themeColor="text2"/>
                                  <w:sz w:val="36"/>
                                  <w:szCs w:val="36"/>
                                </w:rPr>
                              </w:pPr>
                              <w:r>
                                <w:rPr>
                                  <w:smallCaps/>
                                  <w:color w:val="0E2841" w:themeColor="text2"/>
                                  <w:sz w:val="36"/>
                                  <w:szCs w:val="36"/>
                                </w:rPr>
                                <w:t xml:space="preserve">     </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62336" behindDoc="0" locked="0" layoutInCell="1" allowOverlap="1" wp14:anchorId="74E3F72A" wp14:editId="688DF2AD">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9100</wp14:pctPosVOffset>
                        </wp:positionV>
                      </mc:Choice>
                      <mc:Fallback>
                        <wp:positionV relativeFrom="page">
                          <wp:posOffset>972820</wp:posOffset>
                        </wp:positionV>
                      </mc:Fallback>
                    </mc:AlternateContent>
                    <wp:extent cx="3660775" cy="3651250"/>
                    <wp:effectExtent l="0" t="0" r="10160" b="7620"/>
                    <wp:wrapSquare wrapText="bothSides"/>
                    <wp:docPr id="111" name="Text Box 111"/>
                    <wp:cNvGraphicFramePr/>
                    <a:graphic xmlns:a="http://schemas.openxmlformats.org/drawingml/2006/main">
                      <a:graphicData uri="http://schemas.microsoft.com/office/word/2010/wordprocessingShape">
                        <wps:wsp>
                          <wps:cNvSpPr txBox="1"/>
                          <wps:spPr>
                            <a:xfrm>
                              <a:off x="0" y="0"/>
                              <a:ext cx="3660775" cy="36512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b/>
                                    <w:bCs/>
                                    <w:caps/>
                                    <w:color w:val="BF4E14" w:themeColor="accent2" w:themeShade="BF"/>
                                    <w:sz w:val="40"/>
                                    <w:szCs w:val="40"/>
                                  </w:rPr>
                                  <w:alias w:val="Publish Date"/>
                                  <w:tag w:val=""/>
                                  <w:id w:val="400952559"/>
                                  <w:dataBinding w:prefixMappings="xmlns:ns0='http://schemas.microsoft.com/office/2006/coverPageProps' " w:xpath="/ns0:CoverPageProperties[1]/ns0:PublishDate[1]" w:storeItemID="{55AF091B-3C7A-41E3-B477-F2FDAA23CFDA}"/>
                                  <w:date w:fullDate="2025-10-31T00:00:00Z">
                                    <w:dateFormat w:val="MMMM d, yyyy"/>
                                    <w:lid w:val="en-US"/>
                                    <w:storeMappedDataAs w:val="dateTime"/>
                                    <w:calendar w:val="gregorian"/>
                                  </w:date>
                                </w:sdtPr>
                                <w:sdtContent>
                                  <w:p w14:paraId="22BABDF3" w14:textId="4E715B99" w:rsidR="00875984" w:rsidRPr="00875984" w:rsidRDefault="00875984">
                                    <w:pPr>
                                      <w:pStyle w:val="NoSpacing"/>
                                      <w:jc w:val="right"/>
                                      <w:rPr>
                                        <w:rFonts w:ascii="Arial" w:hAnsi="Arial" w:cs="Arial"/>
                                        <w:b/>
                                        <w:bCs/>
                                        <w:caps/>
                                        <w:color w:val="0A1D30" w:themeColor="text2" w:themeShade="BF"/>
                                        <w:sz w:val="40"/>
                                        <w:szCs w:val="40"/>
                                      </w:rPr>
                                    </w:pPr>
                                    <w:r w:rsidRPr="00875984">
                                      <w:rPr>
                                        <w:rFonts w:ascii="Arial" w:hAnsi="Arial" w:cs="Arial"/>
                                        <w:b/>
                                        <w:bCs/>
                                        <w:caps/>
                                        <w:color w:val="BF4E14" w:themeColor="accent2" w:themeShade="BF"/>
                                        <w:sz w:val="40"/>
                                        <w:szCs w:val="40"/>
                                      </w:rPr>
                                      <w:t>October 31, 2025</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73400</wp14:pctWidth>
                    </wp14:sizeRelH>
                    <wp14:sizeRelV relativeFrom="page">
                      <wp14:pctHeight>36300</wp14:pctHeight>
                    </wp14:sizeRelV>
                  </wp:anchor>
                </w:drawing>
              </mc:Choice>
              <mc:Fallback>
                <w:pict>
                  <v:shape w14:anchorId="74E3F72A" id="Text Box 111" o:spid="_x0000_s1027" type="#_x0000_t202" style="position:absolute;margin-left:0;margin-top:0;width:288.25pt;height:287.5pt;z-index:251662336;visibility:visible;mso-wrap-style:square;mso-width-percent:734;mso-height-percent:363;mso-left-percent:150;mso-top-percent:91;mso-wrap-distance-left:9pt;mso-wrap-distance-top:0;mso-wrap-distance-right:9pt;mso-wrap-distance-bottom:0;mso-position-horizontal-relative:page;mso-position-vertical-relative:page;mso-width-percent:734;mso-height-percent:363;mso-left-percent:150;mso-top-percent:91;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" filled="f" stroked="f" strokeweight=".5pt">
                    <v:textbox style="mso-fit-shape-to-text:t" inset="0,0,0,0">
                      <w:txbxContent>
                        <w:sdt>
                          <w:sdtPr>
                            <w:rPr>
                              <w:rFonts w:ascii="Arial" w:hAnsi="Arial" w:cs="Arial"/>
                              <w:b/>
                              <w:bCs/>
                              <w:caps/>
                              <w:color w:val="BF4E14" w:themeColor="accent2" w:themeShade="BF"/>
                              <w:sz w:val="40"/>
                              <w:szCs w:val="40"/>
                            </w:rPr>
                            <w:alias w:val="Publish Date"/>
                            <w:tag w:val=""/>
                            <w:id w:val="400952559"/>
                            <w:dataBinding w:prefixMappings="xmlns:ns0='http://schemas.microsoft.com/office/2006/coverPageProps' " w:xpath="/ns0:CoverPageProperties[1]/ns0:PublishDate[1]" w:storeItemID="{55AF091B-3C7A-41E3-B477-F2FDAA23CFDA}"/>
                            <w:date w:fullDate="2025-10-31T00:00:00Z">
                              <w:dateFormat w:val="MMMM d, yyyy"/>
                              <w:lid w:val="en-US"/>
                              <w:storeMappedDataAs w:val="dateTime"/>
                              <w:calendar w:val="gregorian"/>
                            </w:date>
                          </w:sdtPr>
                          <w:sdtContent>
                            <w:p w14:paraId="22BABDF3" w14:textId="4E715B99" w:rsidR="00875984" w:rsidRPr="00875984" w:rsidRDefault="00875984">
                              <w:pPr>
                                <w:pStyle w:val="NoSpacing"/>
                                <w:jc w:val="right"/>
                                <w:rPr>
                                  <w:rFonts w:ascii="Arial" w:hAnsi="Arial" w:cs="Arial"/>
                                  <w:b/>
                                  <w:bCs/>
                                  <w:caps/>
                                  <w:color w:val="0A1D30" w:themeColor="text2" w:themeShade="BF"/>
                                  <w:sz w:val="40"/>
                                  <w:szCs w:val="40"/>
                                </w:rPr>
                              </w:pPr>
                              <w:r w:rsidRPr="00875984">
                                <w:rPr>
                                  <w:rFonts w:ascii="Arial" w:hAnsi="Arial" w:cs="Arial"/>
                                  <w:b/>
                                  <w:bCs/>
                                  <w:caps/>
                                  <w:color w:val="BF4E14" w:themeColor="accent2" w:themeShade="BF"/>
                                  <w:sz w:val="40"/>
                                  <w:szCs w:val="40"/>
                                </w:rPr>
                                <w:t>October 31, 2025</w:t>
                              </w:r>
                            </w:p>
                          </w:sdtContent>
                        </w:sdt>
                      </w:txbxContent>
                    </v:textbox>
                    <w10:wrap type="square" anchorx="page" anchory="page"/>
                  </v:shape>
                </w:pict>
              </mc:Fallback>
            </mc:AlternateContent>
          </w:r>
          <w:r>
            <w:rPr>
              <w:noProof/>
            </w:rPr>
            <mc:AlternateContent>
              <mc:Choice Requires="wpg">
                <w:drawing>
                  <wp:anchor distT="0" distB="0" distL="114300" distR="114300" simplePos="0" relativeHeight="251659264" behindDoc="0" locked="0" layoutInCell="1" allowOverlap="1" wp14:anchorId="2CF67051" wp14:editId="6B1B706C">
                    <wp:simplePos x="0" y="0"/>
                    <mc:AlternateContent>
                      <mc:Choice Requires="wp14">
                        <wp:positionH relativeFrom="page">
                          <wp14:pctPosHOffset>4500</wp14:pctPosHOffset>
                        </wp:positionH>
                      </mc:Choice>
                      <mc:Fallback>
                        <wp:positionH relativeFrom="page">
                          <wp:posOffset>339725</wp:posOffset>
                        </wp:positionH>
                      </mc:Fallback>
                    </mc:AlternateContent>
                    <wp:positionV relativeFrom="page">
                      <wp:align>center</wp:align>
                    </wp:positionV>
                    <wp:extent cx="228600" cy="9144000"/>
                    <wp:effectExtent l="0" t="0" r="3175" b="635"/>
                    <wp:wrapNone/>
                    <wp:docPr id="114" name="Group 115"/>
                    <wp:cNvGraphicFramePr/>
                    <a:graphic xmlns:a="http://schemas.openxmlformats.org/drawingml/2006/main">
                      <a:graphicData uri="http://schemas.microsoft.com/office/word/2010/wordprocessingGroup">
                        <wpg:wgp>
                          <wpg:cNvGrpSpPr/>
                          <wpg:grpSpPr>
                            <a:xfrm>
                              <a:off x="0" y="0"/>
                              <a:ext cx="228600" cy="9144000"/>
                              <a:chOff x="0" y="0"/>
                              <a:chExt cx="228600" cy="9144000"/>
                            </a:xfrm>
                          </wpg:grpSpPr>
                          <wps:wsp>
                            <wps:cNvPr id="115" name="Rectangle 115"/>
                            <wps:cNvSpPr/>
                            <wps:spPr>
                              <a:xfrm>
                                <a:off x="0" y="0"/>
                                <a:ext cx="228600" cy="878205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6" name="Rectangle 116"/>
                            <wps:cNvSpPr>
                              <a:spLocks noChangeAspect="1"/>
                            </wps:cNvSpPr>
                            <wps:spPr>
                              <a:xfrm>
                                <a:off x="0" y="8915400"/>
                                <a:ext cx="228600" cy="228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2900</wp14:pctWidth>
                    </wp14:sizeRelH>
                    <wp14:sizeRelV relativeFrom="page">
                      <wp14:pctHeight>90900</wp14:pctHeight>
                    </wp14:sizeRelV>
                  </wp:anchor>
                </w:drawing>
              </mc:Choice>
              <mc:Fallback>
                <w:pict>
                  <v:group w14:anchorId="00303319" id="Group 115" o:spid="_x0000_s1026" style="position:absolute;margin-left:0;margin-top:0;width:18pt;height:10in;z-index:251659264;mso-width-percent:29;mso-height-percent:909;mso-left-percent:45;mso-position-horizontal-relative:page;mso-position-vertical:center;mso-position-vertical-relative:page;mso-width-percent:29;mso-height-percent:909;mso-left-percent:45" coordsize="2286,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">
                    <v:rect id="Rectangle 115" o:spid="_x0000_s1027" style="position:absolute;width:2286;height:878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" fillcolor="#e97132 [3205]" stroked="f" strokeweight="1.5pt"/>
                    <v:rect id="Rectangle 116" o:spid="_x0000_s1028" style="position:absolute;top:89154;width:2286;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" fillcolor="#156082 [3204]" stroked="f" strokeweight="1.5pt">
                      <o:lock v:ext="edit" aspectratio="t"/>
                    </v:rect>
                    <w10:wrap anchorx="page" anchory="page"/>
                  </v:group>
                </w:pict>
              </mc:Fallback>
            </mc:AlternateContent>
          </w:r>
          <w:r>
            <w:rPr>
              <w:rFonts w:ascii="Arial" w:hAnsi="Arial" w:cs="Arial"/>
              <w:b/>
              <w:bCs/>
              <w:color w:val="BF4E14" w:themeColor="accent2" w:themeShade="BF"/>
            </w:rPr>
            <w:t xml:space="preserve">Student name: Cristina Ionela Tecu </w:t>
          </w:r>
          <w:r>
            <w:rPr>
              <w:rFonts w:ascii="Arial" w:hAnsi="Arial" w:cs="Arial"/>
              <w:b/>
              <w:bCs/>
              <w:color w:val="BF4E14" w:themeColor="accent2" w:themeShade="BF"/>
            </w:rPr>
            <w:br w:type="page"/>
          </w:r>
        </w:p>
      </w:sdtContent>
    </w:sdt>
    <w:p w14:paraId="015EE0CE" w14:textId="413C474A" w:rsidR="00E710BB" w:rsidRPr="002413CF" w:rsidRDefault="00E710BB" w:rsidP="00E710BB">
      <w:pPr>
        <w:spacing w:line="480" w:lineRule="auto"/>
        <w:rPr>
          <w:rFonts w:ascii="Arial" w:hAnsi="Arial" w:cs="Arial"/>
          <w:b/>
          <w:bCs/>
          <w:color w:val="BF4E14" w:themeColor="accent2" w:themeShade="BF"/>
        </w:rPr>
      </w:pPr>
      <w:r w:rsidRPr="002413CF">
        <w:rPr>
          <w:rFonts w:ascii="Arial" w:hAnsi="Arial" w:cs="Arial"/>
          <w:b/>
          <w:bCs/>
          <w:color w:val="BF4E14" w:themeColor="accent2" w:themeShade="BF"/>
        </w:rPr>
        <w:lastRenderedPageBreak/>
        <w:t xml:space="preserve">Introduction </w:t>
      </w:r>
    </w:p>
    <w:p w14:paraId="46B122A3" w14:textId="77777777" w:rsidR="00E710BB" w:rsidRDefault="00E710BB" w:rsidP="00E710BB">
      <w:pPr>
        <w:spacing w:line="480" w:lineRule="auto"/>
        <w:rPr>
          <w:rFonts w:ascii="Arial" w:hAnsi="Arial" w:cs="Arial"/>
        </w:rPr>
      </w:pPr>
      <w:r w:rsidRPr="00E710BB">
        <w:rPr>
          <w:rFonts w:ascii="Arial" w:hAnsi="Arial" w:cs="Arial"/>
        </w:rPr>
        <w:t>Social enterprises leverage market strategies and principles to work towards social and environmental goals. They transact within markets, but their main goal is not maximi</w:t>
      </w:r>
      <w:r>
        <w:rPr>
          <w:rFonts w:ascii="Arial" w:hAnsi="Arial" w:cs="Arial"/>
        </w:rPr>
        <w:t>s</w:t>
      </w:r>
      <w:r w:rsidRPr="00E710BB">
        <w:rPr>
          <w:rFonts w:ascii="Arial" w:hAnsi="Arial" w:cs="Arial"/>
        </w:rPr>
        <w:t xml:space="preserve">ing </w:t>
      </w:r>
      <w:r w:rsidRPr="00E710BB">
        <w:rPr>
          <w:rFonts w:ascii="Arial" w:hAnsi="Arial" w:cs="Arial"/>
        </w:rPr>
        <w:t>profit but</w:t>
      </w:r>
      <w:r w:rsidRPr="00E710BB">
        <w:rPr>
          <w:rFonts w:ascii="Arial" w:hAnsi="Arial" w:cs="Arial"/>
        </w:rPr>
        <w:t xml:space="preserve"> facilitating positive change. A SWOT analysis (Strengths, Weaknesses, Opportunities, Threats) helps summari</w:t>
      </w:r>
      <w:r>
        <w:rPr>
          <w:rFonts w:ascii="Arial" w:hAnsi="Arial" w:cs="Arial"/>
        </w:rPr>
        <w:t>s</w:t>
      </w:r>
      <w:r w:rsidRPr="00E710BB">
        <w:rPr>
          <w:rFonts w:ascii="Arial" w:hAnsi="Arial" w:cs="Arial"/>
        </w:rPr>
        <w:t xml:space="preserve">e the factors impacting performance and possibilities for social enterprises. This </w:t>
      </w:r>
      <w:r>
        <w:rPr>
          <w:rFonts w:ascii="Arial" w:hAnsi="Arial" w:cs="Arial"/>
        </w:rPr>
        <w:t>essay</w:t>
      </w:r>
      <w:r w:rsidRPr="00E710BB">
        <w:rPr>
          <w:rFonts w:ascii="Arial" w:hAnsi="Arial" w:cs="Arial"/>
        </w:rPr>
        <w:t xml:space="preserve"> will look at each of these with examples and include research (Doherty, Mason, &amp; Foster, 2009; Hynes, 2009).</w:t>
      </w:r>
    </w:p>
    <w:tbl>
      <w:tblPr>
        <w:tblpPr w:leftFromText="180" w:rightFromText="180" w:vertAnchor="text" w:horzAnchor="margin" w:tblpXSpec="center" w:tblpY="662"/>
        <w:tblW w:w="9653"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957"/>
        <w:gridCol w:w="4696"/>
      </w:tblGrid>
      <w:tr w:rsidR="00E710BB" w:rsidRPr="00E710BB" w14:paraId="0D71AEE7" w14:textId="77777777" w:rsidTr="00875984">
        <w:trPr>
          <w:trHeight w:val="286"/>
          <w:tblHeader/>
          <w:tblCellSpacing w:w="15" w:type="dxa"/>
        </w:trPr>
        <w:tc>
          <w:tcPr>
            <w:tcW w:w="4912" w:type="dxa"/>
            <w:shd w:val="clear" w:color="auto" w:fill="F1A983" w:themeFill="accent2" w:themeFillTint="99"/>
            <w:vAlign w:val="center"/>
            <w:hideMark/>
          </w:tcPr>
          <w:p w14:paraId="37CC8E40" w14:textId="77777777" w:rsidR="00E710BB" w:rsidRPr="00E710BB" w:rsidRDefault="00E710BB" w:rsidP="00E710BB">
            <w:pPr>
              <w:spacing w:after="0" w:line="240" w:lineRule="auto"/>
              <w:jc w:val="center"/>
              <w:rPr>
                <w:rFonts w:ascii="Arial Black" w:eastAsia="Times New Roman" w:hAnsi="Arial Black" w:cs="Times New Roman"/>
                <w:b/>
                <w:bCs/>
                <w:kern w:val="0"/>
                <w:lang w:eastAsia="en-GB"/>
                <w14:ligatures w14:val="none"/>
              </w:rPr>
            </w:pPr>
            <w:r w:rsidRPr="00E710BB">
              <w:rPr>
                <w:rFonts w:ascii="Arial Black" w:eastAsia="Times New Roman" w:hAnsi="Arial Black" w:cs="Times New Roman"/>
                <w:b/>
                <w:bCs/>
                <w:kern w:val="0"/>
                <w:lang w:eastAsia="en-GB"/>
                <w14:ligatures w14:val="none"/>
              </w:rPr>
              <w:t>Strengths</w:t>
            </w:r>
          </w:p>
        </w:tc>
        <w:tc>
          <w:tcPr>
            <w:tcW w:w="4651" w:type="dxa"/>
            <w:shd w:val="clear" w:color="auto" w:fill="F1A983" w:themeFill="accent2" w:themeFillTint="99"/>
            <w:vAlign w:val="center"/>
            <w:hideMark/>
          </w:tcPr>
          <w:p w14:paraId="3D7A072A" w14:textId="77777777" w:rsidR="00E710BB" w:rsidRPr="00E710BB" w:rsidRDefault="00E710BB" w:rsidP="00E710BB">
            <w:pPr>
              <w:spacing w:after="0" w:line="240" w:lineRule="auto"/>
              <w:jc w:val="center"/>
              <w:rPr>
                <w:rFonts w:ascii="Arial Black" w:eastAsia="Times New Roman" w:hAnsi="Arial Black" w:cs="Times New Roman"/>
                <w:b/>
                <w:bCs/>
                <w:kern w:val="0"/>
                <w:lang w:eastAsia="en-GB"/>
                <w14:ligatures w14:val="none"/>
              </w:rPr>
            </w:pPr>
            <w:r w:rsidRPr="00E710BB">
              <w:rPr>
                <w:rFonts w:ascii="Arial Black" w:eastAsia="Times New Roman" w:hAnsi="Arial Black" w:cs="Times New Roman"/>
                <w:b/>
                <w:bCs/>
                <w:kern w:val="0"/>
                <w:lang w:eastAsia="en-GB"/>
                <w14:ligatures w14:val="none"/>
              </w:rPr>
              <w:t>Weaknesses</w:t>
            </w:r>
          </w:p>
        </w:tc>
      </w:tr>
      <w:tr w:rsidR="00E710BB" w:rsidRPr="00E710BB" w14:paraId="5F827CE3" w14:textId="77777777" w:rsidTr="00875984">
        <w:trPr>
          <w:trHeight w:val="2514"/>
          <w:tblCellSpacing w:w="15" w:type="dxa"/>
        </w:trPr>
        <w:tc>
          <w:tcPr>
            <w:tcW w:w="4912" w:type="dxa"/>
            <w:vAlign w:val="center"/>
            <w:hideMark/>
          </w:tcPr>
          <w:p w14:paraId="5D4F82D2" w14:textId="77777777" w:rsidR="00E710BB" w:rsidRPr="002413CF" w:rsidRDefault="00E710BB" w:rsidP="00E710BB">
            <w:pPr>
              <w:spacing w:after="0" w:line="240" w:lineRule="auto"/>
              <w:rPr>
                <w:rFonts w:ascii="Arial" w:eastAsia="Times New Roman" w:hAnsi="Arial" w:cs="Arial"/>
                <w:kern w:val="0"/>
                <w:lang w:eastAsia="en-GB"/>
                <w14:ligatures w14:val="none"/>
              </w:rPr>
            </w:pPr>
            <w:r w:rsidRPr="00E710BB">
              <w:rPr>
                <w:rFonts w:ascii="Arial" w:eastAsia="Times New Roman" w:hAnsi="Arial" w:cs="Arial"/>
                <w:kern w:val="0"/>
                <w:lang w:eastAsia="en-GB"/>
                <w14:ligatures w14:val="none"/>
              </w:rPr>
              <w:t>Clear social mission builds trust and loyalty (e.g., The Big Issue, Fairphone).</w:t>
            </w:r>
          </w:p>
          <w:p w14:paraId="4E5AA740" w14:textId="77777777" w:rsidR="00E710BB" w:rsidRPr="002413CF" w:rsidRDefault="00E710BB" w:rsidP="00E710BB">
            <w:pPr>
              <w:spacing w:after="0" w:line="240" w:lineRule="auto"/>
              <w:rPr>
                <w:rFonts w:ascii="Arial" w:eastAsia="Times New Roman" w:hAnsi="Arial" w:cs="Arial"/>
                <w:kern w:val="0"/>
                <w:lang w:eastAsia="en-GB"/>
                <w14:ligatures w14:val="none"/>
              </w:rPr>
            </w:pPr>
            <w:r w:rsidRPr="00E710BB">
              <w:rPr>
                <w:rFonts w:ascii="Arial" w:eastAsia="Times New Roman" w:hAnsi="Arial" w:cs="Arial"/>
                <w:kern w:val="0"/>
                <w:lang w:eastAsia="en-GB"/>
                <w14:ligatures w14:val="none"/>
              </w:rPr>
              <w:t>Hybrid income streams reduce risk.</w:t>
            </w:r>
          </w:p>
          <w:p w14:paraId="06CF30D9" w14:textId="77777777" w:rsidR="00E710BB" w:rsidRPr="002413CF" w:rsidRDefault="00E710BB" w:rsidP="00E710BB">
            <w:pPr>
              <w:spacing w:after="0" w:line="240" w:lineRule="auto"/>
              <w:rPr>
                <w:rFonts w:ascii="Arial" w:eastAsia="Times New Roman" w:hAnsi="Arial" w:cs="Arial"/>
                <w:kern w:val="0"/>
                <w:lang w:eastAsia="en-GB"/>
                <w14:ligatures w14:val="none"/>
              </w:rPr>
            </w:pPr>
            <w:r w:rsidRPr="00E710BB">
              <w:rPr>
                <w:rFonts w:ascii="Arial" w:eastAsia="Times New Roman" w:hAnsi="Arial" w:cs="Arial"/>
                <w:kern w:val="0"/>
                <w:lang w:eastAsia="en-GB"/>
                <w14:ligatures w14:val="none"/>
              </w:rPr>
              <w:t>Community closeness supports relevant solutions.</w:t>
            </w:r>
          </w:p>
          <w:p w14:paraId="5591AC34" w14:textId="77777777" w:rsidR="00E710BB" w:rsidRPr="002413CF" w:rsidRDefault="00E710BB" w:rsidP="00E710BB">
            <w:pPr>
              <w:spacing w:after="0" w:line="240" w:lineRule="auto"/>
              <w:rPr>
                <w:rFonts w:ascii="Arial" w:eastAsia="Times New Roman" w:hAnsi="Arial" w:cs="Arial"/>
                <w:kern w:val="0"/>
                <w:lang w:eastAsia="en-GB"/>
                <w14:ligatures w14:val="none"/>
              </w:rPr>
            </w:pPr>
            <w:r w:rsidRPr="00E710BB">
              <w:rPr>
                <w:rFonts w:ascii="Arial" w:eastAsia="Times New Roman" w:hAnsi="Arial" w:cs="Arial"/>
                <w:kern w:val="0"/>
                <w:lang w:eastAsia="en-GB"/>
                <w14:ligatures w14:val="none"/>
              </w:rPr>
              <w:t>Motivated staff and volunteers.</w:t>
            </w:r>
          </w:p>
          <w:p w14:paraId="508829A5" w14:textId="77777777" w:rsidR="00E710BB" w:rsidRPr="00E710BB" w:rsidRDefault="00E710BB" w:rsidP="00E710BB">
            <w:pPr>
              <w:spacing w:after="0" w:line="240" w:lineRule="auto"/>
              <w:rPr>
                <w:rFonts w:ascii="Arial" w:eastAsia="Times New Roman" w:hAnsi="Arial" w:cs="Arial"/>
                <w:kern w:val="0"/>
                <w:lang w:eastAsia="en-GB"/>
                <w14:ligatures w14:val="none"/>
              </w:rPr>
            </w:pPr>
            <w:r w:rsidRPr="00E710BB">
              <w:rPr>
                <w:rFonts w:ascii="Arial" w:eastAsia="Times New Roman" w:hAnsi="Arial" w:cs="Arial"/>
                <w:kern w:val="0"/>
                <w:lang w:eastAsia="en-GB"/>
                <w14:ligatures w14:val="none"/>
              </w:rPr>
              <w:t>High capacity for innovation and experimentation.</w:t>
            </w:r>
          </w:p>
        </w:tc>
        <w:tc>
          <w:tcPr>
            <w:tcW w:w="4651" w:type="dxa"/>
            <w:vAlign w:val="center"/>
            <w:hideMark/>
          </w:tcPr>
          <w:p w14:paraId="12B28838" w14:textId="77777777" w:rsidR="00E710BB" w:rsidRPr="002413CF" w:rsidRDefault="00E710BB" w:rsidP="00E710BB">
            <w:pPr>
              <w:spacing w:after="0" w:line="240" w:lineRule="auto"/>
              <w:rPr>
                <w:rFonts w:ascii="Arial" w:eastAsia="Times New Roman" w:hAnsi="Arial" w:cs="Arial"/>
                <w:kern w:val="0"/>
                <w:lang w:eastAsia="en-GB"/>
                <w14:ligatures w14:val="none"/>
              </w:rPr>
            </w:pPr>
            <w:r w:rsidRPr="00E710BB">
              <w:rPr>
                <w:rFonts w:ascii="Arial" w:eastAsia="Times New Roman" w:hAnsi="Arial" w:cs="Arial"/>
                <w:kern w:val="0"/>
                <w:lang w:eastAsia="en-GB"/>
                <w14:ligatures w14:val="none"/>
              </w:rPr>
              <w:t>Slim profit margins make growth difficult.</w:t>
            </w:r>
          </w:p>
          <w:p w14:paraId="662087AF" w14:textId="77777777" w:rsidR="00E710BB" w:rsidRPr="002413CF" w:rsidRDefault="00E710BB" w:rsidP="00E710BB">
            <w:pPr>
              <w:spacing w:after="0" w:line="240" w:lineRule="auto"/>
              <w:rPr>
                <w:rFonts w:ascii="Arial" w:eastAsia="Times New Roman" w:hAnsi="Arial" w:cs="Arial"/>
                <w:kern w:val="0"/>
                <w:lang w:eastAsia="en-GB"/>
                <w14:ligatures w14:val="none"/>
              </w:rPr>
            </w:pPr>
            <w:r w:rsidRPr="00E710BB">
              <w:rPr>
                <w:rFonts w:ascii="Arial" w:eastAsia="Times New Roman" w:hAnsi="Arial" w:cs="Arial"/>
                <w:kern w:val="0"/>
                <w:lang w:eastAsia="en-GB"/>
                <w14:ligatures w14:val="none"/>
              </w:rPr>
              <w:t>Lack of business and finance skills.</w:t>
            </w:r>
          </w:p>
          <w:p w14:paraId="09023F63" w14:textId="77777777" w:rsidR="00E710BB" w:rsidRPr="002413CF" w:rsidRDefault="00E710BB" w:rsidP="00E710BB">
            <w:pPr>
              <w:spacing w:after="0" w:line="240" w:lineRule="auto"/>
              <w:rPr>
                <w:rFonts w:ascii="Arial" w:eastAsia="Times New Roman" w:hAnsi="Arial" w:cs="Arial"/>
                <w:kern w:val="0"/>
                <w:lang w:eastAsia="en-GB"/>
                <w14:ligatures w14:val="none"/>
              </w:rPr>
            </w:pPr>
            <w:r w:rsidRPr="00E710BB">
              <w:rPr>
                <w:rFonts w:ascii="Arial" w:eastAsia="Times New Roman" w:hAnsi="Arial" w:cs="Arial"/>
                <w:kern w:val="0"/>
                <w:lang w:eastAsia="en-GB"/>
                <w14:ligatures w14:val="none"/>
              </w:rPr>
              <w:t>Hard to measure and prove social impact.</w:t>
            </w:r>
          </w:p>
          <w:p w14:paraId="36466147" w14:textId="77777777" w:rsidR="00E710BB" w:rsidRPr="002413CF" w:rsidRDefault="00E710BB" w:rsidP="00E710BB">
            <w:pPr>
              <w:spacing w:after="0" w:line="240" w:lineRule="auto"/>
              <w:rPr>
                <w:rFonts w:ascii="Arial" w:eastAsia="Times New Roman" w:hAnsi="Arial" w:cs="Arial"/>
                <w:kern w:val="0"/>
                <w:lang w:eastAsia="en-GB"/>
                <w14:ligatures w14:val="none"/>
              </w:rPr>
            </w:pPr>
            <w:r w:rsidRPr="00E710BB">
              <w:rPr>
                <w:rFonts w:ascii="Arial" w:eastAsia="Times New Roman" w:hAnsi="Arial" w:cs="Arial"/>
                <w:kern w:val="0"/>
                <w:lang w:eastAsia="en-GB"/>
                <w14:ligatures w14:val="none"/>
              </w:rPr>
              <w:t>Governance tension between mission and market.</w:t>
            </w:r>
          </w:p>
          <w:p w14:paraId="450EAFFE" w14:textId="77777777" w:rsidR="00E710BB" w:rsidRPr="00E710BB" w:rsidRDefault="00E710BB" w:rsidP="00E710BB">
            <w:pPr>
              <w:spacing w:after="0" w:line="240" w:lineRule="auto"/>
              <w:rPr>
                <w:rFonts w:ascii="Arial" w:eastAsia="Times New Roman" w:hAnsi="Arial" w:cs="Arial"/>
                <w:kern w:val="0"/>
                <w:lang w:eastAsia="en-GB"/>
                <w14:ligatures w14:val="none"/>
              </w:rPr>
            </w:pPr>
            <w:r w:rsidRPr="00E710BB">
              <w:rPr>
                <w:rFonts w:ascii="Arial" w:eastAsia="Times New Roman" w:hAnsi="Arial" w:cs="Arial"/>
                <w:kern w:val="0"/>
                <w:lang w:eastAsia="en-GB"/>
                <w14:ligatures w14:val="none"/>
              </w:rPr>
              <w:t>Small scale reduces bargaining power.</w:t>
            </w:r>
          </w:p>
        </w:tc>
      </w:tr>
      <w:tr w:rsidR="00E710BB" w:rsidRPr="00E710BB" w14:paraId="167A6490" w14:textId="77777777" w:rsidTr="00875984">
        <w:trPr>
          <w:trHeight w:val="286"/>
          <w:tblCellSpacing w:w="15" w:type="dxa"/>
        </w:trPr>
        <w:tc>
          <w:tcPr>
            <w:tcW w:w="4912" w:type="dxa"/>
            <w:shd w:val="clear" w:color="auto" w:fill="F1A983" w:themeFill="accent2" w:themeFillTint="99"/>
            <w:vAlign w:val="center"/>
            <w:hideMark/>
          </w:tcPr>
          <w:p w14:paraId="2BFDF399" w14:textId="77777777" w:rsidR="00E710BB" w:rsidRPr="00E710BB" w:rsidRDefault="00E710BB" w:rsidP="00E710BB">
            <w:pPr>
              <w:spacing w:after="0" w:line="240" w:lineRule="auto"/>
              <w:jc w:val="center"/>
              <w:rPr>
                <w:rFonts w:ascii="Arial Black" w:eastAsia="Times New Roman" w:hAnsi="Arial Black" w:cs="Times New Roman"/>
                <w:kern w:val="0"/>
                <w:lang w:eastAsia="en-GB"/>
                <w14:ligatures w14:val="none"/>
              </w:rPr>
            </w:pPr>
            <w:r w:rsidRPr="00E710BB">
              <w:rPr>
                <w:rFonts w:ascii="Arial Black" w:eastAsia="Times New Roman" w:hAnsi="Arial Black" w:cs="Times New Roman"/>
                <w:b/>
                <w:bCs/>
                <w:kern w:val="0"/>
                <w:lang w:eastAsia="en-GB"/>
                <w14:ligatures w14:val="none"/>
              </w:rPr>
              <w:t>Opportunities</w:t>
            </w:r>
          </w:p>
        </w:tc>
        <w:tc>
          <w:tcPr>
            <w:tcW w:w="4651" w:type="dxa"/>
            <w:shd w:val="clear" w:color="auto" w:fill="F1A983" w:themeFill="accent2" w:themeFillTint="99"/>
            <w:vAlign w:val="center"/>
            <w:hideMark/>
          </w:tcPr>
          <w:p w14:paraId="4876F3F9" w14:textId="77777777" w:rsidR="00E710BB" w:rsidRPr="00E710BB" w:rsidRDefault="00E710BB" w:rsidP="00E710BB">
            <w:pPr>
              <w:spacing w:after="0" w:line="240" w:lineRule="auto"/>
              <w:jc w:val="center"/>
              <w:rPr>
                <w:rFonts w:ascii="Arial Black" w:eastAsia="Times New Roman" w:hAnsi="Arial Black" w:cs="Times New Roman"/>
                <w:kern w:val="0"/>
                <w:lang w:eastAsia="en-GB"/>
                <w14:ligatures w14:val="none"/>
              </w:rPr>
            </w:pPr>
            <w:r w:rsidRPr="00E710BB">
              <w:rPr>
                <w:rFonts w:ascii="Arial Black" w:eastAsia="Times New Roman" w:hAnsi="Arial Black" w:cs="Times New Roman"/>
                <w:b/>
                <w:bCs/>
                <w:kern w:val="0"/>
                <w:lang w:eastAsia="en-GB"/>
                <w14:ligatures w14:val="none"/>
              </w:rPr>
              <w:t>Threats</w:t>
            </w:r>
          </w:p>
        </w:tc>
      </w:tr>
      <w:tr w:rsidR="00E710BB" w:rsidRPr="00E710BB" w14:paraId="072050FB" w14:textId="77777777" w:rsidTr="00875984">
        <w:trPr>
          <w:trHeight w:val="2514"/>
          <w:tblCellSpacing w:w="15" w:type="dxa"/>
        </w:trPr>
        <w:tc>
          <w:tcPr>
            <w:tcW w:w="4912" w:type="dxa"/>
            <w:vAlign w:val="center"/>
            <w:hideMark/>
          </w:tcPr>
          <w:p w14:paraId="70709844" w14:textId="77777777" w:rsidR="00E710BB" w:rsidRPr="002413CF" w:rsidRDefault="00E710BB" w:rsidP="00E710BB">
            <w:pPr>
              <w:spacing w:after="0" w:line="240" w:lineRule="auto"/>
              <w:rPr>
                <w:rFonts w:ascii="Arial" w:eastAsia="Times New Roman" w:hAnsi="Arial" w:cs="Arial"/>
                <w:kern w:val="0"/>
                <w:lang w:eastAsia="en-GB"/>
                <w14:ligatures w14:val="none"/>
              </w:rPr>
            </w:pPr>
            <w:r w:rsidRPr="00E710BB">
              <w:rPr>
                <w:rFonts w:ascii="Arial" w:eastAsia="Times New Roman" w:hAnsi="Arial" w:cs="Arial"/>
                <w:kern w:val="0"/>
                <w:lang w:eastAsia="en-GB"/>
                <w14:ligatures w14:val="none"/>
              </w:rPr>
              <w:t>Growing impact investment and blended finance.</w:t>
            </w:r>
          </w:p>
          <w:p w14:paraId="2A8E4C22" w14:textId="77777777" w:rsidR="00E710BB" w:rsidRPr="002413CF" w:rsidRDefault="00E710BB" w:rsidP="00E710BB">
            <w:pPr>
              <w:spacing w:after="0" w:line="240" w:lineRule="auto"/>
              <w:rPr>
                <w:rFonts w:ascii="Arial" w:eastAsia="Times New Roman" w:hAnsi="Arial" w:cs="Arial"/>
                <w:kern w:val="0"/>
                <w:lang w:eastAsia="en-GB"/>
                <w14:ligatures w14:val="none"/>
              </w:rPr>
            </w:pPr>
            <w:r w:rsidRPr="00E710BB">
              <w:rPr>
                <w:rFonts w:ascii="Arial" w:eastAsia="Times New Roman" w:hAnsi="Arial" w:cs="Arial"/>
                <w:kern w:val="0"/>
                <w:lang w:eastAsia="en-GB"/>
                <w14:ligatures w14:val="none"/>
              </w:rPr>
              <w:t>Public contracts now value social outcomes.</w:t>
            </w:r>
          </w:p>
          <w:p w14:paraId="300B8FB1" w14:textId="77777777" w:rsidR="00E710BB" w:rsidRPr="002413CF" w:rsidRDefault="00E710BB" w:rsidP="00E710BB">
            <w:pPr>
              <w:spacing w:after="0" w:line="240" w:lineRule="auto"/>
              <w:rPr>
                <w:rFonts w:ascii="Arial" w:eastAsia="Times New Roman" w:hAnsi="Arial" w:cs="Arial"/>
                <w:kern w:val="0"/>
                <w:lang w:eastAsia="en-GB"/>
                <w14:ligatures w14:val="none"/>
              </w:rPr>
            </w:pPr>
            <w:r w:rsidRPr="00E710BB">
              <w:rPr>
                <w:rFonts w:ascii="Arial" w:eastAsia="Times New Roman" w:hAnsi="Arial" w:cs="Arial"/>
                <w:kern w:val="0"/>
                <w:lang w:eastAsia="en-GB"/>
                <w14:ligatures w14:val="none"/>
              </w:rPr>
              <w:t>Digital tools lower costs and reach new users.</w:t>
            </w:r>
          </w:p>
          <w:p w14:paraId="46943CE3" w14:textId="77777777" w:rsidR="00E710BB" w:rsidRPr="002413CF" w:rsidRDefault="00E710BB" w:rsidP="00E710BB">
            <w:pPr>
              <w:spacing w:after="0" w:line="240" w:lineRule="auto"/>
              <w:rPr>
                <w:rFonts w:ascii="Arial" w:eastAsia="Times New Roman" w:hAnsi="Arial" w:cs="Arial"/>
                <w:kern w:val="0"/>
                <w:lang w:eastAsia="en-GB"/>
                <w14:ligatures w14:val="none"/>
              </w:rPr>
            </w:pPr>
            <w:r w:rsidRPr="00E710BB">
              <w:rPr>
                <w:rFonts w:ascii="Arial" w:eastAsia="Times New Roman" w:hAnsi="Arial" w:cs="Arial"/>
                <w:kern w:val="0"/>
                <w:lang w:eastAsia="en-GB"/>
                <w14:ligatures w14:val="none"/>
              </w:rPr>
              <w:t>Partnerships with firms and NGOs.</w:t>
            </w:r>
          </w:p>
          <w:p w14:paraId="3FF0A429" w14:textId="77777777" w:rsidR="00E710BB" w:rsidRPr="00E710BB" w:rsidRDefault="00E710BB" w:rsidP="00E710BB">
            <w:pPr>
              <w:spacing w:after="0" w:line="240" w:lineRule="auto"/>
              <w:rPr>
                <w:rFonts w:ascii="Arial" w:eastAsia="Times New Roman" w:hAnsi="Arial" w:cs="Arial"/>
                <w:kern w:val="0"/>
                <w:lang w:eastAsia="en-GB"/>
                <w14:ligatures w14:val="none"/>
              </w:rPr>
            </w:pPr>
            <w:r w:rsidRPr="00E710BB">
              <w:rPr>
                <w:rFonts w:ascii="Arial" w:eastAsia="Times New Roman" w:hAnsi="Arial" w:cs="Arial"/>
                <w:kern w:val="0"/>
                <w:lang w:eastAsia="en-GB"/>
                <w14:ligatures w14:val="none"/>
              </w:rPr>
              <w:t>Rising consumer demand for ethical products.</w:t>
            </w:r>
          </w:p>
        </w:tc>
        <w:tc>
          <w:tcPr>
            <w:tcW w:w="4651" w:type="dxa"/>
            <w:vAlign w:val="center"/>
            <w:hideMark/>
          </w:tcPr>
          <w:p w14:paraId="0DD68E9E" w14:textId="77777777" w:rsidR="00E710BB" w:rsidRPr="002413CF" w:rsidRDefault="00E710BB" w:rsidP="00E710BB">
            <w:pPr>
              <w:spacing w:after="0" w:line="240" w:lineRule="auto"/>
              <w:rPr>
                <w:rFonts w:ascii="Arial" w:eastAsia="Times New Roman" w:hAnsi="Arial" w:cs="Arial"/>
                <w:kern w:val="0"/>
                <w:lang w:eastAsia="en-GB"/>
                <w14:ligatures w14:val="none"/>
              </w:rPr>
            </w:pPr>
            <w:r w:rsidRPr="00E710BB">
              <w:rPr>
                <w:rFonts w:ascii="Arial" w:eastAsia="Times New Roman" w:hAnsi="Arial" w:cs="Arial"/>
                <w:kern w:val="0"/>
                <w:lang w:eastAsia="en-GB"/>
                <w14:ligatures w14:val="none"/>
              </w:rPr>
              <w:t>“Mission drift” under funding pressure.</w:t>
            </w:r>
          </w:p>
          <w:p w14:paraId="7B29EF14" w14:textId="77777777" w:rsidR="00E710BB" w:rsidRPr="002413CF" w:rsidRDefault="00E710BB" w:rsidP="00E710BB">
            <w:pPr>
              <w:spacing w:after="0" w:line="240" w:lineRule="auto"/>
              <w:rPr>
                <w:rFonts w:ascii="Arial" w:eastAsia="Times New Roman" w:hAnsi="Arial" w:cs="Arial"/>
                <w:kern w:val="0"/>
                <w:lang w:eastAsia="en-GB"/>
                <w14:ligatures w14:val="none"/>
              </w:rPr>
            </w:pPr>
            <w:r w:rsidRPr="00E710BB">
              <w:rPr>
                <w:rFonts w:ascii="Arial" w:eastAsia="Times New Roman" w:hAnsi="Arial" w:cs="Arial"/>
                <w:kern w:val="0"/>
                <w:lang w:eastAsia="en-GB"/>
                <w14:ligatures w14:val="none"/>
              </w:rPr>
              <w:t>Large firms imitate and undercut models.</w:t>
            </w:r>
          </w:p>
          <w:p w14:paraId="12C5CE80" w14:textId="77777777" w:rsidR="00E710BB" w:rsidRPr="002413CF" w:rsidRDefault="00E710BB" w:rsidP="00E710BB">
            <w:pPr>
              <w:spacing w:after="0" w:line="240" w:lineRule="auto"/>
              <w:rPr>
                <w:rFonts w:ascii="Arial" w:eastAsia="Times New Roman" w:hAnsi="Arial" w:cs="Arial"/>
                <w:kern w:val="0"/>
                <w:lang w:eastAsia="en-GB"/>
                <w14:ligatures w14:val="none"/>
              </w:rPr>
            </w:pPr>
            <w:r w:rsidRPr="00E710BB">
              <w:rPr>
                <w:rFonts w:ascii="Arial" w:eastAsia="Times New Roman" w:hAnsi="Arial" w:cs="Arial"/>
                <w:kern w:val="0"/>
                <w:lang w:eastAsia="en-GB"/>
                <w14:ligatures w14:val="none"/>
              </w:rPr>
              <w:t>Policy or funding shifts disrupt plans.</w:t>
            </w:r>
          </w:p>
          <w:p w14:paraId="498FBE45" w14:textId="77777777" w:rsidR="00E710BB" w:rsidRPr="002413CF" w:rsidRDefault="00E710BB" w:rsidP="00E710BB">
            <w:pPr>
              <w:spacing w:after="0" w:line="240" w:lineRule="auto"/>
              <w:rPr>
                <w:rFonts w:ascii="Arial" w:eastAsia="Times New Roman" w:hAnsi="Arial" w:cs="Arial"/>
                <w:kern w:val="0"/>
                <w:lang w:eastAsia="en-GB"/>
                <w14:ligatures w14:val="none"/>
              </w:rPr>
            </w:pPr>
            <w:r w:rsidRPr="00E710BB">
              <w:rPr>
                <w:rFonts w:ascii="Arial" w:eastAsia="Times New Roman" w:hAnsi="Arial" w:cs="Arial"/>
                <w:kern w:val="0"/>
                <w:lang w:eastAsia="en-GB"/>
                <w14:ligatures w14:val="none"/>
              </w:rPr>
              <w:t>“Impact-washing” confuses buyers.</w:t>
            </w:r>
          </w:p>
          <w:p w14:paraId="2A8338A1" w14:textId="77777777" w:rsidR="00E710BB" w:rsidRPr="00E710BB" w:rsidRDefault="00E710BB" w:rsidP="00E710BB">
            <w:pPr>
              <w:spacing w:after="0" w:line="240" w:lineRule="auto"/>
              <w:rPr>
                <w:rFonts w:ascii="Arial" w:eastAsia="Times New Roman" w:hAnsi="Arial" w:cs="Arial"/>
                <w:kern w:val="0"/>
                <w:lang w:eastAsia="en-GB"/>
                <w14:ligatures w14:val="none"/>
              </w:rPr>
            </w:pPr>
            <w:r w:rsidRPr="00E710BB">
              <w:rPr>
                <w:rFonts w:ascii="Arial" w:eastAsia="Times New Roman" w:hAnsi="Arial" w:cs="Arial"/>
                <w:kern w:val="0"/>
                <w:lang w:eastAsia="en-GB"/>
                <w14:ligatures w14:val="none"/>
              </w:rPr>
              <w:t>Economic shocks reduce income and donations.</w:t>
            </w:r>
          </w:p>
        </w:tc>
      </w:tr>
    </w:tbl>
    <w:p w14:paraId="13B73285" w14:textId="76FF9983" w:rsidR="00E710BB" w:rsidRPr="002413CF" w:rsidRDefault="00E710BB" w:rsidP="00E710BB">
      <w:pPr>
        <w:spacing w:line="480" w:lineRule="auto"/>
        <w:rPr>
          <w:rFonts w:ascii="Arial" w:hAnsi="Arial" w:cs="Arial"/>
          <w:b/>
          <w:bCs/>
          <w:color w:val="BF4E14" w:themeColor="accent2" w:themeShade="BF"/>
        </w:rPr>
      </w:pPr>
      <w:r w:rsidRPr="002413CF">
        <w:rPr>
          <w:rFonts w:ascii="Arial" w:hAnsi="Arial" w:cs="Arial"/>
          <w:b/>
          <w:bCs/>
          <w:color w:val="BF4E14" w:themeColor="accent2" w:themeShade="BF"/>
        </w:rPr>
        <w:t xml:space="preserve">SWOT </w:t>
      </w:r>
    </w:p>
    <w:p w14:paraId="4E11D119" w14:textId="77777777" w:rsidR="00E710BB" w:rsidRDefault="00E710BB" w:rsidP="00E710BB">
      <w:pPr>
        <w:spacing w:line="480" w:lineRule="auto"/>
        <w:rPr>
          <w:rFonts w:ascii="Arial" w:hAnsi="Arial" w:cs="Arial"/>
        </w:rPr>
      </w:pPr>
    </w:p>
    <w:p w14:paraId="5B4DB75C" w14:textId="77777777" w:rsidR="00E710BB" w:rsidRDefault="00E710BB" w:rsidP="00E710BB">
      <w:pPr>
        <w:spacing w:line="480" w:lineRule="auto"/>
        <w:rPr>
          <w:rFonts w:ascii="Arial" w:hAnsi="Arial" w:cs="Arial"/>
        </w:rPr>
      </w:pPr>
    </w:p>
    <w:p w14:paraId="044BDD07" w14:textId="77777777" w:rsidR="00E710BB" w:rsidRDefault="00E710BB" w:rsidP="00E710BB">
      <w:pPr>
        <w:spacing w:line="480" w:lineRule="auto"/>
        <w:rPr>
          <w:rFonts w:ascii="Arial" w:hAnsi="Arial" w:cs="Arial"/>
        </w:rPr>
      </w:pPr>
    </w:p>
    <w:p w14:paraId="03FFAC05" w14:textId="77777777" w:rsidR="00E710BB" w:rsidRDefault="00E710BB" w:rsidP="00E710BB">
      <w:pPr>
        <w:spacing w:line="480" w:lineRule="auto"/>
        <w:rPr>
          <w:rFonts w:ascii="Arial" w:hAnsi="Arial" w:cs="Arial"/>
        </w:rPr>
      </w:pPr>
    </w:p>
    <w:p w14:paraId="10F59A7B" w14:textId="2DAA9415" w:rsidR="00E710BB" w:rsidRPr="002413CF" w:rsidRDefault="00E710BB" w:rsidP="00E710BB">
      <w:pPr>
        <w:spacing w:line="480" w:lineRule="auto"/>
        <w:rPr>
          <w:rFonts w:ascii="Arial" w:hAnsi="Arial" w:cs="Arial"/>
          <w:b/>
          <w:bCs/>
          <w:color w:val="BF4E14" w:themeColor="accent2" w:themeShade="BF"/>
        </w:rPr>
      </w:pPr>
      <w:r w:rsidRPr="002413CF">
        <w:rPr>
          <w:rFonts w:ascii="Arial" w:hAnsi="Arial" w:cs="Arial"/>
          <w:b/>
          <w:bCs/>
          <w:color w:val="BF4E14" w:themeColor="accent2" w:themeShade="BF"/>
        </w:rPr>
        <w:lastRenderedPageBreak/>
        <w:t>Strengths</w:t>
      </w:r>
    </w:p>
    <w:p w14:paraId="65DD6F03" w14:textId="77777777" w:rsidR="00E710BB" w:rsidRDefault="00E710BB" w:rsidP="00E710BB">
      <w:pPr>
        <w:spacing w:line="480" w:lineRule="auto"/>
        <w:rPr>
          <w:rFonts w:ascii="Arial" w:hAnsi="Arial" w:cs="Arial"/>
        </w:rPr>
      </w:pPr>
      <w:r w:rsidRPr="00E710BB">
        <w:rPr>
          <w:rFonts w:ascii="Arial" w:hAnsi="Arial" w:cs="Arial"/>
        </w:rPr>
        <w:t>Mission as Market Power</w:t>
      </w:r>
      <w:r>
        <w:rPr>
          <w:rFonts w:ascii="Arial" w:hAnsi="Arial" w:cs="Arial"/>
        </w:rPr>
        <w:t xml:space="preserve">: </w:t>
      </w:r>
      <w:r w:rsidRPr="00E710BB">
        <w:rPr>
          <w:rFonts w:ascii="Arial" w:hAnsi="Arial" w:cs="Arial"/>
        </w:rPr>
        <w:t>When a mission is strong and credible, they create a trusting customer group. Customers are willing to purchase products from organi</w:t>
      </w:r>
      <w:r>
        <w:rPr>
          <w:rFonts w:ascii="Arial" w:hAnsi="Arial" w:cs="Arial"/>
        </w:rPr>
        <w:t>s</w:t>
      </w:r>
      <w:r w:rsidRPr="00E710BB">
        <w:rPr>
          <w:rFonts w:ascii="Arial" w:hAnsi="Arial" w:cs="Arial"/>
        </w:rPr>
        <w:t xml:space="preserve">ations who create social value. For instance, clients are buying magazines sold by homeless people through The Big Issue. Fairphone is a great example of ethical sourcing and the value of repair versus buy new. Purpose becomes a competitive advantage when customers feel part of movement for positive change (Doherty et al., 2009; Mosher-Williams, 2018). </w:t>
      </w:r>
    </w:p>
    <w:p w14:paraId="22876182" w14:textId="77777777" w:rsidR="00E710BB" w:rsidRDefault="00E710BB" w:rsidP="00E710BB">
      <w:pPr>
        <w:spacing w:line="480" w:lineRule="auto"/>
        <w:rPr>
          <w:rFonts w:ascii="Arial" w:hAnsi="Arial" w:cs="Arial"/>
        </w:rPr>
      </w:pPr>
      <w:r w:rsidRPr="00E710BB">
        <w:rPr>
          <w:rFonts w:ascii="Arial" w:hAnsi="Arial" w:cs="Arial"/>
        </w:rPr>
        <w:t>Hybrid Income Models</w:t>
      </w:r>
      <w:r>
        <w:rPr>
          <w:rFonts w:ascii="Arial" w:hAnsi="Arial" w:cs="Arial"/>
        </w:rPr>
        <w:t xml:space="preserve">: </w:t>
      </w:r>
      <w:r w:rsidRPr="00E710BB">
        <w:rPr>
          <w:rFonts w:ascii="Arial" w:hAnsi="Arial" w:cs="Arial"/>
        </w:rPr>
        <w:t xml:space="preserve">Social enterprises frequently combine revenue derived from trading, grants and donations. The hybrid model enables evaluation of risk (Doherty et al., 2009), while creating access to different types of investors (Doherty et al., 2009). For example, the </w:t>
      </w:r>
      <w:r w:rsidRPr="00E710BB">
        <w:rPr>
          <w:rFonts w:ascii="Arial" w:hAnsi="Arial" w:cs="Arial"/>
        </w:rPr>
        <w:t>d. Light</w:t>
      </w:r>
      <w:r w:rsidRPr="00E710BB">
        <w:rPr>
          <w:rFonts w:ascii="Arial" w:hAnsi="Arial" w:cs="Arial"/>
        </w:rPr>
        <w:t xml:space="preserve"> model combines solar lights with the sales process and development financing, equally creating commercial and social returns in benefit to the poor. Blended financers help reduce risk in uncertain or challenged markets (Kot, 2025). </w:t>
      </w:r>
    </w:p>
    <w:p w14:paraId="29AE8E68" w14:textId="77777777" w:rsidR="00E710BB" w:rsidRDefault="00E710BB" w:rsidP="00E710BB">
      <w:pPr>
        <w:spacing w:line="480" w:lineRule="auto"/>
        <w:rPr>
          <w:rFonts w:ascii="Arial" w:hAnsi="Arial" w:cs="Arial"/>
        </w:rPr>
      </w:pPr>
      <w:r w:rsidRPr="00E710BB">
        <w:rPr>
          <w:rFonts w:ascii="Arial" w:hAnsi="Arial" w:cs="Arial"/>
        </w:rPr>
        <w:t>Community Insight and Engagement</w:t>
      </w:r>
      <w:r>
        <w:rPr>
          <w:rFonts w:ascii="Arial" w:hAnsi="Arial" w:cs="Arial"/>
        </w:rPr>
        <w:t xml:space="preserve">: </w:t>
      </w:r>
      <w:r w:rsidRPr="00E710BB">
        <w:rPr>
          <w:rFonts w:ascii="Arial" w:hAnsi="Arial" w:cs="Arial"/>
        </w:rPr>
        <w:t>Since many social enterprises emerge from their communities, they have an approximate understanding of community needs. This understanding allows for targeted design of services that utili</w:t>
      </w:r>
      <w:r>
        <w:rPr>
          <w:rFonts w:ascii="Arial" w:hAnsi="Arial" w:cs="Arial"/>
        </w:rPr>
        <w:t>s</w:t>
      </w:r>
      <w:r w:rsidRPr="00E710BB">
        <w:rPr>
          <w:rFonts w:ascii="Arial" w:hAnsi="Arial" w:cs="Arial"/>
        </w:rPr>
        <w:t>e people-</w:t>
      </w:r>
      <w:r w:rsidRPr="00E710BB">
        <w:rPr>
          <w:rFonts w:ascii="Arial" w:hAnsi="Arial" w:cs="Arial"/>
        </w:rPr>
        <w:t>centred</w:t>
      </w:r>
      <w:r w:rsidRPr="00E710BB">
        <w:rPr>
          <w:rFonts w:ascii="Arial" w:hAnsi="Arial" w:cs="Arial"/>
        </w:rPr>
        <w:t xml:space="preserve"> approaches. A targeted approach can be seen in the food waste website 'Too Good </w:t>
      </w:r>
      <w:r w:rsidRPr="00E710BB">
        <w:rPr>
          <w:rFonts w:ascii="Arial" w:hAnsi="Arial" w:cs="Arial"/>
        </w:rPr>
        <w:t>to</w:t>
      </w:r>
      <w:r w:rsidRPr="00E710BB">
        <w:rPr>
          <w:rFonts w:ascii="Arial" w:hAnsi="Arial" w:cs="Arial"/>
        </w:rPr>
        <w:t xml:space="preserve"> Go', which, supports restaurants to engage with customers who purchase surplus food at lower prices. Community engagement through design allows for decisions that are better adapted, relevant, and sustainable (Doherty et al., 2009). </w:t>
      </w:r>
    </w:p>
    <w:p w14:paraId="726F9343" w14:textId="77777777" w:rsidR="00E710BB" w:rsidRDefault="00E710BB" w:rsidP="00E710BB">
      <w:pPr>
        <w:spacing w:line="480" w:lineRule="auto"/>
        <w:rPr>
          <w:rFonts w:ascii="Arial" w:hAnsi="Arial" w:cs="Arial"/>
        </w:rPr>
      </w:pPr>
      <w:r w:rsidRPr="00E710BB">
        <w:rPr>
          <w:rFonts w:ascii="Arial" w:hAnsi="Arial" w:cs="Arial"/>
        </w:rPr>
        <w:t>Passionate and Engaged teams</w:t>
      </w:r>
      <w:r>
        <w:rPr>
          <w:rFonts w:ascii="Arial" w:hAnsi="Arial" w:cs="Arial"/>
        </w:rPr>
        <w:t xml:space="preserve">: </w:t>
      </w:r>
      <w:r w:rsidRPr="00E710BB">
        <w:rPr>
          <w:rFonts w:ascii="Arial" w:hAnsi="Arial" w:cs="Arial"/>
        </w:rPr>
        <w:t>Social enterprises attract people who are committed to the mission organi</w:t>
      </w:r>
      <w:r>
        <w:rPr>
          <w:rFonts w:ascii="Arial" w:hAnsi="Arial" w:cs="Arial"/>
        </w:rPr>
        <w:t>s</w:t>
      </w:r>
      <w:r w:rsidRPr="00E710BB">
        <w:rPr>
          <w:rFonts w:ascii="Arial" w:hAnsi="Arial" w:cs="Arial"/>
        </w:rPr>
        <w:t xml:space="preserve">ation and who seek social change. Employees and </w:t>
      </w:r>
      <w:r w:rsidRPr="00E710BB">
        <w:rPr>
          <w:rFonts w:ascii="Arial" w:hAnsi="Arial" w:cs="Arial"/>
        </w:rPr>
        <w:lastRenderedPageBreak/>
        <w:t>volunteers will often, make creatively engaging process with</w:t>
      </w:r>
      <w:r>
        <w:rPr>
          <w:rFonts w:ascii="Arial" w:hAnsi="Arial" w:cs="Arial"/>
        </w:rPr>
        <w:t xml:space="preserve"> limited</w:t>
      </w:r>
      <w:r w:rsidRPr="00E710BB">
        <w:rPr>
          <w:rFonts w:ascii="Arial" w:hAnsi="Arial" w:cs="Arial"/>
        </w:rPr>
        <w:t xml:space="preserve"> resources (Mosher-Williams, 2018).  Their commitment is seen as an incentive for low remuneration and limited resources. </w:t>
      </w:r>
    </w:p>
    <w:p w14:paraId="02E5B724" w14:textId="77777777" w:rsidR="00516855" w:rsidRDefault="00E710BB" w:rsidP="00E710BB">
      <w:pPr>
        <w:spacing w:line="480" w:lineRule="auto"/>
        <w:rPr>
          <w:rFonts w:ascii="Arial" w:hAnsi="Arial" w:cs="Arial"/>
        </w:rPr>
      </w:pPr>
      <w:r w:rsidRPr="00E710BB">
        <w:rPr>
          <w:rFonts w:ascii="Arial" w:hAnsi="Arial" w:cs="Arial"/>
        </w:rPr>
        <w:t>Space For Experimentation and Trials</w:t>
      </w:r>
      <w:r>
        <w:rPr>
          <w:rFonts w:ascii="Arial" w:hAnsi="Arial" w:cs="Arial"/>
        </w:rPr>
        <w:t xml:space="preserve">: </w:t>
      </w:r>
      <w:r w:rsidRPr="00E710BB">
        <w:rPr>
          <w:rFonts w:ascii="Arial" w:hAnsi="Arial" w:cs="Arial"/>
        </w:rPr>
        <w:t>Social enterprises have more freedom to invent new models and ways of doing things which are avoided by larger organi</w:t>
      </w:r>
      <w:r w:rsidR="00516855">
        <w:rPr>
          <w:rFonts w:ascii="Arial" w:hAnsi="Arial" w:cs="Arial"/>
        </w:rPr>
        <w:t>s</w:t>
      </w:r>
      <w:r w:rsidRPr="00E710BB">
        <w:rPr>
          <w:rFonts w:ascii="Arial" w:hAnsi="Arial" w:cs="Arial"/>
        </w:rPr>
        <w:t xml:space="preserve">ations. For example, Aravind Eye Care crossed a subsidy barrier that achieved noticeable scale in low-cost eye surgery. Innovation can solve social problems (Sherman, 2006). </w:t>
      </w:r>
    </w:p>
    <w:p w14:paraId="036EF182" w14:textId="77777777" w:rsidR="00516855" w:rsidRPr="002413CF" w:rsidRDefault="00E710BB" w:rsidP="00E710BB">
      <w:pPr>
        <w:spacing w:line="480" w:lineRule="auto"/>
        <w:rPr>
          <w:rFonts w:ascii="Arial" w:hAnsi="Arial" w:cs="Arial"/>
          <w:b/>
          <w:bCs/>
          <w:color w:val="BF4E14" w:themeColor="accent2" w:themeShade="BF"/>
        </w:rPr>
      </w:pPr>
      <w:r w:rsidRPr="002413CF">
        <w:rPr>
          <w:rFonts w:ascii="Arial" w:hAnsi="Arial" w:cs="Arial"/>
          <w:b/>
          <w:bCs/>
          <w:color w:val="BF4E14" w:themeColor="accent2" w:themeShade="BF"/>
        </w:rPr>
        <w:t xml:space="preserve">Weaknesses </w:t>
      </w:r>
    </w:p>
    <w:p w14:paraId="0EE1B31A" w14:textId="77777777" w:rsidR="00516855" w:rsidRDefault="00E710BB" w:rsidP="00E710BB">
      <w:pPr>
        <w:spacing w:line="480" w:lineRule="auto"/>
        <w:rPr>
          <w:rFonts w:ascii="Arial" w:hAnsi="Arial" w:cs="Arial"/>
        </w:rPr>
      </w:pPr>
      <w:r w:rsidRPr="00E710BB">
        <w:rPr>
          <w:rFonts w:ascii="Arial" w:hAnsi="Arial" w:cs="Arial"/>
        </w:rPr>
        <w:t>Financial Fragility</w:t>
      </w:r>
      <w:r w:rsidR="00516855">
        <w:rPr>
          <w:rFonts w:ascii="Arial" w:hAnsi="Arial" w:cs="Arial"/>
        </w:rPr>
        <w:t xml:space="preserve">: </w:t>
      </w:r>
      <w:r w:rsidRPr="00E710BB">
        <w:rPr>
          <w:rFonts w:ascii="Arial" w:hAnsi="Arial" w:cs="Arial"/>
        </w:rPr>
        <w:t>Many social enterprises operate on a low margin allowing limited resources for investment and to develop reserves. Scaling without access to capital will invariably lead to poor services (Hynes, 2009; Davies et al., 2019; Kot, 2025).</w:t>
      </w:r>
    </w:p>
    <w:p w14:paraId="1DE6B9AF" w14:textId="77777777" w:rsidR="00516855" w:rsidRDefault="00E710BB" w:rsidP="00E710BB">
      <w:pPr>
        <w:spacing w:line="480" w:lineRule="auto"/>
        <w:rPr>
          <w:rFonts w:ascii="Arial" w:hAnsi="Arial" w:cs="Arial"/>
        </w:rPr>
      </w:pPr>
      <w:r w:rsidRPr="00E710BB">
        <w:rPr>
          <w:rFonts w:ascii="Arial" w:hAnsi="Arial" w:cs="Arial"/>
        </w:rPr>
        <w:t>Skills and Capacity Gaps</w:t>
      </w:r>
      <w:r w:rsidR="00516855">
        <w:rPr>
          <w:rFonts w:ascii="Arial" w:hAnsi="Arial" w:cs="Arial"/>
        </w:rPr>
        <w:t xml:space="preserve">: </w:t>
      </w:r>
      <w:r w:rsidRPr="00E710BB">
        <w:rPr>
          <w:rFonts w:ascii="Arial" w:hAnsi="Arial" w:cs="Arial"/>
        </w:rPr>
        <w:t>Leaders are frequently the sole actors responsible for areas like sales, operations, and fundraising. Doing multiple roles puts pressure on leaders to not only lead the organi</w:t>
      </w:r>
      <w:r w:rsidR="00516855">
        <w:rPr>
          <w:rFonts w:ascii="Arial" w:hAnsi="Arial" w:cs="Arial"/>
        </w:rPr>
        <w:t>s</w:t>
      </w:r>
      <w:r w:rsidRPr="00E710BB">
        <w:rPr>
          <w:rFonts w:ascii="Arial" w:hAnsi="Arial" w:cs="Arial"/>
        </w:rPr>
        <w:t>ation but stifle strategic growth, increase feelings of burnout, and make it more challenging to balance the various demands. It is not uncommon for organi</w:t>
      </w:r>
      <w:r w:rsidR="00516855">
        <w:rPr>
          <w:rFonts w:ascii="Arial" w:hAnsi="Arial" w:cs="Arial"/>
        </w:rPr>
        <w:t>s</w:t>
      </w:r>
      <w:r w:rsidRPr="00E710BB">
        <w:rPr>
          <w:rFonts w:ascii="Arial" w:hAnsi="Arial" w:cs="Arial"/>
        </w:rPr>
        <w:t>ations to lack sufficient business, marketing and financial management capabilities (Hynes; 2009; Davies et al., 2019)</w:t>
      </w:r>
    </w:p>
    <w:p w14:paraId="0C236C1C" w14:textId="77777777" w:rsidR="00516855" w:rsidRDefault="00E710BB" w:rsidP="00E710BB">
      <w:pPr>
        <w:spacing w:line="480" w:lineRule="auto"/>
        <w:rPr>
          <w:rFonts w:ascii="Arial" w:hAnsi="Arial" w:cs="Arial"/>
        </w:rPr>
      </w:pPr>
      <w:r w:rsidRPr="00E710BB">
        <w:rPr>
          <w:rFonts w:ascii="Arial" w:hAnsi="Arial" w:cs="Arial"/>
        </w:rPr>
        <w:t>Measuring Impact</w:t>
      </w:r>
      <w:r w:rsidR="00516855">
        <w:rPr>
          <w:rFonts w:ascii="Arial" w:hAnsi="Arial" w:cs="Arial"/>
        </w:rPr>
        <w:t xml:space="preserve">: </w:t>
      </w:r>
      <w:r w:rsidRPr="00E710BB">
        <w:rPr>
          <w:rFonts w:ascii="Arial" w:hAnsi="Arial" w:cs="Arial"/>
        </w:rPr>
        <w:t>Demonstrating social value creation is complex, yet important. Many organi</w:t>
      </w:r>
      <w:r w:rsidR="00516855">
        <w:rPr>
          <w:rFonts w:ascii="Arial" w:hAnsi="Arial" w:cs="Arial"/>
        </w:rPr>
        <w:t>s</w:t>
      </w:r>
      <w:r w:rsidRPr="00E710BB">
        <w:rPr>
          <w:rFonts w:ascii="Arial" w:hAnsi="Arial" w:cs="Arial"/>
        </w:rPr>
        <w:t>ations do not have the tools they need to measure social outcomes. Building a data system to demonstrate social value can be costly and very time consuming (Nicholls, 2007). Without a comprehensive case, organi</w:t>
      </w:r>
      <w:r w:rsidR="00516855">
        <w:rPr>
          <w:rFonts w:ascii="Arial" w:hAnsi="Arial" w:cs="Arial"/>
        </w:rPr>
        <w:t>s</w:t>
      </w:r>
      <w:r w:rsidRPr="00E710BB">
        <w:rPr>
          <w:rFonts w:ascii="Arial" w:hAnsi="Arial" w:cs="Arial"/>
        </w:rPr>
        <w:t>ations can struggle to win contracts or access funding in the same sector.</w:t>
      </w:r>
    </w:p>
    <w:p w14:paraId="34EF6DAF" w14:textId="77777777" w:rsidR="00516855" w:rsidRDefault="00516855" w:rsidP="00E710BB">
      <w:pPr>
        <w:spacing w:line="480" w:lineRule="auto"/>
        <w:rPr>
          <w:rFonts w:ascii="Arial" w:hAnsi="Arial" w:cs="Arial"/>
        </w:rPr>
      </w:pPr>
    </w:p>
    <w:p w14:paraId="259D26DB" w14:textId="77777777" w:rsidR="00516855" w:rsidRDefault="00E710BB" w:rsidP="00E710BB">
      <w:pPr>
        <w:spacing w:line="480" w:lineRule="auto"/>
        <w:rPr>
          <w:rFonts w:ascii="Arial" w:hAnsi="Arial" w:cs="Arial"/>
        </w:rPr>
      </w:pPr>
      <w:r w:rsidRPr="00E710BB">
        <w:rPr>
          <w:rFonts w:ascii="Arial" w:hAnsi="Arial" w:cs="Arial"/>
        </w:rPr>
        <w:lastRenderedPageBreak/>
        <w:t>Governance Challenges</w:t>
      </w:r>
      <w:r w:rsidR="00516855">
        <w:rPr>
          <w:rFonts w:ascii="Arial" w:hAnsi="Arial" w:cs="Arial"/>
        </w:rPr>
        <w:t xml:space="preserve">: </w:t>
      </w:r>
      <w:r w:rsidRPr="00E710BB">
        <w:rPr>
          <w:rFonts w:ascii="Arial" w:hAnsi="Arial" w:cs="Arial"/>
        </w:rPr>
        <w:t>There is tension between boards who are balancing commercial performance with social purpose performance. When boards make developing new business decisions quickly, it can on occasion result in decisions contradicted by organi</w:t>
      </w:r>
      <w:r w:rsidR="00516855">
        <w:rPr>
          <w:rFonts w:ascii="Arial" w:hAnsi="Arial" w:cs="Arial"/>
        </w:rPr>
        <w:t>s</w:t>
      </w:r>
      <w:r w:rsidRPr="00E710BB">
        <w:rPr>
          <w:rFonts w:ascii="Arial" w:hAnsi="Arial" w:cs="Arial"/>
        </w:rPr>
        <w:t>ational values or mission led practices. For example, a decision to increase rates might save the business but eliminate the poorest clients (Hynes, 2009; Davies et al., 2019).</w:t>
      </w:r>
    </w:p>
    <w:p w14:paraId="23E6E6DE" w14:textId="77777777" w:rsidR="00516855" w:rsidRDefault="00E710BB" w:rsidP="00E710BB">
      <w:pPr>
        <w:spacing w:line="480" w:lineRule="auto"/>
        <w:rPr>
          <w:rFonts w:ascii="Arial" w:hAnsi="Arial" w:cs="Arial"/>
        </w:rPr>
      </w:pPr>
      <w:r w:rsidRPr="00E710BB">
        <w:rPr>
          <w:rFonts w:ascii="Arial" w:hAnsi="Arial" w:cs="Arial"/>
        </w:rPr>
        <w:t>Limited Scale</w:t>
      </w:r>
      <w:r w:rsidR="00516855">
        <w:rPr>
          <w:rFonts w:ascii="Arial" w:hAnsi="Arial" w:cs="Arial"/>
        </w:rPr>
        <w:t xml:space="preserve">: </w:t>
      </w:r>
      <w:r w:rsidRPr="00E710BB">
        <w:rPr>
          <w:rFonts w:ascii="Arial" w:hAnsi="Arial" w:cs="Arial"/>
        </w:rPr>
        <w:t>Small scale limits organi</w:t>
      </w:r>
      <w:r w:rsidR="00516855">
        <w:rPr>
          <w:rFonts w:ascii="Arial" w:hAnsi="Arial" w:cs="Arial"/>
        </w:rPr>
        <w:t>s</w:t>
      </w:r>
      <w:r w:rsidRPr="00E710BB">
        <w:rPr>
          <w:rFonts w:ascii="Arial" w:hAnsi="Arial" w:cs="Arial"/>
        </w:rPr>
        <w:t>ations' bargaining power and ability to achieve economies of scale. Small organi</w:t>
      </w:r>
      <w:r w:rsidR="00516855">
        <w:rPr>
          <w:rFonts w:ascii="Arial" w:hAnsi="Arial" w:cs="Arial"/>
        </w:rPr>
        <w:t>s</w:t>
      </w:r>
      <w:r w:rsidRPr="00E710BB">
        <w:rPr>
          <w:rFonts w:ascii="Arial" w:hAnsi="Arial" w:cs="Arial"/>
        </w:rPr>
        <w:t>ations face significant competition from larger organi</w:t>
      </w:r>
      <w:r w:rsidR="00516855">
        <w:rPr>
          <w:rFonts w:ascii="Arial" w:hAnsi="Arial" w:cs="Arial"/>
        </w:rPr>
        <w:t>s</w:t>
      </w:r>
      <w:r w:rsidRPr="00E710BB">
        <w:rPr>
          <w:rFonts w:ascii="Arial" w:hAnsi="Arial" w:cs="Arial"/>
        </w:rPr>
        <w:t>ations which create challenges for pricing competition (Borza et al., 2009).</w:t>
      </w:r>
      <w:r w:rsidR="00516855">
        <w:rPr>
          <w:rFonts w:ascii="Arial" w:hAnsi="Arial" w:cs="Arial"/>
        </w:rPr>
        <w:t xml:space="preserve"> </w:t>
      </w:r>
      <w:r w:rsidRPr="00E710BB">
        <w:rPr>
          <w:rFonts w:ascii="Arial" w:hAnsi="Arial" w:cs="Arial"/>
        </w:rPr>
        <w:t>Example: In the case of One Acre Fund, their scale did not materiali</w:t>
      </w:r>
      <w:r w:rsidR="00516855">
        <w:rPr>
          <w:rFonts w:ascii="Arial" w:hAnsi="Arial" w:cs="Arial"/>
        </w:rPr>
        <w:t>s</w:t>
      </w:r>
      <w:r w:rsidRPr="00E710BB">
        <w:rPr>
          <w:rFonts w:ascii="Arial" w:hAnsi="Arial" w:cs="Arial"/>
        </w:rPr>
        <w:t>e until after heavy investment chip in systems and training. Their peers are often under-resources to achieve scale and are therefore small and fragile (Davies et al, 2019).</w:t>
      </w:r>
    </w:p>
    <w:p w14:paraId="4AEF5E43" w14:textId="69EC28D2" w:rsidR="00E710BB" w:rsidRPr="002413CF" w:rsidRDefault="00E710BB" w:rsidP="00E710BB">
      <w:pPr>
        <w:spacing w:line="480" w:lineRule="auto"/>
        <w:rPr>
          <w:rFonts w:ascii="Arial" w:hAnsi="Arial" w:cs="Arial"/>
          <w:b/>
          <w:bCs/>
          <w:color w:val="BF4E14" w:themeColor="accent2" w:themeShade="BF"/>
        </w:rPr>
      </w:pPr>
      <w:r w:rsidRPr="002413CF">
        <w:rPr>
          <w:rFonts w:ascii="Arial" w:hAnsi="Arial" w:cs="Arial"/>
          <w:b/>
          <w:bCs/>
          <w:color w:val="BF4E14" w:themeColor="accent2" w:themeShade="BF"/>
        </w:rPr>
        <w:t xml:space="preserve">Opportunities </w:t>
      </w:r>
    </w:p>
    <w:p w14:paraId="41B9ED69" w14:textId="77777777" w:rsidR="00516855" w:rsidRDefault="00E710BB" w:rsidP="00E710BB">
      <w:pPr>
        <w:spacing w:line="480" w:lineRule="auto"/>
        <w:rPr>
          <w:rFonts w:ascii="Arial" w:hAnsi="Arial" w:cs="Arial"/>
        </w:rPr>
      </w:pPr>
      <w:r w:rsidRPr="00E710BB">
        <w:rPr>
          <w:rFonts w:ascii="Arial" w:hAnsi="Arial" w:cs="Arial"/>
        </w:rPr>
        <w:t>Access to Finance</w:t>
      </w:r>
      <w:r w:rsidR="00516855">
        <w:rPr>
          <w:rFonts w:ascii="Arial" w:hAnsi="Arial" w:cs="Arial"/>
        </w:rPr>
        <w:t xml:space="preserve">: </w:t>
      </w:r>
      <w:r w:rsidRPr="00E710BB">
        <w:rPr>
          <w:rFonts w:ascii="Arial" w:hAnsi="Arial" w:cs="Arial"/>
        </w:rPr>
        <w:t xml:space="preserve">Growth in impact investment and blended finance can create new opportunity for capital available to social enterprises. Funds are increasingly offering loan products which are revenue based, social impact bonds, and first-loss guarantees for early-stage ventures (Kot, 2025). </w:t>
      </w:r>
    </w:p>
    <w:p w14:paraId="1B8D165A" w14:textId="77777777" w:rsidR="00516855" w:rsidRDefault="00E710BB" w:rsidP="00E710BB">
      <w:pPr>
        <w:spacing w:line="480" w:lineRule="auto"/>
        <w:rPr>
          <w:rFonts w:ascii="Arial" w:hAnsi="Arial" w:cs="Arial"/>
        </w:rPr>
      </w:pPr>
      <w:r w:rsidRPr="00E710BB">
        <w:rPr>
          <w:rFonts w:ascii="Arial" w:hAnsi="Arial" w:cs="Arial"/>
        </w:rPr>
        <w:t>Social Procurement</w:t>
      </w:r>
      <w:r w:rsidR="00516855">
        <w:rPr>
          <w:rFonts w:ascii="Arial" w:hAnsi="Arial" w:cs="Arial"/>
        </w:rPr>
        <w:t xml:space="preserve">: </w:t>
      </w:r>
      <w:r w:rsidR="00516855" w:rsidRPr="00E710BB">
        <w:rPr>
          <w:rFonts w:ascii="Arial" w:hAnsi="Arial" w:cs="Arial"/>
        </w:rPr>
        <w:t>Government</w:t>
      </w:r>
      <w:r w:rsidRPr="00E710BB">
        <w:rPr>
          <w:rFonts w:ascii="Arial" w:hAnsi="Arial" w:cs="Arial"/>
        </w:rPr>
        <w:t xml:space="preserve"> increasingly want social value to be embedded in any public contract. Public contact sectors like care, waste or community training seems to have the most opportunity for social enterprises due to impact and scale (Doherty et </w:t>
      </w:r>
      <w:r w:rsidR="00516855" w:rsidRPr="00E710BB">
        <w:rPr>
          <w:rFonts w:ascii="Arial" w:hAnsi="Arial" w:cs="Arial"/>
        </w:rPr>
        <w:t>all, 2009).</w:t>
      </w:r>
      <w:r w:rsidRPr="00E710BB">
        <w:rPr>
          <w:rFonts w:ascii="Arial" w:hAnsi="Arial" w:cs="Arial"/>
        </w:rPr>
        <w:t xml:space="preserve"> If social enterprises win these contracts that </w:t>
      </w:r>
      <w:r w:rsidR="00516855" w:rsidRPr="00E710BB">
        <w:rPr>
          <w:rFonts w:ascii="Arial" w:hAnsi="Arial" w:cs="Arial"/>
        </w:rPr>
        <w:t>fulfil</w:t>
      </w:r>
      <w:r w:rsidRPr="00E710BB">
        <w:rPr>
          <w:rFonts w:ascii="Arial" w:hAnsi="Arial" w:cs="Arial"/>
        </w:rPr>
        <w:t xml:space="preserve"> social value take an existing social enterprise and create cash flow and stability.</w:t>
      </w:r>
    </w:p>
    <w:p w14:paraId="3B50FDCF" w14:textId="77777777" w:rsidR="00516855" w:rsidRDefault="00E710BB" w:rsidP="00E710BB">
      <w:pPr>
        <w:spacing w:line="480" w:lineRule="auto"/>
        <w:rPr>
          <w:rFonts w:ascii="Arial" w:hAnsi="Arial" w:cs="Arial"/>
        </w:rPr>
      </w:pPr>
      <w:r w:rsidRPr="00E710BB">
        <w:rPr>
          <w:rFonts w:ascii="Arial" w:hAnsi="Arial" w:cs="Arial"/>
        </w:rPr>
        <w:t>Digital Transformation</w:t>
      </w:r>
      <w:r w:rsidR="00516855">
        <w:rPr>
          <w:rFonts w:ascii="Arial" w:hAnsi="Arial" w:cs="Arial"/>
        </w:rPr>
        <w:t xml:space="preserve">: </w:t>
      </w:r>
      <w:r w:rsidRPr="00E710BB">
        <w:rPr>
          <w:rFonts w:ascii="Arial" w:hAnsi="Arial" w:cs="Arial"/>
        </w:rPr>
        <w:t xml:space="preserve">Digital tools allow costs to decrease and reach to increase. Service delivery and data tracking become easier with online platforms, mobile </w:t>
      </w:r>
      <w:r w:rsidRPr="00E710BB">
        <w:rPr>
          <w:rFonts w:ascii="Arial" w:hAnsi="Arial" w:cs="Arial"/>
        </w:rPr>
        <w:lastRenderedPageBreak/>
        <w:t>marketing, and cloud-based systems. For example, M-KOPA has made solar power accessible to low-income households through a mobile payment system (Borza et al., 2009).</w:t>
      </w:r>
    </w:p>
    <w:p w14:paraId="0A058DAE" w14:textId="77777777" w:rsidR="00516855" w:rsidRDefault="00E710BB" w:rsidP="00E710BB">
      <w:pPr>
        <w:spacing w:line="480" w:lineRule="auto"/>
        <w:rPr>
          <w:rFonts w:ascii="Arial" w:hAnsi="Arial" w:cs="Arial"/>
        </w:rPr>
      </w:pPr>
      <w:r w:rsidRPr="00E710BB">
        <w:rPr>
          <w:rFonts w:ascii="Arial" w:hAnsi="Arial" w:cs="Arial"/>
        </w:rPr>
        <w:t>Partnerships for Scale</w:t>
      </w:r>
      <w:r w:rsidR="00516855">
        <w:rPr>
          <w:rFonts w:ascii="Arial" w:hAnsi="Arial" w:cs="Arial"/>
        </w:rPr>
        <w:t xml:space="preserve">: </w:t>
      </w:r>
      <w:r w:rsidRPr="00E710BB">
        <w:rPr>
          <w:rFonts w:ascii="Arial" w:hAnsi="Arial" w:cs="Arial"/>
        </w:rPr>
        <w:t>Working with for-profit corporations or NGOs provides access to financial and human capital and expertise. Warby Parker scaled its “buy one, give one” model by engaging NGOs. Such partnerships enable social enterprises to scale up to access more people with their mission at lower capital and operational costs (Sherman, 2006; Mosher-Williams, 2018)</w:t>
      </w:r>
      <w:r w:rsidR="00516855">
        <w:rPr>
          <w:rFonts w:ascii="Arial" w:hAnsi="Arial" w:cs="Arial"/>
        </w:rPr>
        <w:t>.</w:t>
      </w:r>
    </w:p>
    <w:p w14:paraId="378C2DF5" w14:textId="2179204A" w:rsidR="00516855" w:rsidRDefault="00E710BB" w:rsidP="00E710BB">
      <w:pPr>
        <w:spacing w:line="480" w:lineRule="auto"/>
        <w:rPr>
          <w:rFonts w:ascii="Arial" w:hAnsi="Arial" w:cs="Arial"/>
        </w:rPr>
      </w:pPr>
      <w:r w:rsidRPr="00E710BB">
        <w:rPr>
          <w:rFonts w:ascii="Arial" w:hAnsi="Arial" w:cs="Arial"/>
        </w:rPr>
        <w:t>Ethical Consumerism</w:t>
      </w:r>
      <w:r w:rsidR="00516855">
        <w:rPr>
          <w:rFonts w:ascii="Arial" w:hAnsi="Arial" w:cs="Arial"/>
        </w:rPr>
        <w:t xml:space="preserve">: </w:t>
      </w:r>
      <w:r w:rsidRPr="00E710BB">
        <w:rPr>
          <w:rFonts w:ascii="Arial" w:hAnsi="Arial" w:cs="Arial"/>
        </w:rPr>
        <w:t xml:space="preserve">Increasingly consumers are purchasing </w:t>
      </w:r>
      <w:r w:rsidR="00516855" w:rsidRPr="00E710BB">
        <w:rPr>
          <w:rFonts w:ascii="Arial" w:hAnsi="Arial" w:cs="Arial"/>
        </w:rPr>
        <w:t>ethically sourced</w:t>
      </w:r>
      <w:r w:rsidRPr="00E710BB">
        <w:rPr>
          <w:rFonts w:ascii="Arial" w:hAnsi="Arial" w:cs="Arial"/>
        </w:rPr>
        <w:t xml:space="preserve"> or environmentally sustainable products. Given their mission and more transparent and measurable benefits, social enterprises are uniquely positioned to meet consumer purchases for ethical, sustainable sourcing (Borza et al., 2009; Nicholls, 2007).</w:t>
      </w:r>
    </w:p>
    <w:p w14:paraId="30A75165" w14:textId="433BAAF6" w:rsidR="00516855" w:rsidRDefault="00E710BB" w:rsidP="00E710BB">
      <w:pPr>
        <w:spacing w:line="480" w:lineRule="auto"/>
        <w:rPr>
          <w:rFonts w:ascii="Arial" w:hAnsi="Arial" w:cs="Arial"/>
        </w:rPr>
      </w:pPr>
      <w:r w:rsidRPr="00E710BB">
        <w:rPr>
          <w:rFonts w:ascii="Arial" w:hAnsi="Arial" w:cs="Arial"/>
        </w:rPr>
        <w:t>Growth Pathways</w:t>
      </w:r>
      <w:r w:rsidR="00516855">
        <w:rPr>
          <w:rFonts w:ascii="Arial" w:hAnsi="Arial" w:cs="Arial"/>
        </w:rPr>
        <w:t xml:space="preserve">: </w:t>
      </w:r>
      <w:r w:rsidRPr="00E710BB">
        <w:rPr>
          <w:rFonts w:ascii="Arial" w:hAnsi="Arial" w:cs="Arial"/>
        </w:rPr>
        <w:t xml:space="preserve">Social enterprises seek to scale not solely for profit, but rather to leverage profitable social impact. A common </w:t>
      </w:r>
      <w:r w:rsidR="00516855" w:rsidRPr="00E710BB">
        <w:rPr>
          <w:rFonts w:ascii="Arial" w:hAnsi="Arial" w:cs="Arial"/>
        </w:rPr>
        <w:t>pathway</w:t>
      </w:r>
      <w:r w:rsidRPr="00E710BB">
        <w:rPr>
          <w:rFonts w:ascii="Arial" w:hAnsi="Arial" w:cs="Arial"/>
        </w:rPr>
        <w:t xml:space="preserve"> for growth includes franchise settings, licensing or replication as means to grow, allowing for scale while retaining mission control (</w:t>
      </w:r>
      <w:proofErr w:type="spellStart"/>
      <w:r w:rsidRPr="00E710BB">
        <w:rPr>
          <w:rFonts w:ascii="Arial" w:hAnsi="Arial" w:cs="Arial"/>
        </w:rPr>
        <w:t>Tykkyl</w:t>
      </w:r>
      <w:r w:rsidR="00516855">
        <w:rPr>
          <w:rFonts w:ascii="Arial" w:hAnsi="Arial" w:cs="Arial"/>
        </w:rPr>
        <w:t>a</w:t>
      </w:r>
      <w:r w:rsidRPr="00E710BB">
        <w:rPr>
          <w:rFonts w:ascii="Arial" w:hAnsi="Arial" w:cs="Arial"/>
        </w:rPr>
        <w:t>inen</w:t>
      </w:r>
      <w:proofErr w:type="spellEnd"/>
      <w:r w:rsidRPr="00E710BB">
        <w:rPr>
          <w:rFonts w:ascii="Arial" w:hAnsi="Arial" w:cs="Arial"/>
        </w:rPr>
        <w:t>, 2019; Hynes, 2009; Sherman, 2006).</w:t>
      </w:r>
    </w:p>
    <w:p w14:paraId="53B9F409" w14:textId="6B9E3D6C" w:rsidR="00E710BB" w:rsidRPr="002413CF" w:rsidRDefault="00E710BB" w:rsidP="00E710BB">
      <w:pPr>
        <w:spacing w:line="480" w:lineRule="auto"/>
        <w:rPr>
          <w:rFonts w:ascii="Arial" w:hAnsi="Arial" w:cs="Arial"/>
          <w:b/>
          <w:bCs/>
          <w:color w:val="BF4E14" w:themeColor="accent2" w:themeShade="BF"/>
        </w:rPr>
      </w:pPr>
      <w:r w:rsidRPr="002413CF">
        <w:rPr>
          <w:rFonts w:ascii="Arial" w:hAnsi="Arial" w:cs="Arial"/>
          <w:b/>
          <w:bCs/>
          <w:color w:val="BF4E14" w:themeColor="accent2" w:themeShade="BF"/>
        </w:rPr>
        <w:t>Threats</w:t>
      </w:r>
    </w:p>
    <w:p w14:paraId="7BB9FEAB" w14:textId="77777777" w:rsidR="00516855" w:rsidRDefault="00E710BB" w:rsidP="00E710BB">
      <w:pPr>
        <w:spacing w:line="480" w:lineRule="auto"/>
        <w:rPr>
          <w:rFonts w:ascii="Arial" w:hAnsi="Arial" w:cs="Arial"/>
        </w:rPr>
      </w:pPr>
      <w:r w:rsidRPr="00E710BB">
        <w:rPr>
          <w:rFonts w:ascii="Arial" w:hAnsi="Arial" w:cs="Arial"/>
        </w:rPr>
        <w:t>Mission Drift</w:t>
      </w:r>
      <w:r w:rsidR="00516855">
        <w:rPr>
          <w:rFonts w:ascii="Arial" w:hAnsi="Arial" w:cs="Arial"/>
        </w:rPr>
        <w:t xml:space="preserve">: </w:t>
      </w:r>
      <w:r w:rsidRPr="00E710BB">
        <w:rPr>
          <w:rFonts w:ascii="Arial" w:hAnsi="Arial" w:cs="Arial"/>
        </w:rPr>
        <w:t>Pressures to become financially self-sustaining can put organi</w:t>
      </w:r>
      <w:r w:rsidR="00516855">
        <w:rPr>
          <w:rFonts w:ascii="Arial" w:hAnsi="Arial" w:cs="Arial"/>
        </w:rPr>
        <w:t>s</w:t>
      </w:r>
      <w:r w:rsidRPr="00E710BB">
        <w:rPr>
          <w:rFonts w:ascii="Arial" w:hAnsi="Arial" w:cs="Arial"/>
        </w:rPr>
        <w:t>ations at risk of moving toward easier or more profitable markets at the expense of social reach. Strong governance and/or indicators to sustain impact can mitigate mission drift (Doherty et al., 2009; Davies et al., 2019).</w:t>
      </w:r>
    </w:p>
    <w:p w14:paraId="7B2F4C4F" w14:textId="77777777" w:rsidR="00516855" w:rsidRDefault="00E710BB" w:rsidP="00E710BB">
      <w:pPr>
        <w:spacing w:line="480" w:lineRule="auto"/>
        <w:rPr>
          <w:rFonts w:ascii="Arial" w:hAnsi="Arial" w:cs="Arial"/>
        </w:rPr>
      </w:pPr>
      <w:r w:rsidRPr="00E710BB">
        <w:rPr>
          <w:rFonts w:ascii="Arial" w:hAnsi="Arial" w:cs="Arial"/>
        </w:rPr>
        <w:t>Mainstream Competition</w:t>
      </w:r>
      <w:r w:rsidR="00516855">
        <w:rPr>
          <w:rFonts w:ascii="Arial" w:hAnsi="Arial" w:cs="Arial"/>
        </w:rPr>
        <w:t xml:space="preserve">: </w:t>
      </w:r>
      <w:r w:rsidRPr="00E710BB">
        <w:rPr>
          <w:rFonts w:ascii="Arial" w:hAnsi="Arial" w:cs="Arial"/>
        </w:rPr>
        <w:t xml:space="preserve">Once a social business model works, large for-profit businesses will attempt to take the original idea and scale it to profit from economies of scale. For example, large retailers have adopted the fair trade and eco space, </w:t>
      </w:r>
      <w:r w:rsidRPr="00E710BB">
        <w:rPr>
          <w:rFonts w:ascii="Arial" w:hAnsi="Arial" w:cs="Arial"/>
        </w:rPr>
        <w:lastRenderedPageBreak/>
        <w:t>creating competition during the establishment process, retailers were merging sustainably and fairness models (Borza et al., 2009).</w:t>
      </w:r>
    </w:p>
    <w:p w14:paraId="59C4C284" w14:textId="77777777" w:rsidR="00516855" w:rsidRDefault="00E710BB" w:rsidP="00E710BB">
      <w:pPr>
        <w:spacing w:line="480" w:lineRule="auto"/>
        <w:rPr>
          <w:rFonts w:ascii="Arial" w:hAnsi="Arial" w:cs="Arial"/>
        </w:rPr>
      </w:pPr>
      <w:r w:rsidRPr="00E710BB">
        <w:rPr>
          <w:rFonts w:ascii="Arial" w:hAnsi="Arial" w:cs="Arial"/>
        </w:rPr>
        <w:t>Policy and Financial Changes</w:t>
      </w:r>
      <w:r w:rsidR="00516855">
        <w:rPr>
          <w:rFonts w:ascii="Arial" w:hAnsi="Arial" w:cs="Arial"/>
        </w:rPr>
        <w:t xml:space="preserve">: </w:t>
      </w:r>
      <w:r w:rsidRPr="00E710BB">
        <w:rPr>
          <w:rFonts w:ascii="Arial" w:hAnsi="Arial" w:cs="Arial"/>
        </w:rPr>
        <w:t>Social enterprises operate within an environment that relies on experience in policy support. A change of government can end a grant or alter how policies are done with procurement which fundamentally impacts income streams, and in fragile economies where local currency and banking practices operate under high risk, these considerations are even more complicated (Kot, 2025)</w:t>
      </w:r>
    </w:p>
    <w:p w14:paraId="3BF37F23" w14:textId="77777777" w:rsidR="002413CF" w:rsidRDefault="00E710BB" w:rsidP="00E710BB">
      <w:pPr>
        <w:spacing w:line="480" w:lineRule="auto"/>
        <w:rPr>
          <w:rFonts w:ascii="Arial" w:hAnsi="Arial" w:cs="Arial"/>
        </w:rPr>
      </w:pPr>
      <w:r w:rsidRPr="00E710BB">
        <w:rPr>
          <w:rFonts w:ascii="Arial" w:hAnsi="Arial" w:cs="Arial"/>
        </w:rPr>
        <w:t>Economic Shock</w:t>
      </w:r>
      <w:r w:rsidR="00516855">
        <w:rPr>
          <w:rFonts w:ascii="Arial" w:hAnsi="Arial" w:cs="Arial"/>
        </w:rPr>
        <w:t xml:space="preserve">: </w:t>
      </w:r>
      <w:r w:rsidRPr="00E710BB">
        <w:rPr>
          <w:rFonts w:ascii="Arial" w:hAnsi="Arial" w:cs="Arial"/>
        </w:rPr>
        <w:t>Crises like recession or pandemics lessen customer spending and even donations, putting fragile social enterprises on a slippery slope with no safety net (Davies et al., 2019; Hynes, 2009)</w:t>
      </w:r>
    </w:p>
    <w:p w14:paraId="5DD47E60" w14:textId="77777777" w:rsidR="002413CF" w:rsidRPr="002413CF" w:rsidRDefault="00E710BB" w:rsidP="00E710BB">
      <w:pPr>
        <w:spacing w:line="480" w:lineRule="auto"/>
        <w:rPr>
          <w:rFonts w:ascii="Arial" w:hAnsi="Arial" w:cs="Arial"/>
          <w:b/>
          <w:bCs/>
          <w:color w:val="BF4E14" w:themeColor="accent2" w:themeShade="BF"/>
        </w:rPr>
      </w:pPr>
      <w:r w:rsidRPr="002413CF">
        <w:rPr>
          <w:rFonts w:ascii="Arial" w:hAnsi="Arial" w:cs="Arial"/>
          <w:b/>
          <w:bCs/>
          <w:color w:val="BF4E14" w:themeColor="accent2" w:themeShade="BF"/>
        </w:rPr>
        <w:t>Conclusion</w:t>
      </w:r>
    </w:p>
    <w:p w14:paraId="1120513B" w14:textId="622E4B61" w:rsidR="00E710BB" w:rsidRDefault="00E710BB" w:rsidP="00E710BB">
      <w:pPr>
        <w:spacing w:line="480" w:lineRule="auto"/>
        <w:rPr>
          <w:rFonts w:ascii="Arial" w:hAnsi="Arial" w:cs="Arial"/>
        </w:rPr>
      </w:pPr>
      <w:r w:rsidRPr="00E710BB">
        <w:rPr>
          <w:rFonts w:ascii="Arial" w:hAnsi="Arial" w:cs="Arial"/>
        </w:rPr>
        <w:t>Social enterprises combine social good with business sense. Their attributes such as mission focus, trust, innovation, and a connection to community make them compelling mechanisms for social change. Nevertheless, finances can be weak, organi</w:t>
      </w:r>
      <w:r w:rsidR="002413CF">
        <w:rPr>
          <w:rFonts w:ascii="Arial" w:hAnsi="Arial" w:cs="Arial"/>
        </w:rPr>
        <w:t>s</w:t>
      </w:r>
      <w:r w:rsidRPr="00E710BB">
        <w:rPr>
          <w:rFonts w:ascii="Arial" w:hAnsi="Arial" w:cs="Arial"/>
        </w:rPr>
        <w:t>ations can be weak at capacity building, and the governance type tensions in operationali</w:t>
      </w:r>
      <w:r w:rsidR="002413CF">
        <w:rPr>
          <w:rFonts w:ascii="Arial" w:hAnsi="Arial" w:cs="Arial"/>
        </w:rPr>
        <w:t>s</w:t>
      </w:r>
      <w:r w:rsidRPr="00E710BB">
        <w:rPr>
          <w:rFonts w:ascii="Arial" w:hAnsi="Arial" w:cs="Arial"/>
        </w:rPr>
        <w:t>ing the mission leave</w:t>
      </w:r>
      <w:r w:rsidR="002413CF">
        <w:rPr>
          <w:rFonts w:ascii="Arial" w:hAnsi="Arial" w:cs="Arial"/>
        </w:rPr>
        <w:t xml:space="preserve"> leaving</w:t>
      </w:r>
      <w:r w:rsidRPr="00E710BB">
        <w:rPr>
          <w:rFonts w:ascii="Arial" w:hAnsi="Arial" w:cs="Arial"/>
        </w:rPr>
        <w:t xml:space="preserve"> social enterprises at a disadvantage for growth potential. Social innovations are expanding in opportunities through impact finance, ethical consumerism, and the increasing use of digital. It will still be important for social enterprises to lock in their mission, having strong financial structures, and build partnerships appropriately. With these strategies, growth in balancing purposes and profit can continue </w:t>
      </w:r>
      <w:r w:rsidR="002413CF" w:rsidRPr="00E710BB">
        <w:rPr>
          <w:rFonts w:ascii="Arial" w:hAnsi="Arial" w:cs="Arial"/>
        </w:rPr>
        <w:t>to</w:t>
      </w:r>
      <w:r w:rsidRPr="00E710BB">
        <w:rPr>
          <w:rFonts w:ascii="Arial" w:hAnsi="Arial" w:cs="Arial"/>
        </w:rPr>
        <w:t xml:space="preserve"> scale social impact sustainably (Doherty et al., 2009; Hynes, 2009</w:t>
      </w:r>
      <w:r w:rsidR="002413CF">
        <w:rPr>
          <w:rFonts w:ascii="Arial" w:hAnsi="Arial" w:cs="Arial"/>
        </w:rPr>
        <w:t>).</w:t>
      </w:r>
    </w:p>
    <w:p w14:paraId="2D2E0006" w14:textId="77777777" w:rsidR="002413CF" w:rsidRDefault="002413CF" w:rsidP="00E710BB">
      <w:pPr>
        <w:spacing w:line="480" w:lineRule="auto"/>
        <w:rPr>
          <w:rFonts w:ascii="Arial" w:hAnsi="Arial" w:cs="Arial"/>
        </w:rPr>
      </w:pPr>
    </w:p>
    <w:p w14:paraId="4A48A94D" w14:textId="77777777" w:rsidR="002413CF" w:rsidRDefault="002413CF" w:rsidP="00E710BB">
      <w:pPr>
        <w:spacing w:line="480" w:lineRule="auto"/>
        <w:rPr>
          <w:rFonts w:ascii="Arial" w:hAnsi="Arial" w:cs="Arial"/>
        </w:rPr>
      </w:pPr>
    </w:p>
    <w:p w14:paraId="20F32095" w14:textId="6A34B8CA" w:rsidR="002413CF" w:rsidRPr="00875984" w:rsidRDefault="002413CF" w:rsidP="00E710BB">
      <w:pPr>
        <w:spacing w:line="480" w:lineRule="auto"/>
        <w:rPr>
          <w:rFonts w:ascii="Arial" w:hAnsi="Arial" w:cs="Arial"/>
          <w:b/>
          <w:bCs/>
          <w:color w:val="BF4E14" w:themeColor="accent2" w:themeShade="BF"/>
        </w:rPr>
      </w:pPr>
      <w:r w:rsidRPr="00875984">
        <w:rPr>
          <w:rFonts w:ascii="Arial" w:hAnsi="Arial" w:cs="Arial"/>
          <w:b/>
          <w:bCs/>
          <w:color w:val="BF4E14" w:themeColor="accent2" w:themeShade="BF"/>
        </w:rPr>
        <w:lastRenderedPageBreak/>
        <w:t xml:space="preserve">References </w:t>
      </w:r>
    </w:p>
    <w:p w14:paraId="74F0AE8B" w14:textId="77777777" w:rsidR="00875984" w:rsidRDefault="002413CF" w:rsidP="002413CF">
      <w:pPr>
        <w:spacing w:line="480" w:lineRule="auto"/>
        <w:rPr>
          <w:rFonts w:ascii="Arial" w:hAnsi="Arial" w:cs="Arial"/>
        </w:rPr>
      </w:pPr>
      <w:r w:rsidRPr="002413CF">
        <w:rPr>
          <w:rFonts w:ascii="Arial" w:hAnsi="Arial" w:cs="Arial"/>
        </w:rPr>
        <w:t xml:space="preserve">Borza, A., Nistor, R., Mitra, C., &amp; </w:t>
      </w:r>
      <w:proofErr w:type="spellStart"/>
      <w:r w:rsidRPr="002413CF">
        <w:rPr>
          <w:rFonts w:ascii="Arial" w:hAnsi="Arial" w:cs="Arial"/>
        </w:rPr>
        <w:t>Bordean</w:t>
      </w:r>
      <w:proofErr w:type="spellEnd"/>
      <w:r w:rsidRPr="002413CF">
        <w:rPr>
          <w:rFonts w:ascii="Arial" w:hAnsi="Arial" w:cs="Arial"/>
        </w:rPr>
        <w:t xml:space="preserve">, O. (2009). Social enterprise and competitiveness. </w:t>
      </w:r>
      <w:r w:rsidRPr="00875984">
        <w:rPr>
          <w:rFonts w:ascii="Arial" w:hAnsi="Arial" w:cs="Arial"/>
          <w:i/>
          <w:iCs/>
        </w:rPr>
        <w:t>Management &amp; Marketing, 4</w:t>
      </w:r>
      <w:r w:rsidRPr="002413CF">
        <w:rPr>
          <w:rFonts w:ascii="Arial" w:hAnsi="Arial" w:cs="Arial"/>
        </w:rPr>
        <w:t>(3).</w:t>
      </w:r>
    </w:p>
    <w:p w14:paraId="18AE06AE" w14:textId="77777777" w:rsidR="00875984" w:rsidRDefault="002413CF" w:rsidP="002413CF">
      <w:pPr>
        <w:spacing w:line="480" w:lineRule="auto"/>
        <w:rPr>
          <w:rFonts w:ascii="Arial" w:hAnsi="Arial" w:cs="Arial"/>
        </w:rPr>
      </w:pPr>
      <w:r w:rsidRPr="002413CF">
        <w:rPr>
          <w:rFonts w:ascii="Arial" w:hAnsi="Arial" w:cs="Arial"/>
        </w:rPr>
        <w:t xml:space="preserve">Davies, I. A., Haugh, H., &amp; Chambers, L. (2019). Barriers to social enterprise growth. </w:t>
      </w:r>
      <w:r w:rsidRPr="00875984">
        <w:rPr>
          <w:rFonts w:ascii="Arial" w:hAnsi="Arial" w:cs="Arial"/>
          <w:i/>
          <w:iCs/>
        </w:rPr>
        <w:t>Journal of Small Business Management, 57</w:t>
      </w:r>
      <w:r w:rsidRPr="002413CF">
        <w:rPr>
          <w:rFonts w:ascii="Arial" w:hAnsi="Arial" w:cs="Arial"/>
        </w:rPr>
        <w:t>(4), 1616–1636.</w:t>
      </w:r>
    </w:p>
    <w:p w14:paraId="7CB6AB57" w14:textId="77777777" w:rsidR="00875984" w:rsidRDefault="002413CF" w:rsidP="002413CF">
      <w:pPr>
        <w:spacing w:line="480" w:lineRule="auto"/>
        <w:rPr>
          <w:rFonts w:ascii="Arial" w:hAnsi="Arial" w:cs="Arial"/>
        </w:rPr>
      </w:pPr>
      <w:r w:rsidRPr="002413CF">
        <w:rPr>
          <w:rFonts w:ascii="Arial" w:hAnsi="Arial" w:cs="Arial"/>
        </w:rPr>
        <w:t xml:space="preserve">Doherty, B., Mason, C., &amp; Foster, G. (2009). </w:t>
      </w:r>
      <w:r w:rsidRPr="00875984">
        <w:rPr>
          <w:rFonts w:ascii="Arial" w:hAnsi="Arial" w:cs="Arial"/>
          <w:i/>
          <w:iCs/>
        </w:rPr>
        <w:t>Management for social enterprise</w:t>
      </w:r>
      <w:r w:rsidRPr="002413CF">
        <w:rPr>
          <w:rFonts w:ascii="Arial" w:hAnsi="Arial" w:cs="Arial"/>
        </w:rPr>
        <w:t>. London: SAGE Publications.</w:t>
      </w:r>
    </w:p>
    <w:p w14:paraId="029E27A3" w14:textId="77777777" w:rsidR="00875984" w:rsidRDefault="002413CF" w:rsidP="002413CF">
      <w:pPr>
        <w:spacing w:line="480" w:lineRule="auto"/>
        <w:rPr>
          <w:rFonts w:ascii="Arial" w:hAnsi="Arial" w:cs="Arial"/>
        </w:rPr>
      </w:pPr>
      <w:r w:rsidRPr="002413CF">
        <w:rPr>
          <w:rFonts w:ascii="Arial" w:hAnsi="Arial" w:cs="Arial"/>
        </w:rPr>
        <w:t xml:space="preserve">Hynes, B. (2009). Growing the social enterprise </w:t>
      </w:r>
      <w:r w:rsidR="00875984">
        <w:rPr>
          <w:rFonts w:ascii="Arial" w:hAnsi="Arial" w:cs="Arial"/>
        </w:rPr>
        <w:t>-</w:t>
      </w:r>
      <w:r w:rsidRPr="002413CF">
        <w:rPr>
          <w:rFonts w:ascii="Arial" w:hAnsi="Arial" w:cs="Arial"/>
        </w:rPr>
        <w:t xml:space="preserve"> issues and challenges. </w:t>
      </w:r>
      <w:r w:rsidRPr="00875984">
        <w:rPr>
          <w:rFonts w:ascii="Arial" w:hAnsi="Arial" w:cs="Arial"/>
          <w:i/>
          <w:iCs/>
        </w:rPr>
        <w:t>Social Enterprise Journal, 5</w:t>
      </w:r>
      <w:r w:rsidRPr="002413CF">
        <w:rPr>
          <w:rFonts w:ascii="Arial" w:hAnsi="Arial" w:cs="Arial"/>
        </w:rPr>
        <w:t>(2), 114–125.</w:t>
      </w:r>
    </w:p>
    <w:p w14:paraId="08D8208A" w14:textId="77777777" w:rsidR="00875984" w:rsidRDefault="002413CF" w:rsidP="002413CF">
      <w:pPr>
        <w:spacing w:line="480" w:lineRule="auto"/>
        <w:rPr>
          <w:rFonts w:ascii="Arial" w:hAnsi="Arial" w:cs="Arial"/>
        </w:rPr>
      </w:pPr>
      <w:r w:rsidRPr="002413CF">
        <w:rPr>
          <w:rFonts w:ascii="Arial" w:hAnsi="Arial" w:cs="Arial"/>
        </w:rPr>
        <w:t xml:space="preserve">Kot, L. (2025). Social enterprise financing models: Challenges and opportunities in Ukrainian realities. </w:t>
      </w:r>
      <w:r w:rsidRPr="00875984">
        <w:rPr>
          <w:rFonts w:ascii="Arial" w:hAnsi="Arial" w:cs="Arial"/>
          <w:i/>
          <w:iCs/>
        </w:rPr>
        <w:t>Baltic Journal of Economic Studies, 11</w:t>
      </w:r>
      <w:r w:rsidRPr="002413CF">
        <w:rPr>
          <w:rFonts w:ascii="Arial" w:hAnsi="Arial" w:cs="Arial"/>
        </w:rPr>
        <w:t>(4), 98–105.</w:t>
      </w:r>
    </w:p>
    <w:p w14:paraId="1C6A914D" w14:textId="77777777" w:rsidR="00875984" w:rsidRDefault="002413CF" w:rsidP="002413CF">
      <w:pPr>
        <w:spacing w:line="480" w:lineRule="auto"/>
        <w:rPr>
          <w:rFonts w:ascii="Arial" w:hAnsi="Arial" w:cs="Arial"/>
        </w:rPr>
      </w:pPr>
      <w:r w:rsidRPr="002413CF">
        <w:rPr>
          <w:rFonts w:ascii="Arial" w:hAnsi="Arial" w:cs="Arial"/>
        </w:rPr>
        <w:t xml:space="preserve">Mosher-Williams, R. (2018). </w:t>
      </w:r>
      <w:r w:rsidRPr="00875984">
        <w:rPr>
          <w:rFonts w:ascii="Arial" w:hAnsi="Arial" w:cs="Arial"/>
          <w:i/>
          <w:iCs/>
        </w:rPr>
        <w:t>The strength of social enterprise.</w:t>
      </w:r>
      <w:r w:rsidRPr="002413CF">
        <w:rPr>
          <w:rFonts w:ascii="Arial" w:hAnsi="Arial" w:cs="Arial"/>
        </w:rPr>
        <w:t xml:space="preserve"> Leading Innovation, 6–12.</w:t>
      </w:r>
    </w:p>
    <w:p w14:paraId="754453CE" w14:textId="77777777" w:rsidR="00875984" w:rsidRDefault="002413CF" w:rsidP="002413CF">
      <w:pPr>
        <w:spacing w:line="480" w:lineRule="auto"/>
        <w:rPr>
          <w:rFonts w:ascii="Arial" w:hAnsi="Arial" w:cs="Arial"/>
        </w:rPr>
      </w:pPr>
      <w:r w:rsidRPr="002413CF">
        <w:rPr>
          <w:rFonts w:ascii="Arial" w:hAnsi="Arial" w:cs="Arial"/>
        </w:rPr>
        <w:t xml:space="preserve">Nicholls, J. (2007). </w:t>
      </w:r>
      <w:r w:rsidRPr="00875984">
        <w:rPr>
          <w:rFonts w:ascii="Arial" w:hAnsi="Arial" w:cs="Arial"/>
          <w:i/>
          <w:iCs/>
        </w:rPr>
        <w:t>Why measuring and communicating social value can help social enterprise become more competitive</w:t>
      </w:r>
      <w:r w:rsidRPr="002413CF">
        <w:rPr>
          <w:rFonts w:ascii="Arial" w:hAnsi="Arial" w:cs="Arial"/>
        </w:rPr>
        <w:t>. London: Cabinet Office.</w:t>
      </w:r>
    </w:p>
    <w:p w14:paraId="2A5469BF" w14:textId="77777777" w:rsidR="00875984" w:rsidRDefault="002413CF" w:rsidP="002413CF">
      <w:pPr>
        <w:spacing w:line="480" w:lineRule="auto"/>
        <w:rPr>
          <w:rFonts w:ascii="Arial" w:hAnsi="Arial" w:cs="Arial"/>
        </w:rPr>
      </w:pPr>
      <w:r w:rsidRPr="002413CF">
        <w:rPr>
          <w:rFonts w:ascii="Arial" w:hAnsi="Arial" w:cs="Arial"/>
        </w:rPr>
        <w:t xml:space="preserve">Sherman, D. A. (2006). </w:t>
      </w:r>
      <w:r w:rsidRPr="00875984">
        <w:rPr>
          <w:rFonts w:ascii="Arial" w:hAnsi="Arial" w:cs="Arial"/>
          <w:i/>
          <w:iCs/>
        </w:rPr>
        <w:t>Social entrepreneurship: Pattern-changing entrepreneurs and the scaling of social impact.</w:t>
      </w:r>
      <w:r w:rsidRPr="002413CF">
        <w:rPr>
          <w:rFonts w:ascii="Arial" w:hAnsi="Arial" w:cs="Arial"/>
        </w:rPr>
        <w:t xml:space="preserve"> Case Western Reserve University Working Paper.</w:t>
      </w:r>
    </w:p>
    <w:p w14:paraId="7B368D9A" w14:textId="6B6F5D1F" w:rsidR="002413CF" w:rsidRDefault="002413CF" w:rsidP="002413CF">
      <w:pPr>
        <w:spacing w:line="480" w:lineRule="auto"/>
        <w:rPr>
          <w:rFonts w:ascii="Arial" w:hAnsi="Arial" w:cs="Arial"/>
        </w:rPr>
      </w:pPr>
      <w:proofErr w:type="spellStart"/>
      <w:r w:rsidRPr="002413CF">
        <w:rPr>
          <w:rFonts w:ascii="Arial" w:hAnsi="Arial" w:cs="Arial"/>
        </w:rPr>
        <w:t>Tykkyl</w:t>
      </w:r>
      <w:r>
        <w:rPr>
          <w:rFonts w:ascii="Arial" w:hAnsi="Arial" w:cs="Arial"/>
        </w:rPr>
        <w:t>a</w:t>
      </w:r>
      <w:r w:rsidRPr="002413CF">
        <w:rPr>
          <w:rFonts w:ascii="Arial" w:hAnsi="Arial" w:cs="Arial"/>
        </w:rPr>
        <w:t>inen</w:t>
      </w:r>
      <w:proofErr w:type="spellEnd"/>
      <w:r w:rsidRPr="002413CF">
        <w:rPr>
          <w:rFonts w:ascii="Arial" w:hAnsi="Arial" w:cs="Arial"/>
        </w:rPr>
        <w:t xml:space="preserve">, S. (2019). Why social enterprises pursue growth? Analysis of threats and opportunities. </w:t>
      </w:r>
      <w:r w:rsidRPr="00875984">
        <w:rPr>
          <w:rFonts w:ascii="Arial" w:hAnsi="Arial" w:cs="Arial"/>
          <w:i/>
          <w:iCs/>
        </w:rPr>
        <w:t>Social Enterprise Journal, 15</w:t>
      </w:r>
      <w:r w:rsidRPr="002413CF">
        <w:rPr>
          <w:rFonts w:ascii="Arial" w:hAnsi="Arial" w:cs="Arial"/>
        </w:rPr>
        <w:t>(3), 376–396.</w:t>
      </w:r>
    </w:p>
    <w:p w14:paraId="69100FC1" w14:textId="6B596C03" w:rsidR="002413CF" w:rsidRDefault="002413CF" w:rsidP="002413CF">
      <w:pPr>
        <w:spacing w:line="480" w:lineRule="auto"/>
        <w:rPr>
          <w:rFonts w:ascii="Arial" w:hAnsi="Arial" w:cs="Arial"/>
        </w:rPr>
      </w:pPr>
      <w:hyperlink r:id="rId7" w:history="1">
        <w:r w:rsidRPr="00D116EE">
          <w:rPr>
            <w:rStyle w:val="Hyperlink"/>
            <w:rFonts w:ascii="Arial" w:hAnsi="Arial" w:cs="Arial"/>
          </w:rPr>
          <w:t>https://millercenterglobal.org/common-challenges-faced-by-social-enterprises-and-strategies-for-success/</w:t>
        </w:r>
      </w:hyperlink>
      <w:r>
        <w:rPr>
          <w:rFonts w:ascii="Arial" w:hAnsi="Arial" w:cs="Arial"/>
        </w:rPr>
        <w:t xml:space="preserve"> </w:t>
      </w:r>
    </w:p>
    <w:p w14:paraId="3363347C" w14:textId="67A1A84B" w:rsidR="002413CF" w:rsidRDefault="002413CF" w:rsidP="002413CF">
      <w:pPr>
        <w:spacing w:line="480" w:lineRule="auto"/>
        <w:rPr>
          <w:rFonts w:ascii="Arial" w:hAnsi="Arial" w:cs="Arial"/>
        </w:rPr>
      </w:pPr>
      <w:hyperlink r:id="rId8" w:history="1">
        <w:r w:rsidRPr="00D116EE">
          <w:rPr>
            <w:rStyle w:val="Hyperlink"/>
            <w:rFonts w:ascii="Arial" w:hAnsi="Arial" w:cs="Arial"/>
          </w:rPr>
          <w:t>https://www.s3solutions.co.uk/post/social-enterprise-advantages-and-disadvantages</w:t>
        </w:r>
      </w:hyperlink>
      <w:r>
        <w:rPr>
          <w:rFonts w:ascii="Arial" w:hAnsi="Arial" w:cs="Arial"/>
        </w:rPr>
        <w:t xml:space="preserve"> </w:t>
      </w:r>
    </w:p>
    <w:p w14:paraId="5E28F937" w14:textId="54F81E2A" w:rsidR="002413CF" w:rsidRDefault="002413CF" w:rsidP="002413CF">
      <w:pPr>
        <w:spacing w:line="480" w:lineRule="auto"/>
        <w:rPr>
          <w:rFonts w:ascii="Arial" w:hAnsi="Arial" w:cs="Arial"/>
        </w:rPr>
      </w:pPr>
      <w:hyperlink r:id="rId9" w:history="1">
        <w:r w:rsidRPr="00D116EE">
          <w:rPr>
            <w:rStyle w:val="Hyperlink"/>
            <w:rFonts w:ascii="Arial" w:hAnsi="Arial" w:cs="Arial"/>
          </w:rPr>
          <w:t>https://odi.org/en/about/our-work/innovation-social-enterprise-challenges-and-opportunities/</w:t>
        </w:r>
      </w:hyperlink>
      <w:r>
        <w:rPr>
          <w:rFonts w:ascii="Arial" w:hAnsi="Arial" w:cs="Arial"/>
        </w:rPr>
        <w:t xml:space="preserve"> </w:t>
      </w:r>
    </w:p>
    <w:p w14:paraId="382F79BA" w14:textId="6AD28569" w:rsidR="00875984" w:rsidRPr="00E710BB" w:rsidRDefault="00875984" w:rsidP="002413CF">
      <w:pPr>
        <w:spacing w:line="480" w:lineRule="auto"/>
        <w:rPr>
          <w:rFonts w:ascii="Arial" w:hAnsi="Arial" w:cs="Arial"/>
        </w:rPr>
      </w:pPr>
      <w:hyperlink r:id="rId10" w:history="1">
        <w:r w:rsidRPr="00D116EE">
          <w:rPr>
            <w:rStyle w:val="Hyperlink"/>
            <w:rFonts w:ascii="Arial" w:hAnsi="Arial" w:cs="Arial"/>
          </w:rPr>
          <w:t>https://virtusinterpress.org/IMG/pdf/cbsrv6i1siart11.pdf</w:t>
        </w:r>
      </w:hyperlink>
      <w:r>
        <w:rPr>
          <w:rFonts w:ascii="Arial" w:hAnsi="Arial" w:cs="Arial"/>
        </w:rPr>
        <w:t xml:space="preserve"> </w:t>
      </w:r>
    </w:p>
    <w:sectPr w:rsidR="00875984" w:rsidRPr="00E710BB" w:rsidSect="00875984">
      <w:footerReference w:type="default" r:id="rId1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05314F" w14:textId="77777777" w:rsidR="00523568" w:rsidRDefault="00523568" w:rsidP="00875984">
      <w:pPr>
        <w:spacing w:after="0" w:line="240" w:lineRule="auto"/>
      </w:pPr>
      <w:r>
        <w:separator/>
      </w:r>
    </w:p>
  </w:endnote>
  <w:endnote w:type="continuationSeparator" w:id="0">
    <w:p w14:paraId="66DF06CE" w14:textId="77777777" w:rsidR="00523568" w:rsidRDefault="00523568" w:rsidP="008759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87852723"/>
      <w:docPartObj>
        <w:docPartGallery w:val="Page Numbers (Bottom of Page)"/>
        <w:docPartUnique/>
      </w:docPartObj>
    </w:sdtPr>
    <w:sdtEndPr>
      <w:rPr>
        <w:noProof/>
      </w:rPr>
    </w:sdtEndPr>
    <w:sdtContent>
      <w:p w14:paraId="3F4D950C" w14:textId="426B9BE6" w:rsidR="00875984" w:rsidRDefault="0087598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8305D40" w14:textId="77777777" w:rsidR="00875984" w:rsidRDefault="008759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676072" w14:textId="77777777" w:rsidR="00523568" w:rsidRDefault="00523568" w:rsidP="00875984">
      <w:pPr>
        <w:spacing w:after="0" w:line="240" w:lineRule="auto"/>
      </w:pPr>
      <w:r>
        <w:separator/>
      </w:r>
    </w:p>
  </w:footnote>
  <w:footnote w:type="continuationSeparator" w:id="0">
    <w:p w14:paraId="12E87FE7" w14:textId="77777777" w:rsidR="00523568" w:rsidRDefault="00523568" w:rsidP="0087598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10BB"/>
    <w:rsid w:val="002413CF"/>
    <w:rsid w:val="00516855"/>
    <w:rsid w:val="00523568"/>
    <w:rsid w:val="00875984"/>
    <w:rsid w:val="00B40BE5"/>
    <w:rsid w:val="00E710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404EFB"/>
  <w15:chartTrackingRefBased/>
  <w15:docId w15:val="{BF55CFA2-E641-4A8D-87E5-A9C284A7BF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710B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710B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710B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710B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710B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710B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710B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710B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710B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710B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710B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710B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710B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710B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710B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710B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710B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710BB"/>
    <w:rPr>
      <w:rFonts w:eastAsiaTheme="majorEastAsia" w:cstheme="majorBidi"/>
      <w:color w:val="272727" w:themeColor="text1" w:themeTint="D8"/>
    </w:rPr>
  </w:style>
  <w:style w:type="paragraph" w:styleId="Title">
    <w:name w:val="Title"/>
    <w:basedOn w:val="Normal"/>
    <w:next w:val="Normal"/>
    <w:link w:val="TitleChar"/>
    <w:uiPriority w:val="10"/>
    <w:qFormat/>
    <w:rsid w:val="00E710B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710B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710B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710B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710BB"/>
    <w:pPr>
      <w:spacing w:before="160"/>
      <w:jc w:val="center"/>
    </w:pPr>
    <w:rPr>
      <w:i/>
      <w:iCs/>
      <w:color w:val="404040" w:themeColor="text1" w:themeTint="BF"/>
    </w:rPr>
  </w:style>
  <w:style w:type="character" w:customStyle="1" w:styleId="QuoteChar">
    <w:name w:val="Quote Char"/>
    <w:basedOn w:val="DefaultParagraphFont"/>
    <w:link w:val="Quote"/>
    <w:uiPriority w:val="29"/>
    <w:rsid w:val="00E710BB"/>
    <w:rPr>
      <w:i/>
      <w:iCs/>
      <w:color w:val="404040" w:themeColor="text1" w:themeTint="BF"/>
    </w:rPr>
  </w:style>
  <w:style w:type="paragraph" w:styleId="ListParagraph">
    <w:name w:val="List Paragraph"/>
    <w:basedOn w:val="Normal"/>
    <w:uiPriority w:val="34"/>
    <w:qFormat/>
    <w:rsid w:val="00E710BB"/>
    <w:pPr>
      <w:ind w:left="720"/>
      <w:contextualSpacing/>
    </w:pPr>
  </w:style>
  <w:style w:type="character" w:styleId="IntenseEmphasis">
    <w:name w:val="Intense Emphasis"/>
    <w:basedOn w:val="DefaultParagraphFont"/>
    <w:uiPriority w:val="21"/>
    <w:qFormat/>
    <w:rsid w:val="00E710BB"/>
    <w:rPr>
      <w:i/>
      <w:iCs/>
      <w:color w:val="0F4761" w:themeColor="accent1" w:themeShade="BF"/>
    </w:rPr>
  </w:style>
  <w:style w:type="paragraph" w:styleId="IntenseQuote">
    <w:name w:val="Intense Quote"/>
    <w:basedOn w:val="Normal"/>
    <w:next w:val="Normal"/>
    <w:link w:val="IntenseQuoteChar"/>
    <w:uiPriority w:val="30"/>
    <w:qFormat/>
    <w:rsid w:val="00E710B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710BB"/>
    <w:rPr>
      <w:i/>
      <w:iCs/>
      <w:color w:val="0F4761" w:themeColor="accent1" w:themeShade="BF"/>
    </w:rPr>
  </w:style>
  <w:style w:type="character" w:styleId="IntenseReference">
    <w:name w:val="Intense Reference"/>
    <w:basedOn w:val="DefaultParagraphFont"/>
    <w:uiPriority w:val="32"/>
    <w:qFormat/>
    <w:rsid w:val="00E710BB"/>
    <w:rPr>
      <w:b/>
      <w:bCs/>
      <w:smallCaps/>
      <w:color w:val="0F4761" w:themeColor="accent1" w:themeShade="BF"/>
      <w:spacing w:val="5"/>
    </w:rPr>
  </w:style>
  <w:style w:type="character" w:styleId="Hyperlink">
    <w:name w:val="Hyperlink"/>
    <w:basedOn w:val="DefaultParagraphFont"/>
    <w:uiPriority w:val="99"/>
    <w:unhideWhenUsed/>
    <w:rsid w:val="002413CF"/>
    <w:rPr>
      <w:color w:val="467886" w:themeColor="hyperlink"/>
      <w:u w:val="single"/>
    </w:rPr>
  </w:style>
  <w:style w:type="character" w:styleId="UnresolvedMention">
    <w:name w:val="Unresolved Mention"/>
    <w:basedOn w:val="DefaultParagraphFont"/>
    <w:uiPriority w:val="99"/>
    <w:semiHidden/>
    <w:unhideWhenUsed/>
    <w:rsid w:val="002413CF"/>
    <w:rPr>
      <w:color w:val="605E5C"/>
      <w:shd w:val="clear" w:color="auto" w:fill="E1DFDD"/>
    </w:rPr>
  </w:style>
  <w:style w:type="paragraph" w:styleId="Header">
    <w:name w:val="header"/>
    <w:basedOn w:val="Normal"/>
    <w:link w:val="HeaderChar"/>
    <w:uiPriority w:val="99"/>
    <w:unhideWhenUsed/>
    <w:rsid w:val="008759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875984"/>
  </w:style>
  <w:style w:type="paragraph" w:styleId="Footer">
    <w:name w:val="footer"/>
    <w:basedOn w:val="Normal"/>
    <w:link w:val="FooterChar"/>
    <w:uiPriority w:val="99"/>
    <w:unhideWhenUsed/>
    <w:rsid w:val="008759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875984"/>
  </w:style>
  <w:style w:type="paragraph" w:styleId="NoSpacing">
    <w:name w:val="No Spacing"/>
    <w:link w:val="NoSpacingChar"/>
    <w:uiPriority w:val="1"/>
    <w:qFormat/>
    <w:rsid w:val="00875984"/>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875984"/>
    <w:rPr>
      <w:rFonts w:eastAsiaTheme="minorEastAsia"/>
      <w:kern w:val="0"/>
      <w:sz w:val="22"/>
      <w:szCs w:val="2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3solutions.co.uk/post/social-enterprise-advantages-and-disadvantages"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millercenterglobal.org/common-challenges-faced-by-social-enterprises-and-strategies-for-success/"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virtusinterpress.org/IMG/pdf/cbsrv6i1siart11.pdf" TargetMode="External"/><Relationship Id="rId4" Type="http://schemas.openxmlformats.org/officeDocument/2006/relationships/webSettings" Target="webSettings.xml"/><Relationship Id="rId9" Type="http://schemas.openxmlformats.org/officeDocument/2006/relationships/hyperlink" Target="https://odi.org/en/about/our-work/innovation-social-enterprise-challenges-and-opportuniti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2025-10-31T00:00:00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9</Pages>
  <Words>1799</Words>
  <Characters>10255</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Opportunities and Threats to Social Enterprise</dc:title>
  <dc:subject/>
  <cp:keywords/>
  <dc:description/>
  <dcterms:created xsi:type="dcterms:W3CDTF">2025-10-28T17:42:00Z</dcterms:created>
  <dcterms:modified xsi:type="dcterms:W3CDTF">2025-10-28T18:19:00Z</dcterms:modified>
</cp:coreProperties>
</file>