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D0B3627" w14:textId="22294A64" w:rsidR="00AC0870" w:rsidRPr="00AC0870" w:rsidRDefault="00144EC1" w:rsidP="00AC0870">
      <w:pPr>
        <w:pStyle w:val="Title"/>
        <w:rPr>
          <w:sz w:val="28"/>
          <w:szCs w:val="28"/>
        </w:rPr>
      </w:pPr>
      <w:r w:rsidRPr="00144EC1">
        <w:rPr>
          <w:i/>
          <w:iCs/>
          <w:sz w:val="28"/>
          <w:szCs w:val="28"/>
        </w:rPr>
        <w:t>‘But girls can’t play’</w:t>
      </w:r>
      <w:r w:rsidRPr="00144EC1">
        <w:rPr>
          <w:sz w:val="28"/>
          <w:szCs w:val="28"/>
        </w:rPr>
        <w:t>: A detailed report covering the performativity of gender and response to gender within the world of gaming.</w:t>
      </w:r>
    </w:p>
    <w:p w14:paraId="160D0AE1" w14:textId="77777777" w:rsidR="00AC0870" w:rsidRDefault="00AC0870" w:rsidP="00AC0870">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0D67154F" w14:textId="12802444" w:rsidR="00AC0870" w:rsidRPr="00EB5A94" w:rsidRDefault="00AC0870" w:rsidP="00AC0870">
      <w:pPr>
        <w:pStyle w:val="paragraph"/>
        <w:spacing w:before="0" w:beforeAutospacing="0" w:after="0" w:afterAutospacing="0"/>
        <w:textAlignment w:val="baseline"/>
        <w:rPr>
          <w:rStyle w:val="eop"/>
          <w:rFonts w:asciiTheme="minorHAnsi" w:hAnsiTheme="minorHAnsi" w:cstheme="minorHAnsi"/>
          <w:sz w:val="22"/>
          <w:szCs w:val="22"/>
        </w:rPr>
      </w:pPr>
      <w:r w:rsidRPr="00EB5A94">
        <w:rPr>
          <w:rStyle w:val="normaltextrun"/>
          <w:rFonts w:asciiTheme="minorHAnsi" w:eastAsiaTheme="majorEastAsia" w:hAnsiTheme="minorHAnsi" w:cstheme="minorHAnsi"/>
          <w:sz w:val="22"/>
          <w:szCs w:val="22"/>
        </w:rPr>
        <w:t>Within this report, I endeavour to discover ideas and inequalities of gender contained within gaming and how it is performed within the context of this virtual environment.  I carried out my enquires over a period of a few weeks using a game called ‘Overwatch’ as my research field, while also adopting the framework of my experience as an insider to the community, to aid my progress.</w:t>
      </w:r>
      <w:r w:rsidRPr="00EB5A94">
        <w:rPr>
          <w:rStyle w:val="eop"/>
          <w:rFonts w:asciiTheme="minorHAnsi" w:hAnsiTheme="minorHAnsi" w:cstheme="minorHAnsi"/>
          <w:sz w:val="22"/>
          <w:szCs w:val="22"/>
        </w:rPr>
        <w:t> </w:t>
      </w:r>
    </w:p>
    <w:p w14:paraId="77D31E11" w14:textId="77777777" w:rsidR="00EB5A94" w:rsidRPr="00EB5A94" w:rsidRDefault="00EB5A94" w:rsidP="00AC0870">
      <w:pPr>
        <w:pStyle w:val="paragraph"/>
        <w:spacing w:before="0" w:beforeAutospacing="0" w:after="0" w:afterAutospacing="0"/>
        <w:textAlignment w:val="baseline"/>
        <w:rPr>
          <w:rFonts w:asciiTheme="minorHAnsi" w:hAnsiTheme="minorHAnsi" w:cstheme="minorHAnsi"/>
          <w:sz w:val="22"/>
          <w:szCs w:val="22"/>
        </w:rPr>
      </w:pPr>
    </w:p>
    <w:p w14:paraId="6DA60B51" w14:textId="4001C0D0" w:rsidR="00AC0870" w:rsidRPr="008E0A1A" w:rsidRDefault="00AC0870" w:rsidP="00AC0870">
      <w:pPr>
        <w:pStyle w:val="paragraph"/>
        <w:spacing w:before="0" w:beforeAutospacing="0" w:after="0" w:afterAutospacing="0"/>
        <w:textAlignment w:val="baseline"/>
        <w:rPr>
          <w:rStyle w:val="eop"/>
          <w:rFonts w:asciiTheme="minorHAnsi" w:eastAsiaTheme="majorEastAsia" w:hAnsiTheme="minorHAnsi" w:cstheme="minorHAnsi"/>
          <w:sz w:val="22"/>
          <w:szCs w:val="22"/>
        </w:rPr>
      </w:pPr>
      <w:r w:rsidRPr="00EB5A94">
        <w:rPr>
          <w:rStyle w:val="normaltextrun"/>
          <w:rFonts w:asciiTheme="minorHAnsi" w:eastAsiaTheme="majorEastAsia" w:hAnsiTheme="minorHAnsi" w:cstheme="minorHAnsi"/>
          <w:sz w:val="22"/>
          <w:szCs w:val="22"/>
        </w:rPr>
        <w:t>I believed that the divide between male and female players was still quite large due to my own experience and personal bias, but t</w:t>
      </w:r>
      <w:r w:rsidR="008E0A1A">
        <w:rPr>
          <w:rStyle w:val="normaltextrun"/>
          <w:rFonts w:asciiTheme="minorHAnsi" w:eastAsiaTheme="majorEastAsia" w:hAnsiTheme="minorHAnsi" w:cstheme="minorHAnsi"/>
          <w:sz w:val="22"/>
          <w:szCs w:val="22"/>
        </w:rPr>
        <w:t xml:space="preserve">he gender ratio has become </w:t>
      </w:r>
      <w:r w:rsidRPr="00EB5A94">
        <w:rPr>
          <w:rStyle w:val="normaltextrun"/>
          <w:rFonts w:asciiTheme="minorHAnsi" w:eastAsiaTheme="majorEastAsia" w:hAnsiTheme="minorHAnsi" w:cstheme="minorHAnsi"/>
          <w:sz w:val="22"/>
          <w:szCs w:val="22"/>
        </w:rPr>
        <w:t>more equal, at a casual level of gaming at least. When looking at the gender divide in the gam</w:t>
      </w:r>
      <w:r w:rsidR="008E0A1A">
        <w:rPr>
          <w:rStyle w:val="normaltextrun"/>
          <w:rFonts w:asciiTheme="minorHAnsi" w:eastAsiaTheme="majorEastAsia" w:hAnsiTheme="minorHAnsi" w:cstheme="minorHAnsi"/>
          <w:sz w:val="22"/>
          <w:szCs w:val="22"/>
        </w:rPr>
        <w:t>ing development industry or considering professional gamers for example</w:t>
      </w:r>
      <w:r w:rsidRPr="00EB5A94">
        <w:rPr>
          <w:rStyle w:val="normaltextrun"/>
          <w:rFonts w:asciiTheme="minorHAnsi" w:eastAsiaTheme="majorEastAsia" w:hAnsiTheme="minorHAnsi" w:cstheme="minorHAnsi"/>
          <w:sz w:val="22"/>
          <w:szCs w:val="22"/>
        </w:rPr>
        <w:t>, it is still quite unequal. It is clear from my own experience that what desperately needs to be tackled is the general sexism, rampant abuse and sexual harassment, as well as inaccurate representation and underrepresentation of women characters.</w:t>
      </w:r>
      <w:r w:rsidRPr="00EB5A94">
        <w:rPr>
          <w:rStyle w:val="eop"/>
          <w:rFonts w:asciiTheme="minorHAnsi" w:hAnsiTheme="minorHAnsi" w:cstheme="minorHAnsi"/>
          <w:sz w:val="22"/>
          <w:szCs w:val="22"/>
        </w:rPr>
        <w:t> </w:t>
      </w:r>
    </w:p>
    <w:p w14:paraId="1E35AB82" w14:textId="77777777" w:rsidR="00AC0870" w:rsidRPr="00EB5A94" w:rsidRDefault="00AC0870" w:rsidP="00AC0870">
      <w:pPr>
        <w:pStyle w:val="paragraph"/>
        <w:spacing w:before="0" w:beforeAutospacing="0" w:after="0" w:afterAutospacing="0"/>
        <w:textAlignment w:val="baseline"/>
        <w:rPr>
          <w:rFonts w:asciiTheme="minorHAnsi" w:eastAsiaTheme="majorEastAsia" w:hAnsiTheme="minorHAnsi" w:cstheme="minorHAnsi"/>
          <w:sz w:val="22"/>
          <w:szCs w:val="22"/>
        </w:rPr>
      </w:pPr>
    </w:p>
    <w:p w14:paraId="540060DA" w14:textId="39C154E6" w:rsidR="00CE4108" w:rsidRPr="00EB5A94" w:rsidRDefault="00CE4108" w:rsidP="00160115">
      <w:pPr>
        <w:rPr>
          <w:rFonts w:cstheme="minorHAnsi"/>
          <w:i/>
          <w:iCs/>
        </w:rPr>
      </w:pPr>
      <w:r w:rsidRPr="00EB5A94">
        <w:rPr>
          <w:rFonts w:cstheme="minorHAnsi"/>
          <w:i/>
          <w:iCs/>
        </w:rPr>
        <w:t>Research questions</w:t>
      </w:r>
    </w:p>
    <w:p w14:paraId="636055A7" w14:textId="35AC47DF" w:rsidR="00AC0870" w:rsidRPr="00EB5A94" w:rsidRDefault="00AC0870" w:rsidP="00AC0870">
      <w:pPr>
        <w:pStyle w:val="paragraph"/>
        <w:spacing w:before="0" w:beforeAutospacing="0" w:after="0" w:afterAutospacing="0"/>
        <w:textAlignment w:val="baseline"/>
        <w:rPr>
          <w:rStyle w:val="eop"/>
          <w:rFonts w:asciiTheme="minorHAnsi" w:hAnsiTheme="minorHAnsi" w:cstheme="minorHAnsi"/>
          <w:sz w:val="22"/>
          <w:szCs w:val="22"/>
        </w:rPr>
      </w:pPr>
      <w:r w:rsidRPr="00EB5A94">
        <w:rPr>
          <w:rStyle w:val="normaltextrun"/>
          <w:rFonts w:asciiTheme="minorHAnsi" w:eastAsiaTheme="majorEastAsia" w:hAnsiTheme="minorHAnsi" w:cstheme="minorHAnsi"/>
          <w:sz w:val="22"/>
          <w:szCs w:val="22"/>
        </w:rPr>
        <w:t xml:space="preserve">While originally my research was centred around the divide in gender and participation in gaming, and why this </w:t>
      </w:r>
      <w:r w:rsidRPr="005C0D40">
        <w:rPr>
          <w:rStyle w:val="normaltextrun"/>
          <w:rFonts w:asciiTheme="minorHAnsi" w:eastAsiaTheme="majorEastAsia" w:hAnsiTheme="minorHAnsi" w:cstheme="minorHAnsi"/>
          <w:sz w:val="22"/>
          <w:szCs w:val="22"/>
        </w:rPr>
        <w:t xml:space="preserve">ratio </w:t>
      </w:r>
      <w:r w:rsidR="005C0D40">
        <w:rPr>
          <w:rStyle w:val="normaltextrun"/>
          <w:rFonts w:asciiTheme="minorHAnsi" w:eastAsiaTheme="majorEastAsia" w:hAnsiTheme="minorHAnsi" w:cstheme="minorHAnsi"/>
          <w:sz w:val="22"/>
          <w:szCs w:val="22"/>
        </w:rPr>
        <w:t>was created, I</w:t>
      </w:r>
      <w:r w:rsidRPr="005C0D40">
        <w:rPr>
          <w:rStyle w:val="normaltextrun"/>
          <w:rFonts w:asciiTheme="minorHAnsi" w:eastAsiaTheme="majorEastAsia" w:hAnsiTheme="minorHAnsi" w:cstheme="minorHAnsi"/>
          <w:sz w:val="22"/>
          <w:szCs w:val="22"/>
        </w:rPr>
        <w:t> quickly realised</w:t>
      </w:r>
      <w:r w:rsidRPr="00EB5A94">
        <w:rPr>
          <w:rStyle w:val="normaltextrun"/>
          <w:rFonts w:asciiTheme="minorHAnsi" w:eastAsiaTheme="majorEastAsia" w:hAnsiTheme="minorHAnsi" w:cstheme="minorHAnsi"/>
          <w:sz w:val="22"/>
          <w:szCs w:val="22"/>
        </w:rPr>
        <w:t xml:space="preserve"> that this statement is no longer accurate. I instead turned to the question of why women still felt invisible and unwelcome despite making up half of the community.</w:t>
      </w:r>
      <w:r w:rsidRPr="00EB5A94">
        <w:rPr>
          <w:rStyle w:val="eop"/>
          <w:rFonts w:asciiTheme="minorHAnsi" w:hAnsiTheme="minorHAnsi" w:cstheme="minorHAnsi"/>
          <w:sz w:val="22"/>
          <w:szCs w:val="22"/>
        </w:rPr>
        <w:t> </w:t>
      </w:r>
    </w:p>
    <w:p w14:paraId="1F61123B" w14:textId="77777777" w:rsidR="00AC0870" w:rsidRPr="00EB5A94" w:rsidRDefault="00AC0870" w:rsidP="00AC0870">
      <w:pPr>
        <w:pStyle w:val="paragraph"/>
        <w:spacing w:before="0" w:beforeAutospacing="0" w:after="0" w:afterAutospacing="0"/>
        <w:textAlignment w:val="baseline"/>
        <w:rPr>
          <w:rFonts w:asciiTheme="minorHAnsi" w:eastAsiaTheme="majorEastAsia" w:hAnsiTheme="minorHAnsi" w:cstheme="minorHAnsi"/>
          <w:sz w:val="22"/>
          <w:szCs w:val="22"/>
        </w:rPr>
      </w:pPr>
    </w:p>
    <w:p w14:paraId="09D08502" w14:textId="77777777" w:rsidR="00AF2EDD" w:rsidRPr="00EB5A94" w:rsidRDefault="00CE4108" w:rsidP="00AF2EDD">
      <w:pPr>
        <w:rPr>
          <w:rFonts w:cstheme="minorHAnsi"/>
          <w:i/>
          <w:iCs/>
        </w:rPr>
      </w:pPr>
      <w:r w:rsidRPr="00EB5A94">
        <w:rPr>
          <w:rFonts w:cstheme="minorHAnsi"/>
          <w:i/>
          <w:iCs/>
        </w:rPr>
        <w:t xml:space="preserve">Aims </w:t>
      </w:r>
    </w:p>
    <w:p w14:paraId="41AE19A0" w14:textId="0EE888B0" w:rsidR="00AF2EDD" w:rsidRPr="00EB5A94" w:rsidRDefault="00AF2EDD" w:rsidP="00AF2EDD">
      <w:pPr>
        <w:rPr>
          <w:rStyle w:val="eop"/>
          <w:rFonts w:cstheme="minorHAnsi"/>
          <w:i/>
          <w:iCs/>
        </w:rPr>
      </w:pPr>
      <w:r w:rsidRPr="00EB5A94">
        <w:rPr>
          <w:rStyle w:val="normaltextrun"/>
          <w:rFonts w:cstheme="minorHAnsi"/>
        </w:rPr>
        <w:t>My aim is to unveil the true inequalities that lie within gaming as a community and how this affects the people within it, primarily focusing on women and how they are treated thanks to the performativity of gender. </w:t>
      </w:r>
      <w:r w:rsidRPr="00EB5A94">
        <w:rPr>
          <w:rStyle w:val="eop"/>
          <w:rFonts w:cstheme="minorHAnsi"/>
        </w:rPr>
        <w:t> </w:t>
      </w:r>
    </w:p>
    <w:p w14:paraId="58A83A8B" w14:textId="77777777" w:rsidR="00AF2EDD" w:rsidRPr="00EB5A94" w:rsidRDefault="00AF2EDD" w:rsidP="00AF2EDD">
      <w:pPr>
        <w:pStyle w:val="paragraph"/>
        <w:spacing w:before="0" w:beforeAutospacing="0" w:after="0" w:afterAutospacing="0"/>
        <w:textAlignment w:val="baseline"/>
        <w:rPr>
          <w:rFonts w:asciiTheme="minorHAnsi" w:eastAsiaTheme="majorEastAsia" w:hAnsiTheme="minorHAnsi" w:cstheme="minorHAnsi"/>
          <w:sz w:val="22"/>
          <w:szCs w:val="22"/>
        </w:rPr>
      </w:pPr>
    </w:p>
    <w:p w14:paraId="7134198D" w14:textId="331181D2" w:rsidR="004C7CA2" w:rsidRPr="00EB5A94" w:rsidRDefault="00CE4108" w:rsidP="00CE4108">
      <w:pPr>
        <w:rPr>
          <w:rFonts w:cstheme="minorHAnsi"/>
          <w:i/>
          <w:iCs/>
        </w:rPr>
      </w:pPr>
      <w:r w:rsidRPr="00CE7609">
        <w:rPr>
          <w:rFonts w:cstheme="minorHAnsi"/>
          <w:i/>
          <w:iCs/>
        </w:rPr>
        <w:t>Literature Review</w:t>
      </w:r>
    </w:p>
    <w:p w14:paraId="25EDB38B" w14:textId="291EC61D" w:rsidR="00C978E5" w:rsidRDefault="00C978E5" w:rsidP="00EB5A94">
      <w:pPr>
        <w:spacing w:after="0" w:line="240" w:lineRule="auto"/>
        <w:textAlignment w:val="baseline"/>
        <w:rPr>
          <w:rStyle w:val="eop"/>
          <w:rFonts w:cstheme="minorHAnsi"/>
        </w:rPr>
      </w:pPr>
      <w:r w:rsidRPr="00EB5A94">
        <w:rPr>
          <w:rStyle w:val="normaltextrun"/>
          <w:rFonts w:cstheme="minorHAnsi"/>
        </w:rPr>
        <w:t xml:space="preserve">Much has been written about the inequality of gender within gaming and the ingrained attitudes of many players that oft lead to abuse of female players. However, I struggled to find literature about female players becoming divided and pitted against each other due to toxic </w:t>
      </w:r>
      <w:r w:rsidR="009E2395">
        <w:rPr>
          <w:rStyle w:val="normaltextrun"/>
          <w:rFonts w:cstheme="minorHAnsi"/>
        </w:rPr>
        <w:t xml:space="preserve">community-wide </w:t>
      </w:r>
      <w:r w:rsidRPr="00EB5A94">
        <w:rPr>
          <w:rStyle w:val="normaltextrun"/>
          <w:rFonts w:cstheme="minorHAnsi"/>
        </w:rPr>
        <w:t>ideals, I can only vouch for this through my own experience. Alternatively, on my search I did learn about</w:t>
      </w:r>
      <w:r w:rsidR="00EB5A94">
        <w:rPr>
          <w:rStyle w:val="normaltextrun"/>
          <w:rFonts w:cstheme="minorHAnsi"/>
        </w:rPr>
        <w:t xml:space="preserve"> </w:t>
      </w:r>
      <w:r w:rsidR="00EB5A94" w:rsidRPr="00924838">
        <w:rPr>
          <w:rStyle w:val="normaltextrun"/>
          <w:rFonts w:cstheme="minorHAnsi"/>
          <w:i/>
          <w:iCs/>
        </w:rPr>
        <w:t>‘hegemony of play’</w:t>
      </w:r>
      <w:r w:rsidR="00EB5A94">
        <w:rPr>
          <w:rStyle w:val="normaltextrun"/>
          <w:rFonts w:cstheme="minorHAnsi"/>
        </w:rPr>
        <w:t xml:space="preserve"> (</w:t>
      </w:r>
      <w:r w:rsidR="00EB5A94" w:rsidRPr="00EB5A94">
        <w:rPr>
          <w:rFonts w:eastAsia="Times New Roman" w:cstheme="minorHAnsi"/>
          <w:color w:val="000000"/>
          <w:shd w:val="clear" w:color="auto" w:fill="FFFFFF"/>
          <w:lang w:eastAsia="en-GB"/>
        </w:rPr>
        <w:t>Jenson and de Castell, 2010)</w:t>
      </w:r>
      <w:r w:rsidR="00EB5A94">
        <w:rPr>
          <w:rFonts w:eastAsia="Times New Roman" w:cstheme="minorHAnsi"/>
          <w:lang w:eastAsia="en-GB"/>
        </w:rPr>
        <w:t xml:space="preserve"> wh</w:t>
      </w:r>
      <w:r w:rsidRPr="00EB5A94">
        <w:rPr>
          <w:rStyle w:val="normaltextrun"/>
          <w:rFonts w:cstheme="minorHAnsi"/>
        </w:rPr>
        <w:t>ich linked perfectly into the ideals of gender and performativity.</w:t>
      </w:r>
      <w:r w:rsidRPr="00EB5A94">
        <w:rPr>
          <w:rStyle w:val="eop"/>
          <w:rFonts w:cstheme="minorHAnsi"/>
        </w:rPr>
        <w:t> </w:t>
      </w:r>
    </w:p>
    <w:p w14:paraId="36D675F1" w14:textId="77777777" w:rsidR="00EB5A94" w:rsidRPr="00EB5A94" w:rsidRDefault="00EB5A94" w:rsidP="00EB5A94">
      <w:pPr>
        <w:spacing w:after="0" w:line="240" w:lineRule="auto"/>
        <w:textAlignment w:val="baseline"/>
        <w:rPr>
          <w:rFonts w:eastAsia="Times New Roman" w:cstheme="minorHAnsi"/>
          <w:lang w:eastAsia="en-GB"/>
        </w:rPr>
      </w:pPr>
    </w:p>
    <w:p w14:paraId="049B70FD" w14:textId="0EE166C9" w:rsidR="00C978E5" w:rsidRDefault="00C978E5" w:rsidP="00D90AA4">
      <w:pPr>
        <w:pStyle w:val="paragraph"/>
        <w:spacing w:before="0" w:beforeAutospacing="0" w:after="0" w:afterAutospacing="0"/>
        <w:textAlignment w:val="baseline"/>
        <w:rPr>
          <w:rStyle w:val="eop"/>
          <w:rFonts w:asciiTheme="minorHAnsi" w:hAnsiTheme="minorHAnsi" w:cstheme="minorHAnsi"/>
          <w:sz w:val="22"/>
          <w:szCs w:val="22"/>
        </w:rPr>
      </w:pPr>
      <w:r w:rsidRPr="00EB5A94">
        <w:rPr>
          <w:rStyle w:val="normaltextrun"/>
          <w:rFonts w:asciiTheme="minorHAnsi" w:eastAsiaTheme="majorEastAsia" w:hAnsiTheme="minorHAnsi" w:cstheme="minorHAnsi"/>
          <w:sz w:val="22"/>
          <w:szCs w:val="22"/>
        </w:rPr>
        <w:t>I also used the more general lens of various Butler papers to give me a starting point on how to talk about the performativity of gender, and gauge what has been written before on this subject and in which direction I wanted to take the presentation of my findings.</w:t>
      </w:r>
      <w:r w:rsidRPr="00EB5A94">
        <w:rPr>
          <w:rStyle w:val="eop"/>
          <w:rFonts w:asciiTheme="minorHAnsi" w:hAnsiTheme="minorHAnsi" w:cstheme="minorHAnsi"/>
          <w:sz w:val="22"/>
          <w:szCs w:val="22"/>
        </w:rPr>
        <w:t> </w:t>
      </w:r>
    </w:p>
    <w:p w14:paraId="7257BE87" w14:textId="2B353A0E" w:rsidR="001F2DCA" w:rsidRDefault="001F2DCA" w:rsidP="00D90AA4">
      <w:pPr>
        <w:pStyle w:val="paragraph"/>
        <w:spacing w:before="0" w:beforeAutospacing="0" w:after="0" w:afterAutospacing="0"/>
        <w:textAlignment w:val="baseline"/>
        <w:rPr>
          <w:rStyle w:val="eop"/>
          <w:rFonts w:asciiTheme="minorHAnsi" w:hAnsiTheme="minorHAnsi" w:cstheme="minorHAnsi"/>
          <w:sz w:val="22"/>
          <w:szCs w:val="22"/>
        </w:rPr>
      </w:pPr>
    </w:p>
    <w:p w14:paraId="30B8B665" w14:textId="1812C75F" w:rsidR="001F2DCA" w:rsidRDefault="00935DEB" w:rsidP="00D90AA4">
      <w:pPr>
        <w:pStyle w:val="paragraph"/>
        <w:spacing w:before="0" w:beforeAutospacing="0" w:after="0" w:afterAutospacing="0"/>
        <w:textAlignment w:val="baseline"/>
        <w:rPr>
          <w:rStyle w:val="eop"/>
          <w:rFonts w:asciiTheme="minorHAnsi" w:hAnsiTheme="minorHAnsi" w:cstheme="minorHAnsi"/>
          <w:sz w:val="22"/>
          <w:szCs w:val="22"/>
        </w:rPr>
      </w:pPr>
      <w:r>
        <w:rPr>
          <w:rStyle w:val="eop"/>
          <w:rFonts w:asciiTheme="minorHAnsi" w:hAnsiTheme="minorHAnsi" w:cstheme="minorHAnsi"/>
          <w:sz w:val="22"/>
          <w:szCs w:val="22"/>
        </w:rPr>
        <w:t xml:space="preserve">While </w:t>
      </w:r>
      <w:r w:rsidR="001F2DCA">
        <w:rPr>
          <w:rStyle w:val="eop"/>
          <w:rFonts w:asciiTheme="minorHAnsi" w:hAnsiTheme="minorHAnsi" w:cstheme="minorHAnsi"/>
          <w:sz w:val="22"/>
          <w:szCs w:val="22"/>
        </w:rPr>
        <w:t>Jenson, Fisher and de Castell have a written a multitude of papers regarding gender and gaming,</w:t>
      </w:r>
      <w:r>
        <w:rPr>
          <w:rStyle w:val="eop"/>
          <w:rFonts w:asciiTheme="minorHAnsi" w:hAnsiTheme="minorHAnsi" w:cstheme="minorHAnsi"/>
          <w:sz w:val="22"/>
          <w:szCs w:val="22"/>
        </w:rPr>
        <w:t xml:space="preserve"> </w:t>
      </w:r>
      <w:r w:rsidR="001F2DCA">
        <w:rPr>
          <w:rStyle w:val="eop"/>
          <w:rFonts w:asciiTheme="minorHAnsi" w:hAnsiTheme="minorHAnsi" w:cstheme="minorHAnsi"/>
          <w:sz w:val="22"/>
          <w:szCs w:val="22"/>
        </w:rPr>
        <w:t>these didn’t acknowledge the way gender is performed</w:t>
      </w:r>
      <w:r>
        <w:rPr>
          <w:rStyle w:val="eop"/>
          <w:rFonts w:asciiTheme="minorHAnsi" w:hAnsiTheme="minorHAnsi" w:cstheme="minorHAnsi"/>
          <w:sz w:val="22"/>
          <w:szCs w:val="22"/>
        </w:rPr>
        <w:t xml:space="preserve"> –</w:t>
      </w:r>
      <w:r w:rsidR="00FB5CB3">
        <w:rPr>
          <w:rStyle w:val="eop"/>
          <w:rFonts w:asciiTheme="minorHAnsi" w:hAnsiTheme="minorHAnsi" w:cstheme="minorHAnsi"/>
          <w:sz w:val="22"/>
          <w:szCs w:val="22"/>
        </w:rPr>
        <w:t xml:space="preserve"> </w:t>
      </w:r>
      <w:r>
        <w:rPr>
          <w:rStyle w:val="eop"/>
          <w:rFonts w:asciiTheme="minorHAnsi" w:hAnsiTheme="minorHAnsi" w:cstheme="minorHAnsi"/>
          <w:sz w:val="22"/>
          <w:szCs w:val="22"/>
        </w:rPr>
        <w:t>i</w:t>
      </w:r>
      <w:r w:rsidR="00FB5CB3">
        <w:rPr>
          <w:rStyle w:val="eop"/>
          <w:rFonts w:asciiTheme="minorHAnsi" w:hAnsiTheme="minorHAnsi" w:cstheme="minorHAnsi"/>
          <w:sz w:val="22"/>
          <w:szCs w:val="22"/>
        </w:rPr>
        <w:t>t simply covers the inequalities that can be found within this community.</w:t>
      </w:r>
      <w:r>
        <w:rPr>
          <w:rStyle w:val="eop"/>
          <w:rFonts w:asciiTheme="minorHAnsi" w:hAnsiTheme="minorHAnsi" w:cstheme="minorHAnsi"/>
          <w:sz w:val="22"/>
          <w:szCs w:val="22"/>
        </w:rPr>
        <w:t xml:space="preserve"> Performativity</w:t>
      </w:r>
      <w:r w:rsidR="00812568">
        <w:rPr>
          <w:rStyle w:val="eop"/>
          <w:rFonts w:asciiTheme="minorHAnsi" w:hAnsiTheme="minorHAnsi" w:cstheme="minorHAnsi"/>
          <w:sz w:val="22"/>
          <w:szCs w:val="22"/>
        </w:rPr>
        <w:t xml:space="preserve"> of gender </w:t>
      </w:r>
      <w:r w:rsidR="007F64A7">
        <w:rPr>
          <w:rStyle w:val="eop"/>
          <w:rFonts w:asciiTheme="minorHAnsi" w:hAnsiTheme="minorHAnsi" w:cstheme="minorHAnsi"/>
          <w:sz w:val="22"/>
          <w:szCs w:val="22"/>
        </w:rPr>
        <w:t xml:space="preserve">is the main basis of this paper. Butler theorises that gender is performed through interactions </w:t>
      </w:r>
      <w:r w:rsidR="00257DFE">
        <w:rPr>
          <w:rStyle w:val="eop"/>
          <w:rFonts w:asciiTheme="minorHAnsi" w:hAnsiTheme="minorHAnsi" w:cstheme="minorHAnsi"/>
          <w:sz w:val="22"/>
          <w:szCs w:val="22"/>
        </w:rPr>
        <w:t>within our society and how we are coerced into fitting ideals, w</w:t>
      </w:r>
      <w:r w:rsidR="007F64A7">
        <w:rPr>
          <w:rStyle w:val="eop"/>
          <w:rFonts w:asciiTheme="minorHAnsi" w:hAnsiTheme="minorHAnsi" w:cstheme="minorHAnsi"/>
          <w:sz w:val="22"/>
          <w:szCs w:val="22"/>
        </w:rPr>
        <w:t>hile West and Zimmerman argue that gender is a doing action, seemingly that you enact your own gender</w:t>
      </w:r>
      <w:r w:rsidR="0029603D">
        <w:rPr>
          <w:rStyle w:val="eop"/>
          <w:rFonts w:asciiTheme="minorHAnsi" w:hAnsiTheme="minorHAnsi" w:cstheme="minorHAnsi"/>
          <w:sz w:val="22"/>
          <w:szCs w:val="22"/>
        </w:rPr>
        <w:t xml:space="preserve"> and gender roles</w:t>
      </w:r>
      <w:r w:rsidR="00FD015D">
        <w:rPr>
          <w:rStyle w:val="eop"/>
          <w:rFonts w:asciiTheme="minorHAnsi" w:hAnsiTheme="minorHAnsi" w:cstheme="minorHAnsi"/>
          <w:sz w:val="22"/>
          <w:szCs w:val="22"/>
        </w:rPr>
        <w:t>, and doing your gender is simply</w:t>
      </w:r>
      <w:r w:rsidR="002424E9">
        <w:rPr>
          <w:rStyle w:val="eop"/>
          <w:rFonts w:asciiTheme="minorHAnsi" w:hAnsiTheme="minorHAnsi" w:cstheme="minorHAnsi"/>
          <w:sz w:val="22"/>
          <w:szCs w:val="22"/>
        </w:rPr>
        <w:t xml:space="preserve"> to prove to yourself and others which sex category you belong in. I felt that this paper did not quite have the nuance of Butler’s</w:t>
      </w:r>
      <w:r w:rsidR="0029603D">
        <w:rPr>
          <w:rStyle w:val="eop"/>
          <w:rFonts w:asciiTheme="minorHAnsi" w:hAnsiTheme="minorHAnsi" w:cstheme="minorHAnsi"/>
          <w:sz w:val="22"/>
          <w:szCs w:val="22"/>
        </w:rPr>
        <w:t xml:space="preserve"> in terms of how a community enacts its ideals upon women, so I chose</w:t>
      </w:r>
      <w:r w:rsidR="00812568">
        <w:rPr>
          <w:rStyle w:val="eop"/>
          <w:rFonts w:asciiTheme="minorHAnsi" w:hAnsiTheme="minorHAnsi" w:cstheme="minorHAnsi"/>
          <w:sz w:val="22"/>
          <w:szCs w:val="22"/>
        </w:rPr>
        <w:t xml:space="preserve"> </w:t>
      </w:r>
      <w:r w:rsidR="00812568">
        <w:rPr>
          <w:rStyle w:val="eop"/>
          <w:rFonts w:asciiTheme="minorHAnsi" w:hAnsiTheme="minorHAnsi" w:cstheme="minorHAnsi"/>
          <w:sz w:val="22"/>
          <w:szCs w:val="22"/>
        </w:rPr>
        <w:lastRenderedPageBreak/>
        <w:t>to base my research upon the theories of Judith Butler, as it is a more modern perspective that followed my research questions perfectly.</w:t>
      </w:r>
    </w:p>
    <w:p w14:paraId="3175AC2E" w14:textId="0A5B2CC4" w:rsidR="007F64A7" w:rsidRDefault="007F64A7" w:rsidP="00D90AA4">
      <w:pPr>
        <w:pStyle w:val="paragraph"/>
        <w:spacing w:before="0" w:beforeAutospacing="0" w:after="0" w:afterAutospacing="0"/>
        <w:textAlignment w:val="baseline"/>
        <w:rPr>
          <w:rStyle w:val="eop"/>
          <w:rFonts w:asciiTheme="minorHAnsi" w:hAnsiTheme="minorHAnsi" w:cstheme="minorHAnsi"/>
          <w:sz w:val="22"/>
          <w:szCs w:val="22"/>
        </w:rPr>
      </w:pPr>
    </w:p>
    <w:p w14:paraId="66D11CB0" w14:textId="77777777" w:rsidR="007F64A7" w:rsidRPr="00D90AA4" w:rsidRDefault="007F64A7" w:rsidP="00D90AA4">
      <w:pPr>
        <w:pStyle w:val="paragraph"/>
        <w:spacing w:before="0" w:beforeAutospacing="0" w:after="0" w:afterAutospacing="0"/>
        <w:textAlignment w:val="baseline"/>
        <w:rPr>
          <w:rFonts w:asciiTheme="minorHAnsi" w:hAnsiTheme="minorHAnsi" w:cstheme="minorHAnsi"/>
          <w:sz w:val="22"/>
          <w:szCs w:val="22"/>
        </w:rPr>
      </w:pPr>
    </w:p>
    <w:p w14:paraId="4EAFEB02" w14:textId="0F80D050" w:rsidR="00ED0B24" w:rsidRPr="00EB5A94" w:rsidRDefault="00CE4108" w:rsidP="00C91755">
      <w:pPr>
        <w:rPr>
          <w:rFonts w:cstheme="minorHAnsi"/>
          <w:i/>
          <w:iCs/>
        </w:rPr>
      </w:pPr>
      <w:r w:rsidRPr="00EB5A94">
        <w:rPr>
          <w:rFonts w:cstheme="minorHAnsi"/>
          <w:i/>
          <w:iCs/>
        </w:rPr>
        <w:t xml:space="preserve">Research methodology </w:t>
      </w:r>
    </w:p>
    <w:p w14:paraId="7FC29A06" w14:textId="77777777" w:rsidR="00EB5A94" w:rsidRPr="00EB5A94" w:rsidRDefault="00EB5A94" w:rsidP="00EB5A94">
      <w:pPr>
        <w:pStyle w:val="paragraph"/>
        <w:spacing w:before="0" w:beforeAutospacing="0" w:after="0" w:afterAutospacing="0"/>
        <w:textAlignment w:val="baseline"/>
        <w:rPr>
          <w:rStyle w:val="eop"/>
          <w:rFonts w:asciiTheme="minorHAnsi" w:eastAsiaTheme="majorEastAsia" w:hAnsiTheme="minorHAnsi" w:cstheme="minorHAnsi"/>
          <w:sz w:val="22"/>
          <w:szCs w:val="22"/>
        </w:rPr>
      </w:pPr>
      <w:r w:rsidRPr="00EB5A94">
        <w:rPr>
          <w:rStyle w:val="normaltextrun"/>
          <w:rFonts w:asciiTheme="minorHAnsi" w:eastAsiaTheme="majorEastAsia" w:hAnsiTheme="minorHAnsi" w:cstheme="minorHAnsi"/>
          <w:sz w:val="22"/>
          <w:szCs w:val="22"/>
        </w:rPr>
        <w:t>The methodology used was a mixture of immersive participant observation and the use of ethnographic interviews. Some interviews I conducted in more casual group settings, to understand how the community interacted with gender, while other interviews were direct and with a singular participant, and I would ask set questions. Interestingly, groups settings felt more at ease expanding on questions, asking follow-up questions and sharing ideas.</w:t>
      </w:r>
      <w:r w:rsidRPr="00EB5A94">
        <w:rPr>
          <w:rStyle w:val="eop"/>
          <w:rFonts w:asciiTheme="minorHAnsi" w:hAnsiTheme="minorHAnsi" w:cstheme="minorHAnsi"/>
          <w:sz w:val="22"/>
          <w:szCs w:val="22"/>
        </w:rPr>
        <w:t> </w:t>
      </w:r>
    </w:p>
    <w:p w14:paraId="5BC44AF4" w14:textId="77777777" w:rsidR="00EB5A94" w:rsidRPr="00EB5A94" w:rsidRDefault="00EB5A94" w:rsidP="00C91755">
      <w:pPr>
        <w:rPr>
          <w:rFonts w:cstheme="minorHAnsi"/>
        </w:rPr>
      </w:pPr>
    </w:p>
    <w:p w14:paraId="233F3D21" w14:textId="1C293335" w:rsidR="00585A1E" w:rsidRDefault="00B05CA9" w:rsidP="00CE4108">
      <w:pPr>
        <w:rPr>
          <w:rFonts w:cstheme="minorHAnsi"/>
        </w:rPr>
      </w:pPr>
      <w:r w:rsidRPr="00EB5A94">
        <w:rPr>
          <w:rFonts w:cstheme="minorHAnsi"/>
        </w:rPr>
        <w:t xml:space="preserve">The methodology I used whilst in the field was a mixture of immersive participant observation and the use of ethnographic </w:t>
      </w:r>
      <w:r w:rsidR="00ED0B24" w:rsidRPr="00EB5A94">
        <w:rPr>
          <w:rFonts w:cstheme="minorHAnsi"/>
        </w:rPr>
        <w:t>interviews</w:t>
      </w:r>
      <w:r w:rsidRPr="00EB5A94">
        <w:rPr>
          <w:rFonts w:cstheme="minorHAnsi"/>
        </w:rPr>
        <w:t xml:space="preserve">. Some interviews I conducted in more casual group settings, to understand how the community interacted with gender more easily, while other interviews were more direct and with a singular </w:t>
      </w:r>
      <w:r w:rsidR="00485D00" w:rsidRPr="00EB5A94">
        <w:rPr>
          <w:rFonts w:cstheme="minorHAnsi"/>
        </w:rPr>
        <w:t>participant</w:t>
      </w:r>
      <w:r w:rsidRPr="00EB5A94">
        <w:rPr>
          <w:rFonts w:cstheme="minorHAnsi"/>
        </w:rPr>
        <w:t xml:space="preserve">, and I </w:t>
      </w:r>
      <w:r w:rsidR="00485D00" w:rsidRPr="00EB5A94">
        <w:rPr>
          <w:rFonts w:cstheme="minorHAnsi"/>
        </w:rPr>
        <w:t>would ask set questions. It is interesting to note that groups settings felt more at ease expanding on questions, asking follow up questions and sharing related ideas, perhaps because it was a less formal</w:t>
      </w:r>
      <w:r w:rsidR="00BF4FAE">
        <w:rPr>
          <w:rFonts w:cstheme="minorHAnsi"/>
        </w:rPr>
        <w:t xml:space="preserve"> </w:t>
      </w:r>
      <w:r w:rsidR="00485D00" w:rsidRPr="00EB5A94">
        <w:rPr>
          <w:rFonts w:cstheme="minorHAnsi"/>
        </w:rPr>
        <w:t>environment.</w:t>
      </w:r>
      <w:r w:rsidR="0051461B" w:rsidRPr="00EB5A94">
        <w:rPr>
          <w:rFonts w:cstheme="minorHAnsi"/>
        </w:rPr>
        <w:t xml:space="preserve"> </w:t>
      </w:r>
    </w:p>
    <w:p w14:paraId="168100EA" w14:textId="77777777" w:rsidR="00D90AA4" w:rsidRPr="00EB5A94" w:rsidRDefault="00D90AA4" w:rsidP="00CE4108">
      <w:pPr>
        <w:rPr>
          <w:rFonts w:cstheme="minorHAnsi"/>
        </w:rPr>
      </w:pPr>
    </w:p>
    <w:p w14:paraId="2CBB1978" w14:textId="1C09B30C" w:rsidR="00CE4108" w:rsidRPr="00EB5A94" w:rsidRDefault="00CE4108" w:rsidP="00CE4108">
      <w:pPr>
        <w:rPr>
          <w:rFonts w:cstheme="minorHAnsi"/>
        </w:rPr>
      </w:pPr>
      <w:r w:rsidRPr="00EB5A94">
        <w:rPr>
          <w:rFonts w:cstheme="minorHAnsi"/>
          <w:i/>
          <w:iCs/>
        </w:rPr>
        <w:t xml:space="preserve">Research ethics </w:t>
      </w:r>
    </w:p>
    <w:p w14:paraId="3DB736E7" w14:textId="2636DD39" w:rsidR="00EB5A94" w:rsidRPr="00EB5A94" w:rsidRDefault="00EB5A94" w:rsidP="00EB5A94">
      <w:pPr>
        <w:pStyle w:val="paragraph"/>
        <w:spacing w:before="0" w:beforeAutospacing="0" w:after="0" w:afterAutospacing="0"/>
        <w:textAlignment w:val="baseline"/>
        <w:rPr>
          <w:rStyle w:val="eop"/>
          <w:rFonts w:asciiTheme="minorHAnsi" w:hAnsiTheme="minorHAnsi" w:cstheme="minorHAnsi"/>
          <w:sz w:val="22"/>
          <w:szCs w:val="22"/>
        </w:rPr>
      </w:pPr>
      <w:r w:rsidRPr="00EB5A94">
        <w:rPr>
          <w:rStyle w:val="normaltextrun"/>
          <w:rFonts w:asciiTheme="minorHAnsi" w:eastAsiaTheme="majorEastAsia" w:hAnsiTheme="minorHAnsi" w:cstheme="minorHAnsi"/>
          <w:sz w:val="22"/>
          <w:szCs w:val="22"/>
        </w:rPr>
        <w:t>I tried to be as transparent as possible when using informants’ data. I kept all information together in a secure location, for example interview transcripts, and put together a consent form</w:t>
      </w:r>
      <w:r w:rsidR="00AE3A25">
        <w:rPr>
          <w:rStyle w:val="EndnoteReference"/>
          <w:rFonts w:asciiTheme="minorHAnsi" w:eastAsiaTheme="majorEastAsia" w:hAnsiTheme="minorHAnsi" w:cstheme="minorHAnsi"/>
          <w:sz w:val="22"/>
          <w:szCs w:val="22"/>
        </w:rPr>
        <w:endnoteReference w:id="1"/>
      </w:r>
      <w:r w:rsidRPr="00EB5A94">
        <w:rPr>
          <w:rStyle w:val="normaltextrun"/>
          <w:rFonts w:asciiTheme="minorHAnsi" w:eastAsiaTheme="majorEastAsia" w:hAnsiTheme="minorHAnsi" w:cstheme="minorHAnsi"/>
          <w:sz w:val="22"/>
          <w:szCs w:val="22"/>
        </w:rPr>
        <w:t xml:space="preserve"> for informants to fill out. I kept in mind the ASA guidelines, and tried to follow them as closely as possible. Something that I struggled with is that some informants would lie during interviews and later display completely different behaviour and views once they knew they were no longer being observed. Originally, I felt that I should be able to include these contradictions, but I now realise that I should not use the true data of these informants as this is not what they agreed to. As the ASA guidelines state, I must “endeavour to protect the physical, social and psychological well-being of those whom they study and to respect their rights, interests, sensitivities and privacy” and that I “should be sensitive to the possible consequences of their work and should endeavour to guard against predictably harmful effects” of my research. (Ethical Guidelines, 2020)</w:t>
      </w:r>
      <w:r w:rsidRPr="00EB5A94">
        <w:rPr>
          <w:rStyle w:val="eop"/>
          <w:rFonts w:asciiTheme="minorHAnsi" w:hAnsiTheme="minorHAnsi" w:cstheme="minorHAnsi"/>
          <w:sz w:val="22"/>
          <w:szCs w:val="22"/>
        </w:rPr>
        <w:t> </w:t>
      </w:r>
    </w:p>
    <w:p w14:paraId="65C38FDA" w14:textId="77777777" w:rsidR="00EB5A94" w:rsidRPr="00EB5A94" w:rsidRDefault="00EB5A94" w:rsidP="00EB5A94">
      <w:pPr>
        <w:pStyle w:val="paragraph"/>
        <w:spacing w:before="0" w:beforeAutospacing="0" w:after="0" w:afterAutospacing="0"/>
        <w:textAlignment w:val="baseline"/>
        <w:rPr>
          <w:rFonts w:asciiTheme="minorHAnsi" w:hAnsiTheme="minorHAnsi" w:cstheme="minorHAnsi"/>
          <w:sz w:val="22"/>
          <w:szCs w:val="22"/>
        </w:rPr>
      </w:pPr>
    </w:p>
    <w:p w14:paraId="6E8349E8" w14:textId="0CAF6841" w:rsidR="00EB5A94" w:rsidRDefault="00EB5A94" w:rsidP="00EB5A94">
      <w:pPr>
        <w:pStyle w:val="paragraph"/>
        <w:spacing w:before="0" w:beforeAutospacing="0" w:after="0" w:afterAutospacing="0"/>
        <w:textAlignment w:val="baseline"/>
        <w:rPr>
          <w:rStyle w:val="eop"/>
          <w:rFonts w:asciiTheme="minorHAnsi" w:hAnsiTheme="minorHAnsi" w:cstheme="minorHAnsi"/>
          <w:sz w:val="22"/>
          <w:szCs w:val="22"/>
        </w:rPr>
      </w:pPr>
      <w:r w:rsidRPr="00EB5A94">
        <w:rPr>
          <w:rStyle w:val="normaltextrun"/>
          <w:rFonts w:asciiTheme="minorHAnsi" w:eastAsiaTheme="majorEastAsia" w:hAnsiTheme="minorHAnsi" w:cstheme="minorHAnsi"/>
          <w:sz w:val="22"/>
          <w:szCs w:val="22"/>
        </w:rPr>
        <w:t>I also tried to comply with the</w:t>
      </w:r>
      <w:r>
        <w:rPr>
          <w:rStyle w:val="normaltextrun"/>
          <w:rFonts w:asciiTheme="minorHAnsi" w:eastAsiaTheme="majorEastAsia" w:hAnsiTheme="minorHAnsi" w:cstheme="minorHAnsi"/>
          <w:sz w:val="22"/>
          <w:szCs w:val="22"/>
        </w:rPr>
        <w:t xml:space="preserve"> General Data Protection Regulation </w:t>
      </w:r>
      <w:r w:rsidRPr="00EB5A94">
        <w:rPr>
          <w:rFonts w:asciiTheme="minorHAnsi" w:hAnsiTheme="minorHAnsi" w:cstheme="minorHAnsi"/>
          <w:color w:val="000000"/>
          <w:sz w:val="22"/>
          <w:szCs w:val="22"/>
          <w:shd w:val="clear" w:color="auto" w:fill="FFFFFF"/>
        </w:rPr>
        <w:t>(</w:t>
      </w:r>
      <w:r w:rsidRPr="00EB5A94">
        <w:rPr>
          <w:rFonts w:asciiTheme="minorHAnsi" w:hAnsiTheme="minorHAnsi" w:cstheme="minorHAnsi"/>
          <w:color w:val="000000"/>
          <w:sz w:val="22"/>
          <w:szCs w:val="22"/>
          <w:shd w:val="clear" w:color="auto" w:fill="FFFFFF"/>
        </w:rPr>
        <w:t xml:space="preserve">Government Publishing Assets, </w:t>
      </w:r>
      <w:r w:rsidRPr="00EB5A94">
        <w:rPr>
          <w:rFonts w:asciiTheme="minorHAnsi" w:hAnsiTheme="minorHAnsi" w:cstheme="minorHAnsi"/>
          <w:color w:val="000000"/>
          <w:sz w:val="22"/>
          <w:szCs w:val="22"/>
          <w:shd w:val="clear" w:color="auto" w:fill="FFFFFF"/>
        </w:rPr>
        <w:t>2020)</w:t>
      </w:r>
      <w:r w:rsidRPr="00EB5A94">
        <w:rPr>
          <w:rStyle w:val="normaltextrun"/>
          <w:rFonts w:asciiTheme="minorHAnsi" w:eastAsiaTheme="majorEastAsia" w:hAnsiTheme="minorHAnsi" w:cstheme="minorHAnsi"/>
          <w:sz w:val="22"/>
          <w:szCs w:val="22"/>
        </w:rPr>
        <w:t xml:space="preserve">; however, as I will not be collecting data on this subject again or publishing it publicly, I spoke with informants and they agreed that I could keep a copy of the data for educational purposes. I have agreed with my informants that they could read my research journal and report to understand how </w:t>
      </w:r>
      <w:r w:rsidR="0076077E">
        <w:rPr>
          <w:rStyle w:val="normaltextrun"/>
          <w:rFonts w:asciiTheme="minorHAnsi" w:eastAsiaTheme="majorEastAsia" w:hAnsiTheme="minorHAnsi" w:cstheme="minorHAnsi"/>
          <w:sz w:val="22"/>
          <w:szCs w:val="22"/>
        </w:rPr>
        <w:t xml:space="preserve">their data </w:t>
      </w:r>
      <w:r w:rsidRPr="00EB5A94">
        <w:rPr>
          <w:rStyle w:val="normaltextrun"/>
          <w:rFonts w:asciiTheme="minorHAnsi" w:eastAsiaTheme="majorEastAsia" w:hAnsiTheme="minorHAnsi" w:cstheme="minorHAnsi"/>
          <w:sz w:val="22"/>
          <w:szCs w:val="22"/>
        </w:rPr>
        <w:t>was being used and interpreted.</w:t>
      </w:r>
      <w:r w:rsidRPr="00EB5A94">
        <w:rPr>
          <w:rStyle w:val="eop"/>
          <w:rFonts w:asciiTheme="minorHAnsi" w:hAnsiTheme="minorHAnsi" w:cstheme="minorHAnsi"/>
          <w:sz w:val="22"/>
          <w:szCs w:val="22"/>
        </w:rPr>
        <w:t> </w:t>
      </w:r>
    </w:p>
    <w:p w14:paraId="24C8443A" w14:textId="77777777" w:rsidR="00D90AA4" w:rsidRPr="00EB5A94" w:rsidRDefault="00D90AA4" w:rsidP="00EB5A94">
      <w:pPr>
        <w:pStyle w:val="paragraph"/>
        <w:spacing w:before="0" w:beforeAutospacing="0" w:after="0" w:afterAutospacing="0"/>
        <w:textAlignment w:val="baseline"/>
        <w:rPr>
          <w:rStyle w:val="eop"/>
          <w:rFonts w:asciiTheme="minorHAnsi" w:hAnsiTheme="minorHAnsi" w:cstheme="minorHAnsi"/>
          <w:sz w:val="22"/>
          <w:szCs w:val="22"/>
        </w:rPr>
      </w:pPr>
    </w:p>
    <w:p w14:paraId="386431DF" w14:textId="77777777" w:rsidR="00EB5A94" w:rsidRPr="00EB5A94" w:rsidRDefault="00EB5A94" w:rsidP="00EB5A94">
      <w:pPr>
        <w:pStyle w:val="paragraph"/>
        <w:spacing w:before="0" w:beforeAutospacing="0" w:after="0" w:afterAutospacing="0"/>
        <w:textAlignment w:val="baseline"/>
        <w:rPr>
          <w:rFonts w:asciiTheme="minorHAnsi" w:eastAsiaTheme="majorEastAsia" w:hAnsiTheme="minorHAnsi" w:cstheme="minorHAnsi"/>
          <w:sz w:val="22"/>
          <w:szCs w:val="22"/>
        </w:rPr>
      </w:pPr>
    </w:p>
    <w:p w14:paraId="4667B008" w14:textId="5D24F978" w:rsidR="0091437F" w:rsidRPr="00EB5A94" w:rsidRDefault="00CE4108" w:rsidP="0091437F">
      <w:pPr>
        <w:rPr>
          <w:rFonts w:cstheme="minorHAnsi"/>
          <w:i/>
          <w:iCs/>
        </w:rPr>
      </w:pPr>
      <w:r w:rsidRPr="00EB5A94">
        <w:rPr>
          <w:rFonts w:cstheme="minorHAnsi"/>
          <w:i/>
          <w:iCs/>
        </w:rPr>
        <w:t xml:space="preserve">Findings </w:t>
      </w:r>
    </w:p>
    <w:p w14:paraId="73065F03" w14:textId="77777777" w:rsidR="00EB5A94" w:rsidRPr="00EB5A94" w:rsidRDefault="00EB5A94" w:rsidP="00EB5A94">
      <w:pPr>
        <w:pStyle w:val="paragraph"/>
        <w:spacing w:before="0" w:beforeAutospacing="0" w:after="0" w:afterAutospacing="0"/>
        <w:textAlignment w:val="baseline"/>
        <w:rPr>
          <w:rStyle w:val="eop"/>
          <w:rFonts w:asciiTheme="minorHAnsi" w:eastAsiaTheme="majorEastAsia" w:hAnsiTheme="minorHAnsi" w:cstheme="minorHAnsi"/>
          <w:sz w:val="22"/>
          <w:szCs w:val="22"/>
        </w:rPr>
      </w:pPr>
      <w:r w:rsidRPr="00EB5A94">
        <w:rPr>
          <w:rStyle w:val="normaltextrun"/>
          <w:rFonts w:asciiTheme="minorHAnsi" w:eastAsiaTheme="majorEastAsia" w:hAnsiTheme="minorHAnsi" w:cstheme="minorHAnsi"/>
          <w:sz w:val="22"/>
          <w:szCs w:val="22"/>
        </w:rPr>
        <w:t>It was obvious that while the male to female ratio is far more equal than in the past. This change is not felt by women as we still feel isolated and that we </w:t>
      </w:r>
      <w:r w:rsidRPr="00EB5A94">
        <w:rPr>
          <w:rStyle w:val="advancedproofingissue"/>
          <w:rFonts w:asciiTheme="minorHAnsi" w:hAnsiTheme="minorHAnsi" w:cstheme="minorHAnsi"/>
          <w:sz w:val="22"/>
          <w:szCs w:val="22"/>
        </w:rPr>
        <w:t>have to</w:t>
      </w:r>
      <w:r w:rsidRPr="00EB5A94">
        <w:rPr>
          <w:rStyle w:val="normaltextrun"/>
          <w:rFonts w:asciiTheme="minorHAnsi" w:eastAsiaTheme="majorEastAsia" w:hAnsiTheme="minorHAnsi" w:cstheme="minorHAnsi"/>
          <w:sz w:val="22"/>
          <w:szCs w:val="22"/>
        </w:rPr>
        <w:t> hide our gender while gaming. I spoke to a few female friends while I was researching and the general consensus seemed to be that if one wanted to enjoy a game it was better to stay quiet to avoid patronisation, flirtation and abuse, despite the fact that one of the enjoyable elements of gaming is to be able to talk and interact with new people in a virtual social space.</w:t>
      </w:r>
      <w:r w:rsidRPr="00EB5A94">
        <w:rPr>
          <w:rStyle w:val="normaltextrun"/>
          <w:rFonts w:asciiTheme="minorHAnsi" w:eastAsiaTheme="majorEastAsia" w:hAnsiTheme="minorHAnsi" w:cstheme="minorHAnsi"/>
          <w:color w:val="000000"/>
          <w:sz w:val="22"/>
          <w:szCs w:val="22"/>
          <w:shd w:val="clear" w:color="auto" w:fill="FFFFFF"/>
        </w:rPr>
        <w:t> (</w:t>
      </w:r>
      <w:proofErr w:type="spellStart"/>
      <w:r w:rsidRPr="00EB5A94">
        <w:rPr>
          <w:rStyle w:val="normaltextrun"/>
          <w:rFonts w:asciiTheme="minorHAnsi" w:eastAsiaTheme="majorEastAsia" w:hAnsiTheme="minorHAnsi" w:cstheme="minorHAnsi"/>
          <w:color w:val="000000"/>
          <w:sz w:val="22"/>
          <w:szCs w:val="22"/>
          <w:shd w:val="clear" w:color="auto" w:fill="FFFFFF"/>
        </w:rPr>
        <w:t>Kuznekoff</w:t>
      </w:r>
      <w:proofErr w:type="spellEnd"/>
      <w:r w:rsidRPr="00EB5A94">
        <w:rPr>
          <w:rStyle w:val="normaltextrun"/>
          <w:rFonts w:asciiTheme="minorHAnsi" w:eastAsiaTheme="majorEastAsia" w:hAnsiTheme="minorHAnsi" w:cstheme="minorHAnsi"/>
          <w:color w:val="000000"/>
          <w:sz w:val="22"/>
          <w:szCs w:val="22"/>
          <w:shd w:val="clear" w:color="auto" w:fill="FFFFFF"/>
        </w:rPr>
        <w:t> and Rose, 2012) I</w:t>
      </w:r>
      <w:r w:rsidRPr="00EB5A94">
        <w:rPr>
          <w:rStyle w:val="normaltextrun"/>
          <w:rFonts w:asciiTheme="minorHAnsi" w:eastAsiaTheme="majorEastAsia" w:hAnsiTheme="minorHAnsi" w:cstheme="minorHAnsi"/>
          <w:sz w:val="22"/>
          <w:szCs w:val="22"/>
        </w:rPr>
        <w:t xml:space="preserve">t is surprising that we found each other at all, due to our unwillingness to talk. There are ways of identifying other women though: Is their gaming username perhaps more feminine, which characters do they play as some are </w:t>
      </w:r>
      <w:r w:rsidRPr="00EB5A94">
        <w:rPr>
          <w:rStyle w:val="normaltextrun"/>
          <w:rFonts w:asciiTheme="minorHAnsi" w:eastAsiaTheme="majorEastAsia" w:hAnsiTheme="minorHAnsi" w:cstheme="minorHAnsi"/>
          <w:sz w:val="22"/>
          <w:szCs w:val="22"/>
        </w:rPr>
        <w:lastRenderedPageBreak/>
        <w:t>associated more with women, how do they talk in the text chat and the way their messages are characterised. Women will also use ‘Hello!’ and ‘Thank you’ emotes often </w:t>
      </w:r>
      <w:r w:rsidRPr="00EB5A94">
        <w:rPr>
          <w:rStyle w:val="advancedproofingissue"/>
          <w:rFonts w:asciiTheme="minorHAnsi" w:hAnsiTheme="minorHAnsi" w:cstheme="minorHAnsi"/>
          <w:sz w:val="22"/>
          <w:szCs w:val="22"/>
        </w:rPr>
        <w:t>in an attempt to</w:t>
      </w:r>
      <w:r w:rsidRPr="00EB5A94">
        <w:rPr>
          <w:rStyle w:val="normaltextrun"/>
          <w:rFonts w:asciiTheme="minorHAnsi" w:eastAsiaTheme="majorEastAsia" w:hAnsiTheme="minorHAnsi" w:cstheme="minorHAnsi"/>
          <w:sz w:val="22"/>
          <w:szCs w:val="22"/>
        </w:rPr>
        <w:t> be friendly and polite while protecting themselves. It is as if they feel they have to stay quiet to avoid the restraints placed by gender on this world, and instead become genderless and unknown in this virtual space. </w:t>
      </w:r>
      <w:r w:rsidRPr="00EB5A94">
        <w:rPr>
          <w:rStyle w:val="eop"/>
          <w:rFonts w:asciiTheme="minorHAnsi" w:hAnsiTheme="minorHAnsi" w:cstheme="minorHAnsi"/>
          <w:sz w:val="22"/>
          <w:szCs w:val="22"/>
        </w:rPr>
        <w:t> </w:t>
      </w:r>
    </w:p>
    <w:p w14:paraId="5677E4D5" w14:textId="77777777" w:rsidR="00EB5A94" w:rsidRPr="00EB5A94" w:rsidRDefault="00EB5A94" w:rsidP="00EB5A94">
      <w:pPr>
        <w:pStyle w:val="paragraph"/>
        <w:spacing w:before="0" w:beforeAutospacing="0" w:after="0" w:afterAutospacing="0"/>
        <w:textAlignment w:val="baseline"/>
        <w:rPr>
          <w:rFonts w:asciiTheme="minorHAnsi" w:hAnsiTheme="minorHAnsi" w:cstheme="minorHAnsi"/>
          <w:sz w:val="22"/>
          <w:szCs w:val="22"/>
        </w:rPr>
      </w:pPr>
    </w:p>
    <w:p w14:paraId="35009950" w14:textId="3F113649" w:rsidR="00EB5A94" w:rsidRPr="00EB5A94" w:rsidRDefault="00EB5A94" w:rsidP="00EB5A94">
      <w:pPr>
        <w:pStyle w:val="paragraph"/>
        <w:spacing w:before="0" w:beforeAutospacing="0" w:after="0" w:afterAutospacing="0"/>
        <w:textAlignment w:val="baseline"/>
        <w:rPr>
          <w:rStyle w:val="eop"/>
          <w:rFonts w:asciiTheme="minorHAnsi" w:hAnsiTheme="minorHAnsi" w:cstheme="minorHAnsi"/>
          <w:sz w:val="22"/>
          <w:szCs w:val="22"/>
        </w:rPr>
      </w:pPr>
      <w:r w:rsidRPr="00EB5A94">
        <w:rPr>
          <w:rStyle w:val="normaltextrun"/>
          <w:rFonts w:asciiTheme="minorHAnsi" w:eastAsiaTheme="majorEastAsia" w:hAnsiTheme="minorHAnsi" w:cstheme="minorHAnsi"/>
          <w:sz w:val="22"/>
          <w:szCs w:val="22"/>
        </w:rPr>
        <w:t xml:space="preserve">It is not underheard of to choose a character of a different gender. From my studies </w:t>
      </w:r>
      <w:r w:rsidR="00BF4FAE">
        <w:rPr>
          <w:rStyle w:val="normaltextrun"/>
          <w:rFonts w:asciiTheme="minorHAnsi" w:eastAsiaTheme="majorEastAsia" w:hAnsiTheme="minorHAnsi" w:cstheme="minorHAnsi"/>
          <w:sz w:val="22"/>
          <w:szCs w:val="22"/>
        </w:rPr>
        <w:t xml:space="preserve">both sexes </w:t>
      </w:r>
      <w:r w:rsidRPr="00EB5A94">
        <w:rPr>
          <w:rStyle w:val="normaltextrun"/>
          <w:rFonts w:asciiTheme="minorHAnsi" w:eastAsiaTheme="majorEastAsia" w:hAnsiTheme="minorHAnsi" w:cstheme="minorHAnsi"/>
          <w:sz w:val="22"/>
          <w:szCs w:val="22"/>
        </w:rPr>
        <w:t>do this, and there is a variety of reasons for this. Reasons stated by informants where that of an element of attraction to the character, or from a woman’s perspective simply because there are no or fewer female characters to pick from and often, they are ridiculously sexualised. To quote one informant: </w:t>
      </w:r>
      <w:r w:rsidRPr="00EB5A94">
        <w:rPr>
          <w:rStyle w:val="eop"/>
          <w:rFonts w:asciiTheme="minorHAnsi" w:hAnsiTheme="minorHAnsi" w:cstheme="minorHAnsi"/>
          <w:sz w:val="22"/>
          <w:szCs w:val="22"/>
        </w:rPr>
        <w:t> </w:t>
      </w:r>
    </w:p>
    <w:p w14:paraId="2732743D" w14:textId="77777777" w:rsidR="00EB5A94" w:rsidRPr="00EB5A94" w:rsidRDefault="00EB5A94" w:rsidP="00EB5A94">
      <w:pPr>
        <w:pStyle w:val="paragraph"/>
        <w:spacing w:before="0" w:beforeAutospacing="0" w:after="0" w:afterAutospacing="0"/>
        <w:textAlignment w:val="baseline"/>
        <w:rPr>
          <w:rFonts w:asciiTheme="minorHAnsi" w:eastAsiaTheme="majorEastAsia" w:hAnsiTheme="minorHAnsi" w:cstheme="minorHAnsi"/>
          <w:sz w:val="22"/>
          <w:szCs w:val="22"/>
        </w:rPr>
      </w:pPr>
    </w:p>
    <w:p w14:paraId="03647A96" w14:textId="3AC621DA" w:rsidR="008F4636" w:rsidRPr="00EB5A94" w:rsidRDefault="00E562C0" w:rsidP="004C7CA2">
      <w:pPr>
        <w:rPr>
          <w:rFonts w:cstheme="minorHAnsi"/>
        </w:rPr>
      </w:pPr>
      <w:r w:rsidRPr="00EB5A94">
        <w:rPr>
          <w:rFonts w:cstheme="minorHAnsi"/>
          <w:i/>
          <w:iCs/>
        </w:rPr>
        <w:t xml:space="preserve">“If I play badly as </w:t>
      </w:r>
      <w:proofErr w:type="spellStart"/>
      <w:r w:rsidRPr="00EB5A94">
        <w:rPr>
          <w:rFonts w:cstheme="minorHAnsi"/>
          <w:i/>
          <w:iCs/>
        </w:rPr>
        <w:t>Mccree</w:t>
      </w:r>
      <w:proofErr w:type="spellEnd"/>
      <w:r w:rsidR="00111A72" w:rsidRPr="00EB5A94">
        <w:rPr>
          <w:rStyle w:val="EndnoteReference"/>
          <w:rFonts w:cstheme="minorHAnsi"/>
          <w:i/>
          <w:iCs/>
        </w:rPr>
        <w:endnoteReference w:id="2"/>
      </w:r>
      <w:r w:rsidRPr="00EB5A94">
        <w:rPr>
          <w:rFonts w:cstheme="minorHAnsi"/>
          <w:i/>
          <w:iCs/>
        </w:rPr>
        <w:t>, I’m less likely to be called out on it because they think I’m a guy, whereas if I’m playing Mercy</w:t>
      </w:r>
      <w:r w:rsidR="00E61E66" w:rsidRPr="00EB5A94">
        <w:rPr>
          <w:rStyle w:val="EndnoteReference"/>
          <w:rFonts w:cstheme="minorHAnsi"/>
          <w:i/>
          <w:iCs/>
        </w:rPr>
        <w:endnoteReference w:id="3"/>
      </w:r>
      <w:r w:rsidRPr="00EB5A94">
        <w:rPr>
          <w:rFonts w:cstheme="minorHAnsi"/>
          <w:i/>
          <w:iCs/>
        </w:rPr>
        <w:t xml:space="preserve"> I’ll immediately be called out because of course I’m a woman. (laughs) </w:t>
      </w:r>
      <w:r w:rsidR="0044552D" w:rsidRPr="00EB5A94">
        <w:rPr>
          <w:rFonts w:cstheme="minorHAnsi"/>
          <w:i/>
          <w:iCs/>
        </w:rPr>
        <w:t>I</w:t>
      </w:r>
      <w:r w:rsidRPr="00EB5A94">
        <w:rPr>
          <w:rFonts w:cstheme="minorHAnsi"/>
          <w:i/>
          <w:iCs/>
        </w:rPr>
        <w:t>t even happens when I’m playing well, there’s always that one person</w:t>
      </w:r>
      <w:r w:rsidR="0044552D" w:rsidRPr="00EB5A94">
        <w:rPr>
          <w:rFonts w:cstheme="minorHAnsi"/>
          <w:i/>
          <w:iCs/>
        </w:rPr>
        <w:t xml:space="preserve"> who throws a b*</w:t>
      </w:r>
      <w:proofErr w:type="spellStart"/>
      <w:r w:rsidR="0044552D" w:rsidRPr="00EB5A94">
        <w:rPr>
          <w:rFonts w:cstheme="minorHAnsi"/>
          <w:i/>
          <w:iCs/>
        </w:rPr>
        <w:t>tchfit</w:t>
      </w:r>
      <w:proofErr w:type="spellEnd"/>
      <w:r w:rsidR="0044552D" w:rsidRPr="00EB5A94">
        <w:rPr>
          <w:rFonts w:cstheme="minorHAnsi"/>
          <w:i/>
          <w:iCs/>
        </w:rPr>
        <w:t xml:space="preserve"> </w:t>
      </w:r>
      <w:proofErr w:type="gramStart"/>
      <w:r w:rsidR="0044552D" w:rsidRPr="00EB5A94">
        <w:rPr>
          <w:rFonts w:cstheme="minorHAnsi"/>
          <w:i/>
          <w:iCs/>
        </w:rPr>
        <w:t>cause</w:t>
      </w:r>
      <w:proofErr w:type="gramEnd"/>
      <w:r w:rsidR="0044552D" w:rsidRPr="00EB5A94">
        <w:rPr>
          <w:rFonts w:cstheme="minorHAnsi"/>
          <w:i/>
          <w:iCs/>
        </w:rPr>
        <w:t xml:space="preserve"> you can’t help them due to their </w:t>
      </w:r>
      <w:proofErr w:type="spellStart"/>
      <w:r w:rsidR="0044552D" w:rsidRPr="00EB5A94">
        <w:rPr>
          <w:rFonts w:cstheme="minorHAnsi"/>
          <w:i/>
          <w:iCs/>
        </w:rPr>
        <w:t>sh</w:t>
      </w:r>
      <w:proofErr w:type="spellEnd"/>
      <w:r w:rsidR="0044552D" w:rsidRPr="00EB5A94">
        <w:rPr>
          <w:rFonts w:cstheme="minorHAnsi"/>
          <w:i/>
          <w:iCs/>
        </w:rPr>
        <w:t>*t playing”</w:t>
      </w:r>
      <w:r w:rsidR="00A06494" w:rsidRPr="00EB5A94">
        <w:rPr>
          <w:rFonts w:cstheme="minorHAnsi"/>
        </w:rPr>
        <w:t xml:space="preserve"> </w:t>
      </w:r>
    </w:p>
    <w:p w14:paraId="4656AF8C" w14:textId="77777777" w:rsidR="00EB5A94" w:rsidRPr="00EB5A94" w:rsidRDefault="00EB5A94" w:rsidP="00EB5A94">
      <w:pPr>
        <w:spacing w:after="0" w:line="240" w:lineRule="auto"/>
        <w:textAlignment w:val="baseline"/>
        <w:rPr>
          <w:rFonts w:eastAsia="Times New Roman" w:cstheme="minorHAnsi"/>
          <w:lang w:eastAsia="en-GB"/>
        </w:rPr>
      </w:pPr>
      <w:r w:rsidRPr="00EB5A94">
        <w:rPr>
          <w:rFonts w:eastAsia="Times New Roman" w:cstheme="minorHAnsi"/>
          <w:lang w:eastAsia="en-GB"/>
        </w:rPr>
        <w:t>There is a stereotype of some characters in ‘Overwatch’ being played by women, especially the heroes who make up the ‘support’ class.  </w:t>
      </w:r>
    </w:p>
    <w:p w14:paraId="06995FE9" w14:textId="77777777" w:rsidR="00EB5A94" w:rsidRPr="00EB5A94" w:rsidRDefault="00EB5A94" w:rsidP="00EB5A94">
      <w:pPr>
        <w:spacing w:after="0" w:line="240" w:lineRule="auto"/>
        <w:textAlignment w:val="baseline"/>
        <w:rPr>
          <w:rFonts w:eastAsia="Times New Roman" w:cstheme="minorHAnsi"/>
          <w:lang w:eastAsia="en-GB"/>
        </w:rPr>
      </w:pPr>
    </w:p>
    <w:p w14:paraId="547A3C41" w14:textId="1FACF729" w:rsidR="002609FE" w:rsidRDefault="002609FE" w:rsidP="002609FE">
      <w:pPr>
        <w:spacing w:after="0" w:line="240" w:lineRule="auto"/>
        <w:ind w:left="567" w:right="567"/>
        <w:jc w:val="both"/>
        <w:textAlignment w:val="baseline"/>
        <w:rPr>
          <w:rFonts w:eastAsia="Times New Roman" w:cstheme="minorHAnsi"/>
          <w:lang w:eastAsia="en-GB"/>
        </w:rPr>
      </w:pPr>
      <w:r w:rsidRPr="002609FE">
        <w:rPr>
          <w:rFonts w:eastAsia="Times New Roman" w:cstheme="minorHAnsi"/>
          <w:lang w:eastAsia="en-GB"/>
        </w:rPr>
        <w:t xml:space="preserve">Both male and female characters … tend to be hyper‐masculinized or hyper‐feminized and cast in stereotypical roles (males as warriors and females as healers), noting an overrepresentation of male characters compared to census data in the real world. (Jenson and de Castell, 2014).   </w:t>
      </w:r>
    </w:p>
    <w:p w14:paraId="49929505" w14:textId="77777777" w:rsidR="002609FE" w:rsidRPr="00EB5A94" w:rsidRDefault="002609FE" w:rsidP="00EB5A94">
      <w:pPr>
        <w:spacing w:after="0" w:line="240" w:lineRule="auto"/>
        <w:textAlignment w:val="baseline"/>
        <w:rPr>
          <w:rFonts w:eastAsia="Times New Roman" w:cstheme="minorHAnsi"/>
          <w:lang w:eastAsia="en-GB"/>
        </w:rPr>
      </w:pPr>
    </w:p>
    <w:p w14:paraId="417087FE" w14:textId="151DF770" w:rsidR="002609FE" w:rsidRPr="00EB5A94" w:rsidRDefault="00EB5A94" w:rsidP="00EB5A94">
      <w:pPr>
        <w:spacing w:after="0" w:line="240" w:lineRule="auto"/>
        <w:textAlignment w:val="baseline"/>
        <w:rPr>
          <w:rFonts w:eastAsia="Times New Roman" w:cstheme="minorHAnsi"/>
          <w:lang w:eastAsia="en-GB"/>
        </w:rPr>
      </w:pPr>
      <w:r w:rsidRPr="00EB5A94">
        <w:rPr>
          <w:rFonts w:eastAsia="Times New Roman" w:cstheme="minorHAnsi"/>
          <w:lang w:eastAsia="en-GB"/>
        </w:rPr>
        <w:t>Another informant spoke to me about how they were pulled aside by a male player who was a relative stranger, to question whether the third player in this trio was a woman or not. When asked why it matters after confirming they were not, they simply replied </w:t>
      </w:r>
      <w:r w:rsidRPr="00EB5A94">
        <w:rPr>
          <w:rFonts w:eastAsia="Times New Roman" w:cstheme="minorHAnsi"/>
          <w:i/>
          <w:iCs/>
          <w:lang w:eastAsia="en-GB"/>
        </w:rPr>
        <w:t>“Oh that’s good cause girls can’t play”</w:t>
      </w:r>
      <w:r w:rsidRPr="00EB5A94">
        <w:rPr>
          <w:rFonts w:eastAsia="Times New Roman" w:cstheme="minorHAnsi"/>
          <w:lang w:eastAsia="en-GB"/>
        </w:rPr>
        <w:t>. This phrase inspired the title of this paper due to the sheer number of times per week I hear it.  </w:t>
      </w:r>
    </w:p>
    <w:p w14:paraId="22D37E76" w14:textId="4AB3C2D5" w:rsidR="00EB5A94" w:rsidRDefault="002609FE" w:rsidP="002609FE">
      <w:pPr>
        <w:spacing w:after="0" w:line="240" w:lineRule="auto"/>
        <w:ind w:left="567" w:right="567"/>
        <w:jc w:val="both"/>
        <w:textAlignment w:val="baseline"/>
        <w:rPr>
          <w:rFonts w:eastAsia="Times New Roman" w:cstheme="minorHAnsi"/>
          <w:lang w:eastAsia="en-GB"/>
        </w:rPr>
      </w:pPr>
      <w:r w:rsidRPr="002609FE">
        <w:rPr>
          <w:rFonts w:eastAsia="Times New Roman" w:cstheme="minorHAnsi"/>
          <w:lang w:eastAsia="en-GB"/>
        </w:rPr>
        <w:t xml:space="preserve">In mainstream digital games culture, sex-based stereotypes are routinely re-invoked in the service of policing a masculine culture of gameplay and it continues to be a struggle to examine and talk about females’ participation in gaming culture as equal members, not as ‘girl gamers’ or as a group that is somehow different from or disadvantaged in relation to their male counterparts (Fisher and Jenson 2017).  </w:t>
      </w:r>
    </w:p>
    <w:p w14:paraId="6D463F37" w14:textId="77777777" w:rsidR="002609FE" w:rsidRPr="00EB5A94" w:rsidRDefault="002609FE" w:rsidP="002609FE">
      <w:pPr>
        <w:spacing w:after="0" w:line="240" w:lineRule="auto"/>
        <w:ind w:left="567" w:right="567"/>
        <w:jc w:val="both"/>
        <w:textAlignment w:val="baseline"/>
        <w:rPr>
          <w:rFonts w:eastAsia="Times New Roman" w:cstheme="minorHAnsi"/>
          <w:lang w:eastAsia="en-GB"/>
        </w:rPr>
      </w:pPr>
    </w:p>
    <w:p w14:paraId="26A73B74" w14:textId="77FBFED0" w:rsidR="00EB5A94" w:rsidRPr="00EB5A94" w:rsidRDefault="00EB5A94" w:rsidP="00EB5A94">
      <w:pPr>
        <w:spacing w:after="0" w:line="240" w:lineRule="auto"/>
        <w:textAlignment w:val="baseline"/>
        <w:rPr>
          <w:rFonts w:eastAsia="Times New Roman" w:cstheme="minorHAnsi"/>
          <w:lang w:eastAsia="en-GB"/>
        </w:rPr>
      </w:pPr>
      <w:r w:rsidRPr="00EB5A94">
        <w:rPr>
          <w:rFonts w:eastAsia="Times New Roman" w:cstheme="minorHAnsi"/>
          <w:lang w:eastAsia="en-GB"/>
        </w:rPr>
        <w:t>One major issue that affects the performativity of gender within gaming spaces is that severe oversexualisation of female characters bleeds into our real-life perceptions of gender and how women are expected to perform their gender within the gaming world. Women are often portrayed as sex objects, damsels in distress or background decoration such as Non-Player Characters or quest givers. This reinforces the normalised objectification of female gamers, who simply want to join in with the community and hobby that they enjoy, instead of being viewed as a conduit to fulfil sexual fantasies. Many of my female informants spoke out about being objectified, one even going as far as to say that she “had to take a break from Overwatch after that… I don’t want people describing how well my *</w:t>
      </w:r>
      <w:proofErr w:type="spellStart"/>
      <w:r w:rsidRPr="00EB5A94">
        <w:rPr>
          <w:rFonts w:eastAsia="Times New Roman" w:cstheme="minorHAnsi"/>
          <w:lang w:eastAsia="en-GB"/>
        </w:rPr>
        <w:t>sshole</w:t>
      </w:r>
      <w:proofErr w:type="spellEnd"/>
      <w:r w:rsidRPr="00EB5A94">
        <w:rPr>
          <w:rFonts w:eastAsia="Times New Roman" w:cstheme="minorHAnsi"/>
          <w:lang w:eastAsia="en-GB"/>
        </w:rPr>
        <w:t> would be f*</w:t>
      </w:r>
      <w:proofErr w:type="spellStart"/>
      <w:r w:rsidRPr="00EB5A94">
        <w:rPr>
          <w:rFonts w:eastAsia="Times New Roman" w:cstheme="minorHAnsi"/>
          <w:lang w:eastAsia="en-GB"/>
        </w:rPr>
        <w:t>cked</w:t>
      </w:r>
      <w:proofErr w:type="spellEnd"/>
      <w:r w:rsidRPr="00EB5A94">
        <w:rPr>
          <w:rFonts w:eastAsia="Times New Roman" w:cstheme="minorHAnsi"/>
          <w:lang w:eastAsia="en-GB"/>
        </w:rPr>
        <w:t> by them”. Nothing seems to have caused this event, she was simply taking part in the game and it came out of the blue; the male player grew aggressive and manipulative once she did not fulfil the gender </w:t>
      </w:r>
      <w:proofErr w:type="gramStart"/>
      <w:r w:rsidRPr="00EB5A94">
        <w:rPr>
          <w:rFonts w:eastAsia="Times New Roman" w:cstheme="minorHAnsi"/>
          <w:lang w:eastAsia="en-GB"/>
        </w:rPr>
        <w:t>ideals</w:t>
      </w:r>
      <w:proofErr w:type="gramEnd"/>
      <w:r w:rsidRPr="00EB5A94">
        <w:rPr>
          <w:rFonts w:eastAsia="Times New Roman" w:cstheme="minorHAnsi"/>
          <w:lang w:eastAsia="en-GB"/>
        </w:rPr>
        <w:t> he had placed upon her. Unfortunately, online games are “often characterized by gender stereotypes and intense gender normative policing” (Jen</w:t>
      </w:r>
      <w:r w:rsidR="00EB5CAF">
        <w:rPr>
          <w:rFonts w:eastAsia="Times New Roman" w:cstheme="minorHAnsi"/>
          <w:lang w:eastAsia="en-GB"/>
        </w:rPr>
        <w:t>son and de Castell, 2014),</w:t>
      </w:r>
      <w:r w:rsidRPr="00EB5A94">
        <w:rPr>
          <w:rFonts w:eastAsia="Times New Roman" w:cstheme="minorHAnsi"/>
          <w:lang w:eastAsia="en-GB"/>
        </w:rPr>
        <w:t> to the point where female participation in male-dominated spaces becomes almost impossible. Here we must consider the effect of ‘hegemony of play’; the normalisation and reflection of the patriarchy from the real world. </w:t>
      </w:r>
    </w:p>
    <w:p w14:paraId="78A088A9" w14:textId="77777777" w:rsidR="00EB5A94" w:rsidRPr="00EB5A94" w:rsidRDefault="00EB5A94" w:rsidP="00EB5A94">
      <w:pPr>
        <w:spacing w:after="0" w:line="240" w:lineRule="auto"/>
        <w:textAlignment w:val="baseline"/>
        <w:rPr>
          <w:rFonts w:eastAsia="Times New Roman" w:cstheme="minorHAnsi"/>
          <w:lang w:eastAsia="en-GB"/>
        </w:rPr>
      </w:pPr>
    </w:p>
    <w:p w14:paraId="41A7AC16" w14:textId="77777777" w:rsidR="00EB5A94" w:rsidRPr="00EB5A94" w:rsidRDefault="00EB5A94" w:rsidP="00EB5A94">
      <w:pPr>
        <w:spacing w:after="0" w:line="240" w:lineRule="auto"/>
        <w:textAlignment w:val="baseline"/>
        <w:rPr>
          <w:rFonts w:eastAsia="Times New Roman" w:cstheme="minorHAnsi"/>
          <w:lang w:eastAsia="en-GB"/>
        </w:rPr>
      </w:pPr>
      <w:r w:rsidRPr="00EB5A94">
        <w:rPr>
          <w:rFonts w:eastAsia="Times New Roman" w:cstheme="minorHAnsi"/>
          <w:lang w:eastAsia="en-GB"/>
        </w:rPr>
        <w:lastRenderedPageBreak/>
        <w:t>The hegemony of play is the “deeply structured presumptions of difference between and among girls/women and boys/men has sustained a persistent conceptual stranglehold on identities as singular, immutable, unchangeable forces governing how we learn, how we think, and how we play.” </w:t>
      </w:r>
      <w:r w:rsidRPr="00EB5A94">
        <w:rPr>
          <w:rFonts w:eastAsia="Times New Roman" w:cstheme="minorHAnsi"/>
          <w:color w:val="000000"/>
          <w:shd w:val="clear" w:color="auto" w:fill="FFFFFF"/>
          <w:lang w:eastAsia="en-GB"/>
        </w:rPr>
        <w:t>(Jenson and de Castell, 2010)</w:t>
      </w:r>
      <w:r w:rsidRPr="00EB5A94">
        <w:rPr>
          <w:rFonts w:eastAsia="Times New Roman" w:cstheme="minorHAnsi"/>
          <w:lang w:eastAsia="en-GB"/>
        </w:rPr>
        <w:t> </w:t>
      </w:r>
    </w:p>
    <w:p w14:paraId="5881A906" w14:textId="77777777" w:rsidR="00EB5A94" w:rsidRPr="00EB5A94" w:rsidRDefault="00EB5A94" w:rsidP="00EB5A94">
      <w:pPr>
        <w:spacing w:after="0" w:line="240" w:lineRule="auto"/>
        <w:textAlignment w:val="baseline"/>
        <w:rPr>
          <w:rFonts w:eastAsia="Times New Roman" w:cstheme="minorHAnsi"/>
          <w:lang w:eastAsia="en-GB"/>
        </w:rPr>
      </w:pPr>
    </w:p>
    <w:p w14:paraId="013E2DA4" w14:textId="5F3BFF9F" w:rsidR="00EB5A94" w:rsidRPr="00EB5A94" w:rsidRDefault="00EB5A94" w:rsidP="00EB5A94">
      <w:pPr>
        <w:spacing w:after="0" w:line="240" w:lineRule="auto"/>
        <w:textAlignment w:val="baseline"/>
        <w:rPr>
          <w:rFonts w:eastAsia="Times New Roman" w:cstheme="minorHAnsi"/>
          <w:lang w:eastAsia="en-GB"/>
        </w:rPr>
      </w:pPr>
      <w:r w:rsidRPr="00EB5A94">
        <w:rPr>
          <w:rFonts w:eastAsia="Times New Roman" w:cstheme="minorHAnsi"/>
          <w:lang w:eastAsia="en-GB"/>
        </w:rPr>
        <w:t>Viewing women through these normative conceptions of gender erases their individual personhood and unique self, instead choosing to sort them into categories such as sex dolls or ‘sandwich makers’</w:t>
      </w:r>
      <w:r w:rsidR="00656DA1">
        <w:rPr>
          <w:rStyle w:val="EndnoteReference"/>
          <w:rFonts w:eastAsia="Times New Roman" w:cstheme="minorHAnsi"/>
          <w:lang w:eastAsia="en-GB"/>
        </w:rPr>
        <w:endnoteReference w:id="4"/>
      </w:r>
      <w:r w:rsidRPr="00EB5A94">
        <w:rPr>
          <w:rFonts w:eastAsia="Times New Roman" w:cstheme="minorHAnsi"/>
          <w:lang w:eastAsia="en-GB"/>
        </w:rPr>
        <w:t>. Our gender is being enacted for us by the community, and we are limited as to how we can author our own gender, and our identity as ‘gamer girls’ is maintained through socially coerced performances. </w:t>
      </w:r>
      <w:r w:rsidR="007D78A9" w:rsidRPr="007D78A9">
        <w:rPr>
          <w:rFonts w:eastAsia="Times New Roman" w:cstheme="minorHAnsi"/>
          <w:lang w:eastAsia="en-GB"/>
        </w:rPr>
        <w:t>(Butler, 2009)</w:t>
      </w:r>
    </w:p>
    <w:p w14:paraId="4969939E" w14:textId="77777777" w:rsidR="00EB5A94" w:rsidRPr="00EB5A94" w:rsidRDefault="00EB5A94" w:rsidP="00EB5A94">
      <w:pPr>
        <w:spacing w:after="0" w:line="240" w:lineRule="auto"/>
        <w:textAlignment w:val="baseline"/>
        <w:rPr>
          <w:rFonts w:eastAsia="Times New Roman" w:cstheme="minorHAnsi"/>
          <w:lang w:eastAsia="en-GB"/>
        </w:rPr>
      </w:pPr>
    </w:p>
    <w:p w14:paraId="1A792288" w14:textId="30CD649C" w:rsidR="00EB5A94" w:rsidRPr="00EB5A94" w:rsidRDefault="00EB5A94" w:rsidP="00EB5A94">
      <w:pPr>
        <w:spacing w:after="0" w:line="240" w:lineRule="auto"/>
        <w:textAlignment w:val="baseline"/>
        <w:rPr>
          <w:rFonts w:eastAsia="Times New Roman" w:cstheme="minorHAnsi"/>
          <w:lang w:eastAsia="en-GB"/>
        </w:rPr>
      </w:pPr>
      <w:r w:rsidRPr="00EB5A94">
        <w:rPr>
          <w:rFonts w:eastAsia="Times New Roman" w:cstheme="minorHAnsi"/>
          <w:lang w:eastAsia="en-GB"/>
        </w:rPr>
        <w:t>In hindsight, I feel I haven’t answered some of the questions that came about at the beginning of this report, as I am still no further to understanding why women are treated this way online. Were I to take this further, I would focus on a smaller subject area to create a better report. I found the word count incredibly limiting in terms of describing weeks of eventful observation that occurred, and I feel I haven’t given my reader a better sense of my informants. </w:t>
      </w:r>
    </w:p>
    <w:p w14:paraId="445B550F" w14:textId="429D63C2" w:rsidR="002B0DBD" w:rsidRDefault="002B0DBD" w:rsidP="00160115"/>
    <w:p w14:paraId="63FE44F4" w14:textId="77777777" w:rsidR="00812568" w:rsidRPr="00812568" w:rsidRDefault="00812568" w:rsidP="00CE4108">
      <w:pPr>
        <w:rPr>
          <w:rFonts w:cs="Open Sans"/>
          <w:color w:val="000000"/>
          <w:sz w:val="20"/>
          <w:szCs w:val="20"/>
          <w:shd w:val="clear" w:color="auto" w:fill="FFFFFF"/>
        </w:rPr>
      </w:pPr>
    </w:p>
    <w:p w14:paraId="4FCAFBB8" w14:textId="77777777" w:rsidR="00CE7609" w:rsidRPr="00812568" w:rsidRDefault="00CE7609" w:rsidP="00CE4108">
      <w:pPr>
        <w:rPr>
          <w:rFonts w:cs="Open Sans"/>
          <w:color w:val="000000"/>
          <w:sz w:val="20"/>
          <w:szCs w:val="20"/>
          <w:shd w:val="clear" w:color="auto" w:fill="FFFFFF"/>
        </w:rPr>
      </w:pPr>
      <w:r w:rsidRPr="00812568">
        <w:rPr>
          <w:rFonts w:cs="Open Sans"/>
          <w:color w:val="000000"/>
          <w:sz w:val="20"/>
          <w:szCs w:val="20"/>
          <w:shd w:val="clear" w:color="auto" w:fill="FFFFFF"/>
        </w:rPr>
        <w:t>2020. </w:t>
      </w:r>
      <w:r w:rsidRPr="00812568">
        <w:rPr>
          <w:rFonts w:cs="Open Sans"/>
          <w:i/>
          <w:iCs/>
          <w:color w:val="000000"/>
          <w:sz w:val="20"/>
          <w:szCs w:val="20"/>
          <w:shd w:val="clear" w:color="auto" w:fill="FFFFFF"/>
        </w:rPr>
        <w:t>Blizzard Entertainment</w:t>
      </w:r>
      <w:r w:rsidRPr="00812568">
        <w:rPr>
          <w:rFonts w:cs="Open Sans"/>
          <w:color w:val="000000"/>
          <w:sz w:val="20"/>
          <w:szCs w:val="20"/>
          <w:shd w:val="clear" w:color="auto" w:fill="FFFFFF"/>
        </w:rPr>
        <w:t>. [image] Available at: &lt;https://www.blizzard.com/en-us/&gt; [Accessed 16 June 2020].</w:t>
      </w:r>
    </w:p>
    <w:p w14:paraId="39279FF4" w14:textId="77777777" w:rsidR="00CE7609" w:rsidRPr="00812568" w:rsidRDefault="00CE7609" w:rsidP="00CE4108">
      <w:pPr>
        <w:rPr>
          <w:rFonts w:cs="Open Sans"/>
          <w:color w:val="000000"/>
          <w:sz w:val="20"/>
          <w:szCs w:val="20"/>
          <w:shd w:val="clear" w:color="auto" w:fill="FFFFFF"/>
        </w:rPr>
      </w:pPr>
      <w:r w:rsidRPr="00812568">
        <w:rPr>
          <w:rFonts w:cs="Open Sans"/>
          <w:color w:val="000000"/>
          <w:sz w:val="20"/>
          <w:szCs w:val="20"/>
          <w:shd w:val="clear" w:color="auto" w:fill="FFFFFF"/>
        </w:rPr>
        <w:t>Assets.publishing.service.gov.uk. 2020. [online] Available at: &lt;https://assets.publishing.service.gov.uk/government/uploads/system/uploads/attachment_data/file/711097/guide-to-the-general-data-protection-regulation-gdpr-1-0.pdf&gt; [Accessed 18 June 2020].</w:t>
      </w:r>
    </w:p>
    <w:p w14:paraId="403032E0" w14:textId="77777777" w:rsidR="00CE7609" w:rsidRPr="00CE7609" w:rsidRDefault="00CE7609" w:rsidP="00CE4108">
      <w:pPr>
        <w:rPr>
          <w:rFonts w:cs="Open Sans"/>
          <w:color w:val="000000"/>
          <w:sz w:val="20"/>
          <w:szCs w:val="20"/>
          <w:shd w:val="clear" w:color="auto" w:fill="FFFFFF"/>
        </w:rPr>
      </w:pPr>
      <w:r w:rsidRPr="00CE7609">
        <w:rPr>
          <w:rFonts w:cs="Open Sans"/>
          <w:color w:val="000000"/>
          <w:sz w:val="20"/>
          <w:szCs w:val="20"/>
          <w:shd w:val="clear" w:color="auto" w:fill="FFFFFF"/>
        </w:rPr>
        <w:t>Butler, J., 1988. Performative Acts and Gender Constitution: An Essay in Phenomenology and Feminist Theory. </w:t>
      </w:r>
      <w:r w:rsidRPr="00CE7609">
        <w:rPr>
          <w:rFonts w:cs="Open Sans"/>
          <w:i/>
          <w:iCs/>
          <w:color w:val="000000"/>
          <w:sz w:val="20"/>
          <w:szCs w:val="20"/>
          <w:shd w:val="clear" w:color="auto" w:fill="FFFFFF"/>
        </w:rPr>
        <w:t>Theatre Journal</w:t>
      </w:r>
      <w:r w:rsidRPr="00CE7609">
        <w:rPr>
          <w:rFonts w:cs="Open Sans"/>
          <w:color w:val="000000"/>
          <w:sz w:val="20"/>
          <w:szCs w:val="20"/>
          <w:shd w:val="clear" w:color="auto" w:fill="FFFFFF"/>
        </w:rPr>
        <w:t>, 40(4), pp.519-531.</w:t>
      </w:r>
    </w:p>
    <w:p w14:paraId="141C900C" w14:textId="77777777" w:rsidR="00CE7609" w:rsidRPr="00812568" w:rsidRDefault="00CE7609" w:rsidP="00CE4108">
      <w:pPr>
        <w:rPr>
          <w:rFonts w:cs="Open Sans"/>
          <w:color w:val="000000"/>
          <w:sz w:val="20"/>
          <w:szCs w:val="20"/>
          <w:shd w:val="clear" w:color="auto" w:fill="FFFFFF"/>
        </w:rPr>
      </w:pPr>
      <w:r w:rsidRPr="00812568">
        <w:rPr>
          <w:rFonts w:cs="Open Sans"/>
          <w:color w:val="000000"/>
          <w:sz w:val="20"/>
          <w:szCs w:val="20"/>
          <w:shd w:val="clear" w:color="auto" w:fill="FFFFFF"/>
        </w:rPr>
        <w:t>Butler, J., 2009. Performativity, Precarity and Sexual Politics. pp.1-13.</w:t>
      </w:r>
    </w:p>
    <w:p w14:paraId="26CED994" w14:textId="77777777" w:rsidR="00CE7609" w:rsidRPr="00812568" w:rsidRDefault="00CE7609" w:rsidP="00CE4108">
      <w:pPr>
        <w:rPr>
          <w:rFonts w:cs="Open Sans"/>
          <w:color w:val="000000"/>
          <w:sz w:val="20"/>
          <w:szCs w:val="20"/>
          <w:shd w:val="clear" w:color="auto" w:fill="FFFFFF"/>
        </w:rPr>
      </w:pPr>
      <w:r w:rsidRPr="00812568">
        <w:rPr>
          <w:rFonts w:cs="Open Sans"/>
          <w:color w:val="000000"/>
          <w:sz w:val="20"/>
          <w:szCs w:val="20"/>
          <w:shd w:val="clear" w:color="auto" w:fill="FFFFFF"/>
        </w:rPr>
        <w:t>Fisher, S. and Jenson, J., 2017. Producing alternative gender orders: a critical look at girls and gaming. </w:t>
      </w:r>
      <w:r w:rsidRPr="00812568">
        <w:rPr>
          <w:rFonts w:cs="Open Sans"/>
          <w:i/>
          <w:iCs/>
          <w:color w:val="000000"/>
          <w:sz w:val="20"/>
          <w:szCs w:val="20"/>
          <w:shd w:val="clear" w:color="auto" w:fill="FFFFFF"/>
        </w:rPr>
        <w:t>Learning, Media and Technology</w:t>
      </w:r>
      <w:r w:rsidRPr="00812568">
        <w:rPr>
          <w:rFonts w:cs="Open Sans"/>
          <w:color w:val="000000"/>
          <w:sz w:val="20"/>
          <w:szCs w:val="20"/>
          <w:shd w:val="clear" w:color="auto" w:fill="FFFFFF"/>
        </w:rPr>
        <w:t>, 42(1), pp.87-99.</w:t>
      </w:r>
    </w:p>
    <w:p w14:paraId="687DC599" w14:textId="2A7CE80F" w:rsidR="00CE7609" w:rsidRPr="00812568" w:rsidRDefault="00CE7609" w:rsidP="000C63AC">
      <w:pPr>
        <w:rPr>
          <w:rFonts w:cs="Open Sans"/>
          <w:color w:val="1C1D1E"/>
          <w:sz w:val="20"/>
          <w:szCs w:val="20"/>
          <w:shd w:val="clear" w:color="auto" w:fill="FFFFFF"/>
        </w:rPr>
      </w:pPr>
      <w:r w:rsidRPr="00812568">
        <w:rPr>
          <w:rFonts w:cs="Open Sans"/>
          <w:color w:val="1C1D1E"/>
          <w:sz w:val="20"/>
          <w:szCs w:val="20"/>
          <w:shd w:val="clear" w:color="auto" w:fill="FFFFFF"/>
        </w:rPr>
        <w:t xml:space="preserve">Jenson, J. and de Castell, S. (2014). Online Games, Gender and Feminism in. In </w:t>
      </w:r>
      <w:proofErr w:type="gramStart"/>
      <w:r w:rsidRPr="00812568">
        <w:rPr>
          <w:rFonts w:cs="Open Sans"/>
          <w:color w:val="1C1D1E"/>
          <w:sz w:val="20"/>
          <w:szCs w:val="20"/>
          <w:shd w:val="clear" w:color="auto" w:fill="FFFFFF"/>
        </w:rPr>
        <w:t>The</w:t>
      </w:r>
      <w:proofErr w:type="gramEnd"/>
      <w:r w:rsidRPr="00812568">
        <w:rPr>
          <w:rFonts w:cs="Open Sans"/>
          <w:color w:val="1C1D1E"/>
          <w:sz w:val="20"/>
          <w:szCs w:val="20"/>
          <w:shd w:val="clear" w:color="auto" w:fill="FFFFFF"/>
        </w:rPr>
        <w:t xml:space="preserve"> International </w:t>
      </w:r>
      <w:proofErr w:type="spellStart"/>
      <w:r w:rsidRPr="00812568">
        <w:rPr>
          <w:rFonts w:cs="Open Sans"/>
          <w:color w:val="1C1D1E"/>
          <w:sz w:val="20"/>
          <w:szCs w:val="20"/>
          <w:shd w:val="clear" w:color="auto" w:fill="FFFFFF"/>
        </w:rPr>
        <w:t>Encyclopedia</w:t>
      </w:r>
      <w:proofErr w:type="spellEnd"/>
      <w:r w:rsidRPr="00812568">
        <w:rPr>
          <w:rFonts w:cs="Open Sans"/>
          <w:color w:val="1C1D1E"/>
          <w:sz w:val="20"/>
          <w:szCs w:val="20"/>
          <w:shd w:val="clear" w:color="auto" w:fill="FFFFFF"/>
        </w:rPr>
        <w:t xml:space="preserve"> of Digital Communication and Society (eds P.H. Ang and R. Mansell)</w:t>
      </w:r>
      <w:r w:rsidR="00902EF0">
        <w:rPr>
          <w:rFonts w:cs="Open Sans"/>
          <w:color w:val="1C1D1E"/>
          <w:sz w:val="20"/>
          <w:szCs w:val="20"/>
          <w:shd w:val="clear" w:color="auto" w:fill="FFFFFF"/>
        </w:rPr>
        <w:t>, pp.51-72.</w:t>
      </w:r>
    </w:p>
    <w:p w14:paraId="3C127FAF" w14:textId="77777777" w:rsidR="00CE7609" w:rsidRPr="00CE7609" w:rsidRDefault="00CE7609" w:rsidP="00CE4108">
      <w:pPr>
        <w:rPr>
          <w:rFonts w:cs="Open Sans"/>
          <w:color w:val="000000"/>
          <w:sz w:val="20"/>
          <w:szCs w:val="20"/>
          <w:shd w:val="clear" w:color="auto" w:fill="FFFFFF"/>
        </w:rPr>
      </w:pPr>
      <w:r w:rsidRPr="00812568">
        <w:rPr>
          <w:rFonts w:cs="Open Sans"/>
          <w:color w:val="000000"/>
          <w:sz w:val="20"/>
          <w:szCs w:val="20"/>
          <w:shd w:val="clear" w:color="auto" w:fill="FFFFFF"/>
        </w:rPr>
        <w:t xml:space="preserve">Jenson, J. and de Castell, S., 2010. Gender, Simulation, and Gaming: Research Review and </w:t>
      </w:r>
      <w:r w:rsidRPr="00CE7609">
        <w:rPr>
          <w:rFonts w:cs="Open Sans"/>
          <w:color w:val="000000"/>
          <w:sz w:val="20"/>
          <w:szCs w:val="20"/>
          <w:shd w:val="clear" w:color="auto" w:fill="FFFFFF"/>
        </w:rPr>
        <w:t>Redirections. </w:t>
      </w:r>
      <w:r w:rsidRPr="00CE7609">
        <w:rPr>
          <w:rFonts w:cs="Open Sans"/>
          <w:i/>
          <w:iCs/>
          <w:color w:val="000000"/>
          <w:sz w:val="20"/>
          <w:szCs w:val="20"/>
          <w:shd w:val="clear" w:color="auto" w:fill="FFFFFF"/>
        </w:rPr>
        <w:t>Simulation &amp; Gaming</w:t>
      </w:r>
      <w:r w:rsidRPr="00CE7609">
        <w:rPr>
          <w:rFonts w:cs="Open Sans"/>
          <w:color w:val="000000"/>
          <w:sz w:val="20"/>
          <w:szCs w:val="20"/>
          <w:shd w:val="clear" w:color="auto" w:fill="FFFFFF"/>
        </w:rPr>
        <w:t>, 41(1), pp.51-71.</w:t>
      </w:r>
    </w:p>
    <w:p w14:paraId="2CB93524" w14:textId="77777777" w:rsidR="00CE7609" w:rsidRPr="00CE7609" w:rsidRDefault="00CE7609" w:rsidP="00CE4108">
      <w:pPr>
        <w:rPr>
          <w:rFonts w:cs="Open Sans"/>
          <w:color w:val="000000"/>
          <w:sz w:val="20"/>
          <w:szCs w:val="20"/>
          <w:shd w:val="clear" w:color="auto" w:fill="FFFFFF"/>
        </w:rPr>
      </w:pPr>
      <w:proofErr w:type="spellStart"/>
      <w:r w:rsidRPr="00CE7609">
        <w:rPr>
          <w:rFonts w:cs="Open Sans"/>
          <w:color w:val="000000"/>
          <w:sz w:val="20"/>
          <w:szCs w:val="20"/>
          <w:shd w:val="clear" w:color="auto" w:fill="FFFFFF"/>
        </w:rPr>
        <w:t>Kuznekoff</w:t>
      </w:r>
      <w:proofErr w:type="spellEnd"/>
      <w:r w:rsidRPr="00CE7609">
        <w:rPr>
          <w:rFonts w:cs="Open Sans"/>
          <w:color w:val="000000"/>
          <w:sz w:val="20"/>
          <w:szCs w:val="20"/>
          <w:shd w:val="clear" w:color="auto" w:fill="FFFFFF"/>
        </w:rPr>
        <w:t>, J. and Rose, L., 2012. Communication in multiplayer gaming: Examining player responses to gender cues. </w:t>
      </w:r>
      <w:r w:rsidRPr="00CE7609">
        <w:rPr>
          <w:rFonts w:cs="Open Sans"/>
          <w:i/>
          <w:iCs/>
          <w:color w:val="000000"/>
          <w:sz w:val="20"/>
          <w:szCs w:val="20"/>
          <w:shd w:val="clear" w:color="auto" w:fill="FFFFFF"/>
        </w:rPr>
        <w:t>New Media &amp; Society</w:t>
      </w:r>
      <w:r w:rsidRPr="00CE7609">
        <w:rPr>
          <w:rFonts w:cs="Open Sans"/>
          <w:color w:val="000000"/>
          <w:sz w:val="20"/>
          <w:szCs w:val="20"/>
          <w:shd w:val="clear" w:color="auto" w:fill="FFFFFF"/>
        </w:rPr>
        <w:t>, 15(4), pp.541-556.</w:t>
      </w:r>
    </w:p>
    <w:p w14:paraId="58387461" w14:textId="77777777" w:rsidR="00CE7609" w:rsidRPr="00CE7609" w:rsidRDefault="00CE7609" w:rsidP="00CE4108">
      <w:pPr>
        <w:rPr>
          <w:rFonts w:cs="Open Sans"/>
          <w:color w:val="000000"/>
          <w:sz w:val="20"/>
          <w:szCs w:val="20"/>
          <w:shd w:val="clear" w:color="auto" w:fill="FFFFFF"/>
        </w:rPr>
      </w:pPr>
      <w:r w:rsidRPr="00CE7609">
        <w:rPr>
          <w:rFonts w:cs="Open Sans"/>
          <w:color w:val="000000"/>
          <w:sz w:val="20"/>
          <w:szCs w:val="20"/>
          <w:shd w:val="clear" w:color="auto" w:fill="FFFFFF"/>
        </w:rPr>
        <w:t>Theasa.org. 2020. </w:t>
      </w:r>
      <w:r w:rsidRPr="00CE7609">
        <w:rPr>
          <w:rFonts w:cs="Open Sans"/>
          <w:i/>
          <w:iCs/>
          <w:color w:val="000000"/>
          <w:sz w:val="20"/>
          <w:szCs w:val="20"/>
          <w:shd w:val="clear" w:color="auto" w:fill="FFFFFF"/>
        </w:rPr>
        <w:t>Ethical Guidelines</w:t>
      </w:r>
      <w:r w:rsidRPr="00CE7609">
        <w:rPr>
          <w:rFonts w:cs="Open Sans"/>
          <w:color w:val="000000"/>
          <w:sz w:val="20"/>
          <w:szCs w:val="20"/>
          <w:shd w:val="clear" w:color="auto" w:fill="FFFFFF"/>
        </w:rPr>
        <w:t>. [online] Available at: &lt;https://www.theasa.org/ethics/guidelines.shtml&gt; [Accessed 15 June 2020].</w:t>
      </w:r>
    </w:p>
    <w:p w14:paraId="746442B9" w14:textId="04DF8DE1" w:rsidR="00656DA1" w:rsidRPr="00CE7609" w:rsidRDefault="00656DA1" w:rsidP="00CE4108">
      <w:pPr>
        <w:rPr>
          <w:rFonts w:cs="Open Sans"/>
          <w:color w:val="000000"/>
          <w:sz w:val="20"/>
          <w:szCs w:val="20"/>
          <w:shd w:val="clear" w:color="auto" w:fill="FFFFFF"/>
        </w:rPr>
      </w:pPr>
    </w:p>
    <w:p w14:paraId="2845C6B0" w14:textId="6EECF404" w:rsidR="00656DA1" w:rsidRPr="00CE7609" w:rsidRDefault="00656DA1" w:rsidP="00CE4108">
      <w:pPr>
        <w:rPr>
          <w:rFonts w:cs="Open Sans"/>
          <w:color w:val="000000"/>
          <w:sz w:val="20"/>
          <w:szCs w:val="20"/>
          <w:shd w:val="clear" w:color="auto" w:fill="FFFFFF"/>
        </w:rPr>
      </w:pPr>
    </w:p>
    <w:p w14:paraId="217BACA8" w14:textId="53F8ED35" w:rsidR="00656DA1" w:rsidRDefault="00656DA1" w:rsidP="00CE4108">
      <w:pPr>
        <w:rPr>
          <w:rFonts w:ascii="Open Sans" w:hAnsi="Open Sans" w:cs="Open Sans"/>
          <w:color w:val="000000"/>
          <w:sz w:val="20"/>
          <w:szCs w:val="20"/>
          <w:shd w:val="clear" w:color="auto" w:fill="FFFFFF"/>
        </w:rPr>
      </w:pPr>
    </w:p>
    <w:p w14:paraId="048909C5" w14:textId="1058D380" w:rsidR="00656DA1" w:rsidRDefault="00656DA1" w:rsidP="00CE4108">
      <w:pPr>
        <w:rPr>
          <w:rFonts w:ascii="Open Sans" w:hAnsi="Open Sans" w:cs="Open Sans"/>
          <w:color w:val="000000"/>
          <w:sz w:val="20"/>
          <w:szCs w:val="20"/>
          <w:shd w:val="clear" w:color="auto" w:fill="FFFFFF"/>
        </w:rPr>
      </w:pPr>
    </w:p>
    <w:p w14:paraId="01BDD494" w14:textId="32810747" w:rsidR="00A06494" w:rsidRPr="0018073D" w:rsidRDefault="00A06494" w:rsidP="00CE4108">
      <w:pPr>
        <w:rPr>
          <w:rFonts w:ascii="Open Sans" w:hAnsi="Open Sans" w:cs="Open Sans"/>
          <w:color w:val="000000"/>
          <w:sz w:val="20"/>
          <w:szCs w:val="20"/>
          <w:shd w:val="clear" w:color="auto" w:fill="FFFFFF"/>
        </w:rPr>
      </w:pPr>
    </w:p>
    <w:sectPr w:rsidR="00A06494" w:rsidRPr="0018073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C2AEB20" w14:textId="77777777" w:rsidR="00766410" w:rsidRDefault="00766410" w:rsidP="00111A72">
      <w:pPr>
        <w:spacing w:after="0" w:line="240" w:lineRule="auto"/>
      </w:pPr>
      <w:r>
        <w:separator/>
      </w:r>
    </w:p>
  </w:endnote>
  <w:endnote w:type="continuationSeparator" w:id="0">
    <w:p w14:paraId="154D6BE8" w14:textId="77777777" w:rsidR="00766410" w:rsidRDefault="00766410" w:rsidP="00111A72">
      <w:pPr>
        <w:spacing w:after="0" w:line="240" w:lineRule="auto"/>
      </w:pPr>
      <w:r>
        <w:continuationSeparator/>
      </w:r>
    </w:p>
  </w:endnote>
  <w:endnote w:id="1">
    <w:p w14:paraId="21D1A7DB" w14:textId="50C1C4EE" w:rsidR="00AE3A25" w:rsidRDefault="00AE3A25">
      <w:pPr>
        <w:pStyle w:val="EndnoteText"/>
      </w:pPr>
      <w:r>
        <w:rPr>
          <w:rStyle w:val="EndnoteReference"/>
        </w:rPr>
        <w:endnoteRef/>
      </w:r>
      <w:r>
        <w:t xml:space="preserve"> My consent form, as pictured below.</w:t>
      </w:r>
    </w:p>
  </w:endnote>
  <w:endnote w:id="2">
    <w:p w14:paraId="7186419C" w14:textId="539D1FE0" w:rsidR="00111A72" w:rsidRPr="00A21AF4" w:rsidRDefault="00111A72">
      <w:pPr>
        <w:pStyle w:val="EndnoteText"/>
      </w:pPr>
      <w:r>
        <w:rPr>
          <w:rStyle w:val="EndnoteReference"/>
        </w:rPr>
        <w:endnoteRef/>
      </w:r>
      <w:r>
        <w:t xml:space="preserve"> The </w:t>
      </w:r>
      <w:r w:rsidRPr="00A21AF4">
        <w:t>character McCree as picture</w:t>
      </w:r>
      <w:r w:rsidR="00E61E66" w:rsidRPr="00A21AF4">
        <w:t>d</w:t>
      </w:r>
      <w:r w:rsidRPr="00A21AF4">
        <w:t xml:space="preserve"> below</w:t>
      </w:r>
      <w:r w:rsidR="00A6631F" w:rsidRPr="00A21AF4">
        <w:t xml:space="preserve"> </w:t>
      </w:r>
      <w:r w:rsidR="00A6631F" w:rsidRPr="00A21AF4">
        <w:rPr>
          <w:rFonts w:cs="Open Sans"/>
          <w:color w:val="000000"/>
          <w:shd w:val="clear" w:color="auto" w:fill="FFFFFF"/>
        </w:rPr>
        <w:t>(Blizzard Entertainment, 2020)</w:t>
      </w:r>
      <w:r w:rsidRPr="00A21AF4">
        <w:t xml:space="preserve">. A broad-shouldered Clint Eastwood type, known for his charm. He exudes the hyper-masculinised </w:t>
      </w:r>
      <w:r w:rsidR="009C2D73" w:rsidRPr="00A21AF4">
        <w:t>stereotypes that play into how the community views gender.</w:t>
      </w:r>
    </w:p>
  </w:endnote>
  <w:endnote w:id="3">
    <w:p w14:paraId="3845C4F8" w14:textId="60DB3AD8" w:rsidR="00656DA1" w:rsidRPr="00A21AF4" w:rsidRDefault="00656DA1">
      <w:pPr>
        <w:pStyle w:val="EndnoteText"/>
      </w:pPr>
      <w:r>
        <w:rPr>
          <w:rStyle w:val="EndnoteReference"/>
        </w:rPr>
        <w:endnoteRef/>
      </w:r>
      <w:r w:rsidR="00E61E66" w:rsidRPr="00A21AF4">
        <w:t>Mercy is portrayed as a</w:t>
      </w:r>
      <w:r w:rsidR="00187266" w:rsidRPr="00A21AF4">
        <w:t xml:space="preserve">n </w:t>
      </w:r>
      <w:r w:rsidR="00E61E66" w:rsidRPr="00A21AF4">
        <w:t>angel-like healer who is submissive and feminine. While Overwatch hosts a variety of female characters, most a</w:t>
      </w:r>
      <w:r w:rsidR="002E193E" w:rsidRPr="00A21AF4">
        <w:t>re</w:t>
      </w:r>
      <w:r w:rsidR="00E61E66" w:rsidRPr="00A21AF4">
        <w:t xml:space="preserve"> highly sexualised, as seen from the unrealistic proportions below</w:t>
      </w:r>
      <w:r w:rsidR="00A6631F" w:rsidRPr="00A21AF4">
        <w:t xml:space="preserve"> </w:t>
      </w:r>
      <w:r w:rsidR="00A6631F" w:rsidRPr="00A21AF4">
        <w:rPr>
          <w:rFonts w:cs="Open Sans"/>
          <w:color w:val="000000"/>
          <w:shd w:val="clear" w:color="auto" w:fill="FFFFFF"/>
        </w:rPr>
        <w:t>(Blizzard Entertainment, 2020)</w:t>
      </w:r>
      <w:r>
        <w:t>.</w:t>
      </w:r>
    </w:p>
  </w:endnote>
  <w:endnote w:id="4">
    <w:p w14:paraId="7CA74F2E" w14:textId="556D564C" w:rsidR="00656DA1" w:rsidRDefault="00656DA1">
      <w:pPr>
        <w:pStyle w:val="EndnoteText"/>
      </w:pPr>
      <w:r>
        <w:rPr>
          <w:rStyle w:val="EndnoteReference"/>
        </w:rPr>
        <w:endnoteRef/>
      </w:r>
      <w:r>
        <w:t xml:space="preserve"> </w:t>
      </w:r>
      <w:r w:rsidRPr="00A21AF4">
        <w:t>A sexualised insult directed towards women, often in the context of being told to go back to the kitchen.</w:t>
      </w:r>
    </w:p>
    <w:p w14:paraId="5E948410" w14:textId="5796117C" w:rsidR="00656DA1" w:rsidRDefault="00656DA1">
      <w:pPr>
        <w:pStyle w:val="EndnoteText"/>
      </w:pPr>
    </w:p>
    <w:p w14:paraId="33299E5C" w14:textId="64B5F5B9" w:rsidR="00AE3A25" w:rsidRDefault="00AE3A25">
      <w:pPr>
        <w:pStyle w:val="EndnoteText"/>
      </w:pPr>
    </w:p>
    <w:p w14:paraId="33A0AB33" w14:textId="4F6BD5A2" w:rsidR="00AE3A25" w:rsidRDefault="00AE3A25">
      <w:pPr>
        <w:pStyle w:val="EndnoteText"/>
      </w:pPr>
      <w:r>
        <w:rPr>
          <w:noProof/>
        </w:rPr>
        <w:drawing>
          <wp:inline distT="0" distB="0" distL="0" distR="0" wp14:anchorId="76EF771F" wp14:editId="0BBE8420">
            <wp:extent cx="5731510" cy="621665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onsetn form signed.png"/>
                    <pic:cNvPicPr/>
                  </pic:nvPicPr>
                  <pic:blipFill rotWithShape="1">
                    <a:blip r:embed="rId1">
                      <a:extLst>
                        <a:ext uri="{28A0092B-C50C-407E-A947-70E740481C1C}">
                          <a14:useLocalDpi xmlns:a14="http://schemas.microsoft.com/office/drawing/2010/main" val="0"/>
                        </a:ext>
                      </a:extLst>
                    </a:blip>
                    <a:srcRect l="31742" t="20681" r="31033" b="7524"/>
                    <a:stretch/>
                  </pic:blipFill>
                  <pic:spPr bwMode="auto">
                    <a:xfrm>
                      <a:off x="0" y="0"/>
                      <a:ext cx="5731510" cy="6216650"/>
                    </a:xfrm>
                    <a:prstGeom prst="rect">
                      <a:avLst/>
                    </a:prstGeom>
                    <a:ln>
                      <a:noFill/>
                    </a:ln>
                    <a:extLst>
                      <a:ext uri="{53640926-AAD7-44D8-BBD7-CCE9431645EC}">
                        <a14:shadowObscured xmlns:a14="http://schemas.microsoft.com/office/drawing/2010/main"/>
                      </a:ext>
                    </a:extLst>
                  </pic:spPr>
                </pic:pic>
              </a:graphicData>
            </a:graphic>
          </wp:inline>
        </w:drawing>
      </w:r>
    </w:p>
    <w:p w14:paraId="38277683" w14:textId="5CFA4E7D" w:rsidR="00AE3A25" w:rsidRDefault="00AE3A25">
      <w:pPr>
        <w:pStyle w:val="EndnoteText"/>
      </w:pPr>
    </w:p>
    <w:p w14:paraId="09A1F585" w14:textId="25549635" w:rsidR="00AE3A25" w:rsidRDefault="00AE3A25">
      <w:pPr>
        <w:pStyle w:val="EndnoteText"/>
      </w:pPr>
    </w:p>
    <w:p w14:paraId="39132D25" w14:textId="2FB7BFA1" w:rsidR="00AE3A25" w:rsidRDefault="00AE3A25">
      <w:pPr>
        <w:pStyle w:val="EndnoteText"/>
      </w:pPr>
    </w:p>
    <w:p w14:paraId="373F5F80" w14:textId="153F8D71" w:rsidR="00AE3A25" w:rsidRDefault="00AE3A25">
      <w:pPr>
        <w:pStyle w:val="EndnoteText"/>
      </w:pPr>
    </w:p>
    <w:p w14:paraId="4221D6A8" w14:textId="2734C41F" w:rsidR="00AE3A25" w:rsidRDefault="00AE3A25">
      <w:pPr>
        <w:pStyle w:val="EndnoteText"/>
      </w:pPr>
    </w:p>
    <w:p w14:paraId="2E54B1FA" w14:textId="023CA010" w:rsidR="00AE3A25" w:rsidRDefault="00AE3A25">
      <w:pPr>
        <w:pStyle w:val="EndnoteText"/>
      </w:pPr>
    </w:p>
    <w:p w14:paraId="6AD529ED" w14:textId="0EB65812" w:rsidR="00AE3A25" w:rsidRDefault="00AE3A25">
      <w:pPr>
        <w:pStyle w:val="EndnoteText"/>
      </w:pPr>
    </w:p>
    <w:p w14:paraId="045D7565" w14:textId="106D68C7" w:rsidR="00AE3A25" w:rsidRDefault="00AE3A25">
      <w:pPr>
        <w:pStyle w:val="EndnoteText"/>
      </w:pPr>
    </w:p>
    <w:p w14:paraId="50595FE7" w14:textId="0FC0F0F2" w:rsidR="00AE3A25" w:rsidRDefault="00AE3A25">
      <w:pPr>
        <w:pStyle w:val="EndnoteText"/>
      </w:pPr>
    </w:p>
    <w:p w14:paraId="77E82716" w14:textId="3E0F51A4" w:rsidR="00AE3A25" w:rsidRDefault="00AE3A25">
      <w:pPr>
        <w:pStyle w:val="EndnoteText"/>
      </w:pPr>
      <w:r w:rsidRPr="00C54274">
        <w:drawing>
          <wp:inline distT="0" distB="0" distL="0" distR="0" wp14:anchorId="6CBBD04D" wp14:editId="7C32FE00">
            <wp:extent cx="5730658" cy="2380593"/>
            <wp:effectExtent l="0" t="0" r="381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
                    <a:srcRect t="13203" b="12943"/>
                    <a:stretch/>
                  </pic:blipFill>
                  <pic:spPr bwMode="auto">
                    <a:xfrm>
                      <a:off x="0" y="0"/>
                      <a:ext cx="5731510" cy="2380947"/>
                    </a:xfrm>
                    <a:prstGeom prst="rect">
                      <a:avLst/>
                    </a:prstGeom>
                    <a:ln>
                      <a:noFill/>
                    </a:ln>
                    <a:extLst>
                      <a:ext uri="{53640926-AAD7-44D8-BBD7-CCE9431645EC}">
                        <a14:shadowObscured xmlns:a14="http://schemas.microsoft.com/office/drawing/2010/main"/>
                      </a:ext>
                    </a:extLst>
                  </pic:spPr>
                </pic:pic>
              </a:graphicData>
            </a:graphic>
          </wp:inline>
        </w:drawing>
      </w:r>
    </w:p>
    <w:p w14:paraId="7EB2A6F9" w14:textId="26BC9F7C" w:rsidR="00AE3A25" w:rsidRDefault="00AE3A25">
      <w:pPr>
        <w:pStyle w:val="EndnoteText"/>
      </w:pPr>
    </w:p>
    <w:p w14:paraId="2D3F29CC" w14:textId="6B33311A" w:rsidR="00AE3A25" w:rsidRDefault="00AE3A25">
      <w:pPr>
        <w:pStyle w:val="EndnoteText"/>
      </w:pPr>
    </w:p>
    <w:p w14:paraId="25EFA2EA" w14:textId="7549B735" w:rsidR="00AE3A25" w:rsidRDefault="00AE3A25">
      <w:pPr>
        <w:pStyle w:val="EndnoteText"/>
      </w:pPr>
    </w:p>
    <w:p w14:paraId="2806620B" w14:textId="5C22F777" w:rsidR="00AE3A25" w:rsidRDefault="00AE3A25">
      <w:pPr>
        <w:pStyle w:val="EndnoteText"/>
      </w:pPr>
      <w:r w:rsidRPr="00C54274">
        <w:drawing>
          <wp:inline distT="0" distB="0" distL="0" distR="0" wp14:anchorId="447C7A41" wp14:editId="2B8CBD0B">
            <wp:extent cx="5731510" cy="414274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
                    <a:stretch>
                      <a:fillRect/>
                    </a:stretch>
                  </pic:blipFill>
                  <pic:spPr>
                    <a:xfrm>
                      <a:off x="0" y="0"/>
                      <a:ext cx="5731510" cy="4142740"/>
                    </a:xfrm>
                    <a:prstGeom prst="rect">
                      <a:avLst/>
                    </a:prstGeom>
                  </pic:spPr>
                </pic:pic>
              </a:graphicData>
            </a:graphic>
          </wp:inline>
        </w:drawing>
      </w:r>
    </w:p>
    <w:p w14:paraId="550196EF" w14:textId="390835B4" w:rsidR="00AE3A25" w:rsidRDefault="00AE3A25">
      <w:pPr>
        <w:pStyle w:val="EndnoteText"/>
      </w:pPr>
    </w:p>
    <w:p w14:paraId="0B00FCEE" w14:textId="3FF3F553" w:rsidR="00AE3A25" w:rsidRDefault="00AE3A25">
      <w:pPr>
        <w:pStyle w:val="EndnoteText"/>
      </w:pPr>
    </w:p>
    <w:p w14:paraId="0D175A35" w14:textId="07A62410" w:rsidR="00AE3A25" w:rsidRDefault="00AE3A25">
      <w:pPr>
        <w:pStyle w:val="EndnoteText"/>
      </w:pPr>
    </w:p>
    <w:p w14:paraId="2AD3EC1C" w14:textId="1F15BBBA" w:rsidR="00AE3A25" w:rsidRDefault="00AE3A25">
      <w:pPr>
        <w:pStyle w:val="EndnoteText"/>
      </w:pPr>
    </w:p>
    <w:p w14:paraId="1FCF81F9" w14:textId="098B6A9C" w:rsidR="00AE3A25" w:rsidRDefault="00AE3A25">
      <w:pPr>
        <w:pStyle w:val="EndnoteText"/>
      </w:pPr>
    </w:p>
    <w:p w14:paraId="1AFBF298" w14:textId="742360D1" w:rsidR="00656DA1" w:rsidRDefault="00656DA1">
      <w:pPr>
        <w:pStyle w:val="EndnoteText"/>
      </w:pPr>
    </w:p>
    <w:p w14:paraId="0E7BACF5" w14:textId="57E24C2A" w:rsidR="00AE3A25" w:rsidRDefault="00AE3A25">
      <w:pPr>
        <w:pStyle w:val="EndnoteText"/>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Open Sans">
    <w:panose1 w:val="020B0606030504020204"/>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46E791B" w14:textId="77777777" w:rsidR="00766410" w:rsidRDefault="00766410" w:rsidP="00111A72">
      <w:pPr>
        <w:spacing w:after="0" w:line="240" w:lineRule="auto"/>
      </w:pPr>
      <w:r>
        <w:separator/>
      </w:r>
    </w:p>
  </w:footnote>
  <w:footnote w:type="continuationSeparator" w:id="0">
    <w:p w14:paraId="51423C08" w14:textId="77777777" w:rsidR="00766410" w:rsidRDefault="00766410" w:rsidP="00111A7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0A7C"/>
    <w:rsid w:val="0000333B"/>
    <w:rsid w:val="000110AA"/>
    <w:rsid w:val="00022BFE"/>
    <w:rsid w:val="0002360B"/>
    <w:rsid w:val="0004385D"/>
    <w:rsid w:val="00051A62"/>
    <w:rsid w:val="0007365F"/>
    <w:rsid w:val="00077CE2"/>
    <w:rsid w:val="0008323B"/>
    <w:rsid w:val="00084320"/>
    <w:rsid w:val="000A3B3A"/>
    <w:rsid w:val="000C63AC"/>
    <w:rsid w:val="000C63C1"/>
    <w:rsid w:val="000F54A9"/>
    <w:rsid w:val="0011193D"/>
    <w:rsid w:val="00111A72"/>
    <w:rsid w:val="0012239D"/>
    <w:rsid w:val="00144EC1"/>
    <w:rsid w:val="00153AF6"/>
    <w:rsid w:val="0015714C"/>
    <w:rsid w:val="0016001C"/>
    <w:rsid w:val="00160115"/>
    <w:rsid w:val="00165F00"/>
    <w:rsid w:val="00174F95"/>
    <w:rsid w:val="0018073D"/>
    <w:rsid w:val="00180ADA"/>
    <w:rsid w:val="001852C6"/>
    <w:rsid w:val="00187266"/>
    <w:rsid w:val="001B3179"/>
    <w:rsid w:val="001B4E31"/>
    <w:rsid w:val="001C10BE"/>
    <w:rsid w:val="001F2DCA"/>
    <w:rsid w:val="001F60B2"/>
    <w:rsid w:val="00201BB8"/>
    <w:rsid w:val="002131A6"/>
    <w:rsid w:val="002424E9"/>
    <w:rsid w:val="00245DD5"/>
    <w:rsid w:val="002511E4"/>
    <w:rsid w:val="00257DFE"/>
    <w:rsid w:val="002609FE"/>
    <w:rsid w:val="00261567"/>
    <w:rsid w:val="00271E2E"/>
    <w:rsid w:val="0028501C"/>
    <w:rsid w:val="002938AD"/>
    <w:rsid w:val="0029597E"/>
    <w:rsid w:val="0029603D"/>
    <w:rsid w:val="002B0DBD"/>
    <w:rsid w:val="002B24F9"/>
    <w:rsid w:val="002B6D98"/>
    <w:rsid w:val="002D05AD"/>
    <w:rsid w:val="002E193E"/>
    <w:rsid w:val="002E26B2"/>
    <w:rsid w:val="002F17AF"/>
    <w:rsid w:val="00332200"/>
    <w:rsid w:val="0033762E"/>
    <w:rsid w:val="00340A7C"/>
    <w:rsid w:val="0035394E"/>
    <w:rsid w:val="00360AE1"/>
    <w:rsid w:val="003610A3"/>
    <w:rsid w:val="00372CD9"/>
    <w:rsid w:val="00395AC6"/>
    <w:rsid w:val="003A0379"/>
    <w:rsid w:val="003A3A53"/>
    <w:rsid w:val="003A5C67"/>
    <w:rsid w:val="003C58DF"/>
    <w:rsid w:val="003D67A1"/>
    <w:rsid w:val="003E7737"/>
    <w:rsid w:val="003F79E0"/>
    <w:rsid w:val="00403BCD"/>
    <w:rsid w:val="004132EF"/>
    <w:rsid w:val="0044552D"/>
    <w:rsid w:val="004471EC"/>
    <w:rsid w:val="004742C8"/>
    <w:rsid w:val="00485D00"/>
    <w:rsid w:val="00496AC9"/>
    <w:rsid w:val="00497CB5"/>
    <w:rsid w:val="004B4E7F"/>
    <w:rsid w:val="004C41A2"/>
    <w:rsid w:val="004C5DAB"/>
    <w:rsid w:val="004C7CA2"/>
    <w:rsid w:val="004E0250"/>
    <w:rsid w:val="004E6A64"/>
    <w:rsid w:val="004F31A2"/>
    <w:rsid w:val="004F7C7F"/>
    <w:rsid w:val="00500386"/>
    <w:rsid w:val="0051461B"/>
    <w:rsid w:val="0052553A"/>
    <w:rsid w:val="00526C78"/>
    <w:rsid w:val="00527ABC"/>
    <w:rsid w:val="0053037D"/>
    <w:rsid w:val="00541155"/>
    <w:rsid w:val="00546F6C"/>
    <w:rsid w:val="005815C7"/>
    <w:rsid w:val="00585A1E"/>
    <w:rsid w:val="0059001D"/>
    <w:rsid w:val="005B2EB3"/>
    <w:rsid w:val="005B4F39"/>
    <w:rsid w:val="005C0D40"/>
    <w:rsid w:val="005C3C10"/>
    <w:rsid w:val="00605C2E"/>
    <w:rsid w:val="00613727"/>
    <w:rsid w:val="0062689E"/>
    <w:rsid w:val="00626B3C"/>
    <w:rsid w:val="00646CE6"/>
    <w:rsid w:val="00656DA1"/>
    <w:rsid w:val="00675092"/>
    <w:rsid w:val="00690E9A"/>
    <w:rsid w:val="006A72FC"/>
    <w:rsid w:val="006B5CD0"/>
    <w:rsid w:val="006C20FD"/>
    <w:rsid w:val="006C483F"/>
    <w:rsid w:val="006D5970"/>
    <w:rsid w:val="006E2C0F"/>
    <w:rsid w:val="006E6FFB"/>
    <w:rsid w:val="006F1C77"/>
    <w:rsid w:val="00700FAB"/>
    <w:rsid w:val="0071063C"/>
    <w:rsid w:val="0073474C"/>
    <w:rsid w:val="0076077E"/>
    <w:rsid w:val="00763DD7"/>
    <w:rsid w:val="00765F6C"/>
    <w:rsid w:val="00766410"/>
    <w:rsid w:val="00770C0B"/>
    <w:rsid w:val="007A48DA"/>
    <w:rsid w:val="007D2136"/>
    <w:rsid w:val="007D78A9"/>
    <w:rsid w:val="007E2112"/>
    <w:rsid w:val="007F5E93"/>
    <w:rsid w:val="007F64A7"/>
    <w:rsid w:val="00812568"/>
    <w:rsid w:val="00820976"/>
    <w:rsid w:val="00823F3F"/>
    <w:rsid w:val="00845073"/>
    <w:rsid w:val="0085016E"/>
    <w:rsid w:val="008522B8"/>
    <w:rsid w:val="0086261E"/>
    <w:rsid w:val="008742EC"/>
    <w:rsid w:val="008852A8"/>
    <w:rsid w:val="008875F1"/>
    <w:rsid w:val="00891A06"/>
    <w:rsid w:val="008A7BAB"/>
    <w:rsid w:val="008B5FB9"/>
    <w:rsid w:val="008C7EB9"/>
    <w:rsid w:val="008E0A1A"/>
    <w:rsid w:val="008E5BFF"/>
    <w:rsid w:val="008E63C2"/>
    <w:rsid w:val="008E75C5"/>
    <w:rsid w:val="008F4636"/>
    <w:rsid w:val="009019DD"/>
    <w:rsid w:val="00902EF0"/>
    <w:rsid w:val="009036F5"/>
    <w:rsid w:val="0091437F"/>
    <w:rsid w:val="009146D6"/>
    <w:rsid w:val="00914D66"/>
    <w:rsid w:val="009214C1"/>
    <w:rsid w:val="00924838"/>
    <w:rsid w:val="009263FB"/>
    <w:rsid w:val="00935DEB"/>
    <w:rsid w:val="00976DA9"/>
    <w:rsid w:val="009931E8"/>
    <w:rsid w:val="009941E0"/>
    <w:rsid w:val="009A17E0"/>
    <w:rsid w:val="009A1826"/>
    <w:rsid w:val="009A67C0"/>
    <w:rsid w:val="009A68C5"/>
    <w:rsid w:val="009C2D73"/>
    <w:rsid w:val="009C5758"/>
    <w:rsid w:val="009E2395"/>
    <w:rsid w:val="00A00CBA"/>
    <w:rsid w:val="00A06494"/>
    <w:rsid w:val="00A077A8"/>
    <w:rsid w:val="00A1429B"/>
    <w:rsid w:val="00A14A32"/>
    <w:rsid w:val="00A21AF4"/>
    <w:rsid w:val="00A261E8"/>
    <w:rsid w:val="00A31A1A"/>
    <w:rsid w:val="00A60A20"/>
    <w:rsid w:val="00A65FD2"/>
    <w:rsid w:val="00A6631F"/>
    <w:rsid w:val="00A90E23"/>
    <w:rsid w:val="00A959D3"/>
    <w:rsid w:val="00AA1638"/>
    <w:rsid w:val="00AC0870"/>
    <w:rsid w:val="00AE3A25"/>
    <w:rsid w:val="00AF2EDD"/>
    <w:rsid w:val="00AF4B51"/>
    <w:rsid w:val="00B05CA9"/>
    <w:rsid w:val="00B11A32"/>
    <w:rsid w:val="00B26391"/>
    <w:rsid w:val="00B460EB"/>
    <w:rsid w:val="00B5323C"/>
    <w:rsid w:val="00B637A1"/>
    <w:rsid w:val="00B706B1"/>
    <w:rsid w:val="00B80AC9"/>
    <w:rsid w:val="00BC15C7"/>
    <w:rsid w:val="00BC3562"/>
    <w:rsid w:val="00BD49E9"/>
    <w:rsid w:val="00BF2089"/>
    <w:rsid w:val="00BF2464"/>
    <w:rsid w:val="00BF4FAE"/>
    <w:rsid w:val="00C12AD1"/>
    <w:rsid w:val="00C157F5"/>
    <w:rsid w:val="00C31D56"/>
    <w:rsid w:val="00C54274"/>
    <w:rsid w:val="00C67295"/>
    <w:rsid w:val="00C91755"/>
    <w:rsid w:val="00C9335B"/>
    <w:rsid w:val="00C96FD7"/>
    <w:rsid w:val="00C978E5"/>
    <w:rsid w:val="00CA4AC4"/>
    <w:rsid w:val="00CA796A"/>
    <w:rsid w:val="00CB30ED"/>
    <w:rsid w:val="00CB46D4"/>
    <w:rsid w:val="00CE323C"/>
    <w:rsid w:val="00CE4108"/>
    <w:rsid w:val="00CE7609"/>
    <w:rsid w:val="00D1484B"/>
    <w:rsid w:val="00D54E57"/>
    <w:rsid w:val="00D90AA4"/>
    <w:rsid w:val="00D957BC"/>
    <w:rsid w:val="00DB22AF"/>
    <w:rsid w:val="00DB6945"/>
    <w:rsid w:val="00DC0C06"/>
    <w:rsid w:val="00DE2701"/>
    <w:rsid w:val="00DE2D4E"/>
    <w:rsid w:val="00DE46BB"/>
    <w:rsid w:val="00DE6C2D"/>
    <w:rsid w:val="00DF3353"/>
    <w:rsid w:val="00DF3AF4"/>
    <w:rsid w:val="00E04221"/>
    <w:rsid w:val="00E0556D"/>
    <w:rsid w:val="00E0605D"/>
    <w:rsid w:val="00E1318B"/>
    <w:rsid w:val="00E13920"/>
    <w:rsid w:val="00E24E77"/>
    <w:rsid w:val="00E3449C"/>
    <w:rsid w:val="00E562C0"/>
    <w:rsid w:val="00E61E66"/>
    <w:rsid w:val="00E719C4"/>
    <w:rsid w:val="00EB5A94"/>
    <w:rsid w:val="00EB5CAF"/>
    <w:rsid w:val="00ED01B3"/>
    <w:rsid w:val="00ED0B24"/>
    <w:rsid w:val="00F1158A"/>
    <w:rsid w:val="00F13522"/>
    <w:rsid w:val="00F54BE4"/>
    <w:rsid w:val="00F54FB7"/>
    <w:rsid w:val="00F6723D"/>
    <w:rsid w:val="00F77BE0"/>
    <w:rsid w:val="00FB5831"/>
    <w:rsid w:val="00FB5CB3"/>
    <w:rsid w:val="00FD015D"/>
    <w:rsid w:val="00FE00DA"/>
    <w:rsid w:val="00FE3D5B"/>
    <w:rsid w:val="00FF14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C8BD9E"/>
  <w15:chartTrackingRefBased/>
  <w15:docId w15:val="{7B1CF7BD-2E44-4894-A76A-02E2B61A4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40A7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40A7C"/>
    <w:rPr>
      <w:rFonts w:ascii="Segoe UI" w:hAnsi="Segoe UI" w:cs="Segoe UI"/>
      <w:sz w:val="18"/>
      <w:szCs w:val="18"/>
    </w:rPr>
  </w:style>
  <w:style w:type="paragraph" w:styleId="Title">
    <w:name w:val="Title"/>
    <w:basedOn w:val="Normal"/>
    <w:next w:val="Normal"/>
    <w:link w:val="TitleChar"/>
    <w:uiPriority w:val="10"/>
    <w:qFormat/>
    <w:rsid w:val="00144EC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44EC1"/>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semiHidden/>
    <w:unhideWhenUsed/>
    <w:rsid w:val="00180ADA"/>
    <w:rPr>
      <w:color w:val="0000FF"/>
      <w:u w:val="single"/>
    </w:rPr>
  </w:style>
  <w:style w:type="paragraph" w:styleId="NormalWeb">
    <w:name w:val="Normal (Web)"/>
    <w:basedOn w:val="Normal"/>
    <w:uiPriority w:val="99"/>
    <w:semiHidden/>
    <w:unhideWhenUsed/>
    <w:rsid w:val="006A72F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4742C8"/>
    <w:rPr>
      <w:sz w:val="16"/>
      <w:szCs w:val="16"/>
    </w:rPr>
  </w:style>
  <w:style w:type="paragraph" w:styleId="CommentText">
    <w:name w:val="annotation text"/>
    <w:basedOn w:val="Normal"/>
    <w:link w:val="CommentTextChar"/>
    <w:uiPriority w:val="99"/>
    <w:semiHidden/>
    <w:unhideWhenUsed/>
    <w:rsid w:val="004742C8"/>
    <w:pPr>
      <w:spacing w:line="240" w:lineRule="auto"/>
    </w:pPr>
    <w:rPr>
      <w:sz w:val="20"/>
      <w:szCs w:val="20"/>
    </w:rPr>
  </w:style>
  <w:style w:type="character" w:customStyle="1" w:styleId="CommentTextChar">
    <w:name w:val="Comment Text Char"/>
    <w:basedOn w:val="DefaultParagraphFont"/>
    <w:link w:val="CommentText"/>
    <w:uiPriority w:val="99"/>
    <w:semiHidden/>
    <w:rsid w:val="004742C8"/>
    <w:rPr>
      <w:sz w:val="20"/>
      <w:szCs w:val="20"/>
    </w:rPr>
  </w:style>
  <w:style w:type="paragraph" w:styleId="CommentSubject">
    <w:name w:val="annotation subject"/>
    <w:basedOn w:val="CommentText"/>
    <w:next w:val="CommentText"/>
    <w:link w:val="CommentSubjectChar"/>
    <w:uiPriority w:val="99"/>
    <w:semiHidden/>
    <w:unhideWhenUsed/>
    <w:rsid w:val="004742C8"/>
    <w:rPr>
      <w:b/>
      <w:bCs/>
    </w:rPr>
  </w:style>
  <w:style w:type="character" w:customStyle="1" w:styleId="CommentSubjectChar">
    <w:name w:val="Comment Subject Char"/>
    <w:basedOn w:val="CommentTextChar"/>
    <w:link w:val="CommentSubject"/>
    <w:uiPriority w:val="99"/>
    <w:semiHidden/>
    <w:rsid w:val="004742C8"/>
    <w:rPr>
      <w:b/>
      <w:bCs/>
      <w:sz w:val="20"/>
      <w:szCs w:val="20"/>
    </w:rPr>
  </w:style>
  <w:style w:type="paragraph" w:styleId="FootnoteText">
    <w:name w:val="footnote text"/>
    <w:basedOn w:val="Normal"/>
    <w:link w:val="FootnoteTextChar"/>
    <w:uiPriority w:val="99"/>
    <w:semiHidden/>
    <w:unhideWhenUsed/>
    <w:rsid w:val="00111A7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11A72"/>
    <w:rPr>
      <w:sz w:val="20"/>
      <w:szCs w:val="20"/>
    </w:rPr>
  </w:style>
  <w:style w:type="character" w:styleId="FootnoteReference">
    <w:name w:val="footnote reference"/>
    <w:basedOn w:val="DefaultParagraphFont"/>
    <w:uiPriority w:val="99"/>
    <w:semiHidden/>
    <w:unhideWhenUsed/>
    <w:rsid w:val="00111A72"/>
    <w:rPr>
      <w:vertAlign w:val="superscript"/>
    </w:rPr>
  </w:style>
  <w:style w:type="paragraph" w:styleId="EndnoteText">
    <w:name w:val="endnote text"/>
    <w:basedOn w:val="Normal"/>
    <w:link w:val="EndnoteTextChar"/>
    <w:uiPriority w:val="99"/>
    <w:semiHidden/>
    <w:unhideWhenUsed/>
    <w:rsid w:val="00111A7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111A72"/>
    <w:rPr>
      <w:sz w:val="20"/>
      <w:szCs w:val="20"/>
    </w:rPr>
  </w:style>
  <w:style w:type="character" w:styleId="EndnoteReference">
    <w:name w:val="endnote reference"/>
    <w:basedOn w:val="DefaultParagraphFont"/>
    <w:uiPriority w:val="99"/>
    <w:semiHidden/>
    <w:unhideWhenUsed/>
    <w:rsid w:val="00111A72"/>
    <w:rPr>
      <w:vertAlign w:val="superscript"/>
    </w:rPr>
  </w:style>
  <w:style w:type="paragraph" w:styleId="Caption">
    <w:name w:val="caption"/>
    <w:basedOn w:val="Normal"/>
    <w:next w:val="Normal"/>
    <w:uiPriority w:val="35"/>
    <w:unhideWhenUsed/>
    <w:qFormat/>
    <w:rsid w:val="002D05AD"/>
    <w:pPr>
      <w:spacing w:after="200" w:line="240" w:lineRule="auto"/>
    </w:pPr>
    <w:rPr>
      <w:i/>
      <w:iCs/>
      <w:color w:val="44546A" w:themeColor="text2"/>
      <w:sz w:val="18"/>
      <w:szCs w:val="18"/>
    </w:rPr>
  </w:style>
  <w:style w:type="paragraph" w:customStyle="1" w:styleId="paragraph">
    <w:name w:val="paragraph"/>
    <w:basedOn w:val="Normal"/>
    <w:rsid w:val="00AC087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C0870"/>
  </w:style>
  <w:style w:type="character" w:customStyle="1" w:styleId="eop">
    <w:name w:val="eop"/>
    <w:basedOn w:val="DefaultParagraphFont"/>
    <w:rsid w:val="00AC0870"/>
  </w:style>
  <w:style w:type="character" w:customStyle="1" w:styleId="advancedproofingissue">
    <w:name w:val="advancedproofingissue"/>
    <w:basedOn w:val="DefaultParagraphFont"/>
    <w:rsid w:val="00EB5A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67041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endnotes.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5AD56F-C698-4E86-8D97-1E9981A1A6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10698</TotalTime>
  <Pages>6</Pages>
  <Words>1954</Words>
  <Characters>11139</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Saskia Klopper</dc:creator>
  <cp:keywords/>
  <dc:description/>
  <cp:lastModifiedBy>Saskia Klopper</cp:lastModifiedBy>
  <cp:revision>293</cp:revision>
  <dcterms:created xsi:type="dcterms:W3CDTF">2020-06-06T13:29:00Z</dcterms:created>
  <dcterms:modified xsi:type="dcterms:W3CDTF">2020-06-18T15:27:00Z</dcterms:modified>
</cp:coreProperties>
</file>