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1A62A3" w14:textId="3596861E" w:rsidR="00FC74D4" w:rsidRPr="00B35A18" w:rsidRDefault="00FC74D4">
      <w:pPr>
        <w:rPr>
          <w:sz w:val="32"/>
          <w:szCs w:val="32"/>
        </w:rPr>
      </w:pPr>
      <w:r w:rsidRPr="00B35A18">
        <w:rPr>
          <w:sz w:val="32"/>
          <w:szCs w:val="32"/>
        </w:rPr>
        <w:t>How useful is the distinction between public and private religion when studying cultic practices and beliefs in Pompeii?</w:t>
      </w:r>
    </w:p>
    <w:p w14:paraId="3485A2A0" w14:textId="77777777" w:rsidR="00FC74D4" w:rsidRDefault="00FC74D4"/>
    <w:p w14:paraId="3014C94E" w14:textId="540A643C" w:rsidR="00FC74D4" w:rsidRDefault="001E1A8F">
      <w:r>
        <w:t xml:space="preserve">The </w:t>
      </w:r>
      <w:r w:rsidR="007D5ABB">
        <w:t>distinction between public and private religion in the cultic practices and beliefs of Pompeii is a somewhat muddled one.</w:t>
      </w:r>
      <w:r w:rsidR="002D3BD5">
        <w:t xml:space="preserve"> Much of the practice </w:t>
      </w:r>
      <w:r w:rsidR="00D45608">
        <w:t>of religion is</w:t>
      </w:r>
      <w:r w:rsidR="00DA0EB6">
        <w:t xml:space="preserve"> </w:t>
      </w:r>
      <w:r w:rsidR="00675635">
        <w:t>a cultural</w:t>
      </w:r>
      <w:r w:rsidR="00C75930">
        <w:t xml:space="preserve"> expectation of the roman</w:t>
      </w:r>
      <w:r w:rsidR="00720B12">
        <w:t xml:space="preserve"> world, and many of the practices</w:t>
      </w:r>
      <w:r w:rsidR="00C85110">
        <w:t xml:space="preserve"> of</w:t>
      </w:r>
      <w:r w:rsidR="00720B12">
        <w:t xml:space="preserve"> public religion echo in that of private religion, and vice versa</w:t>
      </w:r>
      <w:r w:rsidR="00C75930">
        <w:t>.</w:t>
      </w:r>
      <w:r w:rsidR="00884740">
        <w:t xml:space="preserve"> </w:t>
      </w:r>
      <w:r w:rsidR="001032F3">
        <w:t xml:space="preserve">The question of how useful is public and private as a distinction is </w:t>
      </w:r>
      <w:r w:rsidR="007234C9">
        <w:t>to the study of cultic and religious practice and belief is thus a somewhat convoluted topic.</w:t>
      </w:r>
    </w:p>
    <w:p w14:paraId="0CC4D85A" w14:textId="05F2B142" w:rsidR="006408F0" w:rsidRDefault="001807FE">
      <w:r>
        <w:t xml:space="preserve">A useful tool for </w:t>
      </w:r>
      <w:r w:rsidR="00EC0FBD">
        <w:t>interpreting public and private religion in the Roman world is given to us by Graham</w:t>
      </w:r>
      <w:r w:rsidR="000C5917">
        <w:t xml:space="preserve"> </w:t>
      </w:r>
      <w:r w:rsidR="00FD4E47">
        <w:t>(2021)</w:t>
      </w:r>
      <w:r w:rsidR="00EC0FBD">
        <w:t xml:space="preserve"> in </w:t>
      </w:r>
      <w:r w:rsidR="00FD4E47">
        <w:t>the</w:t>
      </w:r>
      <w:r w:rsidR="00EC0FBD">
        <w:t xml:space="preserve"> defining of “distal” and “proximal” religious knowledge</w:t>
      </w:r>
      <w:r w:rsidR="00EC0FBD">
        <w:rPr>
          <w:rStyle w:val="FootnoteReference"/>
        </w:rPr>
        <w:footnoteReference w:id="1"/>
      </w:r>
      <w:r w:rsidR="00EC0FBD">
        <w:t xml:space="preserve">. </w:t>
      </w:r>
      <w:r w:rsidR="009C552F">
        <w:t>“</w:t>
      </w:r>
      <w:r w:rsidR="006408F0">
        <w:t>Distal</w:t>
      </w:r>
      <w:r w:rsidR="009C552F">
        <w:t>”</w:t>
      </w:r>
      <w:r w:rsidR="006408F0">
        <w:t xml:space="preserve"> knowledge typically encompasses the more public and cultural understanding of the religion that would be acquired through cultural </w:t>
      </w:r>
      <w:r w:rsidR="009C552F">
        <w:t xml:space="preserve">membership of the Roman religion, whereas “proximal” knowledge encompasses the </w:t>
      </w:r>
      <w:r w:rsidR="006D7FA6">
        <w:t>knowledge gained through personal interaction with the religion through ritualised activities.</w:t>
      </w:r>
      <w:r w:rsidR="00A574F4">
        <w:rPr>
          <w:rStyle w:val="FootnoteReference"/>
        </w:rPr>
        <w:footnoteReference w:id="2"/>
      </w:r>
      <w:r w:rsidR="00FD4E47">
        <w:t xml:space="preserve"> </w:t>
      </w:r>
      <w:r w:rsidR="006408F0">
        <w:t xml:space="preserve">It should of course be noted that </w:t>
      </w:r>
      <w:r w:rsidR="00FC52A9">
        <w:t xml:space="preserve">distal and proximal knowledge are not a 1:1 match with </w:t>
      </w:r>
      <w:r w:rsidR="009A0BB1">
        <w:t xml:space="preserve">public and private religion, however </w:t>
      </w:r>
      <w:r w:rsidR="000C595C">
        <w:t xml:space="preserve">they are a useful </w:t>
      </w:r>
      <w:r w:rsidR="00C52F55">
        <w:t>framework</w:t>
      </w:r>
      <w:r w:rsidR="001856DF">
        <w:t xml:space="preserve"> for the discussion of </w:t>
      </w:r>
      <w:r w:rsidR="00B64438">
        <w:t xml:space="preserve">the </w:t>
      </w:r>
      <w:r w:rsidR="001856DF">
        <w:t>difference</w:t>
      </w:r>
      <w:r w:rsidR="00B64438">
        <w:t>s the practice of</w:t>
      </w:r>
      <w:r w:rsidR="001856DF">
        <w:t xml:space="preserve"> religion</w:t>
      </w:r>
      <w:r w:rsidR="00447937">
        <w:t xml:space="preserve">, as they provide a </w:t>
      </w:r>
      <w:r w:rsidR="003F08F9">
        <w:t xml:space="preserve">less overlapping </w:t>
      </w:r>
      <w:r w:rsidR="00447937">
        <w:t>dichotomy</w:t>
      </w:r>
      <w:r w:rsidR="00B6799C">
        <w:t>.</w:t>
      </w:r>
    </w:p>
    <w:p w14:paraId="633B567D" w14:textId="5810C8BA" w:rsidR="001807FE" w:rsidRDefault="009837F4">
      <w:r>
        <w:t>A</w:t>
      </w:r>
      <w:r w:rsidR="00292A4D">
        <w:t xml:space="preserve">n important </w:t>
      </w:r>
      <w:r w:rsidR="00962A6D">
        <w:t xml:space="preserve">part of Pompeii’s religious world to look at in the study of public and private religion </w:t>
      </w:r>
      <w:r w:rsidR="009A41D5">
        <w:t>are</w:t>
      </w:r>
      <w:r w:rsidR="00962A6D">
        <w:t xml:space="preserve"> the </w:t>
      </w:r>
      <w:r w:rsidR="00B87316">
        <w:t>Lares.</w:t>
      </w:r>
      <w:r w:rsidR="006536F4">
        <w:t xml:space="preserve"> Lares are</w:t>
      </w:r>
      <w:r w:rsidR="00BE1D90">
        <w:t xml:space="preserve"> typically considered a form of spirit</w:t>
      </w:r>
      <w:r w:rsidR="00453445">
        <w:t>, likely guardians of places,</w:t>
      </w:r>
      <w:r w:rsidR="00453445">
        <w:rPr>
          <w:rStyle w:val="FootnoteReference"/>
        </w:rPr>
        <w:footnoteReference w:id="3"/>
      </w:r>
      <w:r w:rsidR="00453445">
        <w:t xml:space="preserve"> and there is some speculation that they were also revered in some </w:t>
      </w:r>
      <w:r w:rsidR="00D11807">
        <w:t>respects</w:t>
      </w:r>
      <w:r w:rsidR="00453445">
        <w:t xml:space="preserve"> as the spirits of ancestors</w:t>
      </w:r>
      <w:r w:rsidR="00030C2C">
        <w:rPr>
          <w:rStyle w:val="FootnoteReference"/>
        </w:rPr>
        <w:footnoteReference w:id="4"/>
      </w:r>
      <w:r w:rsidR="00BE1D90">
        <w:t>.</w:t>
      </w:r>
      <w:r w:rsidR="002654FE">
        <w:t xml:space="preserve"> </w:t>
      </w:r>
      <w:r w:rsidR="003652B1">
        <w:t>Lares</w:t>
      </w:r>
      <w:r w:rsidR="00132835">
        <w:t xml:space="preserve"> were present in both public and private religious </w:t>
      </w:r>
      <w:r w:rsidR="002D48B9">
        <w:t>life</w:t>
      </w:r>
      <w:r w:rsidR="00D7392C">
        <w:t>, showing a bridge between the two</w:t>
      </w:r>
      <w:r w:rsidR="00132835">
        <w:t>.</w:t>
      </w:r>
      <w:r w:rsidR="00882329">
        <w:t xml:space="preserve"> In public, the Lares</w:t>
      </w:r>
      <w:r w:rsidR="008529FE">
        <w:t>’ shrines</w:t>
      </w:r>
      <w:r w:rsidR="00882329">
        <w:t xml:space="preserve"> were </w:t>
      </w:r>
      <w:r w:rsidR="0068642B">
        <w:t xml:space="preserve">typically found at </w:t>
      </w:r>
      <w:r w:rsidR="008529FE">
        <w:t xml:space="preserve">street corners or other </w:t>
      </w:r>
      <w:r w:rsidR="00F1365C">
        <w:t xml:space="preserve">roadside </w:t>
      </w:r>
      <w:r w:rsidR="00D871DE">
        <w:t>locations</w:t>
      </w:r>
      <w:r w:rsidR="00AB1A9A">
        <w:t xml:space="preserve">, while in private many houses possess small shrines </w:t>
      </w:r>
      <w:r w:rsidR="009C2FF1">
        <w:t>containing</w:t>
      </w:r>
      <w:r w:rsidR="00AB1A9A">
        <w:t xml:space="preserve"> Lares</w:t>
      </w:r>
      <w:r w:rsidR="00750844">
        <w:t>, which are notably usually situated in a separate shrine to the rest of the household gods</w:t>
      </w:r>
      <w:r w:rsidR="00882D41">
        <w:t xml:space="preserve"> and spirits</w:t>
      </w:r>
      <w:r w:rsidR="00D871DE">
        <w:t>.</w:t>
      </w:r>
      <w:r w:rsidR="003F5554">
        <w:rPr>
          <w:rStyle w:val="FootnoteReference"/>
        </w:rPr>
        <w:footnoteReference w:id="5"/>
      </w:r>
      <w:r w:rsidR="00465352">
        <w:t xml:space="preserve"> Some </w:t>
      </w:r>
      <w:r w:rsidR="000422A9">
        <w:t xml:space="preserve">iconographic </w:t>
      </w:r>
      <w:r w:rsidR="00465352">
        <w:t xml:space="preserve">differences </w:t>
      </w:r>
      <w:r w:rsidR="00FE3B42">
        <w:t xml:space="preserve">in depictions </w:t>
      </w:r>
      <w:r w:rsidR="00465352">
        <w:t>exist between the two,</w:t>
      </w:r>
      <w:r w:rsidR="00336DB9">
        <w:rPr>
          <w:rStyle w:val="FootnoteReference"/>
        </w:rPr>
        <w:footnoteReference w:id="6"/>
      </w:r>
      <w:r w:rsidR="00465352">
        <w:t xml:space="preserve"> however the</w:t>
      </w:r>
      <w:r w:rsidR="00FA7678">
        <w:t xml:space="preserve"> differences</w:t>
      </w:r>
      <w:r w:rsidR="00465352">
        <w:t xml:space="preserve"> are relatively minimal in terms of</w:t>
      </w:r>
      <w:r w:rsidR="00CA345C">
        <w:t xml:space="preserve"> actual</w:t>
      </w:r>
      <w:r w:rsidR="00465352">
        <w:t xml:space="preserve"> purpose</w:t>
      </w:r>
      <w:r w:rsidR="00CA345C">
        <w:t xml:space="preserve"> within the</w:t>
      </w:r>
      <w:r w:rsidR="00C636D3">
        <w:t xml:space="preserve"> religious activity relating to them</w:t>
      </w:r>
      <w:r w:rsidR="00465352">
        <w:t>.</w:t>
      </w:r>
      <w:r w:rsidR="0003003C">
        <w:t xml:space="preserve"> The </w:t>
      </w:r>
      <w:r w:rsidR="00733EA4">
        <w:t>Lares provide an example of the</w:t>
      </w:r>
      <w:r w:rsidR="001169BF">
        <w:t xml:space="preserve"> lack of</w:t>
      </w:r>
      <w:r w:rsidR="002E1D6D">
        <w:t xml:space="preserve"> hard</w:t>
      </w:r>
      <w:r w:rsidR="001169BF">
        <w:t xml:space="preserve"> distinction </w:t>
      </w:r>
      <w:r w:rsidR="002E1D6D">
        <w:t xml:space="preserve">between public and private religion </w:t>
      </w:r>
      <w:r w:rsidR="001169BF">
        <w:t>that can be found in the religious practices of Pompeii. While the proximal connection between the two</w:t>
      </w:r>
      <w:r w:rsidR="009F2D36">
        <w:t xml:space="preserve"> formats</w:t>
      </w:r>
      <w:r w:rsidR="001169BF">
        <w:t xml:space="preserve"> may differ slightly, the distal understanding of the Lares is broadly similar in both public and private circumstance.</w:t>
      </w:r>
      <w:r w:rsidR="007F27E9">
        <w:t xml:space="preserve"> This demonstrates the </w:t>
      </w:r>
      <w:r w:rsidR="007F27E9">
        <w:lastRenderedPageBreak/>
        <w:t xml:space="preserve">lack of clear boundaries between </w:t>
      </w:r>
      <w:r w:rsidR="005D30EF">
        <w:t xml:space="preserve">the </w:t>
      </w:r>
      <w:r w:rsidR="00117D30">
        <w:t>public and private practices and beliefs of the people of Pompeii</w:t>
      </w:r>
      <w:r w:rsidR="00C71D33">
        <w:t>.</w:t>
      </w:r>
    </w:p>
    <w:p w14:paraId="53B91858" w14:textId="51A0AC78" w:rsidR="006E060E" w:rsidRDefault="006E060E">
      <w:r>
        <w:t>One example of how the distinction between private and public religious activity shows itself is in its organisation</w:t>
      </w:r>
      <w:r w:rsidR="00A1132E">
        <w:t xml:space="preserve"> and influence</w:t>
      </w:r>
      <w:r>
        <w:t>. Private religion typically lacked any dedicated spaces larger than a small shrine in a niche of a domus, such as would house Lares</w:t>
      </w:r>
      <w:r>
        <w:rPr>
          <w:rStyle w:val="FootnoteReference"/>
        </w:rPr>
        <w:footnoteReference w:id="7"/>
      </w:r>
      <w:r>
        <w:t xml:space="preserve">, however public religious practice had organised leading figures and practitioners. A notable example of this was the public priestess Eumachia. The practitioners of public religion were typically notable and somewhat powerful figures. In Eumachia’s case, she possessed a </w:t>
      </w:r>
      <w:r w:rsidR="00047886">
        <w:t xml:space="preserve">notable amount of influence, enough to </w:t>
      </w:r>
      <w:r w:rsidR="00BD4F20">
        <w:t>have one of the largest buildings on the forum of Pompeii</w:t>
      </w:r>
      <w:r>
        <w:t>.</w:t>
      </w:r>
      <w:r w:rsidR="00F465E7">
        <w:rPr>
          <w:rStyle w:val="FootnoteReference"/>
        </w:rPr>
        <w:footnoteReference w:id="8"/>
      </w:r>
      <w:r w:rsidR="005D4CB1">
        <w:t xml:space="preserve"> This demonstrates an important difference in the level of influence projected by </w:t>
      </w:r>
      <w:r w:rsidR="009E3AB9">
        <w:t xml:space="preserve">the </w:t>
      </w:r>
      <w:r w:rsidR="0065160E">
        <w:t>leading practitioners of public religion.</w:t>
      </w:r>
      <w:r w:rsidR="00F465E7">
        <w:t xml:space="preserve"> This does give a use case </w:t>
      </w:r>
      <w:r w:rsidR="008E2142">
        <w:t>for the distinction between public and private religious practice.</w:t>
      </w:r>
    </w:p>
    <w:p w14:paraId="0BAA62EC" w14:textId="0B77734D" w:rsidR="001807FE" w:rsidRDefault="00ED5A8A">
      <w:r>
        <w:t>It is important to address that there were some instances in which the religious activities of Pompeii were both public and private to a certain extent. A number of mystery cults were</w:t>
      </w:r>
      <w:r w:rsidRPr="00ED5A8A">
        <w:t xml:space="preserve"> </w:t>
      </w:r>
      <w:r>
        <w:t>p</w:t>
      </w:r>
      <w:r>
        <w:t>resent in Pompeii</w:t>
      </w:r>
      <w:r w:rsidR="00C81AFC">
        <w:t>, which blurred the line between the public and private</w:t>
      </w:r>
      <w:r>
        <w:t xml:space="preserve">. </w:t>
      </w:r>
      <w:r w:rsidR="00093FA7">
        <w:t>Found a</w:t>
      </w:r>
      <w:r w:rsidR="00A101DE">
        <w:t>mong these w</w:t>
      </w:r>
      <w:r w:rsidR="00093FA7">
        <w:t>as</w:t>
      </w:r>
      <w:r w:rsidR="00A101DE">
        <w:t xml:space="preserve"> the </w:t>
      </w:r>
      <w:r w:rsidR="00093FA7">
        <w:t xml:space="preserve">cult of Isis, a blend of Egyptian and Roman </w:t>
      </w:r>
      <w:r w:rsidR="00226227">
        <w:t>religion</w:t>
      </w:r>
      <w:r w:rsidR="00226227">
        <w:rPr>
          <w:rStyle w:val="FootnoteReference"/>
        </w:rPr>
        <w:footnoteReference w:id="9"/>
      </w:r>
      <w:r w:rsidR="00226227">
        <w:t xml:space="preserve"> that </w:t>
      </w:r>
      <w:r w:rsidR="005B4103">
        <w:t xml:space="preserve">was possessed of both public and private elements. </w:t>
      </w:r>
      <w:r w:rsidR="00217073">
        <w:t>Paintings found in areas associated with the cult of Isis, such as the temple of Isis in Pompeii</w:t>
      </w:r>
      <w:r w:rsidR="00217073">
        <w:rPr>
          <w:rStyle w:val="FootnoteReference"/>
        </w:rPr>
        <w:footnoteReference w:id="10"/>
      </w:r>
      <w:r w:rsidR="00217073">
        <w:t xml:space="preserve">, depict the </w:t>
      </w:r>
      <w:r w:rsidR="009E487C">
        <w:t xml:space="preserve">cult </w:t>
      </w:r>
      <w:r w:rsidR="00D44E5E">
        <w:t xml:space="preserve">in scenes of public ritual. </w:t>
      </w:r>
      <w:r w:rsidR="00F54A29">
        <w:t>As it was a mystery cult, the temple of Isis conducts induction rituals,</w:t>
      </w:r>
      <w:r w:rsidR="00EE6243">
        <w:rPr>
          <w:rStyle w:val="FootnoteReference"/>
        </w:rPr>
        <w:footnoteReference w:id="11"/>
      </w:r>
      <w:r w:rsidR="00F54A29">
        <w:t xml:space="preserve"> </w:t>
      </w:r>
      <w:r w:rsidR="00630560">
        <w:t>which</w:t>
      </w:r>
      <w:r w:rsidR="00EE6243">
        <w:t xml:space="preserve"> would likely</w:t>
      </w:r>
      <w:r w:rsidR="00630560">
        <w:t xml:space="preserve"> </w:t>
      </w:r>
      <w:r w:rsidR="007669BE">
        <w:t>bring</w:t>
      </w:r>
      <w:r w:rsidR="00630560">
        <w:t xml:space="preserve"> the inducted member into a group that could</w:t>
      </w:r>
      <w:r w:rsidR="00EE6243">
        <w:t xml:space="preserve"> </w:t>
      </w:r>
      <w:r w:rsidR="00630560">
        <w:t>be considered a</w:t>
      </w:r>
      <w:r w:rsidR="008E38E5">
        <w:t xml:space="preserve"> more</w:t>
      </w:r>
      <w:r w:rsidR="00630560">
        <w:t xml:space="preserve"> private </w:t>
      </w:r>
      <w:r w:rsidR="008E38E5">
        <w:t>form of cultic activity</w:t>
      </w:r>
      <w:r w:rsidR="00630560">
        <w:t>.</w:t>
      </w:r>
      <w:r w:rsidR="00EE6243">
        <w:t xml:space="preserve"> The exact nature of the mysteries is unknown, but knowledge of the</w:t>
      </w:r>
      <w:r w:rsidR="00CF235C">
        <w:t>ir existence seems to have been quite widespread</w:t>
      </w:r>
      <w:r w:rsidR="00064203">
        <w:t>, with them featuring in the Roman novel “</w:t>
      </w:r>
      <w:r w:rsidR="00B221FB">
        <w:t>Metamorphoses”</w:t>
      </w:r>
      <w:r w:rsidR="00E944D1">
        <w:t xml:space="preserve"> by Apuleius</w:t>
      </w:r>
      <w:r w:rsidR="0010241F">
        <w:rPr>
          <w:rStyle w:val="FootnoteReference"/>
        </w:rPr>
        <w:footnoteReference w:id="12"/>
      </w:r>
      <w:r w:rsidR="00E944D1">
        <w:t>.</w:t>
      </w:r>
      <w:r w:rsidR="007669BE">
        <w:t xml:space="preserve"> This </w:t>
      </w:r>
      <w:r w:rsidR="0010241F">
        <w:t xml:space="preserve">does bring </w:t>
      </w:r>
      <w:r w:rsidR="008F0111">
        <w:t>in</w:t>
      </w:r>
      <w:r w:rsidR="0010241F">
        <w:t>to question</w:t>
      </w:r>
      <w:r w:rsidR="008F0111">
        <w:t xml:space="preserve"> exactly how private the mysteries were, and where exactly that line could be drawn. </w:t>
      </w:r>
      <w:r w:rsidR="0084167A">
        <w:t xml:space="preserve">While both the distal and proximal experiences of an inductee would change dramatically, and the number of participants would certainly be decreased, it is difficult to define </w:t>
      </w:r>
      <w:r w:rsidR="00715502">
        <w:t>if it would be considered private or not without additional information.</w:t>
      </w:r>
      <w:r w:rsidR="00522760">
        <w:t xml:space="preserve"> </w:t>
      </w:r>
      <w:r w:rsidR="008F0111">
        <w:t xml:space="preserve">This </w:t>
      </w:r>
      <w:r w:rsidR="0007662E">
        <w:t xml:space="preserve">demonstrates that the distinction between public and private religion may be </w:t>
      </w:r>
      <w:r w:rsidR="00EC2039">
        <w:t xml:space="preserve">unhelpful when discussing cultic practices and beliefs as much of the information that would allow us to draw the line </w:t>
      </w:r>
      <w:r w:rsidR="00E35B02">
        <w:t>between public and private.</w:t>
      </w:r>
    </w:p>
    <w:p w14:paraId="683A7A4F" w14:textId="7627782E" w:rsidR="00DA0EB6" w:rsidRDefault="008B611B">
      <w:r>
        <w:t>There is a</w:t>
      </w:r>
      <w:r w:rsidR="00DA0EB6">
        <w:t xml:space="preserve"> notable </w:t>
      </w:r>
      <w:r w:rsidR="0037756B">
        <w:t>useful reason</w:t>
      </w:r>
      <w:r w:rsidR="00DA0EB6">
        <w:t xml:space="preserve"> for the distinction between public and private religion in Pompeii, </w:t>
      </w:r>
      <w:r>
        <w:t>which is</w:t>
      </w:r>
      <w:r w:rsidR="00DA0EB6">
        <w:t xml:space="preserve"> that the </w:t>
      </w:r>
      <w:r w:rsidR="000E22DF">
        <w:t>practice of public religion often takes on a semi-political aspect.</w:t>
      </w:r>
      <w:r w:rsidR="00F1267B">
        <w:t xml:space="preserve"> Rome has always used its religion and cultic practices as a tool of politics and </w:t>
      </w:r>
      <w:r w:rsidR="00F1267B">
        <w:lastRenderedPageBreak/>
        <w:t xml:space="preserve">imperial control, and Pompeii is no exception. </w:t>
      </w:r>
      <w:r w:rsidR="00ED6959">
        <w:t xml:space="preserve">The </w:t>
      </w:r>
      <w:r w:rsidR="00EF5062">
        <w:t>Sanctuary of Venus is a good example of th</w:t>
      </w:r>
      <w:r w:rsidR="002E430C">
        <w:t>e role that public religion t</w:t>
      </w:r>
      <w:r w:rsidR="001E509E">
        <w:t xml:space="preserve">ook in Pompeii. It was constructed shortly after the colonisation of </w:t>
      </w:r>
      <w:r w:rsidR="004C3B31">
        <w:t>Pompeii by the Romans</w:t>
      </w:r>
      <w:r w:rsidR="00DD184C">
        <w:t>, and is congruent with the patron goddess of the city, Venus</w:t>
      </w:r>
      <w:r w:rsidR="00C75C1B">
        <w:t>.</w:t>
      </w:r>
      <w:r w:rsidR="00DD184C">
        <w:rPr>
          <w:rStyle w:val="FootnoteReference"/>
        </w:rPr>
        <w:footnoteReference w:id="13"/>
      </w:r>
      <w:r w:rsidR="00F0201E">
        <w:t xml:space="preserve"> The temple of Venus (and the worship of Roman gods and construction of Roman temples in general), were used in public worship as almost a form of religious </w:t>
      </w:r>
      <w:r w:rsidR="00E01392">
        <w:t xml:space="preserve">submission or </w:t>
      </w:r>
      <w:r w:rsidR="00051FFD">
        <w:t>homage to the Roman empire itself.</w:t>
      </w:r>
      <w:r w:rsidR="00B24BA6">
        <w:rPr>
          <w:rStyle w:val="FootnoteReference"/>
        </w:rPr>
        <w:footnoteReference w:id="14"/>
      </w:r>
      <w:r w:rsidR="00A54A44">
        <w:t xml:space="preserve"> As such the visible public usage and perception of religious practice </w:t>
      </w:r>
      <w:r w:rsidR="00B24BA6">
        <w:t>could be used as a tool in and of itself.</w:t>
      </w:r>
      <w:r w:rsidR="00035487">
        <w:t xml:space="preserve"> While the religious practice in private, and the proximal experience of the people of Pompeii would likely vary, </w:t>
      </w:r>
      <w:r w:rsidR="005C5C31">
        <w:t>The temple of Venus was (at least at its inception) an expression of Roman dominance.</w:t>
      </w:r>
      <w:r w:rsidR="002110E5">
        <w:t xml:space="preserve"> This is perhaps the most important differentiation between public and private </w:t>
      </w:r>
      <w:r w:rsidR="0067574E">
        <w:t>religious and cultic activity,</w:t>
      </w:r>
      <w:r w:rsidR="007A7B50">
        <w:t xml:space="preserve"> as while the </w:t>
      </w:r>
      <w:r w:rsidR="00F07D20">
        <w:t xml:space="preserve">private religious activity is typically apolitical in </w:t>
      </w:r>
      <w:r w:rsidR="00B472E4">
        <w:t xml:space="preserve">nature, </w:t>
      </w:r>
      <w:r w:rsidR="00A934C7">
        <w:t xml:space="preserve">public religious activity has a political element, even </w:t>
      </w:r>
      <w:r w:rsidR="004C39C9">
        <w:t>in absence of</w:t>
      </w:r>
      <w:r w:rsidR="00B13C97">
        <w:t xml:space="preserve"> conscious</w:t>
      </w:r>
      <w:r w:rsidR="004C39C9">
        <w:t xml:space="preserve"> </w:t>
      </w:r>
      <w:r w:rsidR="002C11B3">
        <w:t xml:space="preserve">political </w:t>
      </w:r>
      <w:r w:rsidR="004C39C9">
        <w:t>intent.</w:t>
      </w:r>
      <w:r w:rsidR="00CC2E19">
        <w:t xml:space="preserve"> It should be noted, however, that the political importance of the gesture would have been lessened over time, as Pompeii became more culturally and religiously homogeneous with the rest of Roman Italy</w:t>
      </w:r>
      <w:r w:rsidR="001B2523">
        <w:t xml:space="preserve"> after its colonisation</w:t>
      </w:r>
      <w:r w:rsidR="00CC2E19">
        <w:t xml:space="preserve">. </w:t>
      </w:r>
    </w:p>
    <w:p w14:paraId="69EC6DC0" w14:textId="2CDFA11F" w:rsidR="00D45608" w:rsidRDefault="008339FD">
      <w:r>
        <w:t xml:space="preserve">Overall, the distinction between public and private religion for the purposes of studying cultic practices and beliefs </w:t>
      </w:r>
      <w:r w:rsidR="0086274F">
        <w:t>is</w:t>
      </w:r>
      <w:r w:rsidR="0007149B">
        <w:t xml:space="preserve"> </w:t>
      </w:r>
      <w:r w:rsidR="00577053">
        <w:t xml:space="preserve">not </w:t>
      </w:r>
      <w:r w:rsidR="0086274F">
        <w:t xml:space="preserve">very </w:t>
      </w:r>
      <w:r w:rsidR="00EF4F20">
        <w:t>useful.</w:t>
      </w:r>
      <w:r w:rsidR="003C42E4">
        <w:t xml:space="preserve"> The line between the two is very blurred and the overlap </w:t>
      </w:r>
      <w:r w:rsidR="0057678F">
        <w:t>between the two, such as is found in the ritual activity surrounding the Lares, precludes the distinction from having any great usefulness, because the public and private religious practices are simply not separate enough for it to matter.</w:t>
      </w:r>
      <w:r w:rsidR="00420DF8">
        <w:t xml:space="preserve"> There are, however, several exceptions in which the </w:t>
      </w:r>
      <w:r w:rsidR="002035CB">
        <w:t>distinction between public and private religion is an applicable factor.</w:t>
      </w:r>
      <w:r w:rsidR="00157676">
        <w:t xml:space="preserve"> The </w:t>
      </w:r>
      <w:r w:rsidR="00584217">
        <w:t>first major</w:t>
      </w:r>
      <w:r w:rsidR="00157676">
        <w:t xml:space="preserve"> exception to this being the aspect of religious activity that is political, which is only truly present in the </w:t>
      </w:r>
      <w:r w:rsidR="00945C1D">
        <w:t xml:space="preserve">public acts of </w:t>
      </w:r>
      <w:r w:rsidR="00F829A7">
        <w:t>religious and cultic activity</w:t>
      </w:r>
      <w:r w:rsidR="00584217">
        <w:t>. The second exception being the power that could be gained through public cultic activity and positions, such as was displayed by the public priestess Eumachia</w:t>
      </w:r>
      <w:r w:rsidR="00F829A7">
        <w:t>.</w:t>
      </w:r>
    </w:p>
    <w:p w14:paraId="40CDE697" w14:textId="77777777" w:rsidR="00D45608" w:rsidRDefault="00D45608"/>
    <w:p w14:paraId="48CFE2D2" w14:textId="77777777" w:rsidR="00D45608" w:rsidRDefault="00D45608"/>
    <w:p w14:paraId="348BC146" w14:textId="10F25D79" w:rsidR="00D45608" w:rsidRDefault="00D45608">
      <w:r>
        <w:t>Bibliography:</w:t>
      </w:r>
    </w:p>
    <w:p w14:paraId="7F45BDD8" w14:textId="4E07EA2E" w:rsidR="00E8127C" w:rsidRDefault="00832A65">
      <w:r w:rsidRPr="005B4103">
        <w:t xml:space="preserve">Apuleius. </w:t>
      </w:r>
      <w:r w:rsidRPr="005B4103">
        <w:rPr>
          <w:i/>
          <w:iCs/>
        </w:rPr>
        <w:t xml:space="preserve">Metamorphoses (The Golden Ass), Volume II: Books 7-11. </w:t>
      </w:r>
      <w:r w:rsidRPr="005B4103">
        <w:t>Edited and translated by J. Arthur Hanson. Loeb Classical Library 453. Cambridge, MA: Harvard University Press, 1989.</w:t>
      </w:r>
    </w:p>
    <w:p w14:paraId="6D97A61D" w14:textId="77777777" w:rsidR="00D45608" w:rsidRDefault="00D45608" w:rsidP="00D45608">
      <w:r w:rsidRPr="00772008">
        <w:lastRenderedPageBreak/>
        <w:t xml:space="preserve">Carroll, M. (2010) ‘Exploring the sanctuary of Venus and its sacred grove: politics, cult and identity in Roman Pompeii’, </w:t>
      </w:r>
      <w:r w:rsidRPr="00772008">
        <w:rPr>
          <w:i/>
          <w:iCs/>
        </w:rPr>
        <w:t>Papers of the British School at Rome</w:t>
      </w:r>
      <w:r w:rsidRPr="00772008">
        <w:t xml:space="preserve">, 78, pp. 63–106. doi:10.1017/S0068246200000817. </w:t>
      </w:r>
    </w:p>
    <w:p w14:paraId="185F4F55" w14:textId="02107FEA" w:rsidR="00832A65" w:rsidRDefault="00832A65" w:rsidP="00D45608">
      <w:r>
        <w:t>Colloque international sur les âetudes isiaques et al. (2007) ‘Nile into Tiber</w:t>
      </w:r>
      <w:r>
        <w:rPr>
          <w:rFonts w:ascii="Arial" w:hAnsi="Arial" w:cs="Arial"/>
        </w:rPr>
        <w:t> </w:t>
      </w:r>
      <w:r>
        <w:t>: Egypt in the Roman world</w:t>
      </w:r>
      <w:r>
        <w:rPr>
          <w:rFonts w:ascii="Arial" w:hAnsi="Arial" w:cs="Arial"/>
        </w:rPr>
        <w:t> </w:t>
      </w:r>
      <w:r>
        <w:t>: proceedings of the IIIrd International Conference of Isis Studies, Faculty of Archaeology, Leiden University, May 11-14, 2005 /</w:t>
      </w:r>
      <w:r>
        <w:rPr>
          <w:rFonts w:ascii="Aptos" w:hAnsi="Aptos" w:cs="Aptos"/>
        </w:rPr>
        <w:t>’</w:t>
      </w:r>
      <w:r>
        <w:t>, in. Leiden</w:t>
      </w:r>
      <w:r>
        <w:rPr>
          <w:rFonts w:ascii="Arial" w:hAnsi="Arial" w:cs="Arial"/>
        </w:rPr>
        <w:t> </w:t>
      </w:r>
      <w:r>
        <w:t>; Brill. 137-154</w:t>
      </w:r>
    </w:p>
    <w:p w14:paraId="6E6879FB" w14:textId="77777777" w:rsidR="00832A65" w:rsidRPr="004176DB" w:rsidRDefault="00832A65" w:rsidP="00832A65">
      <w:r w:rsidRPr="004176DB">
        <w:t xml:space="preserve">Discentes. (2025). </w:t>
      </w:r>
      <w:r w:rsidRPr="004176DB">
        <w:rPr>
          <w:i/>
          <w:iCs/>
        </w:rPr>
        <w:t>The Building of Eumachia and Female Patronage in the Roman Empire</w:t>
      </w:r>
      <w:r w:rsidRPr="004176DB">
        <w:t>. [online] Available at: https://web.sas.upenn.edu/discentes/2025/02/12/the-building-of-eumachia-and-female-patronage-in-the-roman-empire/.</w:t>
      </w:r>
    </w:p>
    <w:p w14:paraId="2635E5F3" w14:textId="7A887875" w:rsidR="00832A65" w:rsidRDefault="00832A65" w:rsidP="00D45608">
      <w:r w:rsidRPr="008500CF">
        <w:t xml:space="preserve">Flower, H.I., 2017. </w:t>
      </w:r>
      <w:r w:rsidRPr="008500CF">
        <w:rPr>
          <w:i/>
          <w:iCs/>
        </w:rPr>
        <w:t>The dancing Lares and the serpent in the garden: religion at the Roman street corner</w:t>
      </w:r>
      <w:r w:rsidRPr="008500CF">
        <w:t>. Princeton University Press.</w:t>
      </w:r>
    </w:p>
    <w:p w14:paraId="176CA991" w14:textId="77777777" w:rsidR="00832A65" w:rsidRDefault="00832A65" w:rsidP="00832A65">
      <w:r w:rsidRPr="00AC2C9A">
        <w:t>Graham, E.-J. (2021). "At home with the Lares: lived religion rematerialised at Pompeii." Open Arts Journal, 10 (2): 33–50.</w:t>
      </w:r>
      <w:r>
        <w:t xml:space="preserve"> </w:t>
      </w:r>
      <w:hyperlink r:id="rId7" w:history="1">
        <w:r w:rsidRPr="00BD6C26">
          <w:rPr>
            <w:rStyle w:val="Hyperlink"/>
          </w:rPr>
          <w:t>https://openartsjournal.org/wp-content/uploads/2021/09/oaj_issue_10_2_emma-jayne-graham_final.pdf</w:t>
        </w:r>
      </w:hyperlink>
    </w:p>
    <w:p w14:paraId="2501AA1A" w14:textId="23D78265" w:rsidR="00832A65" w:rsidRPr="00772008" w:rsidRDefault="00832A65" w:rsidP="00D45608">
      <w:r w:rsidRPr="002A5A8F">
        <w:t xml:space="preserve">Jones, N.B., Material and Immaterial Religion in Pompeian Painting. </w:t>
      </w:r>
      <w:r w:rsidRPr="002A5A8F">
        <w:rPr>
          <w:i/>
          <w:iCs/>
        </w:rPr>
        <w:t>in Material Religion in Pompeii, edited by Jessica Hughes</w:t>
      </w:r>
      <w:r w:rsidRPr="002A5A8F">
        <w:t>, pp.51-65.</w:t>
      </w:r>
    </w:p>
    <w:p w14:paraId="6DCC9CD8" w14:textId="77777777" w:rsidR="00D45608" w:rsidRDefault="00D45608" w:rsidP="00D45608">
      <w:r w:rsidRPr="00D55470">
        <w:t xml:space="preserve">Rogers, D., 2020, May. The hanging garlands of Pompeii: mimetic acts of ancient lived religion. In </w:t>
      </w:r>
      <w:r w:rsidRPr="00D55470">
        <w:rPr>
          <w:i/>
          <w:iCs/>
        </w:rPr>
        <w:t>Arts</w:t>
      </w:r>
      <w:r w:rsidRPr="00D55470">
        <w:t xml:space="preserve"> (Vol. 9, No. 2, p. 65). MDPI.</w:t>
      </w:r>
    </w:p>
    <w:p w14:paraId="175FDE10" w14:textId="71AA6FEE" w:rsidR="002115D9" w:rsidRDefault="002115D9" w:rsidP="00D45608">
      <w:r w:rsidRPr="00772008">
        <w:t xml:space="preserve">Small, A.M., 2009. Urban, suburban and rural religion in the Roman period. In </w:t>
      </w:r>
      <w:r w:rsidRPr="00772008">
        <w:rPr>
          <w:i/>
          <w:iCs/>
        </w:rPr>
        <w:t>the World of Pompeii</w:t>
      </w:r>
      <w:r w:rsidRPr="00772008">
        <w:t xml:space="preserve"> (pp. 226-253). Routledge.</w:t>
      </w:r>
    </w:p>
    <w:p w14:paraId="177B4407" w14:textId="0BE9D6D6" w:rsidR="002115D9" w:rsidRPr="00772008" w:rsidRDefault="002115D9" w:rsidP="00D45608">
      <w:r w:rsidRPr="00630560">
        <w:t xml:space="preserve">Strabley, E. (2025). </w:t>
      </w:r>
      <w:r w:rsidRPr="00630560">
        <w:rPr>
          <w:i/>
          <w:iCs/>
        </w:rPr>
        <w:t>Temple of Isis at Pompeii</w:t>
      </w:r>
      <w:r w:rsidRPr="00630560">
        <w:t xml:space="preserve">. [online] Conncoll.edu. Available at: </w:t>
      </w:r>
      <w:hyperlink r:id="rId8" w:history="1">
        <w:r w:rsidRPr="00BD6C26">
          <w:rPr>
            <w:rStyle w:val="Hyperlink"/>
          </w:rPr>
          <w:t>https://openpress.digital.conncoll.edu/religionsofgreeceandromesitereports/chapter/temple-of-isis-at-pompeii/</w:t>
        </w:r>
      </w:hyperlink>
      <w:r w:rsidRPr="00630560">
        <w:t>.</w:t>
      </w:r>
    </w:p>
    <w:p w14:paraId="6D6A2CE4" w14:textId="75C93892" w:rsidR="00832A65" w:rsidRDefault="00581005" w:rsidP="00832A65">
      <w:r w:rsidRPr="00581005">
        <w:t xml:space="preserve">Swetnam-Burland, M. (2015) ‘The Sanctuary of Isis in Pompeii: Dedication and Devotion, Myth and Ritual’, in </w:t>
      </w:r>
      <w:r w:rsidRPr="00581005">
        <w:rPr>
          <w:i/>
          <w:iCs/>
        </w:rPr>
        <w:t>Egypt in Italy: Visions of Egypt in Roman Imperial Culture</w:t>
      </w:r>
      <w:r w:rsidRPr="00581005">
        <w:t>. Cambridge: Cambridge University Press, pp. 105–141.</w:t>
      </w:r>
    </w:p>
    <w:p w14:paraId="28A755DC" w14:textId="77777777" w:rsidR="00832A65" w:rsidRDefault="00832A65" w:rsidP="00832A65">
      <w:r w:rsidRPr="00522525">
        <w:t xml:space="preserve">Waites, M.C., 1920. The nature of the Lares and their representation in Roman art. </w:t>
      </w:r>
      <w:r w:rsidRPr="00522525">
        <w:rPr>
          <w:i/>
          <w:iCs/>
        </w:rPr>
        <w:t>American Journal of Archaeology</w:t>
      </w:r>
      <w:r w:rsidRPr="00522525">
        <w:t xml:space="preserve">, </w:t>
      </w:r>
      <w:r w:rsidRPr="00522525">
        <w:rPr>
          <w:i/>
          <w:iCs/>
        </w:rPr>
        <w:t>24</w:t>
      </w:r>
      <w:r w:rsidRPr="00522525">
        <w:t>(3), pp.241-261.</w:t>
      </w:r>
    </w:p>
    <w:p w14:paraId="36F29AE2" w14:textId="77777777" w:rsidR="004176DB" w:rsidRDefault="004176DB" w:rsidP="005B4103"/>
    <w:sectPr w:rsidR="004176D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DDBAF5" w14:textId="77777777" w:rsidR="0079338A" w:rsidRDefault="0079338A" w:rsidP="00EC0FBD">
      <w:pPr>
        <w:spacing w:after="0" w:line="240" w:lineRule="auto"/>
      </w:pPr>
      <w:r>
        <w:separator/>
      </w:r>
    </w:p>
  </w:endnote>
  <w:endnote w:type="continuationSeparator" w:id="0">
    <w:p w14:paraId="60876F2F" w14:textId="77777777" w:rsidR="0079338A" w:rsidRDefault="0079338A" w:rsidP="00EC0F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24AAAEA" w14:textId="77777777" w:rsidR="0079338A" w:rsidRDefault="0079338A" w:rsidP="00EC0FBD">
      <w:pPr>
        <w:spacing w:after="0" w:line="240" w:lineRule="auto"/>
      </w:pPr>
      <w:r>
        <w:separator/>
      </w:r>
    </w:p>
  </w:footnote>
  <w:footnote w:type="continuationSeparator" w:id="0">
    <w:p w14:paraId="4F103D80" w14:textId="77777777" w:rsidR="0079338A" w:rsidRDefault="0079338A" w:rsidP="00EC0FBD">
      <w:pPr>
        <w:spacing w:after="0" w:line="240" w:lineRule="auto"/>
      </w:pPr>
      <w:r>
        <w:continuationSeparator/>
      </w:r>
    </w:p>
  </w:footnote>
  <w:footnote w:id="1">
    <w:p w14:paraId="2BDA1355" w14:textId="7C72A732" w:rsidR="00EC0FBD" w:rsidRDefault="00EC0FBD">
      <w:pPr>
        <w:pStyle w:val="FootnoteText"/>
      </w:pPr>
      <w:r>
        <w:rPr>
          <w:rStyle w:val="FootnoteReference"/>
        </w:rPr>
        <w:footnoteRef/>
      </w:r>
      <w:r>
        <w:t xml:space="preserve"> </w:t>
      </w:r>
      <w:r w:rsidRPr="00AC2C9A">
        <w:t>Graham, E.-J. (2021). "At home with the Lares: lived religion rematerialised at Pompeii."</w:t>
      </w:r>
    </w:p>
  </w:footnote>
  <w:footnote w:id="2">
    <w:p w14:paraId="4E05B791" w14:textId="72F42413" w:rsidR="00A574F4" w:rsidRDefault="00A574F4">
      <w:pPr>
        <w:pStyle w:val="FootnoteText"/>
      </w:pPr>
      <w:r>
        <w:rPr>
          <w:rStyle w:val="FootnoteReference"/>
        </w:rPr>
        <w:footnoteRef/>
      </w:r>
      <w:r>
        <w:t xml:space="preserve"> </w:t>
      </w:r>
      <w:r w:rsidRPr="00AC2C9A">
        <w:t>Graham, E.-J. (2021). "At home with the Lares: lived religion rematerialised at Pompeii."</w:t>
      </w:r>
    </w:p>
  </w:footnote>
  <w:footnote w:id="3">
    <w:p w14:paraId="6857C190" w14:textId="74726205" w:rsidR="00453445" w:rsidRDefault="00453445">
      <w:pPr>
        <w:pStyle w:val="FootnoteText"/>
      </w:pPr>
      <w:r>
        <w:rPr>
          <w:rStyle w:val="FootnoteReference"/>
        </w:rPr>
        <w:footnoteRef/>
      </w:r>
      <w:r>
        <w:t xml:space="preserve"> </w:t>
      </w:r>
      <w:r w:rsidRPr="008500CF">
        <w:t xml:space="preserve">Flower, H.I., 2017. </w:t>
      </w:r>
      <w:r w:rsidRPr="008500CF">
        <w:rPr>
          <w:i/>
          <w:iCs/>
        </w:rPr>
        <w:t>The dancing Lares and the serpent in the garden: religion at the Roman street corner</w:t>
      </w:r>
      <w:r w:rsidRPr="008500CF">
        <w:t>.</w:t>
      </w:r>
    </w:p>
  </w:footnote>
  <w:footnote w:id="4">
    <w:p w14:paraId="47D3DACF" w14:textId="7D6D01CE" w:rsidR="00030C2C" w:rsidRDefault="00030C2C">
      <w:pPr>
        <w:pStyle w:val="FootnoteText"/>
      </w:pPr>
      <w:r>
        <w:rPr>
          <w:rStyle w:val="FootnoteReference"/>
        </w:rPr>
        <w:footnoteRef/>
      </w:r>
      <w:r>
        <w:t xml:space="preserve"> </w:t>
      </w:r>
      <w:r w:rsidR="0004492E" w:rsidRPr="00522525">
        <w:t>Waites, M.C., 1920. The nature of the Lares and their representation in Roman art.</w:t>
      </w:r>
    </w:p>
  </w:footnote>
  <w:footnote w:id="5">
    <w:p w14:paraId="2F3ABC78" w14:textId="5F39B99F" w:rsidR="003F5554" w:rsidRDefault="003F5554">
      <w:pPr>
        <w:pStyle w:val="FootnoteText"/>
      </w:pPr>
      <w:r>
        <w:rPr>
          <w:rStyle w:val="FootnoteReference"/>
        </w:rPr>
        <w:footnoteRef/>
      </w:r>
      <w:r>
        <w:t xml:space="preserve"> </w:t>
      </w:r>
      <w:r w:rsidRPr="00AC2C9A">
        <w:t>Graham, E.-J. (2021). "At home with the Lares: lived religion rematerialised at Pompeii."</w:t>
      </w:r>
    </w:p>
  </w:footnote>
  <w:footnote w:id="6">
    <w:p w14:paraId="4FC9F16D" w14:textId="4DB282EA" w:rsidR="00336DB9" w:rsidRDefault="00336DB9">
      <w:pPr>
        <w:pStyle w:val="FootnoteText"/>
      </w:pPr>
      <w:r>
        <w:rPr>
          <w:rStyle w:val="FootnoteReference"/>
        </w:rPr>
        <w:footnoteRef/>
      </w:r>
      <w:r>
        <w:t xml:space="preserve"> </w:t>
      </w:r>
      <w:r w:rsidRPr="00AC2C9A">
        <w:t>Graham, E.-J. (2021). "At home with the Lares: lived religion rematerialised at Pompeii."</w:t>
      </w:r>
    </w:p>
  </w:footnote>
  <w:footnote w:id="7">
    <w:p w14:paraId="3FCB4188" w14:textId="77777777" w:rsidR="006E060E" w:rsidRDefault="006E060E" w:rsidP="006E060E">
      <w:pPr>
        <w:pStyle w:val="FootnoteText"/>
      </w:pPr>
      <w:r>
        <w:rPr>
          <w:rStyle w:val="FootnoteReference"/>
        </w:rPr>
        <w:footnoteRef/>
      </w:r>
      <w:r>
        <w:t xml:space="preserve"> </w:t>
      </w:r>
      <w:r w:rsidRPr="00AC2C9A">
        <w:t>Graham, E.-J. (2021). "At home with the Lares: lived religion rematerialised at Pompeii."</w:t>
      </w:r>
    </w:p>
  </w:footnote>
  <w:footnote w:id="8">
    <w:p w14:paraId="4C9F1632" w14:textId="6F9BCED1" w:rsidR="00F465E7" w:rsidRDefault="00F465E7">
      <w:pPr>
        <w:pStyle w:val="FootnoteText"/>
      </w:pPr>
      <w:r>
        <w:rPr>
          <w:rStyle w:val="FootnoteReference"/>
        </w:rPr>
        <w:footnoteRef/>
      </w:r>
      <w:r>
        <w:t xml:space="preserve"> </w:t>
      </w:r>
      <w:r w:rsidRPr="004176DB">
        <w:t xml:space="preserve">Discentes. (2025). </w:t>
      </w:r>
      <w:r w:rsidRPr="004176DB">
        <w:rPr>
          <w:i/>
          <w:iCs/>
        </w:rPr>
        <w:t>The Building of Eumachia and Female Patronage in the Roman Empire</w:t>
      </w:r>
      <w:r w:rsidRPr="004176DB">
        <w:t>.</w:t>
      </w:r>
    </w:p>
  </w:footnote>
  <w:footnote w:id="9">
    <w:p w14:paraId="6EE6B25E" w14:textId="24C451FE" w:rsidR="00226227" w:rsidRDefault="00226227">
      <w:pPr>
        <w:pStyle w:val="FootnoteText"/>
      </w:pPr>
      <w:r>
        <w:rPr>
          <w:rStyle w:val="FootnoteReference"/>
        </w:rPr>
        <w:footnoteRef/>
      </w:r>
      <w:r>
        <w:t xml:space="preserve"> </w:t>
      </w:r>
      <w:r w:rsidR="002523A3">
        <w:t xml:space="preserve">(2007) </w:t>
      </w:r>
      <w:r w:rsidRPr="00226227">
        <w:t>Nile into Tiber : Egypt in the Roman world : proceedings of the IIIrd International Conference of Isis Studies, Faculty of Archaeology, Leiden University, May 11-14, 2005</w:t>
      </w:r>
    </w:p>
  </w:footnote>
  <w:footnote w:id="10">
    <w:p w14:paraId="64616ABB" w14:textId="7BFCDFDB" w:rsidR="00217073" w:rsidRDefault="00217073">
      <w:pPr>
        <w:pStyle w:val="FootnoteText"/>
      </w:pPr>
      <w:r>
        <w:rPr>
          <w:rStyle w:val="FootnoteReference"/>
        </w:rPr>
        <w:footnoteRef/>
      </w:r>
      <w:r>
        <w:t xml:space="preserve"> </w:t>
      </w:r>
      <w:r>
        <w:t xml:space="preserve">(2007) </w:t>
      </w:r>
      <w:r w:rsidRPr="00226227">
        <w:t>Nile into Tiber : Egypt in the Roman world : proceedings of the IIIrd International Conference of Isis Studies, Faculty of Archaeology, Leiden University, May 11-14, 2005</w:t>
      </w:r>
    </w:p>
  </w:footnote>
  <w:footnote w:id="11">
    <w:p w14:paraId="3485D5D7" w14:textId="4E91179B" w:rsidR="00EE6243" w:rsidRDefault="00EE6243">
      <w:pPr>
        <w:pStyle w:val="FootnoteText"/>
      </w:pPr>
      <w:r>
        <w:rPr>
          <w:rStyle w:val="FootnoteReference"/>
        </w:rPr>
        <w:footnoteRef/>
      </w:r>
      <w:r>
        <w:t xml:space="preserve"> </w:t>
      </w:r>
      <w:r w:rsidR="00E622FB" w:rsidRPr="00630560">
        <w:t xml:space="preserve">Strabley, E. (2025). </w:t>
      </w:r>
      <w:r w:rsidR="00E622FB" w:rsidRPr="00630560">
        <w:rPr>
          <w:i/>
          <w:iCs/>
        </w:rPr>
        <w:t>Temple of Isis at Pompeii</w:t>
      </w:r>
      <w:r w:rsidR="00E622FB" w:rsidRPr="00630560">
        <w:t>.</w:t>
      </w:r>
    </w:p>
  </w:footnote>
  <w:footnote w:id="12">
    <w:p w14:paraId="54E283AB" w14:textId="2F6022C5" w:rsidR="0010241F" w:rsidRDefault="0010241F">
      <w:pPr>
        <w:pStyle w:val="FootnoteText"/>
      </w:pPr>
      <w:r>
        <w:rPr>
          <w:rStyle w:val="FootnoteReference"/>
        </w:rPr>
        <w:footnoteRef/>
      </w:r>
      <w:r>
        <w:t xml:space="preserve"> </w:t>
      </w:r>
      <w:r w:rsidRPr="005B4103">
        <w:t xml:space="preserve">Apuleius. </w:t>
      </w:r>
      <w:r w:rsidRPr="005B4103">
        <w:rPr>
          <w:i/>
          <w:iCs/>
        </w:rPr>
        <w:t>Metamorphoses (The Golden Ass), Volume II: Books 7-11.</w:t>
      </w:r>
    </w:p>
  </w:footnote>
  <w:footnote w:id="13">
    <w:p w14:paraId="2240222D" w14:textId="06064832" w:rsidR="00DD184C" w:rsidRDefault="00DD184C">
      <w:pPr>
        <w:pStyle w:val="FootnoteText"/>
      </w:pPr>
      <w:r>
        <w:rPr>
          <w:rStyle w:val="FootnoteReference"/>
        </w:rPr>
        <w:footnoteRef/>
      </w:r>
      <w:r>
        <w:t xml:space="preserve"> </w:t>
      </w:r>
      <w:r w:rsidRPr="00772008">
        <w:t xml:space="preserve">Carroll, M. (2010) </w:t>
      </w:r>
      <w:r>
        <w:t>“</w:t>
      </w:r>
      <w:r w:rsidRPr="00772008">
        <w:t>Exploring the sanctuary of Venus and its sacred grove: politics, cult and identity in Roman Pompeii</w:t>
      </w:r>
      <w:r>
        <w:t>.”</w:t>
      </w:r>
    </w:p>
  </w:footnote>
  <w:footnote w:id="14">
    <w:p w14:paraId="322F01F1" w14:textId="488B9937" w:rsidR="00B24BA6" w:rsidRDefault="00B24BA6">
      <w:pPr>
        <w:pStyle w:val="FootnoteText"/>
      </w:pPr>
      <w:r>
        <w:rPr>
          <w:rStyle w:val="FootnoteReference"/>
        </w:rPr>
        <w:footnoteRef/>
      </w:r>
      <w:r>
        <w:t xml:space="preserve"> </w:t>
      </w:r>
      <w:r w:rsidRPr="00772008">
        <w:t xml:space="preserve">Carroll, M. (2010) </w:t>
      </w:r>
      <w:r>
        <w:t>“</w:t>
      </w:r>
      <w:r w:rsidRPr="00772008">
        <w:t>Exploring the sanctuary of Venus and its sacred grove: politics, cult and identity in Roman Pompeii</w:t>
      </w:r>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4D4"/>
    <w:rsid w:val="000138E0"/>
    <w:rsid w:val="0003003C"/>
    <w:rsid w:val="00030C2C"/>
    <w:rsid w:val="00032806"/>
    <w:rsid w:val="00035487"/>
    <w:rsid w:val="000422A9"/>
    <w:rsid w:val="0004492E"/>
    <w:rsid w:val="00047886"/>
    <w:rsid w:val="00051FFD"/>
    <w:rsid w:val="00064203"/>
    <w:rsid w:val="0007149B"/>
    <w:rsid w:val="0007662E"/>
    <w:rsid w:val="00093FA7"/>
    <w:rsid w:val="000A1416"/>
    <w:rsid w:val="000C28A7"/>
    <w:rsid w:val="000C5917"/>
    <w:rsid w:val="000C595C"/>
    <w:rsid w:val="000D722C"/>
    <w:rsid w:val="000E22DF"/>
    <w:rsid w:val="0010241F"/>
    <w:rsid w:val="001032F3"/>
    <w:rsid w:val="001169BF"/>
    <w:rsid w:val="00117D30"/>
    <w:rsid w:val="00132835"/>
    <w:rsid w:val="00157676"/>
    <w:rsid w:val="00173133"/>
    <w:rsid w:val="001804C2"/>
    <w:rsid w:val="001807FE"/>
    <w:rsid w:val="001856DF"/>
    <w:rsid w:val="001B2523"/>
    <w:rsid w:val="001E1A8F"/>
    <w:rsid w:val="001E509E"/>
    <w:rsid w:val="002035CB"/>
    <w:rsid w:val="002110E5"/>
    <w:rsid w:val="002115D9"/>
    <w:rsid w:val="00217073"/>
    <w:rsid w:val="00226227"/>
    <w:rsid w:val="002523A3"/>
    <w:rsid w:val="002654FE"/>
    <w:rsid w:val="00292A4D"/>
    <w:rsid w:val="002A0AF8"/>
    <w:rsid w:val="002C11B3"/>
    <w:rsid w:val="002D3BD5"/>
    <w:rsid w:val="002D48B9"/>
    <w:rsid w:val="002E1D6D"/>
    <w:rsid w:val="002E430C"/>
    <w:rsid w:val="00336DB9"/>
    <w:rsid w:val="003652B1"/>
    <w:rsid w:val="0037756B"/>
    <w:rsid w:val="00380BCE"/>
    <w:rsid w:val="003B35F7"/>
    <w:rsid w:val="003C42E4"/>
    <w:rsid w:val="003F08F9"/>
    <w:rsid w:val="003F5554"/>
    <w:rsid w:val="004176DB"/>
    <w:rsid w:val="00420DF8"/>
    <w:rsid w:val="00447937"/>
    <w:rsid w:val="00453445"/>
    <w:rsid w:val="00465352"/>
    <w:rsid w:val="00496627"/>
    <w:rsid w:val="004C39C9"/>
    <w:rsid w:val="004C3B31"/>
    <w:rsid w:val="004D497A"/>
    <w:rsid w:val="00500DC5"/>
    <w:rsid w:val="00522760"/>
    <w:rsid w:val="0057678F"/>
    <w:rsid w:val="00577053"/>
    <w:rsid w:val="00581005"/>
    <w:rsid w:val="00584217"/>
    <w:rsid w:val="005B4103"/>
    <w:rsid w:val="005C5C31"/>
    <w:rsid w:val="005D30EF"/>
    <w:rsid w:val="005D4CB1"/>
    <w:rsid w:val="006057E4"/>
    <w:rsid w:val="00630560"/>
    <w:rsid w:val="006408F0"/>
    <w:rsid w:val="00643D0F"/>
    <w:rsid w:val="0065160E"/>
    <w:rsid w:val="006536F4"/>
    <w:rsid w:val="00675635"/>
    <w:rsid w:val="0067574E"/>
    <w:rsid w:val="0068642B"/>
    <w:rsid w:val="006936C0"/>
    <w:rsid w:val="006C03C3"/>
    <w:rsid w:val="006D7FA6"/>
    <w:rsid w:val="006E060E"/>
    <w:rsid w:val="00715502"/>
    <w:rsid w:val="00720B12"/>
    <w:rsid w:val="007215A6"/>
    <w:rsid w:val="007234C9"/>
    <w:rsid w:val="00733EA4"/>
    <w:rsid w:val="00750844"/>
    <w:rsid w:val="007669BE"/>
    <w:rsid w:val="00791865"/>
    <w:rsid w:val="0079338A"/>
    <w:rsid w:val="007A7B50"/>
    <w:rsid w:val="007D5ABB"/>
    <w:rsid w:val="007F27E9"/>
    <w:rsid w:val="00814E26"/>
    <w:rsid w:val="00832A65"/>
    <w:rsid w:val="008339FD"/>
    <w:rsid w:val="0084167A"/>
    <w:rsid w:val="00843CA1"/>
    <w:rsid w:val="008529FE"/>
    <w:rsid w:val="0086274F"/>
    <w:rsid w:val="00866B7B"/>
    <w:rsid w:val="00880823"/>
    <w:rsid w:val="00882329"/>
    <w:rsid w:val="00882D41"/>
    <w:rsid w:val="00884740"/>
    <w:rsid w:val="00897A93"/>
    <w:rsid w:val="008B611B"/>
    <w:rsid w:val="008E2142"/>
    <w:rsid w:val="008E38E5"/>
    <w:rsid w:val="008E5045"/>
    <w:rsid w:val="008E67EC"/>
    <w:rsid w:val="008F0111"/>
    <w:rsid w:val="00902E53"/>
    <w:rsid w:val="00917687"/>
    <w:rsid w:val="00945C1D"/>
    <w:rsid w:val="00962A6D"/>
    <w:rsid w:val="00966311"/>
    <w:rsid w:val="009837F4"/>
    <w:rsid w:val="009A0BB1"/>
    <w:rsid w:val="009A41D5"/>
    <w:rsid w:val="009C2FF1"/>
    <w:rsid w:val="009C552F"/>
    <w:rsid w:val="009E3AB9"/>
    <w:rsid w:val="009E487C"/>
    <w:rsid w:val="009F2D36"/>
    <w:rsid w:val="00A101DE"/>
    <w:rsid w:val="00A1132E"/>
    <w:rsid w:val="00A54A44"/>
    <w:rsid w:val="00A574F4"/>
    <w:rsid w:val="00A71BD8"/>
    <w:rsid w:val="00A934C7"/>
    <w:rsid w:val="00AB1A9A"/>
    <w:rsid w:val="00AC457A"/>
    <w:rsid w:val="00AD1AA0"/>
    <w:rsid w:val="00AE3BCA"/>
    <w:rsid w:val="00AE7EC5"/>
    <w:rsid w:val="00B13C97"/>
    <w:rsid w:val="00B221FB"/>
    <w:rsid w:val="00B24BA6"/>
    <w:rsid w:val="00B35A18"/>
    <w:rsid w:val="00B450DE"/>
    <w:rsid w:val="00B472E4"/>
    <w:rsid w:val="00B51004"/>
    <w:rsid w:val="00B64438"/>
    <w:rsid w:val="00B65E3F"/>
    <w:rsid w:val="00B6799C"/>
    <w:rsid w:val="00B87316"/>
    <w:rsid w:val="00BD4F20"/>
    <w:rsid w:val="00BE1D90"/>
    <w:rsid w:val="00C52F55"/>
    <w:rsid w:val="00C636D3"/>
    <w:rsid w:val="00C71D33"/>
    <w:rsid w:val="00C75930"/>
    <w:rsid w:val="00C75C1B"/>
    <w:rsid w:val="00C81AFC"/>
    <w:rsid w:val="00C85110"/>
    <w:rsid w:val="00CA345C"/>
    <w:rsid w:val="00CC2E19"/>
    <w:rsid w:val="00CF235C"/>
    <w:rsid w:val="00D11807"/>
    <w:rsid w:val="00D44E5E"/>
    <w:rsid w:val="00D45608"/>
    <w:rsid w:val="00D669E8"/>
    <w:rsid w:val="00D7392C"/>
    <w:rsid w:val="00D871DE"/>
    <w:rsid w:val="00DA0EB6"/>
    <w:rsid w:val="00DC6CD9"/>
    <w:rsid w:val="00DD184C"/>
    <w:rsid w:val="00E01392"/>
    <w:rsid w:val="00E3148A"/>
    <w:rsid w:val="00E35B02"/>
    <w:rsid w:val="00E622FB"/>
    <w:rsid w:val="00E72A04"/>
    <w:rsid w:val="00E8127C"/>
    <w:rsid w:val="00E944D1"/>
    <w:rsid w:val="00EC0FBD"/>
    <w:rsid w:val="00EC2039"/>
    <w:rsid w:val="00ED5A8A"/>
    <w:rsid w:val="00ED6959"/>
    <w:rsid w:val="00EE6243"/>
    <w:rsid w:val="00EF4F20"/>
    <w:rsid w:val="00EF5062"/>
    <w:rsid w:val="00EF7029"/>
    <w:rsid w:val="00F0201E"/>
    <w:rsid w:val="00F07D20"/>
    <w:rsid w:val="00F1267B"/>
    <w:rsid w:val="00F1365C"/>
    <w:rsid w:val="00F465E7"/>
    <w:rsid w:val="00F54A29"/>
    <w:rsid w:val="00F829A7"/>
    <w:rsid w:val="00F96D2B"/>
    <w:rsid w:val="00FA7678"/>
    <w:rsid w:val="00FC52A9"/>
    <w:rsid w:val="00FC74D4"/>
    <w:rsid w:val="00FD4E47"/>
    <w:rsid w:val="00FE3B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47E02D"/>
  <w15:chartTrackingRefBased/>
  <w15:docId w15:val="{DAEC06E4-4C80-4ECE-967E-5D7F1A2BC2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74D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74D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C74D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74D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74D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74D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74D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74D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74D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74D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74D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C74D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74D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74D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74D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74D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74D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74D4"/>
    <w:rPr>
      <w:rFonts w:eastAsiaTheme="majorEastAsia" w:cstheme="majorBidi"/>
      <w:color w:val="272727" w:themeColor="text1" w:themeTint="D8"/>
    </w:rPr>
  </w:style>
  <w:style w:type="paragraph" w:styleId="Title">
    <w:name w:val="Title"/>
    <w:basedOn w:val="Normal"/>
    <w:next w:val="Normal"/>
    <w:link w:val="TitleChar"/>
    <w:uiPriority w:val="10"/>
    <w:qFormat/>
    <w:rsid w:val="00FC74D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4D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74D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74D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74D4"/>
    <w:pPr>
      <w:spacing w:before="160"/>
      <w:jc w:val="center"/>
    </w:pPr>
    <w:rPr>
      <w:i/>
      <w:iCs/>
      <w:color w:val="404040" w:themeColor="text1" w:themeTint="BF"/>
    </w:rPr>
  </w:style>
  <w:style w:type="character" w:customStyle="1" w:styleId="QuoteChar">
    <w:name w:val="Quote Char"/>
    <w:basedOn w:val="DefaultParagraphFont"/>
    <w:link w:val="Quote"/>
    <w:uiPriority w:val="29"/>
    <w:rsid w:val="00FC74D4"/>
    <w:rPr>
      <w:i/>
      <w:iCs/>
      <w:color w:val="404040" w:themeColor="text1" w:themeTint="BF"/>
    </w:rPr>
  </w:style>
  <w:style w:type="paragraph" w:styleId="ListParagraph">
    <w:name w:val="List Paragraph"/>
    <w:basedOn w:val="Normal"/>
    <w:uiPriority w:val="34"/>
    <w:qFormat/>
    <w:rsid w:val="00FC74D4"/>
    <w:pPr>
      <w:ind w:left="720"/>
      <w:contextualSpacing/>
    </w:pPr>
  </w:style>
  <w:style w:type="character" w:styleId="IntenseEmphasis">
    <w:name w:val="Intense Emphasis"/>
    <w:basedOn w:val="DefaultParagraphFont"/>
    <w:uiPriority w:val="21"/>
    <w:qFormat/>
    <w:rsid w:val="00FC74D4"/>
    <w:rPr>
      <w:i/>
      <w:iCs/>
      <w:color w:val="0F4761" w:themeColor="accent1" w:themeShade="BF"/>
    </w:rPr>
  </w:style>
  <w:style w:type="paragraph" w:styleId="IntenseQuote">
    <w:name w:val="Intense Quote"/>
    <w:basedOn w:val="Normal"/>
    <w:next w:val="Normal"/>
    <w:link w:val="IntenseQuoteChar"/>
    <w:uiPriority w:val="30"/>
    <w:qFormat/>
    <w:rsid w:val="00FC74D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74D4"/>
    <w:rPr>
      <w:i/>
      <w:iCs/>
      <w:color w:val="0F4761" w:themeColor="accent1" w:themeShade="BF"/>
    </w:rPr>
  </w:style>
  <w:style w:type="character" w:styleId="IntenseReference">
    <w:name w:val="Intense Reference"/>
    <w:basedOn w:val="DefaultParagraphFont"/>
    <w:uiPriority w:val="32"/>
    <w:qFormat/>
    <w:rsid w:val="00FC74D4"/>
    <w:rPr>
      <w:b/>
      <w:bCs/>
      <w:smallCaps/>
      <w:color w:val="0F4761" w:themeColor="accent1" w:themeShade="BF"/>
      <w:spacing w:val="5"/>
    </w:rPr>
  </w:style>
  <w:style w:type="character" w:styleId="Hyperlink">
    <w:name w:val="Hyperlink"/>
    <w:basedOn w:val="DefaultParagraphFont"/>
    <w:uiPriority w:val="99"/>
    <w:unhideWhenUsed/>
    <w:rsid w:val="00D45608"/>
    <w:rPr>
      <w:color w:val="467886" w:themeColor="hyperlink"/>
      <w:u w:val="single"/>
    </w:rPr>
  </w:style>
  <w:style w:type="paragraph" w:styleId="FootnoteText">
    <w:name w:val="footnote text"/>
    <w:basedOn w:val="Normal"/>
    <w:link w:val="FootnoteTextChar"/>
    <w:uiPriority w:val="99"/>
    <w:semiHidden/>
    <w:unhideWhenUsed/>
    <w:rsid w:val="00EC0FB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C0FBD"/>
    <w:rPr>
      <w:sz w:val="20"/>
      <w:szCs w:val="20"/>
    </w:rPr>
  </w:style>
  <w:style w:type="character" w:styleId="FootnoteReference">
    <w:name w:val="footnote reference"/>
    <w:basedOn w:val="DefaultParagraphFont"/>
    <w:uiPriority w:val="99"/>
    <w:semiHidden/>
    <w:unhideWhenUsed/>
    <w:rsid w:val="00EC0FBD"/>
    <w:rPr>
      <w:vertAlign w:val="superscript"/>
    </w:rPr>
  </w:style>
  <w:style w:type="character" w:styleId="UnresolvedMention">
    <w:name w:val="Unresolved Mention"/>
    <w:basedOn w:val="DefaultParagraphFont"/>
    <w:uiPriority w:val="99"/>
    <w:semiHidden/>
    <w:unhideWhenUsed/>
    <w:rsid w:val="0022622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press.digital.conncoll.edu/religionsofgreeceandromesitereports/chapter/temple-of-isis-at-pompeii/" TargetMode="External"/><Relationship Id="rId3" Type="http://schemas.openxmlformats.org/officeDocument/2006/relationships/settings" Target="settings.xml"/><Relationship Id="rId7" Type="http://schemas.openxmlformats.org/officeDocument/2006/relationships/hyperlink" Target="https://openartsjournal.org/wp-content/uploads/2021/09/oaj_issue_10_2_emma-jayne-graham_final.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4758CA-C0B1-4417-9FBA-5ADEF2BFC4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358</TotalTime>
  <Pages>4</Pages>
  <Words>1480</Words>
  <Characters>8436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Edwards (2304623)</dc:creator>
  <cp:keywords/>
  <dc:description/>
  <cp:lastModifiedBy>Robert Edwards (2304623)</cp:lastModifiedBy>
  <cp:revision>210</cp:revision>
  <dcterms:created xsi:type="dcterms:W3CDTF">2026-01-09T10:03:00Z</dcterms:created>
  <dcterms:modified xsi:type="dcterms:W3CDTF">2026-01-09T16:01:00Z</dcterms:modified>
</cp:coreProperties>
</file>