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A932F" w14:textId="77777777" w:rsidR="00D97B3A" w:rsidRDefault="00D97B3A" w:rsidP="00D97B3A">
      <w:pPr>
        <w:spacing w:line="360" w:lineRule="auto"/>
        <w:rPr>
          <w:sz w:val="28"/>
          <w:szCs w:val="28"/>
        </w:rPr>
      </w:pPr>
    </w:p>
    <w:p w14:paraId="22CD6B89" w14:textId="77777777" w:rsidR="00D97B3A" w:rsidRDefault="00D97B3A" w:rsidP="00D97B3A">
      <w:pPr>
        <w:spacing w:after="0" w:line="360" w:lineRule="auto"/>
        <w:rPr>
          <w:rFonts w:ascii="Times New Roman" w:hAnsi="Times New Roman"/>
          <w:color w:val="FF0000"/>
          <w:sz w:val="24"/>
          <w:szCs w:val="24"/>
        </w:rPr>
      </w:pPr>
      <w:r>
        <w:rPr>
          <w:rFonts w:ascii="Times New Roman" w:hAnsi="Times New Roman"/>
          <w:sz w:val="24"/>
          <w:szCs w:val="24"/>
        </w:rPr>
        <w:t>Nutrition plays an important role when it comes to enjoying life, maintaining positive health outcome, and reducing the risk of diet-related diseases. Nutritional requirements differ between individuals age, gender, level of physical activity and life stages. To understand the importance of maintaining a balanced diet and adequate energy and nutrient intake, this essay will define the dietary reference values estimates and briefly explain the consequences of not following the guidelines. In addition, it will discuss the nutrient requirements for a group of adults between 19-64 years old.</w:t>
      </w:r>
      <w:r>
        <w:rPr>
          <w:rFonts w:ascii="Times New Roman" w:hAnsi="Times New Roman"/>
          <w:color w:val="FF0000"/>
          <w:sz w:val="24"/>
          <w:szCs w:val="24"/>
        </w:rPr>
        <w:t xml:space="preserve"> </w:t>
      </w:r>
    </w:p>
    <w:p w14:paraId="3DA32B2E" w14:textId="77777777" w:rsidR="00D97B3A" w:rsidRDefault="00D97B3A" w:rsidP="00D97B3A">
      <w:pPr>
        <w:spacing w:after="0" w:line="360" w:lineRule="auto"/>
        <w:rPr>
          <w:rFonts w:ascii="Times New Roman" w:hAnsi="Times New Roman"/>
          <w:color w:val="FF0000"/>
          <w:sz w:val="24"/>
          <w:szCs w:val="24"/>
        </w:rPr>
      </w:pPr>
      <w:r>
        <w:rPr>
          <w:rFonts w:ascii="Times New Roman" w:hAnsi="Times New Roman"/>
          <w:sz w:val="24"/>
          <w:szCs w:val="24"/>
        </w:rPr>
        <w:t xml:space="preserve">Second part of this essay will examine how Dietary Reference Values (DRVs) have developed over the years in the United Kingdom. Moreover, it will identify the role of Scientific Advisory Committee on Nutrition (SACN). </w:t>
      </w:r>
    </w:p>
    <w:p w14:paraId="37BC5755" w14:textId="77777777" w:rsidR="00D97B3A" w:rsidRDefault="00D97B3A" w:rsidP="00D97B3A">
      <w:pPr>
        <w:spacing w:line="360" w:lineRule="auto"/>
        <w:rPr>
          <w:rFonts w:ascii="Times New Roman" w:hAnsi="Times New Roman"/>
          <w:sz w:val="24"/>
          <w:szCs w:val="24"/>
        </w:rPr>
      </w:pPr>
      <w:r>
        <w:rPr>
          <w:rFonts w:ascii="Times New Roman" w:hAnsi="Times New Roman"/>
          <w:sz w:val="24"/>
          <w:szCs w:val="24"/>
        </w:rPr>
        <w:t>As well as the recommended Dietary Reference Values (DRVs), this essay will also look at the role of the Eat Well Guide and how it has evolved over the years.</w:t>
      </w:r>
    </w:p>
    <w:p w14:paraId="4F6F26A1" w14:textId="77777777" w:rsidR="00D97B3A" w:rsidRDefault="00D97B3A" w:rsidP="00D97B3A">
      <w:pPr>
        <w:spacing w:after="0" w:line="360" w:lineRule="auto"/>
        <w:rPr>
          <w:rFonts w:ascii="Times New Roman" w:hAnsi="Times New Roman"/>
          <w:sz w:val="24"/>
          <w:szCs w:val="24"/>
        </w:rPr>
      </w:pPr>
      <w:r>
        <w:rPr>
          <w:rFonts w:ascii="Times New Roman" w:hAnsi="Times New Roman"/>
          <w:sz w:val="24"/>
          <w:szCs w:val="24"/>
        </w:rPr>
        <w:t xml:space="preserve">According to Gibney (2009, p.4) there is a huge connection between well balanced nutrition and positive outcome on health, </w:t>
      </w:r>
      <w:proofErr w:type="gramStart"/>
      <w:r>
        <w:rPr>
          <w:rFonts w:ascii="Times New Roman" w:hAnsi="Times New Roman"/>
          <w:sz w:val="24"/>
          <w:szCs w:val="24"/>
        </w:rPr>
        <w:t>well-being</w:t>
      </w:r>
      <w:proofErr w:type="gramEnd"/>
      <w:r>
        <w:rPr>
          <w:rFonts w:ascii="Times New Roman" w:hAnsi="Times New Roman"/>
          <w:sz w:val="24"/>
          <w:szCs w:val="24"/>
        </w:rPr>
        <w:t xml:space="preserve"> and quality of life. Additionally, inadequate intake of nutrients can result in health concerns and illnesses and can be linked to malnutrition. Furthermore, Gibney (2009, p.2) describes nutrition as a process where necessary nutrients are absorbed by the body and used to determine health. </w:t>
      </w:r>
    </w:p>
    <w:p w14:paraId="7629C4A7" w14:textId="77777777" w:rsidR="00D97B3A" w:rsidRDefault="00D97B3A" w:rsidP="00D97B3A">
      <w:pPr>
        <w:spacing w:line="360" w:lineRule="auto"/>
        <w:rPr>
          <w:rFonts w:ascii="Times New Roman" w:hAnsi="Times New Roman"/>
          <w:sz w:val="24"/>
          <w:szCs w:val="24"/>
        </w:rPr>
      </w:pPr>
      <w:proofErr w:type="gramStart"/>
      <w:r>
        <w:rPr>
          <w:rFonts w:ascii="Times New Roman" w:hAnsi="Times New Roman"/>
          <w:sz w:val="24"/>
          <w:szCs w:val="24"/>
        </w:rPr>
        <w:t>In order for</w:t>
      </w:r>
      <w:proofErr w:type="gramEnd"/>
      <w:r>
        <w:rPr>
          <w:rFonts w:ascii="Times New Roman" w:hAnsi="Times New Roman"/>
          <w:sz w:val="24"/>
          <w:szCs w:val="24"/>
        </w:rPr>
        <w:t xml:space="preserve"> people to enjoy positive health, DRVs has been designed to provide greater understanding for establishing</w:t>
      </w:r>
      <w:r>
        <w:rPr>
          <w:rFonts w:ascii="Times New Roman" w:hAnsi="Times New Roman"/>
          <w:sz w:val="24"/>
          <w:szCs w:val="24"/>
          <w:u w:val="single"/>
        </w:rPr>
        <w:t xml:space="preserve"> </w:t>
      </w:r>
      <w:r>
        <w:rPr>
          <w:rFonts w:ascii="Times New Roman" w:hAnsi="Times New Roman"/>
          <w:sz w:val="24"/>
          <w:szCs w:val="24"/>
        </w:rPr>
        <w:t>dietary needs for groups of healthy individuals</w:t>
      </w:r>
      <w:r>
        <w:rPr>
          <w:rFonts w:ascii="Times New Roman" w:hAnsi="Times New Roman"/>
          <w:sz w:val="24"/>
          <w:szCs w:val="24"/>
          <w:u w:val="single"/>
        </w:rPr>
        <w:t xml:space="preserve"> </w:t>
      </w:r>
      <w:r>
        <w:rPr>
          <w:rFonts w:ascii="Times New Roman" w:hAnsi="Times New Roman"/>
          <w:sz w:val="24"/>
          <w:szCs w:val="24"/>
        </w:rPr>
        <w:t xml:space="preserve">and can be used for dietary planning or food labelling (Lean, </w:t>
      </w:r>
      <w:proofErr w:type="spellStart"/>
      <w:r>
        <w:rPr>
          <w:rFonts w:ascii="Times New Roman" w:hAnsi="Times New Roman"/>
          <w:sz w:val="24"/>
          <w:szCs w:val="24"/>
        </w:rPr>
        <w:t>Combet</w:t>
      </w:r>
      <w:proofErr w:type="spellEnd"/>
      <w:r>
        <w:rPr>
          <w:rFonts w:ascii="Times New Roman" w:hAnsi="Times New Roman"/>
          <w:sz w:val="24"/>
          <w:szCs w:val="24"/>
        </w:rPr>
        <w:t xml:space="preserve">, </w:t>
      </w:r>
      <w:proofErr w:type="spellStart"/>
      <w:r>
        <w:rPr>
          <w:rFonts w:ascii="Times New Roman" w:hAnsi="Times New Roman"/>
          <w:sz w:val="24"/>
          <w:szCs w:val="24"/>
        </w:rPr>
        <w:t>Barasi</w:t>
      </w:r>
      <w:proofErr w:type="spellEnd"/>
      <w:r>
        <w:rPr>
          <w:rFonts w:ascii="Times New Roman" w:hAnsi="Times New Roman"/>
          <w:sz w:val="24"/>
          <w:szCs w:val="24"/>
        </w:rPr>
        <w:t>, 2017).</w:t>
      </w:r>
      <w:r>
        <w:rPr>
          <w:rFonts w:ascii="Times New Roman" w:hAnsi="Times New Roman"/>
          <w:color w:val="FFC000"/>
          <w:sz w:val="24"/>
          <w:szCs w:val="24"/>
        </w:rPr>
        <w:t xml:space="preserve"> </w:t>
      </w:r>
      <w:r>
        <w:rPr>
          <w:rFonts w:ascii="Times New Roman" w:hAnsi="Times New Roman"/>
          <w:sz w:val="24"/>
          <w:szCs w:val="24"/>
        </w:rPr>
        <w:t xml:space="preserve">Nutritional requirements vary between individuals and are affected by age, gender, level of physical activity, disease status, life stages or even insufficiency of other nutrients (Lean, </w:t>
      </w:r>
      <w:proofErr w:type="spellStart"/>
      <w:r>
        <w:rPr>
          <w:rFonts w:ascii="Times New Roman" w:hAnsi="Times New Roman"/>
          <w:sz w:val="24"/>
          <w:szCs w:val="24"/>
        </w:rPr>
        <w:t>Combet</w:t>
      </w:r>
      <w:proofErr w:type="spellEnd"/>
      <w:r>
        <w:rPr>
          <w:rFonts w:ascii="Times New Roman" w:hAnsi="Times New Roman"/>
          <w:sz w:val="24"/>
          <w:szCs w:val="24"/>
        </w:rPr>
        <w:t xml:space="preserve">, </w:t>
      </w:r>
      <w:proofErr w:type="spellStart"/>
      <w:r>
        <w:rPr>
          <w:rFonts w:ascii="Times New Roman" w:hAnsi="Times New Roman"/>
          <w:sz w:val="24"/>
          <w:szCs w:val="24"/>
        </w:rPr>
        <w:t>Barasi</w:t>
      </w:r>
      <w:proofErr w:type="spellEnd"/>
      <w:r>
        <w:rPr>
          <w:rFonts w:ascii="Times New Roman" w:hAnsi="Times New Roman"/>
          <w:sz w:val="24"/>
          <w:szCs w:val="24"/>
        </w:rPr>
        <w:t xml:space="preserve">, 2017). Moreover, DRVs consist of three main types of estimates including Estimated Average Requirements (EAR) presenting average requirement for energy, protein, vitamin or mineral intakes and it is estimated that half of the group usually need more and half less of the EAR. Reference Nutrient Intake (RNI) includes the amount of protein, vitamins and minerals that is enough to prevent deficiency for 97% of the group and Lower Reference Nutrient Intake (LRNI) gives nutrient recommendations for the smaller group of people with lower needs (Department of Health, 1991). Additionally, Department of Health (1991, p.3) describes an additional term called a safe intake which is used for some nutrients where there is not enough information to set DRVs and it is set to prevent deficiency. As mentioned above, malnutrition can occur if there are insufficient intakes of energy and nutrients by </w:t>
      </w:r>
      <w:r>
        <w:rPr>
          <w:rFonts w:ascii="Times New Roman" w:hAnsi="Times New Roman"/>
          <w:sz w:val="24"/>
          <w:szCs w:val="24"/>
        </w:rPr>
        <w:lastRenderedPageBreak/>
        <w:t xml:space="preserve">individual. DRV requirements help with preventing undesirable health outcomes. Gibney (2009, p.4) explains that malnutrition is caused by food insecurity including fear starvation and people living with hunger. The consequences of the unsatisfactory nutritional situation can result in many noncommunicable diseases such as cardiovascular diseases, cancers or chronic respiratory disease characterised by overnutrition of macronutrients and undernutrition of micronutrients. </w:t>
      </w:r>
    </w:p>
    <w:p w14:paraId="3B6A3686" w14:textId="77777777" w:rsidR="00D97B3A" w:rsidRDefault="00D97B3A" w:rsidP="00D97B3A">
      <w:pPr>
        <w:spacing w:line="360" w:lineRule="auto"/>
        <w:rPr>
          <w:rFonts w:ascii="Times New Roman" w:hAnsi="Times New Roman"/>
          <w:sz w:val="24"/>
          <w:szCs w:val="24"/>
        </w:rPr>
      </w:pPr>
      <w:r>
        <w:rPr>
          <w:rFonts w:ascii="Times New Roman" w:hAnsi="Times New Roman"/>
          <w:sz w:val="24"/>
          <w:szCs w:val="24"/>
        </w:rPr>
        <w:t xml:space="preserve">To maintain positive health condition throughout the life, adults should follow government energy and nutrients recommendations. Table 1 shows the results based on the Committee on Medical Aspects of Food Policy (COMA) and the Scientific Advisory Committee on Nutrition (SACN) evaluation for healthy adult population age 19-64 (Public Health England, 2016). </w:t>
      </w:r>
    </w:p>
    <w:p w14:paraId="74BA9642" w14:textId="77777777" w:rsidR="00D97B3A" w:rsidRDefault="00D97B3A" w:rsidP="00D97B3A">
      <w:pPr>
        <w:rPr>
          <w:rFonts w:ascii="Times New Roman" w:hAnsi="Times New Roman"/>
          <w:sz w:val="24"/>
          <w:szCs w:val="24"/>
        </w:rPr>
      </w:pPr>
      <w:r>
        <w:rPr>
          <w:rFonts w:ascii="Times New Roman" w:hAnsi="Times New Roman"/>
          <w:sz w:val="24"/>
          <w:szCs w:val="24"/>
        </w:rPr>
        <w:t xml:space="preserve">Table 1: Government recommendations for energy and nutrients for males and females aged 19-64. </w:t>
      </w:r>
    </w:p>
    <w:tbl>
      <w:tblPr>
        <w:tblStyle w:val="TableGrid"/>
        <w:tblW w:w="0" w:type="auto"/>
        <w:tblInd w:w="0" w:type="dxa"/>
        <w:tblLook w:val="04A0" w:firstRow="1" w:lastRow="0" w:firstColumn="1" w:lastColumn="0" w:noHBand="0" w:noVBand="1"/>
      </w:tblPr>
      <w:tblGrid>
        <w:gridCol w:w="3823"/>
        <w:gridCol w:w="2187"/>
        <w:gridCol w:w="3006"/>
      </w:tblGrid>
      <w:tr w:rsidR="00D97B3A" w14:paraId="23F7E840" w14:textId="77777777" w:rsidTr="00D97B3A">
        <w:tc>
          <w:tcPr>
            <w:tcW w:w="3823" w:type="dxa"/>
            <w:tcBorders>
              <w:top w:val="single" w:sz="4" w:space="0" w:color="auto"/>
              <w:left w:val="single" w:sz="4" w:space="0" w:color="auto"/>
              <w:bottom w:val="single" w:sz="4" w:space="0" w:color="auto"/>
              <w:right w:val="single" w:sz="4" w:space="0" w:color="auto"/>
            </w:tcBorders>
            <w:hideMark/>
          </w:tcPr>
          <w:p w14:paraId="35234B2D" w14:textId="77777777" w:rsidR="00D97B3A" w:rsidRDefault="00D97B3A">
            <w:pPr>
              <w:spacing w:line="240" w:lineRule="auto"/>
              <w:jc w:val="center"/>
              <w:rPr>
                <w:rFonts w:ascii="Times New Roman" w:hAnsi="Times New Roman"/>
                <w:b/>
                <w:bCs/>
                <w:sz w:val="24"/>
                <w:szCs w:val="24"/>
              </w:rPr>
            </w:pPr>
            <w:r>
              <w:rPr>
                <w:rFonts w:ascii="Times New Roman" w:hAnsi="Times New Roman"/>
                <w:b/>
                <w:bCs/>
                <w:sz w:val="24"/>
                <w:szCs w:val="24"/>
              </w:rPr>
              <w:t>Age 19-64</w:t>
            </w:r>
          </w:p>
        </w:tc>
        <w:tc>
          <w:tcPr>
            <w:tcW w:w="2187" w:type="dxa"/>
            <w:tcBorders>
              <w:top w:val="single" w:sz="4" w:space="0" w:color="auto"/>
              <w:left w:val="single" w:sz="4" w:space="0" w:color="auto"/>
              <w:bottom w:val="single" w:sz="4" w:space="0" w:color="auto"/>
              <w:right w:val="single" w:sz="4" w:space="0" w:color="auto"/>
            </w:tcBorders>
            <w:hideMark/>
          </w:tcPr>
          <w:p w14:paraId="2607D816" w14:textId="77777777" w:rsidR="00D97B3A" w:rsidRDefault="00D97B3A">
            <w:pPr>
              <w:spacing w:line="240" w:lineRule="auto"/>
              <w:jc w:val="center"/>
              <w:rPr>
                <w:rFonts w:ascii="Times New Roman" w:hAnsi="Times New Roman"/>
                <w:b/>
                <w:bCs/>
                <w:sz w:val="24"/>
                <w:szCs w:val="24"/>
              </w:rPr>
            </w:pPr>
            <w:r>
              <w:rPr>
                <w:rFonts w:ascii="Times New Roman" w:hAnsi="Times New Roman"/>
                <w:b/>
                <w:bCs/>
                <w:sz w:val="24"/>
                <w:szCs w:val="24"/>
              </w:rPr>
              <w:t>Males</w:t>
            </w:r>
          </w:p>
        </w:tc>
        <w:tc>
          <w:tcPr>
            <w:tcW w:w="3006" w:type="dxa"/>
            <w:tcBorders>
              <w:top w:val="single" w:sz="4" w:space="0" w:color="auto"/>
              <w:left w:val="single" w:sz="4" w:space="0" w:color="auto"/>
              <w:bottom w:val="single" w:sz="4" w:space="0" w:color="auto"/>
              <w:right w:val="single" w:sz="4" w:space="0" w:color="auto"/>
            </w:tcBorders>
            <w:hideMark/>
          </w:tcPr>
          <w:p w14:paraId="15F99C8F" w14:textId="77777777" w:rsidR="00D97B3A" w:rsidRDefault="00D97B3A">
            <w:pPr>
              <w:spacing w:line="240" w:lineRule="auto"/>
              <w:jc w:val="center"/>
              <w:rPr>
                <w:rFonts w:ascii="Times New Roman" w:hAnsi="Times New Roman"/>
                <w:b/>
                <w:bCs/>
                <w:sz w:val="24"/>
                <w:szCs w:val="24"/>
              </w:rPr>
            </w:pPr>
            <w:r>
              <w:rPr>
                <w:rFonts w:ascii="Times New Roman" w:hAnsi="Times New Roman"/>
                <w:b/>
                <w:bCs/>
                <w:sz w:val="24"/>
                <w:szCs w:val="24"/>
              </w:rPr>
              <w:t>Females</w:t>
            </w:r>
          </w:p>
        </w:tc>
      </w:tr>
      <w:tr w:rsidR="00D97B3A" w14:paraId="55E0E868" w14:textId="77777777" w:rsidTr="00D97B3A">
        <w:tc>
          <w:tcPr>
            <w:tcW w:w="3823" w:type="dxa"/>
            <w:tcBorders>
              <w:top w:val="single" w:sz="4" w:space="0" w:color="auto"/>
              <w:left w:val="single" w:sz="4" w:space="0" w:color="auto"/>
              <w:bottom w:val="single" w:sz="4" w:space="0" w:color="auto"/>
              <w:right w:val="single" w:sz="4" w:space="0" w:color="auto"/>
            </w:tcBorders>
            <w:hideMark/>
          </w:tcPr>
          <w:p w14:paraId="7895B1F8" w14:textId="77777777" w:rsidR="00D97B3A" w:rsidRDefault="00D97B3A">
            <w:pPr>
              <w:spacing w:line="240" w:lineRule="auto"/>
              <w:rPr>
                <w:rFonts w:ascii="Times New Roman" w:hAnsi="Times New Roman"/>
                <w:b/>
                <w:bCs/>
                <w:sz w:val="24"/>
                <w:szCs w:val="24"/>
              </w:rPr>
            </w:pPr>
            <w:r>
              <w:rPr>
                <w:rFonts w:ascii="Times New Roman" w:hAnsi="Times New Roman"/>
                <w:b/>
                <w:bCs/>
                <w:sz w:val="24"/>
                <w:szCs w:val="24"/>
              </w:rPr>
              <w:t xml:space="preserve">Energy </w:t>
            </w:r>
          </w:p>
          <w:p w14:paraId="21D96551" w14:textId="77777777" w:rsidR="00D97B3A" w:rsidRDefault="00D97B3A">
            <w:pPr>
              <w:pStyle w:val="ListParagraph"/>
              <w:spacing w:line="240" w:lineRule="auto"/>
              <w:rPr>
                <w:rFonts w:ascii="Times New Roman" w:hAnsi="Times New Roman"/>
                <w:sz w:val="24"/>
                <w:szCs w:val="24"/>
              </w:rPr>
            </w:pPr>
            <w:r>
              <w:rPr>
                <w:rFonts w:ascii="Times New Roman" w:hAnsi="Times New Roman"/>
                <w:sz w:val="24"/>
                <w:szCs w:val="24"/>
              </w:rPr>
              <w:t xml:space="preserve">MJ/day </w:t>
            </w:r>
          </w:p>
          <w:p w14:paraId="2C108F65" w14:textId="77777777" w:rsidR="00D97B3A" w:rsidRDefault="00D97B3A">
            <w:pPr>
              <w:pStyle w:val="ListParagraph"/>
              <w:spacing w:line="240" w:lineRule="auto"/>
              <w:rPr>
                <w:rFonts w:ascii="Times New Roman" w:hAnsi="Times New Roman"/>
                <w:sz w:val="24"/>
                <w:szCs w:val="24"/>
              </w:rPr>
            </w:pPr>
            <w:r>
              <w:rPr>
                <w:rFonts w:ascii="Times New Roman" w:hAnsi="Times New Roman"/>
                <w:sz w:val="24"/>
                <w:szCs w:val="24"/>
              </w:rPr>
              <w:t>Kcal/day</w:t>
            </w:r>
          </w:p>
        </w:tc>
        <w:tc>
          <w:tcPr>
            <w:tcW w:w="2187" w:type="dxa"/>
            <w:tcBorders>
              <w:top w:val="single" w:sz="4" w:space="0" w:color="auto"/>
              <w:left w:val="single" w:sz="4" w:space="0" w:color="auto"/>
              <w:bottom w:val="single" w:sz="4" w:space="0" w:color="auto"/>
              <w:right w:val="single" w:sz="4" w:space="0" w:color="auto"/>
            </w:tcBorders>
          </w:tcPr>
          <w:p w14:paraId="1259EDA9" w14:textId="77777777" w:rsidR="00D97B3A" w:rsidRDefault="00D97B3A">
            <w:pPr>
              <w:spacing w:line="240" w:lineRule="auto"/>
              <w:rPr>
                <w:rFonts w:ascii="Times New Roman" w:hAnsi="Times New Roman"/>
                <w:sz w:val="24"/>
                <w:szCs w:val="24"/>
              </w:rPr>
            </w:pPr>
          </w:p>
          <w:p w14:paraId="1EFF2950"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10.5</w:t>
            </w:r>
          </w:p>
          <w:p w14:paraId="3DE0AF64"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2500</w:t>
            </w:r>
          </w:p>
        </w:tc>
        <w:tc>
          <w:tcPr>
            <w:tcW w:w="3006" w:type="dxa"/>
            <w:tcBorders>
              <w:top w:val="single" w:sz="4" w:space="0" w:color="auto"/>
              <w:left w:val="single" w:sz="4" w:space="0" w:color="auto"/>
              <w:bottom w:val="single" w:sz="4" w:space="0" w:color="auto"/>
              <w:right w:val="single" w:sz="4" w:space="0" w:color="auto"/>
            </w:tcBorders>
          </w:tcPr>
          <w:p w14:paraId="6FB5542F" w14:textId="77777777" w:rsidR="00D97B3A" w:rsidRDefault="00D97B3A">
            <w:pPr>
              <w:spacing w:line="240" w:lineRule="auto"/>
              <w:rPr>
                <w:rFonts w:ascii="Times New Roman" w:hAnsi="Times New Roman"/>
                <w:sz w:val="24"/>
                <w:szCs w:val="24"/>
              </w:rPr>
            </w:pPr>
          </w:p>
          <w:p w14:paraId="1A6B8C82"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8.4</w:t>
            </w:r>
          </w:p>
          <w:p w14:paraId="2AFA0D67"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2000</w:t>
            </w:r>
          </w:p>
        </w:tc>
      </w:tr>
      <w:tr w:rsidR="00D97B3A" w14:paraId="064FFDD1" w14:textId="77777777" w:rsidTr="00D97B3A">
        <w:tc>
          <w:tcPr>
            <w:tcW w:w="3823" w:type="dxa"/>
            <w:tcBorders>
              <w:top w:val="single" w:sz="4" w:space="0" w:color="auto"/>
              <w:left w:val="single" w:sz="4" w:space="0" w:color="auto"/>
              <w:bottom w:val="single" w:sz="4" w:space="0" w:color="auto"/>
              <w:right w:val="single" w:sz="4" w:space="0" w:color="auto"/>
            </w:tcBorders>
            <w:hideMark/>
          </w:tcPr>
          <w:p w14:paraId="3040BC44" w14:textId="77777777" w:rsidR="00D97B3A" w:rsidRDefault="00D97B3A">
            <w:pPr>
              <w:spacing w:line="240" w:lineRule="auto"/>
              <w:rPr>
                <w:rFonts w:ascii="Times New Roman" w:hAnsi="Times New Roman"/>
                <w:b/>
                <w:bCs/>
                <w:sz w:val="24"/>
                <w:szCs w:val="24"/>
              </w:rPr>
            </w:pPr>
            <w:r>
              <w:rPr>
                <w:rFonts w:ascii="Times New Roman" w:hAnsi="Times New Roman"/>
                <w:b/>
                <w:bCs/>
                <w:sz w:val="24"/>
                <w:szCs w:val="24"/>
              </w:rPr>
              <w:t xml:space="preserve">Macronutrients </w:t>
            </w:r>
          </w:p>
          <w:p w14:paraId="3E83586A"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Protein g/day</w:t>
            </w:r>
          </w:p>
          <w:p w14:paraId="4FE3C0EF"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Fat g/day (less than)</w:t>
            </w:r>
          </w:p>
          <w:p w14:paraId="6F6D7646"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Saturated fat g/day (less than)</w:t>
            </w:r>
          </w:p>
          <w:p w14:paraId="555F5962" w14:textId="77777777" w:rsidR="00D97B3A" w:rsidRDefault="00D97B3A">
            <w:pPr>
              <w:pStyle w:val="ListParagraph"/>
              <w:spacing w:line="240" w:lineRule="auto"/>
              <w:rPr>
                <w:rFonts w:ascii="Times New Roman" w:hAnsi="Times New Roman"/>
                <w:sz w:val="24"/>
                <w:szCs w:val="24"/>
              </w:rPr>
            </w:pPr>
            <w:r>
              <w:rPr>
                <w:rFonts w:ascii="Times New Roman" w:hAnsi="Times New Roman"/>
                <w:sz w:val="24"/>
                <w:szCs w:val="24"/>
              </w:rPr>
              <w:t xml:space="preserve">Polyunsaturated fat g/day        </w:t>
            </w:r>
          </w:p>
          <w:p w14:paraId="45F4EB7A" w14:textId="77777777" w:rsidR="00D97B3A" w:rsidRDefault="00D97B3A">
            <w:pPr>
              <w:pStyle w:val="ListParagraph"/>
              <w:spacing w:line="240" w:lineRule="auto"/>
              <w:rPr>
                <w:rFonts w:ascii="Times New Roman" w:hAnsi="Times New Roman"/>
                <w:sz w:val="24"/>
                <w:szCs w:val="24"/>
              </w:rPr>
            </w:pPr>
            <w:r>
              <w:rPr>
                <w:rFonts w:ascii="Times New Roman" w:hAnsi="Times New Roman"/>
                <w:sz w:val="24"/>
                <w:szCs w:val="24"/>
              </w:rPr>
              <w:t>Monounsaturated fat g/day</w:t>
            </w:r>
          </w:p>
          <w:p w14:paraId="5FFA9038"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Carbohydrate g/day (at least)</w:t>
            </w:r>
          </w:p>
          <w:p w14:paraId="2A7B9993"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Free sugars g/day (less than)</w:t>
            </w:r>
          </w:p>
        </w:tc>
        <w:tc>
          <w:tcPr>
            <w:tcW w:w="2187" w:type="dxa"/>
            <w:tcBorders>
              <w:top w:val="single" w:sz="4" w:space="0" w:color="auto"/>
              <w:left w:val="single" w:sz="4" w:space="0" w:color="auto"/>
              <w:bottom w:val="single" w:sz="4" w:space="0" w:color="auto"/>
              <w:right w:val="single" w:sz="4" w:space="0" w:color="auto"/>
            </w:tcBorders>
          </w:tcPr>
          <w:p w14:paraId="62BF5F16" w14:textId="77777777" w:rsidR="00D97B3A" w:rsidRDefault="00D97B3A">
            <w:pPr>
              <w:spacing w:line="240" w:lineRule="auto"/>
              <w:rPr>
                <w:rFonts w:ascii="Times New Roman" w:hAnsi="Times New Roman"/>
                <w:sz w:val="24"/>
                <w:szCs w:val="24"/>
              </w:rPr>
            </w:pPr>
          </w:p>
          <w:p w14:paraId="62AFC228"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55.5</w:t>
            </w:r>
          </w:p>
          <w:p w14:paraId="0BB85958"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97</w:t>
            </w:r>
          </w:p>
          <w:p w14:paraId="3A482C28"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31</w:t>
            </w:r>
          </w:p>
          <w:p w14:paraId="7DD2D44B"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18</w:t>
            </w:r>
          </w:p>
          <w:p w14:paraId="1C273251" w14:textId="77777777" w:rsidR="00D97B3A" w:rsidRDefault="00D97B3A">
            <w:pPr>
              <w:pStyle w:val="ListParagraph"/>
              <w:spacing w:line="240" w:lineRule="auto"/>
              <w:rPr>
                <w:rFonts w:ascii="Times New Roman" w:hAnsi="Times New Roman"/>
                <w:sz w:val="24"/>
                <w:szCs w:val="24"/>
              </w:rPr>
            </w:pPr>
            <w:r>
              <w:rPr>
                <w:rFonts w:ascii="Times New Roman" w:hAnsi="Times New Roman"/>
                <w:sz w:val="24"/>
                <w:szCs w:val="24"/>
              </w:rPr>
              <w:t xml:space="preserve">  36</w:t>
            </w:r>
          </w:p>
          <w:p w14:paraId="26C204A6"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333</w:t>
            </w:r>
          </w:p>
          <w:p w14:paraId="7C39291F"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33</w:t>
            </w:r>
          </w:p>
        </w:tc>
        <w:tc>
          <w:tcPr>
            <w:tcW w:w="3006" w:type="dxa"/>
            <w:tcBorders>
              <w:top w:val="single" w:sz="4" w:space="0" w:color="auto"/>
              <w:left w:val="single" w:sz="4" w:space="0" w:color="auto"/>
              <w:bottom w:val="single" w:sz="4" w:space="0" w:color="auto"/>
              <w:right w:val="single" w:sz="4" w:space="0" w:color="auto"/>
            </w:tcBorders>
          </w:tcPr>
          <w:p w14:paraId="37EB7BC7" w14:textId="77777777" w:rsidR="00D97B3A" w:rsidRDefault="00D97B3A">
            <w:pPr>
              <w:spacing w:line="240" w:lineRule="auto"/>
              <w:jc w:val="center"/>
              <w:rPr>
                <w:rFonts w:ascii="Times New Roman" w:hAnsi="Times New Roman"/>
                <w:sz w:val="24"/>
                <w:szCs w:val="24"/>
              </w:rPr>
            </w:pPr>
          </w:p>
          <w:p w14:paraId="5FF86253"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45.0</w:t>
            </w:r>
          </w:p>
          <w:p w14:paraId="56E0EC9B"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78</w:t>
            </w:r>
          </w:p>
          <w:p w14:paraId="0DE1EA14"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24</w:t>
            </w:r>
          </w:p>
          <w:p w14:paraId="2EDDA6BB" w14:textId="77777777" w:rsidR="00D97B3A" w:rsidRDefault="00D97B3A">
            <w:pPr>
              <w:pStyle w:val="ListParagraph"/>
              <w:spacing w:line="240" w:lineRule="auto"/>
              <w:rPr>
                <w:rFonts w:ascii="Times New Roman" w:hAnsi="Times New Roman"/>
                <w:sz w:val="24"/>
                <w:szCs w:val="24"/>
              </w:rPr>
            </w:pPr>
            <w:r>
              <w:rPr>
                <w:rFonts w:ascii="Times New Roman" w:hAnsi="Times New Roman"/>
                <w:sz w:val="24"/>
                <w:szCs w:val="24"/>
              </w:rPr>
              <w:t xml:space="preserve">         14</w:t>
            </w:r>
          </w:p>
          <w:p w14:paraId="085226E2" w14:textId="77777777" w:rsidR="00D97B3A" w:rsidRDefault="00D97B3A">
            <w:pPr>
              <w:pStyle w:val="ListParagraph"/>
              <w:spacing w:line="240" w:lineRule="auto"/>
              <w:rPr>
                <w:rFonts w:ascii="Times New Roman" w:hAnsi="Times New Roman"/>
                <w:sz w:val="24"/>
                <w:szCs w:val="24"/>
              </w:rPr>
            </w:pPr>
            <w:r>
              <w:rPr>
                <w:rFonts w:ascii="Times New Roman" w:hAnsi="Times New Roman"/>
                <w:sz w:val="24"/>
                <w:szCs w:val="24"/>
              </w:rPr>
              <w:t xml:space="preserve">         29</w:t>
            </w:r>
          </w:p>
          <w:p w14:paraId="52AA6280"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267</w:t>
            </w:r>
          </w:p>
          <w:p w14:paraId="6D919D64"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27</w:t>
            </w:r>
          </w:p>
        </w:tc>
      </w:tr>
      <w:tr w:rsidR="00D97B3A" w14:paraId="68E7067B" w14:textId="77777777" w:rsidTr="00D97B3A">
        <w:tc>
          <w:tcPr>
            <w:tcW w:w="3823" w:type="dxa"/>
            <w:tcBorders>
              <w:top w:val="single" w:sz="4" w:space="0" w:color="auto"/>
              <w:left w:val="single" w:sz="4" w:space="0" w:color="auto"/>
              <w:bottom w:val="single" w:sz="4" w:space="0" w:color="auto"/>
              <w:right w:val="single" w:sz="4" w:space="0" w:color="auto"/>
            </w:tcBorders>
            <w:hideMark/>
          </w:tcPr>
          <w:p w14:paraId="45C8F166" w14:textId="77777777" w:rsidR="00D97B3A" w:rsidRDefault="00D97B3A">
            <w:pPr>
              <w:spacing w:line="240" w:lineRule="auto"/>
              <w:rPr>
                <w:rFonts w:ascii="Times New Roman" w:hAnsi="Times New Roman"/>
                <w:sz w:val="24"/>
                <w:szCs w:val="24"/>
              </w:rPr>
            </w:pPr>
            <w:r>
              <w:rPr>
                <w:rFonts w:ascii="Times New Roman" w:hAnsi="Times New Roman"/>
                <w:b/>
                <w:bCs/>
                <w:sz w:val="24"/>
                <w:szCs w:val="24"/>
              </w:rPr>
              <w:t>Salt</w:t>
            </w:r>
            <w:r>
              <w:rPr>
                <w:rFonts w:ascii="Times New Roman" w:hAnsi="Times New Roman"/>
                <w:sz w:val="24"/>
                <w:szCs w:val="24"/>
              </w:rPr>
              <w:t xml:space="preserve"> </w:t>
            </w:r>
          </w:p>
          <w:p w14:paraId="48E1B1EB"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g/day (less than)</w:t>
            </w:r>
          </w:p>
        </w:tc>
        <w:tc>
          <w:tcPr>
            <w:tcW w:w="2187" w:type="dxa"/>
            <w:tcBorders>
              <w:top w:val="single" w:sz="4" w:space="0" w:color="auto"/>
              <w:left w:val="single" w:sz="4" w:space="0" w:color="auto"/>
              <w:bottom w:val="single" w:sz="4" w:space="0" w:color="auto"/>
              <w:right w:val="single" w:sz="4" w:space="0" w:color="auto"/>
            </w:tcBorders>
          </w:tcPr>
          <w:p w14:paraId="15735260" w14:textId="77777777" w:rsidR="00D97B3A" w:rsidRDefault="00D97B3A">
            <w:pPr>
              <w:spacing w:line="240" w:lineRule="auto"/>
              <w:jc w:val="center"/>
              <w:rPr>
                <w:rFonts w:ascii="Times New Roman" w:hAnsi="Times New Roman"/>
                <w:sz w:val="24"/>
                <w:szCs w:val="24"/>
              </w:rPr>
            </w:pPr>
          </w:p>
          <w:p w14:paraId="042BE3BA"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6.0</w:t>
            </w:r>
          </w:p>
        </w:tc>
        <w:tc>
          <w:tcPr>
            <w:tcW w:w="3006" w:type="dxa"/>
            <w:tcBorders>
              <w:top w:val="single" w:sz="4" w:space="0" w:color="auto"/>
              <w:left w:val="single" w:sz="4" w:space="0" w:color="auto"/>
              <w:bottom w:val="single" w:sz="4" w:space="0" w:color="auto"/>
              <w:right w:val="single" w:sz="4" w:space="0" w:color="auto"/>
            </w:tcBorders>
          </w:tcPr>
          <w:p w14:paraId="22CC088D" w14:textId="77777777" w:rsidR="00D97B3A" w:rsidRDefault="00D97B3A">
            <w:pPr>
              <w:spacing w:line="240" w:lineRule="auto"/>
              <w:jc w:val="center"/>
              <w:rPr>
                <w:rFonts w:ascii="Times New Roman" w:hAnsi="Times New Roman"/>
                <w:sz w:val="24"/>
                <w:szCs w:val="24"/>
              </w:rPr>
            </w:pPr>
          </w:p>
          <w:p w14:paraId="0870C29F"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6.0</w:t>
            </w:r>
          </w:p>
        </w:tc>
      </w:tr>
      <w:tr w:rsidR="00D97B3A" w14:paraId="59F1D486" w14:textId="77777777" w:rsidTr="00D97B3A">
        <w:tc>
          <w:tcPr>
            <w:tcW w:w="3823" w:type="dxa"/>
            <w:tcBorders>
              <w:top w:val="single" w:sz="4" w:space="0" w:color="auto"/>
              <w:left w:val="single" w:sz="4" w:space="0" w:color="auto"/>
              <w:bottom w:val="single" w:sz="4" w:space="0" w:color="auto"/>
              <w:right w:val="single" w:sz="4" w:space="0" w:color="auto"/>
            </w:tcBorders>
            <w:hideMark/>
          </w:tcPr>
          <w:p w14:paraId="01F089C9" w14:textId="77777777" w:rsidR="00D97B3A" w:rsidRDefault="00D97B3A">
            <w:pPr>
              <w:spacing w:line="240" w:lineRule="auto"/>
              <w:rPr>
                <w:rFonts w:ascii="Times New Roman" w:hAnsi="Times New Roman"/>
                <w:b/>
                <w:bCs/>
                <w:sz w:val="24"/>
                <w:szCs w:val="24"/>
              </w:rPr>
            </w:pPr>
            <w:r>
              <w:rPr>
                <w:rFonts w:ascii="Times New Roman" w:hAnsi="Times New Roman"/>
                <w:b/>
                <w:bCs/>
                <w:sz w:val="24"/>
                <w:szCs w:val="24"/>
              </w:rPr>
              <w:t>Dietary fibre</w:t>
            </w:r>
          </w:p>
          <w:p w14:paraId="03E2831E"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g/day</w:t>
            </w:r>
          </w:p>
        </w:tc>
        <w:tc>
          <w:tcPr>
            <w:tcW w:w="2187" w:type="dxa"/>
            <w:tcBorders>
              <w:top w:val="single" w:sz="4" w:space="0" w:color="auto"/>
              <w:left w:val="single" w:sz="4" w:space="0" w:color="auto"/>
              <w:bottom w:val="single" w:sz="4" w:space="0" w:color="auto"/>
              <w:right w:val="single" w:sz="4" w:space="0" w:color="auto"/>
            </w:tcBorders>
          </w:tcPr>
          <w:p w14:paraId="23CCD7FD" w14:textId="77777777" w:rsidR="00D97B3A" w:rsidRDefault="00D97B3A">
            <w:pPr>
              <w:spacing w:line="240" w:lineRule="auto"/>
              <w:jc w:val="center"/>
              <w:rPr>
                <w:rFonts w:ascii="Times New Roman" w:hAnsi="Times New Roman"/>
                <w:sz w:val="24"/>
                <w:szCs w:val="24"/>
              </w:rPr>
            </w:pPr>
          </w:p>
          <w:p w14:paraId="0486D753"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30</w:t>
            </w:r>
          </w:p>
        </w:tc>
        <w:tc>
          <w:tcPr>
            <w:tcW w:w="3006" w:type="dxa"/>
            <w:tcBorders>
              <w:top w:val="single" w:sz="4" w:space="0" w:color="auto"/>
              <w:left w:val="single" w:sz="4" w:space="0" w:color="auto"/>
              <w:bottom w:val="single" w:sz="4" w:space="0" w:color="auto"/>
              <w:right w:val="single" w:sz="4" w:space="0" w:color="auto"/>
            </w:tcBorders>
          </w:tcPr>
          <w:p w14:paraId="43FF4E40" w14:textId="77777777" w:rsidR="00D97B3A" w:rsidRDefault="00D97B3A">
            <w:pPr>
              <w:spacing w:line="240" w:lineRule="auto"/>
              <w:jc w:val="center"/>
              <w:rPr>
                <w:rFonts w:ascii="Times New Roman" w:hAnsi="Times New Roman"/>
                <w:sz w:val="24"/>
                <w:szCs w:val="24"/>
              </w:rPr>
            </w:pPr>
          </w:p>
          <w:p w14:paraId="3469CD32"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30</w:t>
            </w:r>
          </w:p>
        </w:tc>
      </w:tr>
      <w:tr w:rsidR="00D97B3A" w14:paraId="223DC529" w14:textId="77777777" w:rsidTr="00D97B3A">
        <w:trPr>
          <w:trHeight w:val="2467"/>
        </w:trPr>
        <w:tc>
          <w:tcPr>
            <w:tcW w:w="3823" w:type="dxa"/>
            <w:tcBorders>
              <w:top w:val="single" w:sz="4" w:space="0" w:color="auto"/>
              <w:left w:val="single" w:sz="4" w:space="0" w:color="auto"/>
              <w:bottom w:val="single" w:sz="4" w:space="0" w:color="auto"/>
              <w:right w:val="single" w:sz="4" w:space="0" w:color="auto"/>
            </w:tcBorders>
            <w:hideMark/>
          </w:tcPr>
          <w:p w14:paraId="2D72FEF5" w14:textId="77777777" w:rsidR="00D97B3A" w:rsidRDefault="00D97B3A">
            <w:pPr>
              <w:spacing w:line="240" w:lineRule="auto"/>
              <w:rPr>
                <w:rFonts w:ascii="Times New Roman" w:hAnsi="Times New Roman"/>
                <w:b/>
                <w:bCs/>
                <w:sz w:val="24"/>
                <w:szCs w:val="24"/>
              </w:rPr>
            </w:pPr>
            <w:r>
              <w:rPr>
                <w:rFonts w:ascii="Times New Roman" w:hAnsi="Times New Roman"/>
                <w:b/>
                <w:bCs/>
                <w:sz w:val="24"/>
                <w:szCs w:val="24"/>
              </w:rPr>
              <w:t xml:space="preserve">Vitamins </w:t>
            </w:r>
          </w:p>
          <w:p w14:paraId="2FABD485"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Vitamin A µg/day</w:t>
            </w:r>
          </w:p>
          <w:p w14:paraId="6E04D226"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w:t>
            </w:r>
            <w:proofErr w:type="spellStart"/>
            <w:r>
              <w:rPr>
                <w:rFonts w:ascii="Times New Roman" w:hAnsi="Times New Roman"/>
                <w:sz w:val="24"/>
                <w:szCs w:val="24"/>
              </w:rPr>
              <w:t>Thiamin</w:t>
            </w:r>
            <w:proofErr w:type="spellEnd"/>
            <w:r>
              <w:rPr>
                <w:rFonts w:ascii="Times New Roman" w:hAnsi="Times New Roman"/>
                <w:sz w:val="24"/>
                <w:szCs w:val="24"/>
              </w:rPr>
              <w:t xml:space="preserve"> mg/day</w:t>
            </w:r>
          </w:p>
          <w:p w14:paraId="49FEE1DB"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Riboflavin mg/day</w:t>
            </w:r>
          </w:p>
          <w:p w14:paraId="522B77AF"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Niacin equivalent mg/day</w:t>
            </w:r>
          </w:p>
          <w:p w14:paraId="689B4858"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Vitamin B6 mg/day</w:t>
            </w:r>
          </w:p>
          <w:p w14:paraId="283334A8"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Vitamin B12 µg/day</w:t>
            </w:r>
          </w:p>
          <w:p w14:paraId="4F77DEF5"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Folate µg/day </w:t>
            </w:r>
          </w:p>
          <w:p w14:paraId="44B1333F"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Vitamin C mg/day</w:t>
            </w:r>
          </w:p>
          <w:p w14:paraId="5D07D459"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Vitamin D µg/day </w:t>
            </w:r>
          </w:p>
        </w:tc>
        <w:tc>
          <w:tcPr>
            <w:tcW w:w="2187" w:type="dxa"/>
            <w:tcBorders>
              <w:top w:val="single" w:sz="4" w:space="0" w:color="auto"/>
              <w:left w:val="single" w:sz="4" w:space="0" w:color="auto"/>
              <w:bottom w:val="single" w:sz="4" w:space="0" w:color="auto"/>
              <w:right w:val="single" w:sz="4" w:space="0" w:color="auto"/>
            </w:tcBorders>
          </w:tcPr>
          <w:p w14:paraId="106A39B8" w14:textId="77777777" w:rsidR="00D97B3A" w:rsidRDefault="00D97B3A">
            <w:pPr>
              <w:spacing w:line="240" w:lineRule="auto"/>
              <w:jc w:val="center"/>
              <w:rPr>
                <w:rFonts w:ascii="Times New Roman" w:hAnsi="Times New Roman"/>
                <w:sz w:val="24"/>
                <w:szCs w:val="24"/>
              </w:rPr>
            </w:pPr>
          </w:p>
          <w:p w14:paraId="56350416"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700</w:t>
            </w:r>
          </w:p>
          <w:p w14:paraId="4AEA9B54"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1.0</w:t>
            </w:r>
          </w:p>
          <w:p w14:paraId="2555CF77"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1.3</w:t>
            </w:r>
          </w:p>
          <w:p w14:paraId="6804DBEC"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16.5</w:t>
            </w:r>
          </w:p>
          <w:p w14:paraId="1D75E8D1"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1.4</w:t>
            </w:r>
          </w:p>
          <w:p w14:paraId="4F716BF9"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1.5</w:t>
            </w:r>
          </w:p>
          <w:p w14:paraId="4D480553"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200</w:t>
            </w:r>
          </w:p>
          <w:p w14:paraId="5F012122"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40</w:t>
            </w:r>
          </w:p>
          <w:p w14:paraId="49610957"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10</w:t>
            </w:r>
          </w:p>
          <w:p w14:paraId="2AB02F57" w14:textId="77777777" w:rsidR="00D97B3A" w:rsidRDefault="00D97B3A">
            <w:pPr>
              <w:spacing w:line="240" w:lineRule="auto"/>
              <w:jc w:val="center"/>
              <w:rPr>
                <w:rFonts w:ascii="Times New Roman" w:hAnsi="Times New Roman"/>
                <w:sz w:val="24"/>
                <w:szCs w:val="24"/>
              </w:rPr>
            </w:pPr>
          </w:p>
          <w:p w14:paraId="4414E330" w14:textId="77777777" w:rsidR="00D97B3A" w:rsidRDefault="00D97B3A">
            <w:pPr>
              <w:spacing w:line="240" w:lineRule="auto"/>
              <w:rPr>
                <w:rFonts w:ascii="Times New Roman" w:hAnsi="Times New Roman"/>
                <w:sz w:val="24"/>
                <w:szCs w:val="24"/>
              </w:rPr>
            </w:pPr>
          </w:p>
        </w:tc>
        <w:tc>
          <w:tcPr>
            <w:tcW w:w="3006" w:type="dxa"/>
            <w:tcBorders>
              <w:top w:val="single" w:sz="4" w:space="0" w:color="auto"/>
              <w:left w:val="single" w:sz="4" w:space="0" w:color="auto"/>
              <w:bottom w:val="single" w:sz="4" w:space="0" w:color="auto"/>
              <w:right w:val="single" w:sz="4" w:space="0" w:color="auto"/>
            </w:tcBorders>
          </w:tcPr>
          <w:p w14:paraId="705C8652" w14:textId="77777777" w:rsidR="00D97B3A" w:rsidRDefault="00D97B3A">
            <w:pPr>
              <w:spacing w:line="240" w:lineRule="auto"/>
              <w:jc w:val="center"/>
              <w:rPr>
                <w:rFonts w:ascii="Times New Roman" w:hAnsi="Times New Roman"/>
                <w:sz w:val="24"/>
                <w:szCs w:val="24"/>
              </w:rPr>
            </w:pPr>
          </w:p>
          <w:p w14:paraId="2899E87C"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600</w:t>
            </w:r>
          </w:p>
          <w:p w14:paraId="337897B8"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0.8</w:t>
            </w:r>
          </w:p>
          <w:p w14:paraId="346129F0"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1.1</w:t>
            </w:r>
          </w:p>
          <w:p w14:paraId="0E92A997"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13.2</w:t>
            </w:r>
          </w:p>
          <w:p w14:paraId="2B80D1AF"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1.2</w:t>
            </w:r>
          </w:p>
          <w:p w14:paraId="07F8F986"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1.5</w:t>
            </w:r>
          </w:p>
          <w:p w14:paraId="75894013"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200</w:t>
            </w:r>
          </w:p>
          <w:p w14:paraId="2D6C1429"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40</w:t>
            </w:r>
          </w:p>
          <w:p w14:paraId="264E3B18"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10</w:t>
            </w:r>
          </w:p>
        </w:tc>
      </w:tr>
      <w:tr w:rsidR="00D97B3A" w14:paraId="6C454BE9" w14:textId="77777777" w:rsidTr="00D97B3A">
        <w:tc>
          <w:tcPr>
            <w:tcW w:w="3823" w:type="dxa"/>
            <w:tcBorders>
              <w:top w:val="single" w:sz="4" w:space="0" w:color="auto"/>
              <w:left w:val="single" w:sz="4" w:space="0" w:color="auto"/>
              <w:bottom w:val="single" w:sz="4" w:space="0" w:color="auto"/>
              <w:right w:val="single" w:sz="4" w:space="0" w:color="auto"/>
            </w:tcBorders>
          </w:tcPr>
          <w:p w14:paraId="36C18DA3" w14:textId="77777777" w:rsidR="00D97B3A" w:rsidRDefault="00D97B3A">
            <w:pPr>
              <w:spacing w:line="240" w:lineRule="auto"/>
              <w:rPr>
                <w:rFonts w:ascii="Times New Roman" w:hAnsi="Times New Roman"/>
                <w:b/>
                <w:bCs/>
                <w:sz w:val="24"/>
                <w:szCs w:val="24"/>
              </w:rPr>
            </w:pPr>
            <w:r>
              <w:rPr>
                <w:rFonts w:ascii="Times New Roman" w:hAnsi="Times New Roman"/>
                <w:b/>
                <w:bCs/>
                <w:sz w:val="24"/>
                <w:szCs w:val="24"/>
              </w:rPr>
              <w:t xml:space="preserve">Minerals </w:t>
            </w:r>
          </w:p>
          <w:p w14:paraId="3A637497" w14:textId="77777777" w:rsidR="00D97B3A" w:rsidRDefault="00D97B3A">
            <w:pPr>
              <w:spacing w:line="240" w:lineRule="auto"/>
              <w:rPr>
                <w:rFonts w:ascii="Times New Roman" w:hAnsi="Times New Roman"/>
                <w:sz w:val="24"/>
                <w:szCs w:val="24"/>
              </w:rPr>
            </w:pPr>
            <w:r>
              <w:rPr>
                <w:rFonts w:ascii="Times New Roman" w:hAnsi="Times New Roman"/>
                <w:sz w:val="24"/>
                <w:szCs w:val="24"/>
              </w:rPr>
              <w:lastRenderedPageBreak/>
              <w:t xml:space="preserve">        Iron mg/day</w:t>
            </w:r>
          </w:p>
          <w:p w14:paraId="147C9E8C" w14:textId="77777777" w:rsidR="00D97B3A" w:rsidRDefault="00D97B3A">
            <w:pPr>
              <w:spacing w:line="240" w:lineRule="auto"/>
              <w:rPr>
                <w:rFonts w:ascii="Times New Roman" w:hAnsi="Times New Roman"/>
                <w:sz w:val="24"/>
                <w:szCs w:val="24"/>
              </w:rPr>
            </w:pPr>
          </w:p>
          <w:p w14:paraId="0BDB2499" w14:textId="77777777" w:rsidR="00D97B3A" w:rsidRDefault="00D97B3A">
            <w:pPr>
              <w:spacing w:line="240" w:lineRule="auto"/>
              <w:rPr>
                <w:rFonts w:ascii="Times New Roman" w:hAnsi="Times New Roman"/>
                <w:sz w:val="24"/>
                <w:szCs w:val="24"/>
              </w:rPr>
            </w:pPr>
          </w:p>
          <w:p w14:paraId="7117BCD9"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Calcium mg/day</w:t>
            </w:r>
          </w:p>
          <w:p w14:paraId="36B4C4AC"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Magnesium mg/day</w:t>
            </w:r>
          </w:p>
          <w:p w14:paraId="4FE9CD6E"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Potassium mg/day</w:t>
            </w:r>
          </w:p>
          <w:p w14:paraId="577AD1B9"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Zinc mg/day</w:t>
            </w:r>
          </w:p>
          <w:p w14:paraId="1DCC7B1A"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Copper mg/day</w:t>
            </w:r>
          </w:p>
          <w:p w14:paraId="489B6691"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Iodine µg/day</w:t>
            </w:r>
          </w:p>
          <w:p w14:paraId="0CBAA584"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Selenium µg/day</w:t>
            </w:r>
          </w:p>
          <w:p w14:paraId="6F6C6E73"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Phosphorus mg/day</w:t>
            </w:r>
          </w:p>
          <w:p w14:paraId="2DD62624"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Chloride mg/day</w:t>
            </w:r>
          </w:p>
          <w:p w14:paraId="0B82105E" w14:textId="77777777" w:rsidR="00D97B3A" w:rsidRDefault="00D97B3A">
            <w:pPr>
              <w:spacing w:line="240" w:lineRule="auto"/>
              <w:rPr>
                <w:rFonts w:ascii="Times New Roman" w:hAnsi="Times New Roman"/>
                <w:sz w:val="24"/>
                <w:szCs w:val="24"/>
              </w:rPr>
            </w:pPr>
            <w:r>
              <w:rPr>
                <w:rFonts w:ascii="Times New Roman" w:hAnsi="Times New Roman"/>
                <w:sz w:val="24"/>
                <w:szCs w:val="24"/>
              </w:rPr>
              <w:t xml:space="preserve">        Sodium g/day</w:t>
            </w:r>
          </w:p>
        </w:tc>
        <w:tc>
          <w:tcPr>
            <w:tcW w:w="2187" w:type="dxa"/>
            <w:tcBorders>
              <w:top w:val="single" w:sz="4" w:space="0" w:color="auto"/>
              <w:left w:val="single" w:sz="4" w:space="0" w:color="auto"/>
              <w:bottom w:val="single" w:sz="4" w:space="0" w:color="auto"/>
              <w:right w:val="single" w:sz="4" w:space="0" w:color="auto"/>
            </w:tcBorders>
          </w:tcPr>
          <w:p w14:paraId="17BA9F19" w14:textId="77777777" w:rsidR="00D97B3A" w:rsidRDefault="00D97B3A">
            <w:pPr>
              <w:spacing w:line="240" w:lineRule="auto"/>
              <w:jc w:val="center"/>
              <w:rPr>
                <w:rFonts w:ascii="Times New Roman" w:hAnsi="Times New Roman"/>
                <w:sz w:val="24"/>
                <w:szCs w:val="24"/>
              </w:rPr>
            </w:pPr>
          </w:p>
          <w:p w14:paraId="6D76375B"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lastRenderedPageBreak/>
              <w:t>8.7</w:t>
            </w:r>
          </w:p>
          <w:p w14:paraId="6B367D84" w14:textId="77777777" w:rsidR="00D97B3A" w:rsidRDefault="00D97B3A">
            <w:pPr>
              <w:spacing w:line="240" w:lineRule="auto"/>
              <w:jc w:val="center"/>
              <w:rPr>
                <w:rFonts w:ascii="Times New Roman" w:hAnsi="Times New Roman"/>
                <w:sz w:val="24"/>
                <w:szCs w:val="24"/>
              </w:rPr>
            </w:pPr>
          </w:p>
          <w:p w14:paraId="247A1AAE" w14:textId="77777777" w:rsidR="00D97B3A" w:rsidRDefault="00D97B3A">
            <w:pPr>
              <w:spacing w:line="240" w:lineRule="auto"/>
              <w:jc w:val="center"/>
              <w:rPr>
                <w:rFonts w:ascii="Times New Roman" w:hAnsi="Times New Roman"/>
                <w:sz w:val="24"/>
                <w:szCs w:val="24"/>
              </w:rPr>
            </w:pPr>
          </w:p>
          <w:p w14:paraId="7B5E4413"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700</w:t>
            </w:r>
          </w:p>
          <w:p w14:paraId="6A6675F3"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300</w:t>
            </w:r>
          </w:p>
          <w:p w14:paraId="77C7DE97"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3500</w:t>
            </w:r>
          </w:p>
          <w:p w14:paraId="49B33599"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9.5</w:t>
            </w:r>
          </w:p>
          <w:p w14:paraId="7B1C1A67"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1.2</w:t>
            </w:r>
          </w:p>
          <w:p w14:paraId="002DC9DF"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140</w:t>
            </w:r>
          </w:p>
          <w:p w14:paraId="77A62B94"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75</w:t>
            </w:r>
          </w:p>
          <w:p w14:paraId="3CE2B61E"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550</w:t>
            </w:r>
          </w:p>
          <w:p w14:paraId="60716D98"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2500</w:t>
            </w:r>
          </w:p>
          <w:p w14:paraId="7A86521B"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2.4</w:t>
            </w:r>
          </w:p>
        </w:tc>
        <w:tc>
          <w:tcPr>
            <w:tcW w:w="3006" w:type="dxa"/>
            <w:tcBorders>
              <w:top w:val="single" w:sz="4" w:space="0" w:color="auto"/>
              <w:left w:val="single" w:sz="4" w:space="0" w:color="auto"/>
              <w:bottom w:val="single" w:sz="4" w:space="0" w:color="auto"/>
              <w:right w:val="single" w:sz="4" w:space="0" w:color="auto"/>
            </w:tcBorders>
          </w:tcPr>
          <w:p w14:paraId="0E08D99C" w14:textId="77777777" w:rsidR="00D97B3A" w:rsidRDefault="00D97B3A">
            <w:pPr>
              <w:spacing w:line="240" w:lineRule="auto"/>
              <w:jc w:val="center"/>
              <w:rPr>
                <w:rFonts w:ascii="Times New Roman" w:hAnsi="Times New Roman"/>
                <w:sz w:val="24"/>
                <w:szCs w:val="24"/>
              </w:rPr>
            </w:pPr>
          </w:p>
          <w:p w14:paraId="0490FCA2"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lastRenderedPageBreak/>
              <w:t>14.8 (19-50y)</w:t>
            </w:r>
          </w:p>
          <w:p w14:paraId="493886DA"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8.7 (50-64y)</w:t>
            </w:r>
          </w:p>
          <w:p w14:paraId="189A3549" w14:textId="77777777" w:rsidR="00D97B3A" w:rsidRDefault="00D97B3A">
            <w:pPr>
              <w:spacing w:line="240" w:lineRule="auto"/>
              <w:jc w:val="center"/>
              <w:rPr>
                <w:rFonts w:ascii="Times New Roman" w:hAnsi="Times New Roman"/>
                <w:sz w:val="24"/>
                <w:szCs w:val="24"/>
              </w:rPr>
            </w:pPr>
          </w:p>
          <w:p w14:paraId="6EFAEE0F"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700</w:t>
            </w:r>
          </w:p>
          <w:p w14:paraId="2B8BACA9"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270</w:t>
            </w:r>
          </w:p>
          <w:p w14:paraId="286BA8F0"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3500</w:t>
            </w:r>
          </w:p>
          <w:p w14:paraId="453CB4FC"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7.0</w:t>
            </w:r>
          </w:p>
          <w:p w14:paraId="44F8116C"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1.2</w:t>
            </w:r>
          </w:p>
          <w:p w14:paraId="7BC128F5"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140</w:t>
            </w:r>
          </w:p>
          <w:p w14:paraId="3C4D3F35"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60</w:t>
            </w:r>
          </w:p>
          <w:p w14:paraId="7A7EA5FF"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550</w:t>
            </w:r>
          </w:p>
          <w:p w14:paraId="67B32E5B"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2500</w:t>
            </w:r>
          </w:p>
          <w:p w14:paraId="600649AD" w14:textId="77777777" w:rsidR="00D97B3A" w:rsidRDefault="00D97B3A">
            <w:pPr>
              <w:spacing w:line="240" w:lineRule="auto"/>
              <w:jc w:val="center"/>
              <w:rPr>
                <w:rFonts w:ascii="Times New Roman" w:hAnsi="Times New Roman"/>
                <w:sz w:val="24"/>
                <w:szCs w:val="24"/>
              </w:rPr>
            </w:pPr>
            <w:r>
              <w:rPr>
                <w:rFonts w:ascii="Times New Roman" w:hAnsi="Times New Roman"/>
                <w:sz w:val="24"/>
                <w:szCs w:val="24"/>
              </w:rPr>
              <w:t>2.4</w:t>
            </w:r>
          </w:p>
        </w:tc>
      </w:tr>
    </w:tbl>
    <w:p w14:paraId="397E1039" w14:textId="77777777" w:rsidR="00D97B3A" w:rsidRDefault="00D97B3A" w:rsidP="00D97B3A">
      <w:pPr>
        <w:rPr>
          <w:rFonts w:ascii="Times New Roman" w:hAnsi="Times New Roman"/>
          <w:strike/>
          <w:color w:val="FF0000"/>
          <w:sz w:val="24"/>
          <w:szCs w:val="24"/>
        </w:rPr>
      </w:pPr>
    </w:p>
    <w:p w14:paraId="344127CF" w14:textId="77777777" w:rsidR="00D97B3A" w:rsidRDefault="00D97B3A" w:rsidP="00D97B3A">
      <w:pPr>
        <w:spacing w:line="360" w:lineRule="auto"/>
        <w:rPr>
          <w:rFonts w:ascii="Times New Roman" w:hAnsi="Times New Roman"/>
          <w:color w:val="FF0000"/>
          <w:sz w:val="24"/>
          <w:szCs w:val="24"/>
        </w:rPr>
      </w:pPr>
      <w:r>
        <w:rPr>
          <w:rFonts w:ascii="Times New Roman" w:hAnsi="Times New Roman"/>
          <w:sz w:val="24"/>
          <w:szCs w:val="24"/>
        </w:rPr>
        <w:t>According to Public Health England (2016) adult males require 2500 kcal per day and females need 2000 kcal per day to help maintain the healthy BMI of 18.5 – 24.9 and resolve the issue connected to obesity.</w:t>
      </w:r>
    </w:p>
    <w:p w14:paraId="42A10684" w14:textId="77777777" w:rsidR="00D97B3A" w:rsidRDefault="00D97B3A" w:rsidP="00D97B3A">
      <w:pPr>
        <w:spacing w:after="0" w:line="360" w:lineRule="auto"/>
        <w:rPr>
          <w:rFonts w:ascii="Times New Roman" w:hAnsi="Times New Roman"/>
          <w:sz w:val="24"/>
          <w:szCs w:val="24"/>
        </w:rPr>
      </w:pPr>
      <w:r>
        <w:rPr>
          <w:rFonts w:ascii="Times New Roman" w:hAnsi="Times New Roman"/>
          <w:sz w:val="24"/>
          <w:szCs w:val="24"/>
        </w:rPr>
        <w:t xml:space="preserve">Furthermore, fats play an important role in promoting and maintaining health. Some fats are essential to protect the internal organs, control temperature, provide energy, </w:t>
      </w:r>
      <w:proofErr w:type="gramStart"/>
      <w:r>
        <w:rPr>
          <w:rFonts w:ascii="Times New Roman" w:hAnsi="Times New Roman"/>
          <w:sz w:val="24"/>
          <w:szCs w:val="24"/>
        </w:rPr>
        <w:t>develop</w:t>
      </w:r>
      <w:proofErr w:type="gramEnd"/>
      <w:r>
        <w:rPr>
          <w:rFonts w:ascii="Times New Roman" w:hAnsi="Times New Roman"/>
          <w:sz w:val="24"/>
          <w:szCs w:val="24"/>
        </w:rPr>
        <w:t xml:space="preserve"> and repair body tissues, minimise the risk of osteoporosis by modification of reproductive hormones, provide essential omega-3 and omega-6 fatty acids and deliver satiety value (</w:t>
      </w:r>
      <w:proofErr w:type="spellStart"/>
      <w:r>
        <w:rPr>
          <w:rFonts w:ascii="Times New Roman" w:hAnsi="Times New Roman"/>
          <w:sz w:val="24"/>
          <w:szCs w:val="24"/>
        </w:rPr>
        <w:t>Barasi</w:t>
      </w:r>
      <w:proofErr w:type="spellEnd"/>
      <w:r>
        <w:rPr>
          <w:rFonts w:ascii="Times New Roman" w:hAnsi="Times New Roman"/>
          <w:sz w:val="24"/>
          <w:szCs w:val="24"/>
        </w:rPr>
        <w:t>, 2007). As included in the table above, polyunsaturated fatty acids also known as PUFAs are recommended to be 18 grams for men and 14 grams for woman for the total daily intake and belong to the Omega-3 (n-3) and Omega-6 (n-6) essential fatty acids family which cannot be produced in the body and therefore must be obtained from the diet (</w:t>
      </w:r>
      <w:proofErr w:type="spellStart"/>
      <w:r>
        <w:rPr>
          <w:rFonts w:ascii="Times New Roman" w:hAnsi="Times New Roman"/>
          <w:sz w:val="24"/>
          <w:szCs w:val="24"/>
        </w:rPr>
        <w:t>Barasi</w:t>
      </w:r>
      <w:proofErr w:type="spellEnd"/>
      <w:r>
        <w:rPr>
          <w:rFonts w:ascii="Times New Roman" w:hAnsi="Times New Roman"/>
          <w:sz w:val="24"/>
          <w:szCs w:val="24"/>
        </w:rPr>
        <w:t xml:space="preserve">, 2007). In addition, plant oils, oily fish, soya beans are all good dietary sources for the essential fatty acids and consuming the right amount plays an important role in preventing blood clots, protecting against heart </w:t>
      </w:r>
      <w:proofErr w:type="gramStart"/>
      <w:r>
        <w:rPr>
          <w:rFonts w:ascii="Times New Roman" w:hAnsi="Times New Roman"/>
          <w:sz w:val="24"/>
          <w:szCs w:val="24"/>
        </w:rPr>
        <w:t>disease</w:t>
      </w:r>
      <w:proofErr w:type="gramEnd"/>
      <w:r>
        <w:rPr>
          <w:rFonts w:ascii="Times New Roman" w:hAnsi="Times New Roman"/>
          <w:sz w:val="24"/>
          <w:szCs w:val="24"/>
        </w:rPr>
        <w:t xml:space="preserve"> and promoting normal growth and development (Department of Health, 1991). However, saturated fat found in animal sources and any solid room temperature product should be less than 31 grams for men and less than 24 grams for woman for the total daily intake to prevent high blood cholesterol and increased cardiovascular disease risk (</w:t>
      </w:r>
      <w:proofErr w:type="spellStart"/>
      <w:r>
        <w:rPr>
          <w:rFonts w:ascii="Times New Roman" w:hAnsi="Times New Roman"/>
          <w:sz w:val="24"/>
          <w:szCs w:val="24"/>
        </w:rPr>
        <w:t>Barasi</w:t>
      </w:r>
      <w:proofErr w:type="spellEnd"/>
      <w:r>
        <w:rPr>
          <w:rFonts w:ascii="Times New Roman" w:hAnsi="Times New Roman"/>
          <w:sz w:val="24"/>
          <w:szCs w:val="24"/>
        </w:rPr>
        <w:t>, 2007). Additionally, total fat intake for majority of the population should be no more than 35% and of which saturated fats should be a total of approximately 11%, 13% of monosaturated fats and 6.5% of polyunsaturated fats (Department of Health, 1991).</w:t>
      </w:r>
    </w:p>
    <w:p w14:paraId="3683D962" w14:textId="77777777" w:rsidR="00D97B3A" w:rsidRDefault="00D97B3A" w:rsidP="00D97B3A">
      <w:pPr>
        <w:spacing w:after="0" w:line="360" w:lineRule="auto"/>
        <w:rPr>
          <w:rFonts w:ascii="Times New Roman" w:hAnsi="Times New Roman"/>
          <w:sz w:val="24"/>
          <w:szCs w:val="24"/>
        </w:rPr>
      </w:pPr>
      <w:r>
        <w:rPr>
          <w:rFonts w:ascii="Times New Roman" w:hAnsi="Times New Roman"/>
          <w:sz w:val="24"/>
          <w:szCs w:val="24"/>
        </w:rPr>
        <w:t xml:space="preserve">Moreover, DRV indicates an estimate of at least 333g of carbohydrate for men a day and 267g for woman. Additionally, adults should include 30g of dietary fibre in the diet. According to Lunn and </w:t>
      </w:r>
      <w:proofErr w:type="spellStart"/>
      <w:r>
        <w:rPr>
          <w:rFonts w:ascii="Times New Roman" w:hAnsi="Times New Roman"/>
          <w:sz w:val="24"/>
          <w:szCs w:val="24"/>
        </w:rPr>
        <w:t>Buttriss</w:t>
      </w:r>
      <w:proofErr w:type="spellEnd"/>
      <w:r>
        <w:rPr>
          <w:rFonts w:ascii="Times New Roman" w:hAnsi="Times New Roman"/>
          <w:sz w:val="24"/>
          <w:szCs w:val="24"/>
        </w:rPr>
        <w:t xml:space="preserve"> (2007) carbohydrates and dietary fibre are both vital </w:t>
      </w:r>
      <w:r>
        <w:rPr>
          <w:rFonts w:ascii="Times New Roman" w:hAnsi="Times New Roman"/>
          <w:sz w:val="24"/>
          <w:szCs w:val="24"/>
        </w:rPr>
        <w:lastRenderedPageBreak/>
        <w:t xml:space="preserve">components of balanced and healthy diet and are key source of energy, delivering up to 50% of energy intake. Moreover, rich plant foods are a source of vitamins and minerals. Lunn and </w:t>
      </w:r>
      <w:proofErr w:type="spellStart"/>
      <w:r>
        <w:rPr>
          <w:rFonts w:ascii="Times New Roman" w:hAnsi="Times New Roman"/>
          <w:sz w:val="24"/>
          <w:szCs w:val="24"/>
        </w:rPr>
        <w:t>Buttriss</w:t>
      </w:r>
      <w:proofErr w:type="spellEnd"/>
      <w:r>
        <w:rPr>
          <w:rFonts w:ascii="Times New Roman" w:hAnsi="Times New Roman"/>
          <w:sz w:val="24"/>
          <w:szCs w:val="24"/>
        </w:rPr>
        <w:t xml:space="preserve"> (2007) explain that foods rich in carbohydrates are converted into glucose providing the brain with a source of immediate fuel and additionally glycogen is stored in the liver and muscles as a reserve of energy.</w:t>
      </w:r>
    </w:p>
    <w:p w14:paraId="7B375FDC" w14:textId="77777777" w:rsidR="00D97B3A" w:rsidRDefault="00D97B3A" w:rsidP="00D97B3A">
      <w:pPr>
        <w:spacing w:line="360" w:lineRule="auto"/>
        <w:rPr>
          <w:rFonts w:ascii="Times New Roman" w:hAnsi="Times New Roman"/>
          <w:sz w:val="24"/>
          <w:szCs w:val="24"/>
        </w:rPr>
      </w:pPr>
      <w:r>
        <w:rPr>
          <w:rFonts w:ascii="Times New Roman" w:hAnsi="Times New Roman"/>
          <w:sz w:val="24"/>
          <w:szCs w:val="24"/>
        </w:rPr>
        <w:t xml:space="preserve">Another crucial component contributing to health is protein which is a part of every cell and tissues in the body and it is essential for growth, </w:t>
      </w:r>
      <w:proofErr w:type="gramStart"/>
      <w:r>
        <w:rPr>
          <w:rFonts w:ascii="Times New Roman" w:hAnsi="Times New Roman"/>
          <w:sz w:val="24"/>
          <w:szCs w:val="24"/>
        </w:rPr>
        <w:t>repair</w:t>
      </w:r>
      <w:proofErr w:type="gramEnd"/>
      <w:r>
        <w:rPr>
          <w:rFonts w:ascii="Times New Roman" w:hAnsi="Times New Roman"/>
          <w:sz w:val="24"/>
          <w:szCs w:val="24"/>
        </w:rPr>
        <w:t xml:space="preserve"> and development (Wu, 2016). According to Department of health (1991), daily protein intake should consist of 55.5 grams for men and 45 grams for woman providing approximately 10 to 15% of its intake. Moreover, both animal and plant sources play an important role in providing the body with essential dietary energy (Gibney, 2009). </w:t>
      </w:r>
    </w:p>
    <w:p w14:paraId="16658445" w14:textId="77777777" w:rsidR="00D97B3A" w:rsidRDefault="00D97B3A" w:rsidP="00D97B3A">
      <w:pPr>
        <w:spacing w:after="0" w:line="360" w:lineRule="auto"/>
        <w:rPr>
          <w:rFonts w:ascii="Times New Roman" w:hAnsi="Times New Roman"/>
          <w:sz w:val="24"/>
          <w:szCs w:val="24"/>
        </w:rPr>
      </w:pPr>
      <w:r>
        <w:rPr>
          <w:rFonts w:ascii="Times New Roman" w:hAnsi="Times New Roman"/>
          <w:sz w:val="24"/>
          <w:szCs w:val="24"/>
        </w:rPr>
        <w:t xml:space="preserve">DRV has evolved in the United Kingdom, and it started with the Committee on Medical Aspects of food Policy (COMA) who arranged a panel studying an average amount of food energy and nutrient intake for UK healthy groups of people (Department of Health, 1991). COMA have set up four expert groups reviewing energy and protein, fat and carbohydrates, </w:t>
      </w:r>
      <w:proofErr w:type="gramStart"/>
      <w:r>
        <w:rPr>
          <w:rFonts w:ascii="Times New Roman" w:hAnsi="Times New Roman"/>
          <w:sz w:val="24"/>
          <w:szCs w:val="24"/>
        </w:rPr>
        <w:t>vitamins</w:t>
      </w:r>
      <w:proofErr w:type="gramEnd"/>
      <w:r>
        <w:rPr>
          <w:rFonts w:ascii="Times New Roman" w:hAnsi="Times New Roman"/>
          <w:sz w:val="24"/>
          <w:szCs w:val="24"/>
        </w:rPr>
        <w:t xml:space="preserve"> and minerals recommendations (Department of Health, 1991). Moreover, according to Department of Health (1991, p.1) the panel defined those estimates as Recommended Daily Amounts (RDAs) however, decided to change the terminology to Dietary Reference Values (DRVs) to reduce the misunderstanding in the definition and help users to interpret dietary information as estimates of reference values and not recommendations.</w:t>
      </w:r>
    </w:p>
    <w:p w14:paraId="4F8FFC98" w14:textId="77777777" w:rsidR="00D97B3A" w:rsidRDefault="00D97B3A" w:rsidP="00D97B3A">
      <w:pPr>
        <w:spacing w:line="360" w:lineRule="auto"/>
        <w:rPr>
          <w:rFonts w:ascii="Times New Roman" w:hAnsi="Times New Roman"/>
          <w:sz w:val="24"/>
          <w:szCs w:val="24"/>
        </w:rPr>
      </w:pPr>
      <w:r>
        <w:rPr>
          <w:rFonts w:ascii="Times New Roman" w:hAnsi="Times New Roman"/>
          <w:sz w:val="24"/>
          <w:szCs w:val="24"/>
        </w:rPr>
        <w:t xml:space="preserve">Scientific Advisory Committee on Nutrition (SACN) is now a body who looks at changes and informs on nutrition (SACN, 2020). Over the recent years, SACN has developed some updates regarding sugar, meat portions, fat, </w:t>
      </w:r>
      <w:proofErr w:type="gramStart"/>
      <w:r>
        <w:rPr>
          <w:rFonts w:ascii="Times New Roman" w:hAnsi="Times New Roman"/>
          <w:sz w:val="24"/>
          <w:szCs w:val="24"/>
        </w:rPr>
        <w:t>carbohydrate</w:t>
      </w:r>
      <w:proofErr w:type="gramEnd"/>
      <w:r>
        <w:rPr>
          <w:rFonts w:ascii="Times New Roman" w:hAnsi="Times New Roman"/>
          <w:sz w:val="24"/>
          <w:szCs w:val="24"/>
        </w:rPr>
        <w:t xml:space="preserve"> and Vitamin D. Moreover, according to SACN (2015), </w:t>
      </w:r>
      <w:proofErr w:type="gramStart"/>
      <w:r>
        <w:rPr>
          <w:rFonts w:ascii="Times New Roman" w:hAnsi="Times New Roman"/>
          <w:sz w:val="24"/>
          <w:szCs w:val="24"/>
        </w:rPr>
        <w:t>in order to</w:t>
      </w:r>
      <w:proofErr w:type="gramEnd"/>
      <w:r>
        <w:rPr>
          <w:rFonts w:ascii="Times New Roman" w:hAnsi="Times New Roman"/>
          <w:sz w:val="24"/>
          <w:szCs w:val="24"/>
        </w:rPr>
        <w:t xml:space="preserve"> prevent diseases such as obesity, type 2 diabetes, cardiovascular disease and </w:t>
      </w:r>
      <w:proofErr w:type="spellStart"/>
      <w:r>
        <w:rPr>
          <w:rFonts w:ascii="Times New Roman" w:hAnsi="Times New Roman"/>
          <w:sz w:val="24"/>
          <w:szCs w:val="24"/>
        </w:rPr>
        <w:t>colo</w:t>
      </w:r>
      <w:proofErr w:type="spellEnd"/>
      <w:r>
        <w:rPr>
          <w:rFonts w:ascii="Times New Roman" w:hAnsi="Times New Roman"/>
          <w:sz w:val="24"/>
          <w:szCs w:val="24"/>
        </w:rPr>
        <w:t xml:space="preserve">-rectal cancer it is advised that 50% of carbohydrates and 30 grams of dietary fibre should be consumed daily by all adults. In addition, free sugars such as sucrose or glucose have been reduced by half less and it is recommended that should now not exceed 5% of overall daily intake as prevention of tooth decay (SACN, 2015). Furthermore, SACN report (2019) explains the recommendation on saturated fat measured by COMA and clarifies that it totals to 10% for all adults and children 5 years and older. The report proves that reduced saturated fat intake reduces the risk of CVD. Vitamin D intake has been considered unnecessary as it was assumed that skin exposed to sun during summer was enough to supply the body with enough vitamin for the remaining months of the year. </w:t>
      </w:r>
      <w:r>
        <w:rPr>
          <w:rFonts w:ascii="Times New Roman" w:hAnsi="Times New Roman"/>
          <w:sz w:val="24"/>
          <w:szCs w:val="24"/>
        </w:rPr>
        <w:lastRenderedPageBreak/>
        <w:t xml:space="preserve">Therefore, RNI were only set to any group that was at risk of deficiency, with limited sunlight exposure (Department of Health, 1991). However, in 2010 SACN review the statistics and concluded that everyone aged 4 years and more should consume 10µg or 400IU daily throughout the whole year (SACN, 2016). SACN (2016) explains that deficiency in Vitamin D can affect musculoskeletal health. </w:t>
      </w:r>
    </w:p>
    <w:p w14:paraId="61DA2F87" w14:textId="77777777" w:rsidR="00D97B3A" w:rsidRDefault="00D97B3A" w:rsidP="00D97B3A">
      <w:pPr>
        <w:spacing w:line="360" w:lineRule="auto"/>
        <w:rPr>
          <w:rFonts w:ascii="Times New Roman" w:hAnsi="Times New Roman"/>
          <w:sz w:val="24"/>
          <w:szCs w:val="24"/>
        </w:rPr>
      </w:pPr>
      <w:r>
        <w:rPr>
          <w:rFonts w:ascii="Times New Roman" w:hAnsi="Times New Roman"/>
          <w:sz w:val="24"/>
          <w:szCs w:val="24"/>
        </w:rPr>
        <w:t xml:space="preserve">To better understand the recommendations on nutrition and benefit from balanced diet, Public Health England (2016) exchanged the Eat Well plate with the Eat Well guide according to SACN latest recommendations. Moreover, the guide is based on five food groups with more detailed information. Some of the changes include adjusted food groups to reflect on current advice on dietary needs and extra information about energy requirements showing the total calorie consumption for all adults consumed from all foods and drinks per day. (PHE, 2016). </w:t>
      </w:r>
    </w:p>
    <w:p w14:paraId="0A5E45DB" w14:textId="77777777" w:rsidR="00D97B3A" w:rsidRDefault="00D97B3A" w:rsidP="00D97B3A">
      <w:pPr>
        <w:spacing w:line="360" w:lineRule="auto"/>
        <w:rPr>
          <w:rFonts w:ascii="Times New Roman" w:hAnsi="Times New Roman"/>
          <w:sz w:val="24"/>
          <w:szCs w:val="24"/>
        </w:rPr>
      </w:pPr>
      <w:r>
        <w:rPr>
          <w:noProof/>
        </w:rPr>
        <w:drawing>
          <wp:anchor distT="0" distB="0" distL="114300" distR="114300" simplePos="0" relativeHeight="251659264" behindDoc="0" locked="0" layoutInCell="1" allowOverlap="1" wp14:anchorId="0BB1D1BD" wp14:editId="3FC7F8FB">
            <wp:simplePos x="0" y="0"/>
            <wp:positionH relativeFrom="margin">
              <wp:posOffset>601980</wp:posOffset>
            </wp:positionH>
            <wp:positionV relativeFrom="paragraph">
              <wp:posOffset>125730</wp:posOffset>
            </wp:positionV>
            <wp:extent cx="4312920" cy="3081655"/>
            <wp:effectExtent l="0" t="0" r="0" b="4445"/>
            <wp:wrapNone/>
            <wp:docPr id="6" name="Picture 1"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al user interface, diagram&#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312920" cy="3081655"/>
                    </a:xfrm>
                    <a:prstGeom prst="rect">
                      <a:avLst/>
                    </a:prstGeom>
                    <a:noFill/>
                  </pic:spPr>
                </pic:pic>
              </a:graphicData>
            </a:graphic>
            <wp14:sizeRelH relativeFrom="margin">
              <wp14:pctWidth>0</wp14:pctWidth>
            </wp14:sizeRelH>
            <wp14:sizeRelV relativeFrom="margin">
              <wp14:pctHeight>0</wp14:pctHeight>
            </wp14:sizeRelV>
          </wp:anchor>
        </w:drawing>
      </w:r>
    </w:p>
    <w:p w14:paraId="5DAAA70B" w14:textId="77777777" w:rsidR="00D97B3A" w:rsidRDefault="00D97B3A" w:rsidP="00D97B3A">
      <w:pPr>
        <w:spacing w:line="360" w:lineRule="auto"/>
        <w:rPr>
          <w:rFonts w:ascii="Times New Roman" w:hAnsi="Times New Roman"/>
          <w:sz w:val="24"/>
          <w:szCs w:val="24"/>
        </w:rPr>
      </w:pPr>
    </w:p>
    <w:p w14:paraId="76D72B95" w14:textId="77777777" w:rsidR="00D97B3A" w:rsidRDefault="00D97B3A" w:rsidP="00D97B3A">
      <w:pPr>
        <w:spacing w:line="360" w:lineRule="auto"/>
        <w:rPr>
          <w:rFonts w:ascii="Times New Roman" w:hAnsi="Times New Roman"/>
          <w:sz w:val="24"/>
          <w:szCs w:val="24"/>
        </w:rPr>
      </w:pPr>
    </w:p>
    <w:p w14:paraId="37AFE41F" w14:textId="77777777" w:rsidR="00D97B3A" w:rsidRDefault="00D97B3A" w:rsidP="00D97B3A">
      <w:pPr>
        <w:spacing w:line="360" w:lineRule="auto"/>
        <w:rPr>
          <w:rFonts w:ascii="Times New Roman" w:hAnsi="Times New Roman"/>
          <w:sz w:val="24"/>
          <w:szCs w:val="24"/>
        </w:rPr>
      </w:pPr>
    </w:p>
    <w:p w14:paraId="71CF4FCD" w14:textId="77777777" w:rsidR="00D97B3A" w:rsidRDefault="00D97B3A" w:rsidP="00D97B3A">
      <w:pPr>
        <w:spacing w:line="360" w:lineRule="auto"/>
        <w:rPr>
          <w:rFonts w:ascii="Times New Roman" w:hAnsi="Times New Roman"/>
          <w:sz w:val="24"/>
          <w:szCs w:val="24"/>
        </w:rPr>
      </w:pPr>
    </w:p>
    <w:p w14:paraId="393563CF" w14:textId="77777777" w:rsidR="00D97B3A" w:rsidRDefault="00D97B3A" w:rsidP="00D97B3A">
      <w:pPr>
        <w:spacing w:line="360" w:lineRule="auto"/>
        <w:rPr>
          <w:rFonts w:ascii="Times New Roman" w:hAnsi="Times New Roman"/>
          <w:sz w:val="24"/>
          <w:szCs w:val="24"/>
        </w:rPr>
      </w:pPr>
    </w:p>
    <w:p w14:paraId="5042CB3F" w14:textId="77777777" w:rsidR="00D97B3A" w:rsidRDefault="00D97B3A" w:rsidP="00D97B3A">
      <w:pPr>
        <w:spacing w:line="360" w:lineRule="auto"/>
        <w:rPr>
          <w:rFonts w:ascii="Times New Roman" w:hAnsi="Times New Roman"/>
          <w:sz w:val="24"/>
          <w:szCs w:val="24"/>
        </w:rPr>
      </w:pPr>
    </w:p>
    <w:p w14:paraId="2D7C21EE" w14:textId="77777777" w:rsidR="00D97B3A" w:rsidRDefault="00D97B3A" w:rsidP="00D97B3A">
      <w:pPr>
        <w:spacing w:line="360" w:lineRule="auto"/>
        <w:rPr>
          <w:rFonts w:ascii="Times New Roman" w:hAnsi="Times New Roman"/>
          <w:sz w:val="24"/>
          <w:szCs w:val="24"/>
        </w:rPr>
      </w:pPr>
    </w:p>
    <w:p w14:paraId="0E2E6C79" w14:textId="77777777" w:rsidR="00D97B3A" w:rsidRDefault="00D97B3A" w:rsidP="00D97B3A">
      <w:pPr>
        <w:spacing w:line="360" w:lineRule="auto"/>
        <w:rPr>
          <w:rFonts w:ascii="Times New Roman" w:hAnsi="Times New Roman"/>
          <w:sz w:val="24"/>
          <w:szCs w:val="24"/>
        </w:rPr>
      </w:pPr>
    </w:p>
    <w:p w14:paraId="26041C99" w14:textId="77777777" w:rsidR="00D97B3A" w:rsidRDefault="00D97B3A" w:rsidP="00D97B3A">
      <w:pPr>
        <w:spacing w:line="360" w:lineRule="auto"/>
        <w:rPr>
          <w:rFonts w:ascii="Times New Roman" w:hAnsi="Times New Roman"/>
          <w:sz w:val="24"/>
          <w:szCs w:val="24"/>
        </w:rPr>
      </w:pPr>
      <w:r>
        <w:rPr>
          <w:rFonts w:ascii="Times New Roman" w:hAnsi="Times New Roman"/>
          <w:sz w:val="24"/>
          <w:szCs w:val="24"/>
        </w:rPr>
        <w:t>Figure 1: Public Health England (2016) Eat Well guide.</w:t>
      </w:r>
    </w:p>
    <w:p w14:paraId="06C9EDBB" w14:textId="77777777" w:rsidR="00D97B3A" w:rsidRDefault="00D97B3A" w:rsidP="00D97B3A">
      <w:pPr>
        <w:spacing w:line="360" w:lineRule="auto"/>
        <w:rPr>
          <w:rFonts w:ascii="Times New Roman" w:hAnsi="Times New Roman"/>
          <w:sz w:val="24"/>
          <w:szCs w:val="24"/>
        </w:rPr>
      </w:pPr>
      <w:r>
        <w:rPr>
          <w:rFonts w:ascii="Times New Roman" w:hAnsi="Times New Roman"/>
          <w:sz w:val="24"/>
          <w:szCs w:val="24"/>
        </w:rPr>
        <w:t xml:space="preserve">In conclusion, every individual should be aware of the recommendations on energy and variety of different dietary intakes </w:t>
      </w:r>
      <w:proofErr w:type="gramStart"/>
      <w:r>
        <w:rPr>
          <w:rFonts w:ascii="Times New Roman" w:hAnsi="Times New Roman"/>
          <w:sz w:val="24"/>
          <w:szCs w:val="24"/>
        </w:rPr>
        <w:t>in order to</w:t>
      </w:r>
      <w:proofErr w:type="gramEnd"/>
      <w:r>
        <w:rPr>
          <w:rFonts w:ascii="Times New Roman" w:hAnsi="Times New Roman"/>
          <w:sz w:val="24"/>
          <w:szCs w:val="24"/>
        </w:rPr>
        <w:t xml:space="preserve"> enjoy a healthy life. Moreover, adults should understand that inadequate intake of nutrients can lead to adverse health outcomes and can be linked to malnutrition. The government constantly updates the recommendations on DRVs and reviews the Eat Well guide in hope to improve the populations health.</w:t>
      </w:r>
    </w:p>
    <w:p w14:paraId="2A098FB0" w14:textId="77777777" w:rsidR="004051AD" w:rsidRDefault="004051AD"/>
    <w:sectPr w:rsidR="004051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B3A"/>
    <w:rsid w:val="004051AD"/>
    <w:rsid w:val="00D97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D2AC7"/>
  <w15:chartTrackingRefBased/>
  <w15:docId w15:val="{281EACDD-9FB4-4424-A50E-1552D449F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B3A"/>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7B3A"/>
    <w:pPr>
      <w:ind w:left="720"/>
      <w:contextualSpacing/>
    </w:pPr>
  </w:style>
  <w:style w:type="table" w:styleId="TableGrid">
    <w:name w:val="Table Grid"/>
    <w:basedOn w:val="TableNormal"/>
    <w:uiPriority w:val="39"/>
    <w:rsid w:val="00D97B3A"/>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4213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1656</Words>
  <Characters>9441</Characters>
  <Application>Microsoft Office Word</Application>
  <DocSecurity>0</DocSecurity>
  <Lines>78</Lines>
  <Paragraphs>22</Paragraphs>
  <ScaleCrop>false</ScaleCrop>
  <Company/>
  <LinksUpToDate>false</LinksUpToDate>
  <CharactersWithSpaces>11075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Izabela Pietrzyk</dc:creator>
  <cp:keywords/>
  <dc:description/>
  <cp:lastModifiedBy>Izabela Pietrzyk</cp:lastModifiedBy>
  <cp:revision>1</cp:revision>
  <dcterms:created xsi:type="dcterms:W3CDTF">2022-11-28T16:11:00Z</dcterms:created>
  <dcterms:modified xsi:type="dcterms:W3CDTF">2022-11-28T16:12:00Z</dcterms:modified>
</cp:coreProperties>
</file>