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35005" w14:textId="50145B5E" w:rsidR="00346760" w:rsidRDefault="00717673">
      <w:pPr>
        <w:rPr>
          <w:rFonts w:ascii="Arial" w:hAnsi="Arial" w:cs="Arial"/>
        </w:rPr>
      </w:pPr>
      <w:r w:rsidRPr="00DC0147">
        <w:rPr>
          <w:rFonts w:ascii="Arial" w:hAnsi="Arial" w:cs="Arial"/>
          <w:b/>
          <w:bCs/>
        </w:rPr>
        <w:t>Course:</w:t>
      </w:r>
      <w:r>
        <w:rPr>
          <w:rFonts w:ascii="Arial" w:hAnsi="Arial" w:cs="Arial"/>
        </w:rPr>
        <w:t xml:space="preserve"> </w:t>
      </w:r>
      <w:r w:rsidR="00346760">
        <w:rPr>
          <w:rFonts w:ascii="Arial" w:hAnsi="Arial" w:cs="Arial"/>
        </w:rPr>
        <w:t>BA (Hons)</w:t>
      </w:r>
      <w:r w:rsidR="00062002">
        <w:rPr>
          <w:rFonts w:ascii="Arial" w:hAnsi="Arial" w:cs="Arial"/>
        </w:rPr>
        <w:t xml:space="preserve"> Sports Management</w:t>
      </w:r>
    </w:p>
    <w:p w14:paraId="23662B44" w14:textId="398D3E45" w:rsidR="00062002" w:rsidRDefault="00717673">
      <w:pPr>
        <w:rPr>
          <w:rFonts w:ascii="Arial" w:hAnsi="Arial" w:cs="Arial"/>
        </w:rPr>
      </w:pPr>
      <w:r w:rsidRPr="00DC0147">
        <w:rPr>
          <w:rFonts w:ascii="Arial" w:hAnsi="Arial" w:cs="Arial"/>
          <w:b/>
          <w:bCs/>
        </w:rPr>
        <w:t>Module:</w:t>
      </w:r>
      <w:r>
        <w:rPr>
          <w:rFonts w:ascii="Arial" w:hAnsi="Arial" w:cs="Arial"/>
        </w:rPr>
        <w:t xml:space="preserve"> </w:t>
      </w:r>
      <w:r w:rsidR="00062002">
        <w:rPr>
          <w:rFonts w:ascii="Arial" w:hAnsi="Arial" w:cs="Arial"/>
        </w:rPr>
        <w:t>Strategic Sports Event Manag</w:t>
      </w:r>
      <w:r w:rsidR="00596820">
        <w:rPr>
          <w:rFonts w:ascii="Arial" w:hAnsi="Arial" w:cs="Arial"/>
        </w:rPr>
        <w:t>ement</w:t>
      </w:r>
      <w:r w:rsidR="00E84340">
        <w:rPr>
          <w:rFonts w:ascii="Arial" w:hAnsi="Arial" w:cs="Arial"/>
        </w:rPr>
        <w:t xml:space="preserve"> (BMSM6006)</w:t>
      </w:r>
    </w:p>
    <w:p w14:paraId="7A9ABFAC" w14:textId="57FF94F0" w:rsidR="00DC0147" w:rsidRDefault="00450959">
      <w:pPr>
        <w:rPr>
          <w:rFonts w:ascii="Arial" w:hAnsi="Arial" w:cs="Arial"/>
        </w:rPr>
      </w:pPr>
      <w:r w:rsidRPr="00450959">
        <w:rPr>
          <w:rFonts w:ascii="Arial" w:hAnsi="Arial" w:cs="Arial"/>
          <w:b/>
          <w:bCs/>
        </w:rPr>
        <w:t xml:space="preserve">Lecturer: </w:t>
      </w:r>
      <w:r w:rsidR="00BA4293">
        <w:rPr>
          <w:rFonts w:ascii="Arial" w:hAnsi="Arial" w:cs="Arial"/>
        </w:rPr>
        <w:t>Mark Napieralla</w:t>
      </w:r>
    </w:p>
    <w:p w14:paraId="0301AAC3" w14:textId="0ABBB961" w:rsidR="00BA4293" w:rsidRPr="006D17A4" w:rsidRDefault="00BA4293">
      <w:pPr>
        <w:rPr>
          <w:rFonts w:ascii="Arial" w:hAnsi="Arial" w:cs="Arial"/>
        </w:rPr>
      </w:pPr>
      <w:r w:rsidRPr="00BA4293">
        <w:rPr>
          <w:rFonts w:ascii="Arial" w:hAnsi="Arial" w:cs="Arial"/>
          <w:b/>
          <w:bCs/>
        </w:rPr>
        <w:t>Student:</w:t>
      </w:r>
      <w:r>
        <w:rPr>
          <w:rFonts w:ascii="Arial" w:hAnsi="Arial" w:cs="Arial"/>
          <w:b/>
          <w:bCs/>
        </w:rPr>
        <w:t xml:space="preserve"> </w:t>
      </w:r>
      <w:r w:rsidR="006D17A4">
        <w:rPr>
          <w:rFonts w:ascii="Arial" w:hAnsi="Arial" w:cs="Arial"/>
        </w:rPr>
        <w:t>Kris Atkins (2018199)</w:t>
      </w:r>
    </w:p>
    <w:p w14:paraId="6C7C6A59" w14:textId="77777777" w:rsidR="00717673" w:rsidRDefault="00717673">
      <w:pPr>
        <w:rPr>
          <w:rFonts w:ascii="Arial" w:hAnsi="Arial" w:cs="Arial"/>
        </w:rPr>
      </w:pPr>
    </w:p>
    <w:p w14:paraId="0D91B7D1" w14:textId="77777777" w:rsidR="00E84340" w:rsidRDefault="00E84340">
      <w:pPr>
        <w:rPr>
          <w:rFonts w:ascii="Arial" w:hAnsi="Arial" w:cs="Arial"/>
        </w:rPr>
      </w:pPr>
    </w:p>
    <w:p w14:paraId="58BA0FAD" w14:textId="77777777" w:rsidR="00346760" w:rsidRDefault="00346760">
      <w:pPr>
        <w:rPr>
          <w:rFonts w:ascii="Arial" w:hAnsi="Arial" w:cs="Arial"/>
        </w:rPr>
      </w:pPr>
      <w:r>
        <w:rPr>
          <w:rFonts w:ascii="Arial" w:hAnsi="Arial" w:cs="Arial"/>
        </w:rPr>
        <w:br w:type="page"/>
      </w:r>
    </w:p>
    <w:p w14:paraId="2B8B9574" w14:textId="39FF0F8C" w:rsidR="00346760" w:rsidRDefault="00187698">
      <w:pPr>
        <w:rPr>
          <w:rFonts w:ascii="Arial" w:hAnsi="Arial" w:cs="Arial"/>
          <w:b/>
          <w:bCs/>
        </w:rPr>
      </w:pPr>
      <w:r>
        <w:rPr>
          <w:rFonts w:ascii="Arial" w:hAnsi="Arial" w:cs="Arial"/>
          <w:b/>
          <w:bCs/>
        </w:rPr>
        <w:lastRenderedPageBreak/>
        <w:t>Contents:</w:t>
      </w:r>
    </w:p>
    <w:p w14:paraId="090437D1" w14:textId="01DE0B1F" w:rsidR="00DB735E" w:rsidRDefault="00DB735E">
      <w:pPr>
        <w:rPr>
          <w:rFonts w:ascii="Arial" w:hAnsi="Arial" w:cs="Arial"/>
          <w:b/>
          <w:bCs/>
        </w:rPr>
      </w:pPr>
    </w:p>
    <w:p w14:paraId="56D77783" w14:textId="77777777" w:rsidR="00AF03EF" w:rsidRDefault="00AF03EF">
      <w:pPr>
        <w:rPr>
          <w:rFonts w:ascii="Arial" w:hAnsi="Arial" w:cs="Arial"/>
          <w:b/>
          <w:bCs/>
        </w:rPr>
      </w:pPr>
    </w:p>
    <w:p w14:paraId="47F8A5E8" w14:textId="52B51129" w:rsidR="00480935" w:rsidRDefault="00DB735E">
      <w:pPr>
        <w:rPr>
          <w:rFonts w:ascii="Arial" w:hAnsi="Arial" w:cs="Arial"/>
        </w:rPr>
      </w:pPr>
      <w:bookmarkStart w:id="0" w:name="_Hlk124494536"/>
      <w:r>
        <w:rPr>
          <w:rFonts w:ascii="Arial" w:hAnsi="Arial" w:cs="Arial"/>
          <w:b/>
          <w:bCs/>
        </w:rPr>
        <w:t>Part 1</w:t>
      </w:r>
      <w:r w:rsidR="00B6475B">
        <w:rPr>
          <w:rFonts w:ascii="Arial" w:hAnsi="Arial" w:cs="Arial"/>
          <w:b/>
          <w:bCs/>
        </w:rPr>
        <w:t>………</w:t>
      </w:r>
      <w:r w:rsidR="007A2ED5">
        <w:rPr>
          <w:rFonts w:ascii="Arial" w:hAnsi="Arial" w:cs="Arial"/>
          <w:b/>
          <w:bCs/>
        </w:rPr>
        <w:t>………………………</w:t>
      </w:r>
      <w:r w:rsidR="00480935">
        <w:rPr>
          <w:rFonts w:ascii="Arial" w:hAnsi="Arial" w:cs="Arial"/>
          <w:b/>
          <w:bCs/>
        </w:rPr>
        <w:t>….</w:t>
      </w:r>
      <w:r w:rsidR="00B6475B">
        <w:rPr>
          <w:rFonts w:ascii="Arial" w:hAnsi="Arial" w:cs="Arial"/>
          <w:b/>
          <w:bCs/>
        </w:rPr>
        <w:t xml:space="preserve"> </w:t>
      </w:r>
      <w:r w:rsidR="00480935">
        <w:rPr>
          <w:rFonts w:ascii="Arial" w:hAnsi="Arial" w:cs="Arial"/>
          <w:b/>
          <w:bCs/>
        </w:rPr>
        <w:t>…………………………………………………………</w:t>
      </w:r>
      <w:r w:rsidR="00480935">
        <w:rPr>
          <w:rFonts w:ascii="Arial" w:hAnsi="Arial" w:cs="Arial"/>
        </w:rPr>
        <w:t>3 + 4</w:t>
      </w:r>
    </w:p>
    <w:p w14:paraId="3E5D4E99" w14:textId="218D6216" w:rsidR="00DB735E" w:rsidRDefault="00B6475B">
      <w:pPr>
        <w:rPr>
          <w:rFonts w:ascii="Arial" w:hAnsi="Arial" w:cs="Arial"/>
        </w:rPr>
      </w:pPr>
      <w:r>
        <w:rPr>
          <w:rFonts w:ascii="Arial" w:hAnsi="Arial" w:cs="Arial"/>
        </w:rPr>
        <w:t>Criti</w:t>
      </w:r>
      <w:r w:rsidR="00E920B7">
        <w:rPr>
          <w:rFonts w:ascii="Arial" w:hAnsi="Arial" w:cs="Arial"/>
        </w:rPr>
        <w:t>cally evaluate</w:t>
      </w:r>
      <w:r w:rsidR="007A2ED5">
        <w:rPr>
          <w:rFonts w:ascii="Arial" w:hAnsi="Arial" w:cs="Arial"/>
        </w:rPr>
        <w:t xml:space="preserve"> the following statement</w:t>
      </w:r>
      <w:r w:rsidR="00E920B7">
        <w:rPr>
          <w:rFonts w:ascii="Arial" w:hAnsi="Arial" w:cs="Arial"/>
        </w:rPr>
        <w:t xml:space="preserve"> ‘The benefits of hosting the Olympics in London</w:t>
      </w:r>
      <w:r w:rsidR="00466C51">
        <w:rPr>
          <w:rFonts w:ascii="Arial" w:hAnsi="Arial" w:cs="Arial"/>
        </w:rPr>
        <w:t xml:space="preserve"> in 2012</w:t>
      </w:r>
      <w:r w:rsidR="00820E11">
        <w:rPr>
          <w:rFonts w:ascii="Arial" w:hAnsi="Arial" w:cs="Arial"/>
        </w:rPr>
        <w:t xml:space="preserve"> justified the money invested to deliver the event</w:t>
      </w:r>
      <w:r w:rsidR="002D5DFB">
        <w:rPr>
          <w:rFonts w:ascii="Arial" w:hAnsi="Arial" w:cs="Arial"/>
        </w:rPr>
        <w:t>.’</w:t>
      </w:r>
    </w:p>
    <w:bookmarkEnd w:id="0"/>
    <w:p w14:paraId="30F82B6C" w14:textId="77777777" w:rsidR="00AF03EF" w:rsidRDefault="00AF03EF">
      <w:pPr>
        <w:rPr>
          <w:rFonts w:ascii="Arial" w:hAnsi="Arial" w:cs="Arial"/>
          <w:b/>
          <w:bCs/>
        </w:rPr>
      </w:pPr>
    </w:p>
    <w:p w14:paraId="034B756C" w14:textId="2665C761" w:rsidR="00AF03EF" w:rsidRPr="00E51C30" w:rsidRDefault="00480935">
      <w:pPr>
        <w:rPr>
          <w:rFonts w:ascii="Arial" w:hAnsi="Arial" w:cs="Arial"/>
        </w:rPr>
      </w:pPr>
      <w:proofErr w:type="gramStart"/>
      <w:r>
        <w:rPr>
          <w:rFonts w:ascii="Arial" w:hAnsi="Arial" w:cs="Arial"/>
          <w:b/>
          <w:bCs/>
        </w:rPr>
        <w:t>References:…</w:t>
      </w:r>
      <w:proofErr w:type="gramEnd"/>
      <w:r>
        <w:rPr>
          <w:rFonts w:ascii="Arial" w:hAnsi="Arial" w:cs="Arial"/>
          <w:b/>
          <w:bCs/>
        </w:rPr>
        <w:t>………………………………………………………………………………………</w:t>
      </w:r>
      <w:r w:rsidR="00E51C30">
        <w:rPr>
          <w:rFonts w:ascii="Arial" w:hAnsi="Arial" w:cs="Arial"/>
          <w:b/>
          <w:bCs/>
        </w:rPr>
        <w:t>..</w:t>
      </w:r>
      <w:r w:rsidR="00E51C30">
        <w:rPr>
          <w:rFonts w:ascii="Arial" w:hAnsi="Arial" w:cs="Arial"/>
        </w:rPr>
        <w:t>5</w:t>
      </w:r>
    </w:p>
    <w:p w14:paraId="4DEE2372" w14:textId="77777777" w:rsidR="00925D2D" w:rsidRDefault="00925D2D">
      <w:pPr>
        <w:rPr>
          <w:rFonts w:ascii="Arial" w:hAnsi="Arial" w:cs="Arial"/>
        </w:rPr>
      </w:pPr>
      <w:r>
        <w:rPr>
          <w:rFonts w:ascii="Arial" w:hAnsi="Arial" w:cs="Arial"/>
        </w:rPr>
        <w:br w:type="page"/>
      </w:r>
    </w:p>
    <w:p w14:paraId="169AE67C" w14:textId="05092099" w:rsidR="00925D2D" w:rsidRDefault="00925D2D" w:rsidP="00480935">
      <w:pPr>
        <w:spacing w:line="360" w:lineRule="auto"/>
        <w:jc w:val="both"/>
        <w:rPr>
          <w:rFonts w:ascii="Arial" w:hAnsi="Arial" w:cs="Arial"/>
        </w:rPr>
      </w:pPr>
      <w:r>
        <w:rPr>
          <w:rFonts w:ascii="Arial" w:hAnsi="Arial" w:cs="Arial"/>
          <w:b/>
          <w:bCs/>
        </w:rPr>
        <w:lastRenderedPageBreak/>
        <w:t>Part 1……………………………</w:t>
      </w:r>
      <w:proofErr w:type="gramStart"/>
      <w:r>
        <w:rPr>
          <w:rFonts w:ascii="Arial" w:hAnsi="Arial" w:cs="Arial"/>
          <w:b/>
          <w:bCs/>
        </w:rPr>
        <w:t>…..</w:t>
      </w:r>
      <w:proofErr w:type="gramEnd"/>
      <w:r>
        <w:rPr>
          <w:rFonts w:ascii="Arial" w:hAnsi="Arial" w:cs="Arial"/>
          <w:b/>
          <w:bCs/>
        </w:rPr>
        <w:t xml:space="preserve"> </w:t>
      </w:r>
      <w:r>
        <w:rPr>
          <w:rFonts w:ascii="Arial" w:hAnsi="Arial" w:cs="Arial"/>
        </w:rPr>
        <w:t>Critically evaluate the following statement ‘The benefits of hosting the Olympics in London in 2012 justified the money invested to deliver the event.’</w:t>
      </w:r>
    </w:p>
    <w:p w14:paraId="391CFD2A" w14:textId="51E844B0" w:rsidR="00E42677" w:rsidRDefault="00C37D7F" w:rsidP="00480935">
      <w:pPr>
        <w:spacing w:line="360" w:lineRule="auto"/>
        <w:jc w:val="both"/>
      </w:pPr>
      <w:r>
        <w:t xml:space="preserve">The concept of </w:t>
      </w:r>
      <w:r w:rsidR="00F73D19">
        <w:t>sustainability and legacy forme</w:t>
      </w:r>
      <w:r w:rsidR="00C52D52">
        <w:t>d by ‘The International Olympic Committe</w:t>
      </w:r>
      <w:r w:rsidR="00F51ADA">
        <w:t>e</w:t>
      </w:r>
      <w:r w:rsidR="00E241B5">
        <w:t>’</w:t>
      </w:r>
      <w:r w:rsidR="00F51ADA">
        <w:t xml:space="preserve"> (IOC) became</w:t>
      </w:r>
      <w:r w:rsidR="002A52CF">
        <w:t xml:space="preserve"> significant for the 2012 Olympic games in London</w:t>
      </w:r>
      <w:r w:rsidR="00F51ADA">
        <w:t xml:space="preserve"> </w:t>
      </w:r>
      <w:r w:rsidR="0017714C">
        <w:t xml:space="preserve">which </w:t>
      </w:r>
      <w:r w:rsidR="0001119A">
        <w:t xml:space="preserve">made the hosts </w:t>
      </w:r>
      <w:r w:rsidR="00AE37C4">
        <w:t>“</w:t>
      </w:r>
      <w:r w:rsidR="00B233D4">
        <w:t>implement and undertake social, economic and environmental measures. Climate change, healthy living style, regeneration of East London, biodiversity, and inclusion, encouraging people to think and support the idea of sustainable life and planet were the themes of the games</w:t>
      </w:r>
      <w:r w:rsidR="000E4472">
        <w:t>”</w:t>
      </w:r>
      <w:r w:rsidR="00B233D4">
        <w:t xml:space="preserve">. </w:t>
      </w:r>
      <w:r w:rsidR="00050663">
        <w:t>The</w:t>
      </w:r>
      <w:r w:rsidR="00457152">
        <w:t xml:space="preserve"> 2012 Olympic</w:t>
      </w:r>
      <w:r w:rsidR="00050663">
        <w:t xml:space="preserve"> project was </w:t>
      </w:r>
      <w:r w:rsidR="00457152">
        <w:t xml:space="preserve">the boldest </w:t>
      </w:r>
      <w:r w:rsidR="0000086A">
        <w:t>up until that point</w:t>
      </w:r>
      <w:r w:rsidR="0081087C">
        <w:t>,</w:t>
      </w:r>
      <w:r w:rsidR="00B233D4">
        <w:t xml:space="preserve"> </w:t>
      </w:r>
      <w:r w:rsidR="0081087C">
        <w:t>“</w:t>
      </w:r>
      <w:r w:rsidR="00B233D4">
        <w:t>this mega project had to deal with sustainability legacy in constructing and creating Olympic sports venues (Silvius, 2012 et al</w:t>
      </w:r>
      <w:r w:rsidR="00B233D4">
        <w:t xml:space="preserve"> cited in</w:t>
      </w:r>
      <w:r w:rsidR="000021A2">
        <w:t xml:space="preserve"> </w:t>
      </w:r>
      <w:r w:rsidR="000021A2" w:rsidRPr="00972503">
        <w:t>Kaysi, 2013</w:t>
      </w:r>
      <w:r w:rsidR="00B233D4" w:rsidRPr="00972503">
        <w:t>)</w:t>
      </w:r>
      <w:r w:rsidR="0081087C" w:rsidRPr="00972503">
        <w:t>”</w:t>
      </w:r>
      <w:r w:rsidR="00B233D4" w:rsidRPr="00972503">
        <w:t>.</w:t>
      </w:r>
    </w:p>
    <w:p w14:paraId="1BA8153B" w14:textId="0348E58D" w:rsidR="000B3C21" w:rsidRDefault="00613D84" w:rsidP="00480935">
      <w:pPr>
        <w:spacing w:line="360" w:lineRule="auto"/>
        <w:jc w:val="both"/>
      </w:pPr>
      <w:r>
        <w:t>One</w:t>
      </w:r>
      <w:r w:rsidR="00E42677">
        <w:t xml:space="preserve"> such</w:t>
      </w:r>
      <w:r>
        <w:t xml:space="preserve"> </w:t>
      </w:r>
      <w:r w:rsidR="00E42677">
        <w:t>project</w:t>
      </w:r>
      <w:r>
        <w:t xml:space="preserve"> was that of volunteer ambassadors </w:t>
      </w:r>
      <w:r w:rsidR="000C59D7">
        <w:t xml:space="preserve">and </w:t>
      </w:r>
      <w:r w:rsidR="00E42677">
        <w:t xml:space="preserve">a sustainable tourist </w:t>
      </w:r>
      <w:r w:rsidR="00E42677" w:rsidRPr="00972503">
        <w:t>legacy</w:t>
      </w:r>
      <w:r w:rsidR="005422C0" w:rsidRPr="00972503">
        <w:t xml:space="preserve">, </w:t>
      </w:r>
      <w:r w:rsidR="005422C0" w:rsidRPr="00972503">
        <w:t xml:space="preserve">Nichols, Ralston and Holmes </w:t>
      </w:r>
      <w:r w:rsidR="005422C0" w:rsidRPr="00972503">
        <w:t>(</w:t>
      </w:r>
      <w:r w:rsidR="005422C0" w:rsidRPr="00972503">
        <w:t>2017)</w:t>
      </w:r>
      <w:r w:rsidR="005422C0" w:rsidRPr="00972503">
        <w:t xml:space="preserve"> </w:t>
      </w:r>
      <w:r w:rsidR="00850F02" w:rsidRPr="00972503">
        <w:t>state</w:t>
      </w:r>
      <w:r w:rsidR="00850F02">
        <w:t xml:space="preserve"> </w:t>
      </w:r>
      <w:r w:rsidR="00706410">
        <w:t>“</w:t>
      </w:r>
      <w:r w:rsidR="006906D8">
        <w:t>However, the delivery of a sustainable tourism legacy was substantially constrained by: little advice on how to establish such a legacy; responsible staff being redeployed in other areas, thus losing their knowledge and experience; and the lack of ongoing funding, which was exacerbated by local government expenditure cuts</w:t>
      </w:r>
      <w:r w:rsidR="00706410">
        <w:t>”</w:t>
      </w:r>
      <w:r w:rsidR="006906D8">
        <w:t>.</w:t>
      </w:r>
      <w:r w:rsidR="000E77B1">
        <w:t xml:space="preserve"> </w:t>
      </w:r>
      <w:r w:rsidR="007D240E">
        <w:t xml:space="preserve">A main </w:t>
      </w:r>
      <w:r w:rsidR="00B02819">
        <w:t>aim</w:t>
      </w:r>
      <w:r w:rsidR="007D240E">
        <w:t xml:space="preserve"> of any mega sports even</w:t>
      </w:r>
      <w:r w:rsidR="000E77B1">
        <w:t>t</w:t>
      </w:r>
      <w:r w:rsidR="007D240E">
        <w:t xml:space="preserve"> </w:t>
      </w:r>
      <w:r w:rsidR="00B02819">
        <w:t>would be to stimulate</w:t>
      </w:r>
      <w:r w:rsidR="000E77B1">
        <w:t xml:space="preserve"> major participation</w:t>
      </w:r>
      <w:r w:rsidR="00B02819">
        <w:t xml:space="preserve"> </w:t>
      </w:r>
      <w:r w:rsidR="000E77B1">
        <w:t>but a</w:t>
      </w:r>
      <w:r w:rsidR="00F156F4">
        <w:t xml:space="preserve">ccording to </w:t>
      </w:r>
      <w:r w:rsidR="00F156F4" w:rsidRPr="0001183B">
        <w:t xml:space="preserve">Weed et al., </w:t>
      </w:r>
      <w:r w:rsidR="00716FBE">
        <w:t>(</w:t>
      </w:r>
      <w:r w:rsidR="00F156F4" w:rsidRPr="0001183B">
        <w:t>2015)</w:t>
      </w:r>
      <w:r w:rsidR="00F156F4">
        <w:t xml:space="preserve"> </w:t>
      </w:r>
      <w:r w:rsidR="00267894">
        <w:t>“</w:t>
      </w:r>
      <w:r w:rsidR="007D4A2F">
        <w:t>Having set very clear targets to increase participation through the Olympic and Paralympic Games, but with no clear strategy about how to harness the Games to do so, the inevitable outcome was that progress towards the sport participation target was limited</w:t>
      </w:r>
      <w:r w:rsidR="00267894" w:rsidRPr="0001183B">
        <w:t>”</w:t>
      </w:r>
      <w:r w:rsidR="007D4A2F" w:rsidRPr="0001183B">
        <w:t>.</w:t>
      </w:r>
      <w:r w:rsidR="00E025E3">
        <w:t xml:space="preserve"> A similar view is reflected by </w:t>
      </w:r>
      <w:r w:rsidR="00057E29" w:rsidRPr="00972503">
        <w:t xml:space="preserve">Milton, Bauman and Cavill </w:t>
      </w:r>
      <w:r w:rsidR="00057E29">
        <w:t>(</w:t>
      </w:r>
      <w:r w:rsidR="00057E29" w:rsidRPr="00972503">
        <w:t>2018)</w:t>
      </w:r>
      <w:r w:rsidR="00E025E3">
        <w:t xml:space="preserve"> “</w:t>
      </w:r>
      <w:r w:rsidR="00DF6A41">
        <w:t>Rather than dwelling on the ‘failure’ of the Olympics to achieve a shift in population prevalence of physical activity, efforts should focus on the policy congruence that has emanated since the Games, and how to maximise partnership working to achieve a sustained shift in population physical activity</w:t>
      </w:r>
      <w:r w:rsidR="007A38DA">
        <w:t>”.</w:t>
      </w:r>
      <w:r w:rsidR="00C0194A">
        <w:t xml:space="preserve"> One of the major themes of London 2012 </w:t>
      </w:r>
      <w:r w:rsidR="007E4ED3">
        <w:t xml:space="preserve">was to be the regeneration of a </w:t>
      </w:r>
      <w:r w:rsidR="00750C0E">
        <w:t>run-down</w:t>
      </w:r>
      <w:r w:rsidR="007E4ED3">
        <w:t xml:space="preserve"> part </w:t>
      </w:r>
      <w:r w:rsidR="0001122B">
        <w:t xml:space="preserve">of </w:t>
      </w:r>
      <w:r w:rsidR="001D3D16">
        <w:t>inner-city</w:t>
      </w:r>
      <w:r w:rsidR="0001122B">
        <w:t xml:space="preserve"> East </w:t>
      </w:r>
      <w:r w:rsidR="0001122B" w:rsidRPr="001D3D16">
        <w:t>London</w:t>
      </w:r>
      <w:r w:rsidR="00DF6A41" w:rsidRPr="001D3D16">
        <w:t xml:space="preserve"> </w:t>
      </w:r>
      <w:r w:rsidR="001D3D16" w:rsidRPr="001D3D16">
        <w:t xml:space="preserve">which had been mostly a </w:t>
      </w:r>
      <w:r w:rsidR="0005747D" w:rsidRPr="001D3D16">
        <w:t>wasteland</w:t>
      </w:r>
      <w:r w:rsidR="0005747D">
        <w:rPr>
          <w:color w:val="05103E"/>
          <w:shd w:val="clear" w:color="auto" w:fill="CEE7FE"/>
        </w:rPr>
        <w:t xml:space="preserve"> </w:t>
      </w:r>
      <w:r w:rsidR="0005747D">
        <w:t>up</w:t>
      </w:r>
      <w:r w:rsidR="00E22705">
        <w:t xml:space="preserve"> until then</w:t>
      </w:r>
      <w:r w:rsidR="00DA16FE">
        <w:t>,</w:t>
      </w:r>
      <w:r w:rsidR="00C00555">
        <w:t xml:space="preserve"> </w:t>
      </w:r>
      <w:r w:rsidR="00883FBB" w:rsidRPr="00DA16FE">
        <w:t>Davis and Thornley</w:t>
      </w:r>
      <w:r w:rsidR="00883FBB">
        <w:t xml:space="preserve"> (</w:t>
      </w:r>
      <w:r w:rsidR="00883FBB" w:rsidRPr="00DA16FE">
        <w:t>2010)</w:t>
      </w:r>
      <w:r w:rsidR="00883FBB">
        <w:t xml:space="preserve"> state </w:t>
      </w:r>
      <w:r w:rsidR="008E21DE">
        <w:t>“</w:t>
      </w:r>
      <w:r w:rsidR="00146B09">
        <w:t xml:space="preserve">Throughout London’s history, the ‘East End’ has contained the poorest neighbourhoods and has a long association with the low paid and casual dockland employment. Over the years there have therefore been many plans and policies to redress this </w:t>
      </w:r>
      <w:r w:rsidR="00146B09" w:rsidRPr="00DA16FE">
        <w:t>imbalanc</w:t>
      </w:r>
      <w:r w:rsidR="00DA16FE">
        <w:t>e</w:t>
      </w:r>
      <w:r w:rsidR="008E21DE" w:rsidRPr="00DA16FE">
        <w:t>”</w:t>
      </w:r>
      <w:r w:rsidR="00146B09" w:rsidRPr="00DA16FE">
        <w:t xml:space="preserve">. </w:t>
      </w:r>
      <w:r w:rsidR="000D5C4B">
        <w:t xml:space="preserve">A legacy of regeneration </w:t>
      </w:r>
      <w:r w:rsidR="006F6FCE">
        <w:t xml:space="preserve">was to be the main </w:t>
      </w:r>
      <w:r w:rsidR="004B5FA4">
        <w:t xml:space="preserve">focus </w:t>
      </w:r>
      <w:proofErr w:type="gramStart"/>
      <w:r w:rsidR="004B5FA4">
        <w:t>of  London</w:t>
      </w:r>
      <w:proofErr w:type="gramEnd"/>
      <w:r w:rsidR="004B5FA4">
        <w:t xml:space="preserve"> 2012</w:t>
      </w:r>
      <w:r w:rsidR="00A527BC">
        <w:t xml:space="preserve"> </w:t>
      </w:r>
      <w:r w:rsidR="00970E32">
        <w:t>“</w:t>
      </w:r>
      <w:r w:rsidR="004B0B98">
        <w:t xml:space="preserve">A central pillar of Games planning and delivery was the regeneration legacy of a select pocket of East London, a process already underway prior to the Games as part of the Thames Gateway, Lower Lea Valley Framework, the Westfield Stratford City, and the Crossrail infrastructure projects. The area of the Olympic Park was described in Olympic Delivery Agency documentation prior to the London 2012 Olympic Games as a site of noxious industries, a perennial dumping ground for waste products, </w:t>
      </w:r>
      <w:proofErr w:type="gramStart"/>
      <w:r w:rsidR="004B0B98">
        <w:t>and,</w:t>
      </w:r>
      <w:proofErr w:type="gramEnd"/>
      <w:r w:rsidR="004B0B98">
        <w:t xml:space="preserve"> a haven for artists and traveler communities </w:t>
      </w:r>
      <w:r w:rsidR="004B0B98" w:rsidRPr="00750C0E">
        <w:t>(Gold &amp; Gold, 2008</w:t>
      </w:r>
      <w:r w:rsidR="004B0B98" w:rsidRPr="00750C0E">
        <w:t xml:space="preserve"> cited in</w:t>
      </w:r>
      <w:r w:rsidR="00C95AC1" w:rsidRPr="00750C0E">
        <w:t xml:space="preserve"> </w:t>
      </w:r>
      <w:r w:rsidR="00C95AC1" w:rsidRPr="00750C0E">
        <w:t>Silk, 2014</w:t>
      </w:r>
      <w:r w:rsidR="004B0B98" w:rsidRPr="00750C0E">
        <w:t>)</w:t>
      </w:r>
      <w:r w:rsidR="00970E32" w:rsidRPr="00750C0E">
        <w:t>”</w:t>
      </w:r>
      <w:r w:rsidR="004B0B98" w:rsidRPr="00750C0E">
        <w:t>.</w:t>
      </w:r>
      <w:r w:rsidR="00B3013F">
        <w:t xml:space="preserve"> </w:t>
      </w:r>
      <w:r w:rsidR="00B3013F">
        <w:t xml:space="preserve">The London Olympics enabled dramatic changes in the transport facilities and accessibility to the area, which has, in turn, made the area attractive for investment and </w:t>
      </w:r>
      <w:r w:rsidR="00B3013F">
        <w:lastRenderedPageBreak/>
        <w:t xml:space="preserve">development (Thornley, 2012, p. 209). </w:t>
      </w:r>
      <w:r w:rsidR="00B354DA">
        <w:t>Regeneration seems to be London 2012 greatest legacy “</w:t>
      </w:r>
      <w:r w:rsidR="00B3013F">
        <w:t>This has contributed to the development of massive shopping centres such as the Westfield mall providing employment to nearly 15,000 people (Volterra, 2011</w:t>
      </w:r>
      <w:r w:rsidR="00E1193A">
        <w:t xml:space="preserve"> cited </w:t>
      </w:r>
      <w:proofErr w:type="gramStart"/>
      <w:r w:rsidR="00E1193A">
        <w:t xml:space="preserve">in </w:t>
      </w:r>
      <w:r w:rsidR="00B3013F">
        <w:t>)</w:t>
      </w:r>
      <w:proofErr w:type="gramEnd"/>
      <w:r w:rsidR="00B3013F">
        <w:t>. A detailed study of the Impacts of the Olympics, conducted by the University of East London on behalf of the IOC, indicates an improvement in Poverty and social exclusion parameters, decrease in crime levels and an improvement in community facilities - particularly, sport facilities (University of East London, 2015</w:t>
      </w:r>
      <w:r w:rsidR="00E1193A">
        <w:t xml:space="preserve"> cited in</w:t>
      </w:r>
      <w:r w:rsidR="00E24162" w:rsidRPr="00E24162">
        <w:rPr>
          <w:color w:val="05103E"/>
          <w:shd w:val="clear" w:color="auto" w:fill="FFFFFF"/>
        </w:rPr>
        <w:t xml:space="preserve"> </w:t>
      </w:r>
      <w:r w:rsidR="00E24162">
        <w:rPr>
          <w:color w:val="05103E"/>
          <w:shd w:val="clear" w:color="auto" w:fill="FFFFFF"/>
        </w:rPr>
        <w:t>Kayvan (no dat</w:t>
      </w:r>
      <w:r w:rsidR="00B354DA">
        <w:rPr>
          <w:color w:val="05103E"/>
          <w:shd w:val="clear" w:color="auto" w:fill="FFFFFF"/>
        </w:rPr>
        <w:t>e</w:t>
      </w:r>
      <w:r w:rsidR="00B3013F">
        <w:t>)</w:t>
      </w:r>
      <w:r w:rsidR="00B354DA">
        <w:t>”</w:t>
      </w:r>
      <w:r w:rsidR="00B3013F">
        <w:t>.</w:t>
      </w:r>
    </w:p>
    <w:p w14:paraId="556BB633" w14:textId="2039AF1A" w:rsidR="0005747D" w:rsidRDefault="0005747D" w:rsidP="00925D2D"/>
    <w:p w14:paraId="2639D37F" w14:textId="5678416A" w:rsidR="00925D2D" w:rsidRDefault="00925D2D">
      <w:pPr>
        <w:rPr>
          <w:rFonts w:ascii="Arial" w:hAnsi="Arial" w:cs="Arial"/>
        </w:rPr>
      </w:pPr>
    </w:p>
    <w:p w14:paraId="36642963" w14:textId="392DE146" w:rsidR="00346760" w:rsidRDefault="00346760">
      <w:pPr>
        <w:rPr>
          <w:rFonts w:ascii="Arial" w:hAnsi="Arial" w:cs="Arial"/>
        </w:rPr>
      </w:pPr>
      <w:r>
        <w:rPr>
          <w:rFonts w:ascii="Arial" w:hAnsi="Arial" w:cs="Arial"/>
        </w:rPr>
        <w:br w:type="page"/>
      </w:r>
    </w:p>
    <w:p w14:paraId="736AB3DB" w14:textId="4C246BEF" w:rsidR="00F7513C" w:rsidRDefault="00EB57C1">
      <w:pPr>
        <w:rPr>
          <w:rFonts w:ascii="Arial" w:hAnsi="Arial" w:cs="Arial"/>
        </w:rPr>
      </w:pPr>
      <w:r>
        <w:rPr>
          <w:rFonts w:ascii="Arial" w:hAnsi="Arial" w:cs="Arial"/>
        </w:rPr>
        <w:lastRenderedPageBreak/>
        <w:t>References</w:t>
      </w:r>
      <w:r w:rsidR="00346760">
        <w:rPr>
          <w:rFonts w:ascii="Arial" w:hAnsi="Arial" w:cs="Arial"/>
        </w:rPr>
        <w:t>:</w:t>
      </w:r>
    </w:p>
    <w:p w14:paraId="2C4D97E7" w14:textId="165C511E" w:rsidR="001115C1" w:rsidRDefault="001115C1">
      <w:pPr>
        <w:rPr>
          <w:color w:val="05103E"/>
          <w:shd w:val="clear" w:color="auto" w:fill="FFFFFF"/>
        </w:rPr>
      </w:pPr>
      <w:r>
        <w:rPr>
          <w:color w:val="05103E"/>
          <w:shd w:val="clear" w:color="auto" w:fill="FFFFFF"/>
        </w:rPr>
        <w:t>Davis, J. and Thornley, A. (2010) “Urban regeneration for the London 2012 Olympics: Issues of land acquisition and legacy,” </w:t>
      </w:r>
      <w:r>
        <w:rPr>
          <w:i/>
          <w:iCs/>
          <w:color w:val="05103E"/>
          <w:bdr w:val="single" w:sz="2" w:space="0" w:color="ECEDEE" w:frame="1"/>
          <w:shd w:val="clear" w:color="auto" w:fill="FFFFFF"/>
        </w:rPr>
        <w:t>City, Culture and Society</w:t>
      </w:r>
      <w:r>
        <w:rPr>
          <w:color w:val="05103E"/>
          <w:shd w:val="clear" w:color="auto" w:fill="FFFFFF"/>
        </w:rPr>
        <w:t>, 1(2), pp. 89–98. Available at: </w:t>
      </w:r>
      <w:hyperlink r:id="rId7" w:history="1">
        <w:r w:rsidRPr="003704CE">
          <w:rPr>
            <w:rStyle w:val="Hyperlink"/>
            <w:bdr w:val="single" w:sz="2" w:space="0" w:color="ECEDEE" w:frame="1"/>
            <w:shd w:val="clear" w:color="auto" w:fill="FFFFFF"/>
          </w:rPr>
          <w:t>https://doi.org/10.1016/j.ccs.2010.08.002</w:t>
        </w:r>
      </w:hyperlink>
      <w:r>
        <w:rPr>
          <w:color w:val="05103E"/>
          <w:shd w:val="clear" w:color="auto" w:fill="FFFFFF"/>
        </w:rPr>
        <w:t>.</w:t>
      </w:r>
    </w:p>
    <w:p w14:paraId="37B514E5" w14:textId="3D91DACD" w:rsidR="006B25A2" w:rsidRDefault="006B25A2">
      <w:pPr>
        <w:rPr>
          <w:color w:val="05103E"/>
          <w:shd w:val="clear" w:color="auto" w:fill="FFFFFF"/>
        </w:rPr>
      </w:pPr>
      <w:r>
        <w:rPr>
          <w:color w:val="05103E"/>
          <w:shd w:val="clear" w:color="auto" w:fill="FFFFFF"/>
        </w:rPr>
        <w:t xml:space="preserve">Kaysi, S. (2013) “‘Sustainability; A New Element of Project Success’ ‘From whose point of view is Velodrome Park and Wind Turbine projects considered a success or </w:t>
      </w:r>
      <w:proofErr w:type="gramStart"/>
      <w:r>
        <w:rPr>
          <w:color w:val="05103E"/>
          <w:shd w:val="clear" w:color="auto" w:fill="FFFFFF"/>
        </w:rPr>
        <w:t>failure?,</w:t>
      </w:r>
      <w:proofErr w:type="gramEnd"/>
      <w:r>
        <w:rPr>
          <w:color w:val="05103E"/>
          <w:shd w:val="clear" w:color="auto" w:fill="FFFFFF"/>
        </w:rPr>
        <w:t>’” </w:t>
      </w:r>
      <w:r>
        <w:rPr>
          <w:i/>
          <w:iCs/>
          <w:color w:val="05103E"/>
          <w:bdr w:val="single" w:sz="2" w:space="0" w:color="ECEDEE" w:frame="1"/>
          <w:shd w:val="clear" w:color="auto" w:fill="FFFFFF"/>
        </w:rPr>
        <w:t>MPRA Paper</w:t>
      </w:r>
      <w:r>
        <w:rPr>
          <w:color w:val="05103E"/>
          <w:shd w:val="clear" w:color="auto" w:fill="FFFFFF"/>
        </w:rPr>
        <w:t> [Preprint]. Available at: </w:t>
      </w:r>
      <w:hyperlink r:id="rId8" w:history="1">
        <w:r w:rsidRPr="003704CE">
          <w:rPr>
            <w:rStyle w:val="Hyperlink"/>
            <w:bdr w:val="single" w:sz="2" w:space="0" w:color="ECEDEE" w:frame="1"/>
            <w:shd w:val="clear" w:color="auto" w:fill="FFFFFF"/>
          </w:rPr>
          <w:t>https://ideas.repec.org/p/pra/mprapa/62357.html</w:t>
        </w:r>
      </w:hyperlink>
      <w:r>
        <w:rPr>
          <w:color w:val="05103E"/>
          <w:shd w:val="clear" w:color="auto" w:fill="FFFFFF"/>
        </w:rPr>
        <w:t>.</w:t>
      </w:r>
    </w:p>
    <w:p w14:paraId="1F83CF1B" w14:textId="27015183" w:rsidR="00E24162" w:rsidRDefault="00E24162">
      <w:pPr>
        <w:rPr>
          <w:color w:val="05103E"/>
          <w:shd w:val="clear" w:color="auto" w:fill="FFFFFF"/>
        </w:rPr>
      </w:pPr>
      <w:bookmarkStart w:id="1" w:name="_Hlk124501301"/>
      <w:r>
        <w:rPr>
          <w:color w:val="05103E"/>
          <w:shd w:val="clear" w:color="auto" w:fill="FFFFFF"/>
        </w:rPr>
        <w:t xml:space="preserve">Kayvan (no date) </w:t>
      </w:r>
      <w:bookmarkEnd w:id="1"/>
      <w:r>
        <w:rPr>
          <w:color w:val="05103E"/>
          <w:shd w:val="clear" w:color="auto" w:fill="FFFFFF"/>
        </w:rPr>
        <w:t xml:space="preserve">“Impacts of event-driven mega-projects on surrounding neighbourhoods </w:t>
      </w:r>
      <w:proofErr w:type="gramStart"/>
      <w:r>
        <w:rPr>
          <w:color w:val="05103E"/>
          <w:shd w:val="clear" w:color="auto" w:fill="FFFFFF"/>
        </w:rPr>
        <w:t>The</w:t>
      </w:r>
      <w:proofErr w:type="gramEnd"/>
      <w:r>
        <w:rPr>
          <w:color w:val="05103E"/>
          <w:shd w:val="clear" w:color="auto" w:fill="FFFFFF"/>
        </w:rPr>
        <w:t xml:space="preserve"> case of the London Olympic Park,” </w:t>
      </w:r>
      <w:r>
        <w:rPr>
          <w:i/>
          <w:iCs/>
          <w:color w:val="05103E"/>
          <w:bdr w:val="single" w:sz="2" w:space="0" w:color="ECEDEE" w:frame="1"/>
          <w:shd w:val="clear" w:color="auto" w:fill="FFFFFF"/>
        </w:rPr>
        <w:t>Impacts of Event-driven Mega-projects on Surrounding Neighborhoods</w:t>
      </w:r>
      <w:r>
        <w:rPr>
          <w:color w:val="05103E"/>
          <w:shd w:val="clear" w:color="auto" w:fill="FFFFFF"/>
        </w:rPr>
        <w:t> [Preprint]. Available at: </w:t>
      </w:r>
      <w:hyperlink r:id="rId9" w:history="1">
        <w:r w:rsidRPr="003704CE">
          <w:rPr>
            <w:rStyle w:val="Hyperlink"/>
            <w:bdr w:val="single" w:sz="2" w:space="0" w:color="ECEDEE" w:frame="1"/>
            <w:shd w:val="clear" w:color="auto" w:fill="FFFFFF"/>
          </w:rPr>
          <w:t>https://www.researchgate.net/profile/Deepthi-John/publication/353127799_Impacts_of_event-driven_mega-projects_on_surrounding_neighborhoods_-_The_case_of_the_London_Olympic_Park/links/60e861fe1c28af345859467e/Impacts-of-event-driven-mega-projects-on-surrounding-neighborhoods-The-case-of-the-London-Olympic-Park.pdf</w:t>
        </w:r>
      </w:hyperlink>
      <w:r>
        <w:rPr>
          <w:color w:val="05103E"/>
          <w:shd w:val="clear" w:color="auto" w:fill="FFFFFF"/>
        </w:rPr>
        <w:t>.</w:t>
      </w:r>
    </w:p>
    <w:p w14:paraId="5CB5F4B0" w14:textId="55B3B867" w:rsidR="00EB57C1" w:rsidRDefault="00EB57C1">
      <w:pPr>
        <w:rPr>
          <w:color w:val="05103E"/>
          <w:shd w:val="clear" w:color="auto" w:fill="FCFCFC"/>
        </w:rPr>
      </w:pPr>
      <w:r>
        <w:rPr>
          <w:color w:val="05103E"/>
          <w:shd w:val="clear" w:color="auto" w:fill="FCFCFC"/>
        </w:rPr>
        <w:t>Milton, K., Bauman, A. and Cavill, N. (2018) </w:t>
      </w:r>
      <w:r>
        <w:rPr>
          <w:i/>
          <w:iCs/>
          <w:color w:val="05103E"/>
          <w:bdr w:val="single" w:sz="2" w:space="0" w:color="ECEDEE" w:frame="1"/>
          <w:shd w:val="clear" w:color="auto" w:fill="FCFCFC"/>
        </w:rPr>
        <w:t>Intersectoral partnership: a potential legacy success of the London 2012 Olympic and Paralympic Games</w:t>
      </w:r>
      <w:r>
        <w:rPr>
          <w:color w:val="05103E"/>
          <w:shd w:val="clear" w:color="auto" w:fill="FCFCFC"/>
        </w:rPr>
        <w:t>. Available at: </w:t>
      </w:r>
      <w:hyperlink r:id="rId10" w:history="1">
        <w:r w:rsidRPr="003704CE">
          <w:rPr>
            <w:rStyle w:val="Hyperlink"/>
            <w:bdr w:val="single" w:sz="2" w:space="0" w:color="ECEDEE" w:frame="1"/>
            <w:shd w:val="clear" w:color="auto" w:fill="FCFCFC"/>
          </w:rPr>
          <w:t>https://www.tandfonline.com/doi/pdf/10.1080/19406940.2018.1522659</w:t>
        </w:r>
      </w:hyperlink>
      <w:r>
        <w:rPr>
          <w:color w:val="05103E"/>
          <w:shd w:val="clear" w:color="auto" w:fill="FCFCFC"/>
        </w:rPr>
        <w:t>.</w:t>
      </w:r>
    </w:p>
    <w:p w14:paraId="08E6928D" w14:textId="6316F812" w:rsidR="00D639F0" w:rsidRDefault="00D639F0" w:rsidP="00D639F0">
      <w:pPr>
        <w:rPr>
          <w:color w:val="05103E"/>
          <w:shd w:val="clear" w:color="auto" w:fill="FFFFFF"/>
        </w:rPr>
      </w:pPr>
      <w:r>
        <w:rPr>
          <w:color w:val="05103E"/>
          <w:shd w:val="clear" w:color="auto" w:fill="FFFFFF"/>
        </w:rPr>
        <w:t>Nichols, G., Ralston, R. and Holmes, K. (2017) “The 2012 Olympic Ambassadors and sustainable tourism legacy,” </w:t>
      </w:r>
      <w:r>
        <w:rPr>
          <w:i/>
          <w:iCs/>
          <w:color w:val="05103E"/>
          <w:bdr w:val="single" w:sz="2" w:space="0" w:color="ECEDEE" w:frame="1"/>
          <w:shd w:val="clear" w:color="auto" w:fill="FFFFFF"/>
        </w:rPr>
        <w:t>Journal of Sustainable Tourism</w:t>
      </w:r>
      <w:r>
        <w:rPr>
          <w:color w:val="05103E"/>
          <w:shd w:val="clear" w:color="auto" w:fill="FFFFFF"/>
        </w:rPr>
        <w:t>, 25(11), pp. 1513–1528. Available at: </w:t>
      </w:r>
      <w:hyperlink r:id="rId11" w:history="1">
        <w:r w:rsidRPr="003704CE">
          <w:rPr>
            <w:rStyle w:val="Hyperlink"/>
            <w:bdr w:val="single" w:sz="2" w:space="0" w:color="ECEDEE" w:frame="1"/>
            <w:shd w:val="clear" w:color="auto" w:fill="FFFFFF"/>
          </w:rPr>
          <w:t>https://doi.org/10.1080/09669582.2017.1291648</w:t>
        </w:r>
      </w:hyperlink>
      <w:r>
        <w:rPr>
          <w:color w:val="05103E"/>
          <w:shd w:val="clear" w:color="auto" w:fill="FFFFFF"/>
        </w:rPr>
        <w:t>.</w:t>
      </w:r>
    </w:p>
    <w:p w14:paraId="0337AF06" w14:textId="33F225D2" w:rsidR="00C95AC1" w:rsidRDefault="00C95AC1" w:rsidP="00D639F0">
      <w:pPr>
        <w:rPr>
          <w:color w:val="05103E"/>
          <w:shd w:val="clear" w:color="auto" w:fill="FCFCFC"/>
        </w:rPr>
      </w:pPr>
      <w:r>
        <w:rPr>
          <w:color w:val="05103E"/>
          <w:shd w:val="clear" w:color="auto" w:fill="FCFCFC"/>
        </w:rPr>
        <w:t>Silk, M. (2014) “The London 2012 Olympics: The cultural politics of urban regeneration,” </w:t>
      </w:r>
      <w:r>
        <w:rPr>
          <w:i/>
          <w:iCs/>
          <w:color w:val="05103E"/>
          <w:bdr w:val="single" w:sz="2" w:space="0" w:color="ECEDEE" w:frame="1"/>
          <w:shd w:val="clear" w:color="auto" w:fill="FCFCFC"/>
        </w:rPr>
        <w:t>Journal of Urban Cultural Studies</w:t>
      </w:r>
      <w:r>
        <w:rPr>
          <w:color w:val="05103E"/>
          <w:shd w:val="clear" w:color="auto" w:fill="FCFCFC"/>
        </w:rPr>
        <w:t>, 1(2), pp. 273–293. Available at: </w:t>
      </w:r>
      <w:hyperlink r:id="rId12" w:history="1">
        <w:r w:rsidRPr="003704CE">
          <w:rPr>
            <w:rStyle w:val="Hyperlink"/>
            <w:bdr w:val="single" w:sz="2" w:space="0" w:color="ECEDEE" w:frame="1"/>
            <w:shd w:val="clear" w:color="auto" w:fill="FCFCFC"/>
          </w:rPr>
          <w:t>https://doi.org/10.1386/jucs.1.2.273_1</w:t>
        </w:r>
      </w:hyperlink>
      <w:r>
        <w:rPr>
          <w:color w:val="05103E"/>
          <w:shd w:val="clear" w:color="auto" w:fill="FCFCFC"/>
        </w:rPr>
        <w:t>.</w:t>
      </w:r>
    </w:p>
    <w:p w14:paraId="3BE3C7F6" w14:textId="09917375" w:rsidR="00856A49" w:rsidRDefault="00856A49" w:rsidP="00D639F0">
      <w:pPr>
        <w:rPr>
          <w:color w:val="05103E"/>
          <w:shd w:val="clear" w:color="auto" w:fill="FFFFFF"/>
        </w:rPr>
      </w:pPr>
      <w:r>
        <w:rPr>
          <w:color w:val="05103E"/>
          <w:shd w:val="clear" w:color="auto" w:fill="FFFFFF"/>
        </w:rPr>
        <w:t>Weed, M. </w:t>
      </w:r>
      <w:r>
        <w:rPr>
          <w:i/>
          <w:iCs/>
          <w:color w:val="05103E"/>
          <w:bdr w:val="single" w:sz="2" w:space="0" w:color="ECEDEE" w:frame="1"/>
          <w:shd w:val="clear" w:color="auto" w:fill="FFFFFF"/>
        </w:rPr>
        <w:t>et al.</w:t>
      </w:r>
      <w:r>
        <w:rPr>
          <w:color w:val="05103E"/>
          <w:shd w:val="clear" w:color="auto" w:fill="FFFFFF"/>
        </w:rPr>
        <w:t> (2015) “The Olympic Games and raising sport participation: a systematic review of evidence and an interrogation of policy for a demonstration effect,” </w:t>
      </w:r>
      <w:r>
        <w:rPr>
          <w:i/>
          <w:iCs/>
          <w:color w:val="05103E"/>
          <w:bdr w:val="single" w:sz="2" w:space="0" w:color="ECEDEE" w:frame="1"/>
          <w:shd w:val="clear" w:color="auto" w:fill="FFFFFF"/>
        </w:rPr>
        <w:t>European Sport Management Quarterly</w:t>
      </w:r>
      <w:r>
        <w:rPr>
          <w:color w:val="05103E"/>
          <w:shd w:val="clear" w:color="auto" w:fill="FFFFFF"/>
        </w:rPr>
        <w:t>, 15(2), pp. 195–226. Available at: </w:t>
      </w:r>
      <w:hyperlink r:id="rId13" w:history="1">
        <w:r w:rsidRPr="003704CE">
          <w:rPr>
            <w:rStyle w:val="Hyperlink"/>
            <w:bdr w:val="single" w:sz="2" w:space="0" w:color="ECEDEE" w:frame="1"/>
            <w:shd w:val="clear" w:color="auto" w:fill="FFFFFF"/>
          </w:rPr>
          <w:t>https://doi.org/10.1080/16184742.2014.998695</w:t>
        </w:r>
      </w:hyperlink>
      <w:r>
        <w:rPr>
          <w:color w:val="05103E"/>
          <w:shd w:val="clear" w:color="auto" w:fill="FFFFFF"/>
        </w:rPr>
        <w:t>.</w:t>
      </w:r>
    </w:p>
    <w:p w14:paraId="2E92D768" w14:textId="77777777" w:rsidR="00856A49" w:rsidRDefault="00856A49" w:rsidP="00D639F0">
      <w:pPr>
        <w:rPr>
          <w:color w:val="05103E"/>
          <w:shd w:val="clear" w:color="auto" w:fill="FFFFFF"/>
        </w:rPr>
      </w:pPr>
    </w:p>
    <w:p w14:paraId="519DEBEA" w14:textId="77777777" w:rsidR="00D639F0" w:rsidRDefault="00D639F0">
      <w:pPr>
        <w:rPr>
          <w:color w:val="05103E"/>
          <w:shd w:val="clear" w:color="auto" w:fill="FCFCFC"/>
        </w:rPr>
      </w:pPr>
    </w:p>
    <w:p w14:paraId="48FF3F98" w14:textId="77777777" w:rsidR="00EB57C1" w:rsidRPr="009E33C7" w:rsidRDefault="00EB57C1">
      <w:pPr>
        <w:rPr>
          <w:rFonts w:ascii="Arial" w:hAnsi="Arial" w:cs="Arial"/>
        </w:rPr>
      </w:pPr>
    </w:p>
    <w:sectPr w:rsidR="00EB57C1" w:rsidRPr="009E33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3C7"/>
    <w:rsid w:val="0000086A"/>
    <w:rsid w:val="000021A2"/>
    <w:rsid w:val="0001119A"/>
    <w:rsid w:val="0001122B"/>
    <w:rsid w:val="0001183B"/>
    <w:rsid w:val="00050663"/>
    <w:rsid w:val="0005747D"/>
    <w:rsid w:val="00057E29"/>
    <w:rsid w:val="00062002"/>
    <w:rsid w:val="000B3C21"/>
    <w:rsid w:val="000C59D7"/>
    <w:rsid w:val="000D5C4B"/>
    <w:rsid w:val="000E4472"/>
    <w:rsid w:val="000E77B1"/>
    <w:rsid w:val="001115C1"/>
    <w:rsid w:val="00125771"/>
    <w:rsid w:val="00146B09"/>
    <w:rsid w:val="0017714C"/>
    <w:rsid w:val="001806C2"/>
    <w:rsid w:val="00187698"/>
    <w:rsid w:val="001B454A"/>
    <w:rsid w:val="001D3D16"/>
    <w:rsid w:val="00267894"/>
    <w:rsid w:val="002A52CF"/>
    <w:rsid w:val="002D5DFB"/>
    <w:rsid w:val="00346760"/>
    <w:rsid w:val="00450959"/>
    <w:rsid w:val="00457152"/>
    <w:rsid w:val="00466C51"/>
    <w:rsid w:val="00480935"/>
    <w:rsid w:val="004B0B98"/>
    <w:rsid w:val="004B5FA4"/>
    <w:rsid w:val="005422C0"/>
    <w:rsid w:val="00564379"/>
    <w:rsid w:val="00596820"/>
    <w:rsid w:val="005A60FF"/>
    <w:rsid w:val="00613D84"/>
    <w:rsid w:val="00623FF8"/>
    <w:rsid w:val="006906D8"/>
    <w:rsid w:val="006B25A2"/>
    <w:rsid w:val="006C2393"/>
    <w:rsid w:val="006D17A4"/>
    <w:rsid w:val="006F6FCE"/>
    <w:rsid w:val="00706410"/>
    <w:rsid w:val="00716FBE"/>
    <w:rsid w:val="00717673"/>
    <w:rsid w:val="00750C0E"/>
    <w:rsid w:val="007A2ED5"/>
    <w:rsid w:val="007A38DA"/>
    <w:rsid w:val="007D240E"/>
    <w:rsid w:val="007D4A2F"/>
    <w:rsid w:val="007E4ED3"/>
    <w:rsid w:val="0081087C"/>
    <w:rsid w:val="00820E11"/>
    <w:rsid w:val="00850F02"/>
    <w:rsid w:val="00856A49"/>
    <w:rsid w:val="00883FBB"/>
    <w:rsid w:val="008C1F1B"/>
    <w:rsid w:val="008E21DE"/>
    <w:rsid w:val="009062A7"/>
    <w:rsid w:val="00925D2D"/>
    <w:rsid w:val="00970E32"/>
    <w:rsid w:val="00972503"/>
    <w:rsid w:val="009E33C7"/>
    <w:rsid w:val="00A07181"/>
    <w:rsid w:val="00A527BC"/>
    <w:rsid w:val="00A55D36"/>
    <w:rsid w:val="00AE37C4"/>
    <w:rsid w:val="00AF03EF"/>
    <w:rsid w:val="00AF5CF6"/>
    <w:rsid w:val="00B02819"/>
    <w:rsid w:val="00B233D4"/>
    <w:rsid w:val="00B3013F"/>
    <w:rsid w:val="00B354DA"/>
    <w:rsid w:val="00B6475B"/>
    <w:rsid w:val="00BA4293"/>
    <w:rsid w:val="00C00555"/>
    <w:rsid w:val="00C0194A"/>
    <w:rsid w:val="00C37D7F"/>
    <w:rsid w:val="00C52D52"/>
    <w:rsid w:val="00C95AC1"/>
    <w:rsid w:val="00D5570B"/>
    <w:rsid w:val="00D639F0"/>
    <w:rsid w:val="00DA16FE"/>
    <w:rsid w:val="00DB735E"/>
    <w:rsid w:val="00DC0147"/>
    <w:rsid w:val="00DF6A41"/>
    <w:rsid w:val="00E025E3"/>
    <w:rsid w:val="00E1193A"/>
    <w:rsid w:val="00E22705"/>
    <w:rsid w:val="00E24162"/>
    <w:rsid w:val="00E241B5"/>
    <w:rsid w:val="00E42677"/>
    <w:rsid w:val="00E51C30"/>
    <w:rsid w:val="00E84340"/>
    <w:rsid w:val="00E920B7"/>
    <w:rsid w:val="00EB57C1"/>
    <w:rsid w:val="00F156F4"/>
    <w:rsid w:val="00F51ADA"/>
    <w:rsid w:val="00F63178"/>
    <w:rsid w:val="00F73D19"/>
    <w:rsid w:val="00F751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B1C08"/>
  <w15:chartTrackingRefBased/>
  <w15:docId w15:val="{319CD334-FB0C-43C0-8BF6-28D582C9A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57C1"/>
    <w:rPr>
      <w:color w:val="0563C1" w:themeColor="hyperlink"/>
      <w:u w:val="single"/>
    </w:rPr>
  </w:style>
  <w:style w:type="character" w:styleId="UnresolvedMention">
    <w:name w:val="Unresolved Mention"/>
    <w:basedOn w:val="DefaultParagraphFont"/>
    <w:uiPriority w:val="99"/>
    <w:semiHidden/>
    <w:unhideWhenUsed/>
    <w:rsid w:val="00EB57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eas.repec.org/p/pra/mprapa/62357.html" TargetMode="External"/><Relationship Id="rId13" Type="http://schemas.openxmlformats.org/officeDocument/2006/relationships/hyperlink" Target="https://doi.org/10.1080/16184742.2014.998695" TargetMode="External"/><Relationship Id="rId3" Type="http://schemas.openxmlformats.org/officeDocument/2006/relationships/customXml" Target="../customXml/item3.xml"/><Relationship Id="rId7" Type="http://schemas.openxmlformats.org/officeDocument/2006/relationships/hyperlink" Target="https://doi.org/10.1016/j.ccs.2010.08.002" TargetMode="External"/><Relationship Id="rId12" Type="http://schemas.openxmlformats.org/officeDocument/2006/relationships/hyperlink" Target="https://doi.org/10.1386/jucs.1.2.273_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09669582.2017.1291648"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tandfonline.com/doi/pdf/10.1080/19406940.2018.1522659" TargetMode="External"/><Relationship Id="rId4" Type="http://schemas.openxmlformats.org/officeDocument/2006/relationships/styles" Target="styles.xml"/><Relationship Id="rId9" Type="http://schemas.openxmlformats.org/officeDocument/2006/relationships/hyperlink" Target="https://www.researchgate.net/profile/Deepthi-John/publication/353127799_Impacts_of_event-driven_mega-projects_on_surrounding_neighborhoods_-_The_case_of_the_London_Olympic_Park/links/60e861fe1c28af345859467e/Impacts-of-event-driven-mega-projects-on-surrounding-neighborhoods-The-case-of-the-London-Olympic-Park.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5" ma:contentTypeDescription="Create a new document." ma:contentTypeScope="" ma:versionID="e0b0dd90d1d62e815269bd2823ee0656">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7b9c349a37e0f7c8dbfb6da7597a6878"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Props1.xml><?xml version="1.0" encoding="utf-8"?>
<ds:datastoreItem xmlns:ds="http://schemas.openxmlformats.org/officeDocument/2006/customXml" ds:itemID="{E5B6EF30-3F8B-4A36-B9C4-3D0D9166CD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2B2013-2A30-4A8F-B871-A1F7722A8972}">
  <ds:schemaRefs>
    <ds:schemaRef ds:uri="http://schemas.microsoft.com/sharepoint/v3/contenttype/forms"/>
  </ds:schemaRefs>
</ds:datastoreItem>
</file>

<file path=customXml/itemProps3.xml><?xml version="1.0" encoding="utf-8"?>
<ds:datastoreItem xmlns:ds="http://schemas.openxmlformats.org/officeDocument/2006/customXml" ds:itemID="{BD57CC02-F007-42EF-81BA-6960E31301D6}">
  <ds:schemaRefs>
    <ds:schemaRef ds:uri="1b88a2b3-a887-4da5-bc58-1cd6fd79184b"/>
    <ds:schemaRef ds:uri="http://schemas.microsoft.com/office/2006/documentManagement/types"/>
    <ds:schemaRef ds:uri="http://schemas.openxmlformats.org/package/2006/metadata/core-properties"/>
    <ds:schemaRef ds:uri="791995b0-624b-4c5a-90b4-d742ddd9de15"/>
    <ds:schemaRef ds:uri="http://purl.org/dc/dcmitype/"/>
    <ds:schemaRef ds:uri="http://schemas.microsoft.com/office/2006/metadata/properties"/>
    <ds:schemaRef ds:uri="http://purl.org/dc/elements/1.1/"/>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Pages>
  <Words>1046</Words>
  <Characters>5964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Atkins (2018199)</dc:creator>
  <cp:keywords/>
  <dc:description/>
  <cp:lastModifiedBy>Kris Atkins (2018199)</cp:lastModifiedBy>
  <cp:revision>102</cp:revision>
  <dcterms:created xsi:type="dcterms:W3CDTF">2023-01-13T09:03:00Z</dcterms:created>
  <dcterms:modified xsi:type="dcterms:W3CDTF">2023-01-13T11:24:00Z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