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33079427"/>
        <w:docPartObj>
          <w:docPartGallery w:val="Cover Pages"/>
          <w:docPartUnique/>
        </w:docPartObj>
      </w:sdtPr>
      <w:sdtEndPr>
        <w:rPr>
          <w:rStyle w:val="normaltextrun"/>
          <w:rFonts w:ascii="Arial" w:eastAsiaTheme="majorEastAsia" w:hAnsi="Arial" w:cs="Arial"/>
        </w:rPr>
      </w:sdtEndPr>
      <w:sdtContent>
        <w:p w14:paraId="76D842D4" w14:textId="317D93CF" w:rsidR="00F44D42" w:rsidRDefault="00F44D42">
          <w:r>
            <w:rPr>
              <w:noProof/>
            </w:rPr>
            <mc:AlternateContent>
              <mc:Choice Requires="wpg">
                <w:drawing>
                  <wp:anchor distT="0" distB="0" distL="114300" distR="114300" simplePos="0" relativeHeight="251659264" behindDoc="1" locked="0" layoutInCell="1" allowOverlap="1" wp14:anchorId="6188B806" wp14:editId="5508A581">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D0A134E" w14:textId="126FAF70" w:rsidR="00F44D42" w:rsidRDefault="00F44D42">
                                      <w:pPr>
                                        <w:pStyle w:val="NoSpacing"/>
                                        <w:spacing w:before="120"/>
                                        <w:jc w:val="center"/>
                                        <w:rPr>
                                          <w:color w:val="FFFFFF" w:themeColor="background1"/>
                                        </w:rPr>
                                      </w:pPr>
                                      <w:r>
                                        <w:rPr>
                                          <w:color w:val="FFFFFF" w:themeColor="background1"/>
                                        </w:rPr>
                                        <w:t>Ffion Jones</w:t>
                                      </w:r>
                                    </w:p>
                                  </w:sdtContent>
                                </w:sdt>
                                <w:p w14:paraId="06939020" w14:textId="1469913C" w:rsidR="00F44D42" w:rsidRDefault="00F44D42">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464F88">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A082D">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352770E" w14:textId="799075A5" w:rsidR="00F44D42" w:rsidRDefault="00464F88">
                                      <w:pPr>
                                        <w:pStyle w:val="NoSpacing"/>
                                        <w:jc w:val="center"/>
                                        <w:rPr>
                                          <w:rFonts w:asciiTheme="majorHAnsi" w:eastAsiaTheme="majorEastAsia" w:hAnsiTheme="majorHAnsi" w:cstheme="majorBidi"/>
                                          <w:caps/>
                                          <w:color w:val="156082" w:themeColor="accent1"/>
                                          <w:sz w:val="72"/>
                                          <w:szCs w:val="72"/>
                                        </w:rPr>
                                      </w:pPr>
                                      <w:r w:rsidRPr="00464F88">
                                        <w:rPr>
                                          <w:rFonts w:asciiTheme="majorHAnsi" w:eastAsiaTheme="majorEastAsia" w:hAnsiTheme="majorHAnsi" w:cstheme="majorBidi"/>
                                          <w:caps/>
                                          <w:color w:val="156082" w:themeColor="accent1"/>
                                          <w:sz w:val="72"/>
                                          <w:szCs w:val="72"/>
                                        </w:rPr>
                                        <w:t>Scenario question</w:t>
                                      </w:r>
                                    </w:p>
                                  </w:sdtContent>
                                </w:sdt>
                                <w:p w14:paraId="2A53A9D3" w14:textId="262FA3B1" w:rsidR="00464F88" w:rsidRDefault="00FA082D">
                                  <w:pPr>
                                    <w:pStyle w:val="NoSpacing"/>
                                    <w:jc w:val="center"/>
                                    <w:rPr>
                                      <w:rFonts w:asciiTheme="majorHAnsi" w:eastAsiaTheme="majorEastAsia" w:hAnsiTheme="majorHAnsi" w:cstheme="majorBidi"/>
                                      <w:caps/>
                                      <w:color w:val="156082" w:themeColor="accent1"/>
                                      <w:sz w:val="72"/>
                                      <w:szCs w:val="72"/>
                                    </w:rPr>
                                  </w:pPr>
                                  <w:r>
                                    <w:rPr>
                                      <w:rFonts w:ascii="Arial" w:hAnsi="Arial" w:cs="Arial"/>
                                      <w:b/>
                                    </w:rPr>
                                    <w:t>BMLW4005</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188B806"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D0A134E" w14:textId="126FAF70" w:rsidR="00F44D42" w:rsidRDefault="00F44D42">
                                <w:pPr>
                                  <w:pStyle w:val="NoSpacing"/>
                                  <w:spacing w:before="120"/>
                                  <w:jc w:val="center"/>
                                  <w:rPr>
                                    <w:color w:val="FFFFFF" w:themeColor="background1"/>
                                  </w:rPr>
                                </w:pPr>
                                <w:r>
                                  <w:rPr>
                                    <w:color w:val="FFFFFF" w:themeColor="background1"/>
                                  </w:rPr>
                                  <w:t>Ffion Jones</w:t>
                                </w:r>
                              </w:p>
                            </w:sdtContent>
                          </w:sdt>
                          <w:p w14:paraId="06939020" w14:textId="1469913C" w:rsidR="00F44D42" w:rsidRDefault="00F44D42">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464F88">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FA082D">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352770E" w14:textId="799075A5" w:rsidR="00F44D42" w:rsidRDefault="00464F88">
                                <w:pPr>
                                  <w:pStyle w:val="NoSpacing"/>
                                  <w:jc w:val="center"/>
                                  <w:rPr>
                                    <w:rFonts w:asciiTheme="majorHAnsi" w:eastAsiaTheme="majorEastAsia" w:hAnsiTheme="majorHAnsi" w:cstheme="majorBidi"/>
                                    <w:caps/>
                                    <w:color w:val="156082" w:themeColor="accent1"/>
                                    <w:sz w:val="72"/>
                                    <w:szCs w:val="72"/>
                                  </w:rPr>
                                </w:pPr>
                                <w:r w:rsidRPr="00464F88">
                                  <w:rPr>
                                    <w:rFonts w:asciiTheme="majorHAnsi" w:eastAsiaTheme="majorEastAsia" w:hAnsiTheme="majorHAnsi" w:cstheme="majorBidi"/>
                                    <w:caps/>
                                    <w:color w:val="156082" w:themeColor="accent1"/>
                                    <w:sz w:val="72"/>
                                    <w:szCs w:val="72"/>
                                  </w:rPr>
                                  <w:t>Scenario question</w:t>
                                </w:r>
                              </w:p>
                            </w:sdtContent>
                          </w:sdt>
                          <w:p w14:paraId="2A53A9D3" w14:textId="262FA3B1" w:rsidR="00464F88" w:rsidRDefault="00FA082D">
                            <w:pPr>
                              <w:pStyle w:val="NoSpacing"/>
                              <w:jc w:val="center"/>
                              <w:rPr>
                                <w:rFonts w:asciiTheme="majorHAnsi" w:eastAsiaTheme="majorEastAsia" w:hAnsiTheme="majorHAnsi" w:cstheme="majorBidi"/>
                                <w:caps/>
                                <w:color w:val="156082" w:themeColor="accent1"/>
                                <w:sz w:val="72"/>
                                <w:szCs w:val="72"/>
                              </w:rPr>
                            </w:pPr>
                            <w:r>
                              <w:rPr>
                                <w:rFonts w:ascii="Arial" w:hAnsi="Arial" w:cs="Arial"/>
                                <w:b/>
                              </w:rPr>
                              <w:t>BMLW4005</w:t>
                            </w:r>
                          </w:p>
                        </w:txbxContent>
                      </v:textbox>
                    </v:shape>
                    <w10:wrap anchorx="page" anchory="page"/>
                  </v:group>
                </w:pict>
              </mc:Fallback>
            </mc:AlternateContent>
          </w:r>
        </w:p>
        <w:p w14:paraId="2647D055" w14:textId="47C23236" w:rsidR="00F44D42" w:rsidRDefault="00F44D42">
          <w:pPr>
            <w:rPr>
              <w:rStyle w:val="normaltextrun"/>
              <w:rFonts w:ascii="Arial" w:eastAsiaTheme="majorEastAsia" w:hAnsi="Arial" w:cs="Arial"/>
              <w:kern w:val="0"/>
              <w:sz w:val="24"/>
              <w:szCs w:val="24"/>
              <w:lang w:eastAsia="en-GB"/>
              <w14:ligatures w14:val="none"/>
            </w:rPr>
          </w:pPr>
          <w:r>
            <w:rPr>
              <w:rStyle w:val="normaltextrun"/>
              <w:rFonts w:ascii="Arial" w:eastAsiaTheme="majorEastAsia" w:hAnsi="Arial" w:cs="Arial"/>
            </w:rPr>
            <w:br w:type="page"/>
          </w:r>
        </w:p>
      </w:sdtContent>
    </w:sdt>
    <w:p w14:paraId="5E505C4F" w14:textId="4CBDBEA6" w:rsidR="00BF122A" w:rsidRPr="00BF122A" w:rsidRDefault="00BF122A" w:rsidP="00BF122A">
      <w:pPr>
        <w:pStyle w:val="paragraph"/>
        <w:spacing w:before="0" w:beforeAutospacing="0" w:after="0" w:afterAutospacing="0" w:line="480" w:lineRule="auto"/>
        <w:jc w:val="both"/>
        <w:textAlignment w:val="baseline"/>
        <w:rPr>
          <w:rFonts w:ascii="Arial" w:hAnsi="Arial" w:cs="Arial"/>
        </w:rPr>
      </w:pPr>
      <w:r w:rsidRPr="00BF122A">
        <w:rPr>
          <w:rStyle w:val="normaltextrun"/>
          <w:rFonts w:ascii="Arial" w:eastAsiaTheme="majorEastAsia" w:hAnsi="Arial" w:cs="Arial"/>
        </w:rPr>
        <w:lastRenderedPageBreak/>
        <w:t>When analysing Vinnie's potential criminal liability within the context of the fictitious problem, each offense will be accurately examined as it emerges within the scenario, allowing for a comprehensive evaluation of Vinnie's actions and their alignment with the applicable legal principles and statutes to prove criminal liability.  </w:t>
      </w:r>
      <w:r w:rsidRPr="00BF122A">
        <w:rPr>
          <w:rStyle w:val="eop"/>
          <w:rFonts w:ascii="Arial" w:eastAsiaTheme="majorEastAsia" w:hAnsi="Arial" w:cs="Arial"/>
        </w:rPr>
        <w:t> </w:t>
      </w:r>
    </w:p>
    <w:p w14:paraId="4BF22C93" w14:textId="77777777" w:rsidR="00BF122A" w:rsidRPr="00BF122A" w:rsidRDefault="00BF122A" w:rsidP="00BF122A">
      <w:pPr>
        <w:pStyle w:val="paragraph"/>
        <w:spacing w:before="0" w:beforeAutospacing="0" w:after="0" w:afterAutospacing="0" w:line="480" w:lineRule="auto"/>
        <w:jc w:val="both"/>
        <w:textAlignment w:val="baseline"/>
        <w:rPr>
          <w:rFonts w:ascii="Arial" w:hAnsi="Arial" w:cs="Arial"/>
        </w:rPr>
      </w:pPr>
      <w:r w:rsidRPr="00BF122A">
        <w:rPr>
          <w:rStyle w:val="normaltextrun"/>
          <w:rFonts w:ascii="Arial" w:eastAsiaTheme="majorEastAsia" w:hAnsi="Arial" w:cs="Arial"/>
        </w:rPr>
        <w:t> </w:t>
      </w:r>
      <w:r w:rsidRPr="00BF122A">
        <w:rPr>
          <w:rStyle w:val="eop"/>
          <w:rFonts w:ascii="Arial" w:eastAsiaTheme="majorEastAsia" w:hAnsi="Arial" w:cs="Arial"/>
        </w:rPr>
        <w:t> </w:t>
      </w:r>
    </w:p>
    <w:p w14:paraId="24A4D022" w14:textId="77777777" w:rsidR="00BF122A" w:rsidRPr="00BF122A" w:rsidRDefault="00BF122A" w:rsidP="00BF122A">
      <w:pPr>
        <w:pStyle w:val="paragraph"/>
        <w:spacing w:before="0" w:beforeAutospacing="0" w:after="0" w:afterAutospacing="0" w:line="480" w:lineRule="auto"/>
        <w:jc w:val="both"/>
        <w:textAlignment w:val="baseline"/>
        <w:rPr>
          <w:rFonts w:ascii="Arial" w:hAnsi="Arial" w:cs="Arial"/>
        </w:rPr>
      </w:pPr>
      <w:r w:rsidRPr="00BF122A">
        <w:rPr>
          <w:rStyle w:val="normaltextrun"/>
          <w:rFonts w:ascii="Arial" w:eastAsiaTheme="majorEastAsia" w:hAnsi="Arial" w:cs="Arial"/>
        </w:rPr>
        <w:t xml:space="preserve">Section 9(1)(a) of the Theft Act (1968) outlines the elements of Burglary, specifying that an individual can be deemed guilty if they unlawfully enter any building or part of a building as a trespasser with the intent to commit theft, grievous bodily harm (GBH), or criminal damage. The elements that are needed to meet the actus reus of burglary are, the defendant enters a building or part of a building as a trespasser. This entry must be effective, as established in the case of ‘R v Ryan’ (1996), Vinnie’s intrusion into an elderly person's bedroom exemplifies such action. The term "building" denotes a structure with some permanence, as clarified in ‘Stevens v Gourley’ (1859). Additionally, the defendant must be considered a trespasser, as in the case of ‘Jones and Smith’ (1976), permission to enter was given for one purpose but Vinnie exceeded this permission as he entered with intention to commit theft despite permission granted for another purpose. Vinnie's intention to enter the elderly man's bedroom with the purpose of stealing money, although he ultimately could not locate it, still satisfies the actus reus of burglary. This principle is illustrated in the case of ‘Walkington’ (1979), where the intention to commit theft alone is sufficient to establish guilt, even if the theft itself wasn't carried out. Therefore, Vinnie's intention to commit theft upon entering the bedroom aligns with the criteria of burglary under Section 9(1)(a) of the Theft Act 1968. Section 9 (1)(b) of the Theft Act 1968 also states that burglary is entering any building or part of a building as a trespasser and stealing or attempting to steal anything in the building or that part of it or inflicting or attempting to inflict on any person therein any </w:t>
      </w:r>
      <w:r w:rsidRPr="00BF122A">
        <w:rPr>
          <w:rStyle w:val="normaltextrun"/>
          <w:rFonts w:ascii="Arial" w:eastAsiaTheme="majorEastAsia" w:hAnsi="Arial" w:cs="Arial"/>
        </w:rPr>
        <w:lastRenderedPageBreak/>
        <w:t xml:space="preserve">grievous bodily harm. The actus reus of theft is to “appropriate property belonging to another” this means all together there are five elements that need to be met in order to satisfy the actus reus. Section 3(1) of the theft Act 1968 states that appropriation is any assumption by a person of the rights of an owner amount to appropriation. Vinnie appropriated the watch as he had the intention of selling it which would amount to an assumption of ownership as demonstrated in the case of ‘Darroux’ (2018). The second element ‘property’ is set out in section 4(1) of the Act which states, “‘Property’ includes money and all other property, real or personal. Including things in action and other intangible property’. In the scenario question as a result of searching for the money to no avail, Vinnie opts to take the watch instead which would suffice for the purpose of property as demonstrated in the case of ‘Smith’ (2011). The concluding element of the actus reus of theft involves the requirement that the property being appropriated must be "owned by another." This principle is outlined in Section 5(1) of the legislation. Also demonstrated by ‘Smith’ (2011) the property does not have to be stolen from the legal owner, however, Vinnie did steal the watch from the legal owner. Section 1(1) of the Theft Act (1968) defines the </w:t>
      </w:r>
      <w:proofErr w:type="spellStart"/>
      <w:r w:rsidRPr="00BF122A">
        <w:rPr>
          <w:rStyle w:val="normaltextrun"/>
          <w:rFonts w:ascii="Arial" w:eastAsiaTheme="majorEastAsia" w:hAnsi="Arial" w:cs="Arial"/>
        </w:rPr>
        <w:t>mens</w:t>
      </w:r>
      <w:proofErr w:type="spellEnd"/>
      <w:r w:rsidRPr="00BF122A">
        <w:rPr>
          <w:rStyle w:val="normaltextrun"/>
          <w:rFonts w:ascii="Arial" w:eastAsiaTheme="majorEastAsia" w:hAnsi="Arial" w:cs="Arial"/>
        </w:rPr>
        <w:t xml:space="preserve"> rea for theft as having the intention to </w:t>
      </w:r>
      <w:proofErr w:type="gramStart"/>
      <w:r w:rsidRPr="00BF122A">
        <w:rPr>
          <w:rStyle w:val="normaltextrun"/>
          <w:rFonts w:ascii="Arial" w:eastAsiaTheme="majorEastAsia" w:hAnsi="Arial" w:cs="Arial"/>
        </w:rPr>
        <w:t>dishonestly and permanently deprive</w:t>
      </w:r>
      <w:proofErr w:type="gramEnd"/>
      <w:r w:rsidRPr="00BF122A">
        <w:rPr>
          <w:rStyle w:val="normaltextrun"/>
          <w:rFonts w:ascii="Arial" w:eastAsiaTheme="majorEastAsia" w:hAnsi="Arial" w:cs="Arial"/>
        </w:rPr>
        <w:t xml:space="preserve"> someone of their property. The first element comes from section 6(1) of the Theft Act, it tells us that Vinnie must have the intention to permanently deprive the elderly man of his watch which is supported by Vinall (2011). It is clear this is Vinnies intention as he states he takes it with the purpose of selling it to raise some cash. As well as permanently depriving the owner of the property this must happen dishonestly as stated in the definition. Dishonesty is a subjective test and for the jury to decide, but Vinnie is aware the watch is not his to take but continues to do so, meaning these particular circumstances would amount to dishonesty as seen in the case of Ivey v Genting Casinos UK Ltd (2017). As Vinnie fits the actus reus and </w:t>
      </w:r>
      <w:r w:rsidRPr="00BF122A">
        <w:rPr>
          <w:rStyle w:val="normaltextrun"/>
          <w:rFonts w:ascii="Arial" w:eastAsiaTheme="majorEastAsia" w:hAnsi="Arial" w:cs="Arial"/>
        </w:rPr>
        <w:lastRenderedPageBreak/>
        <w:t>men’s rea for theft and burglary, he could potentially be held accountable for these crimes. </w:t>
      </w:r>
      <w:r w:rsidRPr="00BF122A">
        <w:rPr>
          <w:rStyle w:val="eop"/>
          <w:rFonts w:ascii="Arial" w:eastAsiaTheme="majorEastAsia" w:hAnsi="Arial" w:cs="Arial"/>
        </w:rPr>
        <w:t> </w:t>
      </w:r>
    </w:p>
    <w:p w14:paraId="61D15BD3" w14:textId="77777777" w:rsidR="00BF122A" w:rsidRPr="00BF122A" w:rsidRDefault="00BF122A" w:rsidP="00BF122A">
      <w:pPr>
        <w:pStyle w:val="paragraph"/>
        <w:spacing w:before="0" w:beforeAutospacing="0" w:after="0" w:afterAutospacing="0" w:line="480" w:lineRule="auto"/>
        <w:textAlignment w:val="baseline"/>
        <w:rPr>
          <w:rFonts w:ascii="Arial" w:hAnsi="Arial" w:cs="Arial"/>
        </w:rPr>
      </w:pPr>
      <w:r w:rsidRPr="00BF122A">
        <w:rPr>
          <w:rStyle w:val="normaltextrun"/>
          <w:rFonts w:ascii="Arial" w:eastAsiaTheme="majorEastAsia" w:hAnsi="Arial" w:cs="Arial"/>
        </w:rPr>
        <w:t> </w:t>
      </w:r>
      <w:r w:rsidRPr="00BF122A">
        <w:rPr>
          <w:rStyle w:val="eop"/>
          <w:rFonts w:ascii="Arial" w:eastAsiaTheme="majorEastAsia" w:hAnsi="Arial" w:cs="Arial"/>
        </w:rPr>
        <w:t> </w:t>
      </w:r>
    </w:p>
    <w:p w14:paraId="37BCA5B0" w14:textId="77777777" w:rsidR="00BF122A" w:rsidRPr="00BF122A" w:rsidRDefault="00BF122A" w:rsidP="00BF122A">
      <w:pPr>
        <w:pStyle w:val="paragraph"/>
        <w:spacing w:before="0" w:beforeAutospacing="0" w:after="0" w:afterAutospacing="0" w:line="480" w:lineRule="auto"/>
        <w:textAlignment w:val="baseline"/>
        <w:rPr>
          <w:rFonts w:ascii="Arial" w:hAnsi="Arial" w:cs="Arial"/>
        </w:rPr>
      </w:pPr>
      <w:r w:rsidRPr="00BF122A">
        <w:rPr>
          <w:rStyle w:val="normaltextrun"/>
          <w:rFonts w:ascii="Arial" w:eastAsiaTheme="majorEastAsia" w:hAnsi="Arial" w:cs="Arial"/>
        </w:rPr>
        <w:t> </w:t>
      </w:r>
      <w:r w:rsidRPr="00BF122A">
        <w:rPr>
          <w:rStyle w:val="eop"/>
          <w:rFonts w:ascii="Arial" w:eastAsiaTheme="majorEastAsia" w:hAnsi="Arial" w:cs="Arial"/>
        </w:rPr>
        <w:t> </w:t>
      </w:r>
    </w:p>
    <w:p w14:paraId="5B2D2A53" w14:textId="77777777" w:rsidR="00BF122A" w:rsidRPr="00BF122A" w:rsidRDefault="00BF122A" w:rsidP="00BF122A">
      <w:pPr>
        <w:pStyle w:val="paragraph"/>
        <w:spacing w:before="0" w:beforeAutospacing="0" w:after="0" w:afterAutospacing="0" w:line="480" w:lineRule="auto"/>
        <w:textAlignment w:val="baseline"/>
        <w:rPr>
          <w:rFonts w:ascii="Arial" w:hAnsi="Arial" w:cs="Arial"/>
        </w:rPr>
      </w:pPr>
      <w:r w:rsidRPr="00BF122A">
        <w:rPr>
          <w:rStyle w:val="normaltextrun"/>
          <w:rFonts w:ascii="Arial" w:eastAsiaTheme="majorEastAsia" w:hAnsi="Arial" w:cs="Arial"/>
        </w:rPr>
        <w:t xml:space="preserve">The basic offense under Section 1(1) of the Criminal Damage Act 1971 involves the intentional destruction or damage of property belonging to another without lawful excuse. Property, as defined in Section 10(1), encompasses tangible items like vehicles, such as Louise's car in this scenario. Ownership is established under Section 10(2), it states if the individual has custody, control, proprietary rights, or a charge on the property it will meet the criteria for ‘belonging to another’. The case of ‘Roe v Kingerlee’ (1986) established that damage, as stipulated in the law, may be either permanent or temporary. Although Louise’s car was not destroyed and would be able to be repaired, visible damage occurred, satisfying the requirement. This impairment of the car's value due to Vinnie's actions would suffice for the offense, as demonstrated in the precedent set by ‘Roper v Knott’ (1898). Although the car remains functional, its value has been significantly diminished. The final element to meet the actus reus for basic criminal damage would be ‘without out a lawful excuse’. Section 5(2)(a) states Vinnie would have had to have believed that the person entitled to consent to the damage or destruction either had consented or would have consented, and S5(2)(b) states Vinnie believed that property belonging to himself or another was in immediate need of protection so damaged/destroyed Louise property in order to protect it, where Vinnie believed that the means of protection used were reasonable. As Vinnie can’t establish either of these excuses these is no lawful excuse to why he damaged Louise’s car meaning he meets all the actus reus criteria for Basic criminal damage under the Act. To establish whether </w:t>
      </w:r>
      <w:r w:rsidRPr="00BF122A">
        <w:rPr>
          <w:rStyle w:val="normaltextrun"/>
          <w:rFonts w:ascii="Arial" w:eastAsiaTheme="majorEastAsia" w:hAnsi="Arial" w:cs="Arial"/>
        </w:rPr>
        <w:lastRenderedPageBreak/>
        <w:t xml:space="preserve">Vinnie has the men’s rea for criminal damage, section 1(1) of the </w:t>
      </w:r>
      <w:r w:rsidRPr="00BF122A">
        <w:rPr>
          <w:rStyle w:val="normaltextrun"/>
          <w:rFonts w:ascii="Arial" w:eastAsiaTheme="majorEastAsia" w:hAnsi="Arial" w:cs="Arial"/>
          <w:i/>
          <w:iCs/>
        </w:rPr>
        <w:t>Criminal Damage Act (1971)</w:t>
      </w:r>
      <w:r w:rsidRPr="00BF122A">
        <w:rPr>
          <w:rStyle w:val="normaltextrun"/>
          <w:rFonts w:ascii="Arial" w:eastAsiaTheme="majorEastAsia" w:hAnsi="Arial" w:cs="Arial"/>
        </w:rPr>
        <w:t xml:space="preserve"> must be assessed. Section 1(1) states the men’s rea for criminal damage encompasses the intention to destroy or damage property or acting recklessly in doing so. It also involves knowing or being reckless about the fact that the property being damaged or destroyed belongs to another person. Vinnie feels begrudged after Louise’s complaint, and after hearing about the complaint Vinnie is in a state of rage and then damages Louise car, which is what suggests the damage on the car was his aim and purpose. Furthermore, Vinnie knew the car to be Louise’s as his rage and actions were a result from a compliant, she made towards him which means he was aware the property belonged to another person. As Vinnie fits the actus reus and men’s rea for basic criminal damage, he could potentially be held accountable for these crimes. </w:t>
      </w:r>
      <w:r w:rsidRPr="00BF122A">
        <w:rPr>
          <w:rStyle w:val="eop"/>
          <w:rFonts w:ascii="Arial" w:eastAsiaTheme="majorEastAsia" w:hAnsi="Arial" w:cs="Arial"/>
        </w:rPr>
        <w:t> </w:t>
      </w:r>
    </w:p>
    <w:p w14:paraId="6EBDA6BD" w14:textId="77777777" w:rsidR="00BF122A" w:rsidRPr="00BF122A" w:rsidRDefault="00BF122A" w:rsidP="00BF122A">
      <w:pPr>
        <w:pStyle w:val="paragraph"/>
        <w:spacing w:before="0" w:beforeAutospacing="0" w:after="0" w:afterAutospacing="0" w:line="480" w:lineRule="auto"/>
        <w:textAlignment w:val="baseline"/>
        <w:rPr>
          <w:rFonts w:ascii="Arial" w:hAnsi="Arial" w:cs="Arial"/>
        </w:rPr>
      </w:pPr>
      <w:r w:rsidRPr="00BF122A">
        <w:rPr>
          <w:rStyle w:val="normaltextrun"/>
          <w:rFonts w:ascii="Arial" w:eastAsiaTheme="majorEastAsia" w:hAnsi="Arial" w:cs="Arial"/>
        </w:rPr>
        <w:t> </w:t>
      </w:r>
      <w:r w:rsidRPr="00BF122A">
        <w:rPr>
          <w:rStyle w:val="eop"/>
          <w:rFonts w:ascii="Arial" w:eastAsiaTheme="majorEastAsia" w:hAnsi="Arial" w:cs="Arial"/>
        </w:rPr>
        <w:t> </w:t>
      </w:r>
    </w:p>
    <w:p w14:paraId="7CB292C6" w14:textId="77777777" w:rsidR="00BF122A" w:rsidRPr="00BF122A" w:rsidRDefault="00BF122A" w:rsidP="00BF122A">
      <w:pPr>
        <w:pStyle w:val="paragraph"/>
        <w:spacing w:before="0" w:beforeAutospacing="0" w:after="0" w:afterAutospacing="0" w:line="480" w:lineRule="auto"/>
        <w:textAlignment w:val="baseline"/>
        <w:rPr>
          <w:rFonts w:ascii="Arial" w:hAnsi="Arial" w:cs="Arial"/>
        </w:rPr>
      </w:pPr>
      <w:r w:rsidRPr="00BF122A">
        <w:rPr>
          <w:rStyle w:val="normaltextrun"/>
          <w:rFonts w:ascii="Arial" w:eastAsiaTheme="majorEastAsia" w:hAnsi="Arial" w:cs="Arial"/>
        </w:rPr>
        <w:t> </w:t>
      </w:r>
      <w:r w:rsidRPr="00BF122A">
        <w:rPr>
          <w:rStyle w:val="eop"/>
          <w:rFonts w:ascii="Arial" w:eastAsiaTheme="majorEastAsia" w:hAnsi="Arial" w:cs="Arial"/>
        </w:rPr>
        <w:t> </w:t>
      </w:r>
    </w:p>
    <w:p w14:paraId="69B5A858" w14:textId="77777777" w:rsidR="00BF122A" w:rsidRPr="00BF122A" w:rsidRDefault="00BF122A" w:rsidP="00BF122A">
      <w:pPr>
        <w:pStyle w:val="paragraph"/>
        <w:spacing w:before="0" w:beforeAutospacing="0" w:after="0" w:afterAutospacing="0" w:line="480" w:lineRule="auto"/>
        <w:textAlignment w:val="baseline"/>
        <w:rPr>
          <w:rFonts w:ascii="Arial" w:hAnsi="Arial" w:cs="Arial"/>
        </w:rPr>
      </w:pPr>
      <w:r w:rsidRPr="00BF122A">
        <w:rPr>
          <w:rStyle w:val="normaltextrun"/>
          <w:rFonts w:ascii="Arial" w:eastAsiaTheme="majorEastAsia" w:hAnsi="Arial" w:cs="Arial"/>
        </w:rPr>
        <w:t xml:space="preserve">Assault is recognised under section 39 of the criminal justice act. The definition comes from ‘Fagan v Metropolitan Police Commissioner’ (1968) that states ‘D commits an assault where he intentionally or recklessly causes V to apprehend immediate unlawful personal violence’. The actus reus of assault under Section 39 of the Criminal Justice Act (1988) encompasses any act, whether physical or verbal, that causes another person to apprehend immediate unlawful violence. This means there must be conduct on the defendant’s part as demonstrated in ‘Ireland and Burstow’ (1998). Vinnies conduct would be pointing the gun through the letterbox. Second element of the actus reus is the Defendant must apprehend immediate unlawful personal violence (a battery). Vinnie does this by threatening to shoot this is supported by ‘Constanza’ (1997). This was caused because of Vinnies conduct. </w:t>
      </w:r>
      <w:r w:rsidRPr="00BF122A">
        <w:rPr>
          <w:rStyle w:val="normaltextrun"/>
          <w:rFonts w:ascii="Arial" w:eastAsiaTheme="majorEastAsia" w:hAnsi="Arial" w:cs="Arial"/>
        </w:rPr>
        <w:lastRenderedPageBreak/>
        <w:t>Vinnie can possess the Men Rea for assault in 3 ways, in this case Vinnies had direct intention as it was his aim and purpose for the police officers to apprehended immediate unlawful personal violence, hoping they would leave. Vinnie meets both the Actus Reus and Men’s rea for assault meaning he could be potentially liable.  </w:t>
      </w:r>
      <w:r w:rsidRPr="00BF122A">
        <w:rPr>
          <w:rStyle w:val="eop"/>
          <w:rFonts w:ascii="Arial" w:eastAsiaTheme="majorEastAsia" w:hAnsi="Arial" w:cs="Arial"/>
        </w:rPr>
        <w:t> </w:t>
      </w:r>
    </w:p>
    <w:p w14:paraId="79081FE4" w14:textId="77777777" w:rsidR="00BF122A" w:rsidRPr="00BF122A" w:rsidRDefault="00BF122A" w:rsidP="00BF122A">
      <w:pPr>
        <w:pStyle w:val="paragraph"/>
        <w:spacing w:before="0" w:beforeAutospacing="0" w:after="0" w:afterAutospacing="0" w:line="480" w:lineRule="auto"/>
        <w:textAlignment w:val="baseline"/>
        <w:rPr>
          <w:rFonts w:ascii="Arial" w:hAnsi="Arial" w:cs="Arial"/>
        </w:rPr>
      </w:pPr>
      <w:r w:rsidRPr="00BF122A">
        <w:rPr>
          <w:rStyle w:val="normaltextrun"/>
          <w:rFonts w:ascii="Arial" w:eastAsiaTheme="majorEastAsia" w:hAnsi="Arial" w:cs="Arial"/>
        </w:rPr>
        <w:t> </w:t>
      </w:r>
      <w:r w:rsidRPr="00BF122A">
        <w:rPr>
          <w:rStyle w:val="eop"/>
          <w:rFonts w:ascii="Arial" w:eastAsiaTheme="majorEastAsia" w:hAnsi="Arial" w:cs="Arial"/>
        </w:rPr>
        <w:t> </w:t>
      </w:r>
    </w:p>
    <w:p w14:paraId="47BC6B8F" w14:textId="77777777" w:rsidR="00BF122A" w:rsidRPr="00BF122A" w:rsidRDefault="00BF122A" w:rsidP="00BF122A">
      <w:pPr>
        <w:pStyle w:val="paragraph"/>
        <w:spacing w:before="0" w:beforeAutospacing="0" w:after="0" w:afterAutospacing="0" w:line="480" w:lineRule="auto"/>
        <w:textAlignment w:val="baseline"/>
        <w:rPr>
          <w:rFonts w:ascii="Arial" w:hAnsi="Arial" w:cs="Arial"/>
        </w:rPr>
      </w:pPr>
      <w:r w:rsidRPr="00BF122A">
        <w:rPr>
          <w:rStyle w:val="normaltextrun"/>
          <w:rFonts w:ascii="Arial" w:eastAsiaTheme="majorEastAsia" w:hAnsi="Arial" w:cs="Arial"/>
        </w:rPr>
        <w:t>The final offence Vinnie could be liable for is Murder. ‘R v Vickers’ (1975) defines the offence of murder as unlawfully killing another person under the King’s peace and do so intending to kill or cause GBH (grievous bodily harm). The Actus Reus of Murder is unlawfully killing another person under the Kings peace. Killings in wartime by soldiers fall outside The King’s peace, exempting them from murder charges as see in the case of ‘Gibbins and Proctor’ (1918). In Vinnies case he is not acting in self-defence there for the killing is unlawful. And the final element of the actus reus is the police officer constitutes as a human being. Murder is a constructive offence meaning the men’s rea can be satisfied by an intention to cause GBH and not just an intention to kill there for Vinnie shooting the gun suffices for the purpose of direct intention. However, Vinnies intent was to cause GBH or kill the police officer however killed Mrs Quinn. Although his intention didn’t lie with Mrs Quinn Vinnie would still be liable due to transferred malice. Therefore, leaving Vinnie criminally liable for Murder. </w:t>
      </w:r>
      <w:r w:rsidRPr="00BF122A">
        <w:rPr>
          <w:rStyle w:val="eop"/>
          <w:rFonts w:ascii="Arial" w:eastAsiaTheme="majorEastAsia" w:hAnsi="Arial" w:cs="Arial"/>
        </w:rPr>
        <w:t> </w:t>
      </w:r>
    </w:p>
    <w:p w14:paraId="22771EFF" w14:textId="77777777" w:rsidR="00BF122A" w:rsidRPr="00BF122A" w:rsidRDefault="00BF122A" w:rsidP="00BF122A">
      <w:pPr>
        <w:pStyle w:val="paragraph"/>
        <w:spacing w:before="0" w:beforeAutospacing="0" w:after="0" w:afterAutospacing="0" w:line="480" w:lineRule="auto"/>
        <w:textAlignment w:val="baseline"/>
        <w:rPr>
          <w:rFonts w:ascii="Arial" w:hAnsi="Arial" w:cs="Arial"/>
        </w:rPr>
      </w:pPr>
      <w:r w:rsidRPr="00BF122A">
        <w:rPr>
          <w:rStyle w:val="normaltextrun"/>
          <w:rFonts w:ascii="Arial" w:eastAsiaTheme="majorEastAsia" w:hAnsi="Arial" w:cs="Arial"/>
        </w:rPr>
        <w:t> </w:t>
      </w:r>
      <w:r w:rsidRPr="00BF122A">
        <w:rPr>
          <w:rStyle w:val="eop"/>
          <w:rFonts w:ascii="Arial" w:eastAsiaTheme="majorEastAsia" w:hAnsi="Arial" w:cs="Arial"/>
        </w:rPr>
        <w:t> </w:t>
      </w:r>
    </w:p>
    <w:p w14:paraId="4EECF281" w14:textId="77777777" w:rsidR="00BF122A" w:rsidRPr="00BF122A" w:rsidRDefault="00BF122A" w:rsidP="00BF122A">
      <w:pPr>
        <w:pStyle w:val="paragraph"/>
        <w:spacing w:before="0" w:beforeAutospacing="0" w:after="0" w:afterAutospacing="0" w:line="480" w:lineRule="auto"/>
        <w:textAlignment w:val="baseline"/>
        <w:rPr>
          <w:rFonts w:ascii="Arial" w:hAnsi="Arial" w:cs="Arial"/>
        </w:rPr>
      </w:pPr>
      <w:r w:rsidRPr="00BF122A">
        <w:rPr>
          <w:rStyle w:val="normaltextrun"/>
          <w:rFonts w:ascii="Arial" w:eastAsiaTheme="majorEastAsia" w:hAnsi="Arial" w:cs="Arial"/>
        </w:rPr>
        <w:t> </w:t>
      </w:r>
      <w:r w:rsidRPr="00BF122A">
        <w:rPr>
          <w:rStyle w:val="eop"/>
          <w:rFonts w:ascii="Arial" w:eastAsiaTheme="majorEastAsia" w:hAnsi="Arial" w:cs="Arial"/>
        </w:rPr>
        <w:t> </w:t>
      </w:r>
    </w:p>
    <w:p w14:paraId="73201ED8" w14:textId="77777777" w:rsidR="00BF122A" w:rsidRPr="00BF122A" w:rsidRDefault="00BF122A" w:rsidP="00BF122A">
      <w:pPr>
        <w:pStyle w:val="paragraph"/>
        <w:spacing w:before="0" w:beforeAutospacing="0" w:after="0" w:afterAutospacing="0" w:line="480" w:lineRule="auto"/>
        <w:textAlignment w:val="baseline"/>
        <w:rPr>
          <w:rFonts w:ascii="Arial" w:hAnsi="Arial" w:cs="Arial"/>
        </w:rPr>
      </w:pPr>
      <w:r w:rsidRPr="00BF122A">
        <w:rPr>
          <w:rStyle w:val="normaltextrun"/>
          <w:rFonts w:ascii="Arial" w:eastAsiaTheme="majorEastAsia" w:hAnsi="Arial" w:cs="Arial"/>
        </w:rPr>
        <w:t>To conclude Vinnie could be criminally liable for Burglary section 9 of the theft act (1968), Basic Criminal Damage (1971), Assault that’s recognised in section 39 of the Criminal Justice Act (1998) and Murder with Transferred Malice.  </w:t>
      </w:r>
      <w:r w:rsidRPr="00BF122A">
        <w:rPr>
          <w:rStyle w:val="eop"/>
          <w:rFonts w:ascii="Arial" w:eastAsiaTheme="majorEastAsia" w:hAnsi="Arial" w:cs="Arial"/>
        </w:rPr>
        <w:t> </w:t>
      </w:r>
    </w:p>
    <w:p w14:paraId="0149F5B1" w14:textId="77777777" w:rsidR="00BF122A" w:rsidRDefault="00BF122A" w:rsidP="00BF122A">
      <w:pPr>
        <w:pStyle w:val="paragraph"/>
        <w:spacing w:before="0" w:beforeAutospacing="0" w:after="0" w:afterAutospacing="0" w:line="480" w:lineRule="auto"/>
        <w:textAlignment w:val="baseline"/>
        <w:rPr>
          <w:rFonts w:ascii="Arial" w:hAnsi="Arial" w:cs="Arial"/>
        </w:rPr>
      </w:pPr>
      <w:r w:rsidRPr="00BF122A">
        <w:rPr>
          <w:rStyle w:val="normaltextrun"/>
          <w:rFonts w:ascii="Arial" w:eastAsiaTheme="majorEastAsia" w:hAnsi="Arial" w:cs="Arial"/>
        </w:rPr>
        <w:t> </w:t>
      </w:r>
      <w:r w:rsidRPr="00BF122A">
        <w:rPr>
          <w:rStyle w:val="eop"/>
          <w:rFonts w:ascii="Arial" w:eastAsiaTheme="majorEastAsia" w:hAnsi="Arial" w:cs="Arial"/>
        </w:rPr>
        <w:t> </w:t>
      </w:r>
    </w:p>
    <w:p w14:paraId="2ED60BF2" w14:textId="4C700A5A" w:rsidR="00BF122A" w:rsidRPr="00BF122A" w:rsidRDefault="00BF122A" w:rsidP="00BF122A">
      <w:pPr>
        <w:pStyle w:val="paragraph"/>
        <w:spacing w:before="0" w:beforeAutospacing="0" w:after="0" w:afterAutospacing="0" w:line="480" w:lineRule="auto"/>
        <w:textAlignment w:val="baseline"/>
        <w:rPr>
          <w:rFonts w:ascii="Arial" w:hAnsi="Arial" w:cs="Arial"/>
        </w:rPr>
      </w:pPr>
      <w:r w:rsidRPr="00BF122A">
        <w:rPr>
          <w:rStyle w:val="normaltextrun"/>
          <w:rFonts w:ascii="Arial" w:eastAsiaTheme="majorEastAsia" w:hAnsi="Arial" w:cs="Arial"/>
          <w:u w:val="single"/>
        </w:rPr>
        <w:lastRenderedPageBreak/>
        <w:t>Reference List</w:t>
      </w:r>
      <w:r w:rsidRPr="00BF122A">
        <w:rPr>
          <w:rStyle w:val="normaltextrun"/>
          <w:rFonts w:ascii="Arial" w:eastAsiaTheme="majorEastAsia" w:hAnsi="Arial" w:cs="Arial"/>
        </w:rPr>
        <w:t> </w:t>
      </w:r>
      <w:r w:rsidRPr="00BF122A">
        <w:rPr>
          <w:rStyle w:val="eop"/>
          <w:rFonts w:ascii="Arial" w:eastAsiaTheme="majorEastAsia" w:hAnsi="Arial" w:cs="Arial"/>
        </w:rPr>
        <w:t> </w:t>
      </w:r>
    </w:p>
    <w:p w14:paraId="64951E1A" w14:textId="77777777" w:rsidR="00BF122A" w:rsidRPr="00307783" w:rsidRDefault="00BF122A" w:rsidP="00BF122A">
      <w:pPr>
        <w:pStyle w:val="paragraph"/>
        <w:spacing w:before="0" w:beforeAutospacing="0" w:after="0" w:afterAutospacing="0" w:line="480" w:lineRule="auto"/>
        <w:textAlignment w:val="baseline"/>
        <w:rPr>
          <w:rFonts w:ascii="Arial" w:hAnsi="Arial" w:cs="Arial"/>
          <w:sz w:val="22"/>
          <w:szCs w:val="22"/>
        </w:rPr>
      </w:pPr>
      <w:r w:rsidRPr="00307783">
        <w:rPr>
          <w:rStyle w:val="normaltextrun"/>
          <w:rFonts w:ascii="Arial" w:eastAsiaTheme="majorEastAsia" w:hAnsi="Arial" w:cs="Arial"/>
          <w:sz w:val="22"/>
          <w:szCs w:val="22"/>
        </w:rPr>
        <w:t>Criminal Damage Act 1971, c48, Available at:</w:t>
      </w:r>
      <w:r w:rsidRPr="00307783">
        <w:rPr>
          <w:rStyle w:val="normaltextrun"/>
          <w:rFonts w:ascii="Arial" w:eastAsiaTheme="majorEastAsia" w:hAnsi="Arial" w:cs="Arial"/>
          <w:color w:val="954F72"/>
          <w:sz w:val="22"/>
          <w:szCs w:val="22"/>
        </w:rPr>
        <w:t xml:space="preserve"> </w:t>
      </w:r>
      <w:hyperlink r:id="rId4" w:tgtFrame="_blank" w:history="1">
        <w:r w:rsidRPr="00307783">
          <w:rPr>
            <w:rStyle w:val="normaltextrun"/>
            <w:rFonts w:ascii="Arial" w:eastAsiaTheme="majorEastAsia" w:hAnsi="Arial" w:cs="Arial"/>
            <w:color w:val="954F72"/>
            <w:sz w:val="22"/>
            <w:szCs w:val="22"/>
            <w:u w:val="single"/>
          </w:rPr>
          <w:t>https://www.legislation.gov.uk/ukpga/1971/48/contents</w:t>
        </w:r>
      </w:hyperlink>
      <w:r w:rsidRPr="00307783">
        <w:rPr>
          <w:rStyle w:val="normaltextrun"/>
          <w:rFonts w:ascii="Arial" w:eastAsiaTheme="majorEastAsia" w:hAnsi="Arial" w:cs="Arial"/>
          <w:color w:val="000000"/>
          <w:sz w:val="22"/>
          <w:szCs w:val="22"/>
        </w:rPr>
        <w:t> (Accessed: 9 May 2024). </w:t>
      </w:r>
      <w:r w:rsidRPr="00307783">
        <w:rPr>
          <w:rStyle w:val="eop"/>
          <w:rFonts w:ascii="Arial" w:eastAsiaTheme="majorEastAsia" w:hAnsi="Arial" w:cs="Arial"/>
          <w:color w:val="000000"/>
          <w:sz w:val="22"/>
          <w:szCs w:val="22"/>
        </w:rPr>
        <w:t> </w:t>
      </w:r>
    </w:p>
    <w:p w14:paraId="47B0A775" w14:textId="77777777" w:rsidR="00BF122A" w:rsidRPr="00307783" w:rsidRDefault="00BF122A" w:rsidP="00BF122A">
      <w:pPr>
        <w:pStyle w:val="paragraph"/>
        <w:spacing w:before="0" w:beforeAutospacing="0" w:after="0" w:afterAutospacing="0" w:line="480" w:lineRule="auto"/>
        <w:textAlignment w:val="baseline"/>
        <w:rPr>
          <w:rFonts w:ascii="Arial" w:hAnsi="Arial" w:cs="Arial"/>
          <w:sz w:val="22"/>
          <w:szCs w:val="22"/>
        </w:rPr>
      </w:pPr>
      <w:r w:rsidRPr="00307783">
        <w:rPr>
          <w:rStyle w:val="normaltextrun"/>
          <w:rFonts w:ascii="Arial" w:eastAsiaTheme="majorEastAsia" w:hAnsi="Arial" w:cs="Arial"/>
          <w:sz w:val="22"/>
          <w:szCs w:val="22"/>
        </w:rPr>
        <w:t xml:space="preserve">Constanza (1997) </w:t>
      </w:r>
      <w:r w:rsidRPr="00307783">
        <w:rPr>
          <w:rStyle w:val="normaltextrun"/>
          <w:rFonts w:ascii="Arial" w:eastAsiaTheme="majorEastAsia" w:hAnsi="Arial" w:cs="Arial"/>
          <w:i/>
          <w:iCs/>
          <w:color w:val="000000"/>
          <w:sz w:val="22"/>
          <w:szCs w:val="22"/>
        </w:rPr>
        <w:t>Crim LR</w:t>
      </w:r>
      <w:r w:rsidRPr="00307783">
        <w:rPr>
          <w:rStyle w:val="normaltextrun"/>
          <w:rFonts w:ascii="Arial" w:eastAsiaTheme="majorEastAsia" w:hAnsi="Arial" w:cs="Arial"/>
          <w:color w:val="000000"/>
          <w:sz w:val="22"/>
          <w:szCs w:val="22"/>
        </w:rPr>
        <w:t>, 576. </w:t>
      </w:r>
      <w:r w:rsidRPr="00307783">
        <w:rPr>
          <w:rStyle w:val="eop"/>
          <w:rFonts w:ascii="Arial" w:eastAsiaTheme="majorEastAsia" w:hAnsi="Arial" w:cs="Arial"/>
          <w:color w:val="000000"/>
          <w:sz w:val="22"/>
          <w:szCs w:val="22"/>
        </w:rPr>
        <w:t> </w:t>
      </w:r>
    </w:p>
    <w:p w14:paraId="5F150F70" w14:textId="77777777" w:rsidR="00BF122A" w:rsidRPr="00307783" w:rsidRDefault="00BF122A" w:rsidP="00BF122A">
      <w:pPr>
        <w:pStyle w:val="paragraph"/>
        <w:spacing w:before="0" w:beforeAutospacing="0" w:after="0" w:afterAutospacing="0" w:line="480" w:lineRule="auto"/>
        <w:textAlignment w:val="baseline"/>
        <w:rPr>
          <w:rFonts w:ascii="Arial" w:hAnsi="Arial" w:cs="Arial"/>
          <w:sz w:val="22"/>
          <w:szCs w:val="22"/>
        </w:rPr>
      </w:pPr>
      <w:r w:rsidRPr="00307783">
        <w:rPr>
          <w:rStyle w:val="normaltextrun"/>
          <w:rFonts w:ascii="Arial" w:eastAsiaTheme="majorEastAsia" w:hAnsi="Arial" w:cs="Arial"/>
          <w:sz w:val="22"/>
          <w:szCs w:val="22"/>
        </w:rPr>
        <w:t xml:space="preserve">Criminal Justice Act 1998, c.33, Available at: </w:t>
      </w:r>
      <w:hyperlink r:id="rId5" w:tgtFrame="_blank" w:history="1">
        <w:r w:rsidRPr="00307783">
          <w:rPr>
            <w:rStyle w:val="normaltextrun"/>
            <w:rFonts w:ascii="Arial" w:eastAsiaTheme="majorEastAsia" w:hAnsi="Arial" w:cs="Arial"/>
            <w:color w:val="467886"/>
            <w:sz w:val="22"/>
            <w:szCs w:val="22"/>
            <w:u w:val="single"/>
          </w:rPr>
          <w:t>https://www.legislation.gov.uk/ukpga/1988/33/section/39</w:t>
        </w:r>
      </w:hyperlink>
      <w:r w:rsidRPr="00307783">
        <w:rPr>
          <w:rStyle w:val="normaltextrun"/>
          <w:rFonts w:ascii="Arial" w:eastAsiaTheme="majorEastAsia" w:hAnsi="Arial" w:cs="Arial"/>
          <w:sz w:val="22"/>
          <w:szCs w:val="22"/>
        </w:rPr>
        <w:t xml:space="preserve"> (Accessed: 9 May 2024). </w:t>
      </w:r>
      <w:r w:rsidRPr="00307783">
        <w:rPr>
          <w:rStyle w:val="eop"/>
          <w:rFonts w:ascii="Arial" w:eastAsiaTheme="majorEastAsia" w:hAnsi="Arial" w:cs="Arial"/>
          <w:sz w:val="22"/>
          <w:szCs w:val="22"/>
        </w:rPr>
        <w:t> </w:t>
      </w:r>
    </w:p>
    <w:p w14:paraId="45FE3705" w14:textId="77777777" w:rsidR="00BF122A" w:rsidRPr="00307783" w:rsidRDefault="00BF122A" w:rsidP="00BF122A">
      <w:pPr>
        <w:pStyle w:val="paragraph"/>
        <w:spacing w:before="0" w:beforeAutospacing="0" w:after="0" w:afterAutospacing="0" w:line="480" w:lineRule="auto"/>
        <w:textAlignment w:val="baseline"/>
        <w:rPr>
          <w:rFonts w:ascii="Arial" w:hAnsi="Arial" w:cs="Arial"/>
          <w:sz w:val="22"/>
          <w:szCs w:val="22"/>
        </w:rPr>
      </w:pPr>
      <w:r w:rsidRPr="00307783">
        <w:rPr>
          <w:rStyle w:val="normaltextrun"/>
          <w:rFonts w:ascii="Arial" w:eastAsiaTheme="majorEastAsia" w:hAnsi="Arial" w:cs="Arial"/>
          <w:sz w:val="22"/>
          <w:szCs w:val="22"/>
        </w:rPr>
        <w:t>Darroux (2018) EWCA Crim, 1009. </w:t>
      </w:r>
      <w:r w:rsidRPr="00307783">
        <w:rPr>
          <w:rStyle w:val="eop"/>
          <w:rFonts w:ascii="Arial" w:eastAsiaTheme="majorEastAsia" w:hAnsi="Arial" w:cs="Arial"/>
          <w:sz w:val="22"/>
          <w:szCs w:val="22"/>
        </w:rPr>
        <w:t> </w:t>
      </w:r>
    </w:p>
    <w:p w14:paraId="449193E8" w14:textId="77777777" w:rsidR="00BF122A" w:rsidRPr="00307783" w:rsidRDefault="00BF122A" w:rsidP="00BF122A">
      <w:pPr>
        <w:pStyle w:val="paragraph"/>
        <w:spacing w:before="0" w:beforeAutospacing="0" w:after="0" w:afterAutospacing="0" w:line="480" w:lineRule="auto"/>
        <w:textAlignment w:val="baseline"/>
        <w:rPr>
          <w:rFonts w:ascii="Arial" w:hAnsi="Arial" w:cs="Arial"/>
          <w:sz w:val="22"/>
          <w:szCs w:val="22"/>
        </w:rPr>
      </w:pPr>
      <w:r w:rsidRPr="00307783">
        <w:rPr>
          <w:rStyle w:val="normaltextrun"/>
          <w:rFonts w:ascii="Arial" w:eastAsiaTheme="majorEastAsia" w:hAnsi="Arial" w:cs="Arial"/>
          <w:sz w:val="22"/>
          <w:szCs w:val="22"/>
        </w:rPr>
        <w:t>Fagan v Metropolitan Police Commissioner (1968) WLR, 1120. </w:t>
      </w:r>
      <w:r w:rsidRPr="00307783">
        <w:rPr>
          <w:rStyle w:val="eop"/>
          <w:rFonts w:ascii="Arial" w:eastAsiaTheme="majorEastAsia" w:hAnsi="Arial" w:cs="Arial"/>
          <w:sz w:val="22"/>
          <w:szCs w:val="22"/>
        </w:rPr>
        <w:t> </w:t>
      </w:r>
    </w:p>
    <w:p w14:paraId="1FE40400" w14:textId="77777777" w:rsidR="00BF122A" w:rsidRPr="00307783" w:rsidRDefault="00BF122A" w:rsidP="00BF122A">
      <w:pPr>
        <w:pStyle w:val="paragraph"/>
        <w:spacing w:before="0" w:beforeAutospacing="0" w:after="0" w:afterAutospacing="0" w:line="480" w:lineRule="auto"/>
        <w:textAlignment w:val="baseline"/>
        <w:rPr>
          <w:rFonts w:ascii="Arial" w:hAnsi="Arial" w:cs="Arial"/>
          <w:sz w:val="22"/>
          <w:szCs w:val="22"/>
        </w:rPr>
      </w:pPr>
      <w:r w:rsidRPr="00307783">
        <w:rPr>
          <w:rStyle w:val="normaltextrun"/>
          <w:rFonts w:ascii="Arial" w:eastAsiaTheme="majorEastAsia" w:hAnsi="Arial" w:cs="Arial"/>
          <w:sz w:val="22"/>
          <w:szCs w:val="22"/>
        </w:rPr>
        <w:t>Ireland and Burstow (1998) AC, 147. </w:t>
      </w:r>
      <w:r w:rsidRPr="00307783">
        <w:rPr>
          <w:rStyle w:val="eop"/>
          <w:rFonts w:ascii="Arial" w:eastAsiaTheme="majorEastAsia" w:hAnsi="Arial" w:cs="Arial"/>
          <w:sz w:val="22"/>
          <w:szCs w:val="22"/>
        </w:rPr>
        <w:t> </w:t>
      </w:r>
    </w:p>
    <w:p w14:paraId="097A29E1" w14:textId="77777777" w:rsidR="00BF122A" w:rsidRPr="00307783" w:rsidRDefault="00BF122A" w:rsidP="00BF122A">
      <w:pPr>
        <w:pStyle w:val="paragraph"/>
        <w:spacing w:before="0" w:beforeAutospacing="0" w:after="0" w:afterAutospacing="0" w:line="480" w:lineRule="auto"/>
        <w:textAlignment w:val="baseline"/>
        <w:rPr>
          <w:rFonts w:ascii="Arial" w:hAnsi="Arial" w:cs="Arial"/>
          <w:sz w:val="22"/>
          <w:szCs w:val="22"/>
        </w:rPr>
      </w:pPr>
      <w:r w:rsidRPr="00307783">
        <w:rPr>
          <w:rStyle w:val="normaltextrun"/>
          <w:rFonts w:ascii="Arial" w:eastAsiaTheme="majorEastAsia" w:hAnsi="Arial" w:cs="Arial"/>
          <w:sz w:val="22"/>
          <w:szCs w:val="22"/>
        </w:rPr>
        <w:t xml:space="preserve">Ivey v Genting Casinos UK Ltd (2017) </w:t>
      </w:r>
      <w:r w:rsidRPr="00307783">
        <w:rPr>
          <w:rStyle w:val="normaltextrun"/>
          <w:rFonts w:ascii="Arial" w:eastAsiaTheme="majorEastAsia" w:hAnsi="Arial" w:cs="Arial"/>
          <w:color w:val="1E1E1E"/>
          <w:sz w:val="22"/>
          <w:szCs w:val="22"/>
        </w:rPr>
        <w:t>3 WLR, 1212, Lexis Plus UK. Available at: </w:t>
      </w:r>
      <w:hyperlink r:id="rId6" w:tgtFrame="_blank" w:history="1">
        <w:r w:rsidRPr="00307783">
          <w:rPr>
            <w:rStyle w:val="normaltextrun"/>
            <w:rFonts w:ascii="Arial" w:eastAsiaTheme="majorEastAsia" w:hAnsi="Arial" w:cs="Arial"/>
            <w:color w:val="954F72"/>
            <w:sz w:val="22"/>
            <w:szCs w:val="22"/>
            <w:u w:val="single"/>
          </w:rPr>
          <w:t>https://plus-lexis-com.ezproxy.uwtsd.ac.uk/uk/cases-uk/ivey-v-genting-casinos-uk-ltd-trading-as-croc_5/?crid=dda24bac-492c-49f0-8106-c5c5f2211b1a</w:t>
        </w:r>
      </w:hyperlink>
      <w:r w:rsidRPr="00307783">
        <w:rPr>
          <w:rStyle w:val="normaltextrun"/>
          <w:rFonts w:ascii="Arial" w:eastAsiaTheme="majorEastAsia" w:hAnsi="Arial" w:cs="Arial"/>
          <w:color w:val="1E1E1E"/>
          <w:sz w:val="22"/>
          <w:szCs w:val="22"/>
        </w:rPr>
        <w:t> (Accessed: 9 May 2024). </w:t>
      </w:r>
      <w:r w:rsidRPr="00307783">
        <w:rPr>
          <w:rStyle w:val="eop"/>
          <w:rFonts w:ascii="Arial" w:eastAsiaTheme="majorEastAsia" w:hAnsi="Arial" w:cs="Arial"/>
          <w:color w:val="1E1E1E"/>
          <w:sz w:val="22"/>
          <w:szCs w:val="22"/>
        </w:rPr>
        <w:t> </w:t>
      </w:r>
    </w:p>
    <w:p w14:paraId="2EA540DB" w14:textId="77777777" w:rsidR="00BF122A" w:rsidRPr="00307783" w:rsidRDefault="00BF122A" w:rsidP="00BF122A">
      <w:pPr>
        <w:pStyle w:val="paragraph"/>
        <w:spacing w:before="0" w:beforeAutospacing="0" w:after="0" w:afterAutospacing="0" w:line="480" w:lineRule="auto"/>
        <w:textAlignment w:val="baseline"/>
        <w:rPr>
          <w:rFonts w:ascii="Arial" w:hAnsi="Arial" w:cs="Arial"/>
          <w:sz w:val="22"/>
          <w:szCs w:val="22"/>
        </w:rPr>
      </w:pPr>
      <w:r w:rsidRPr="00307783">
        <w:rPr>
          <w:rStyle w:val="normaltextrun"/>
          <w:rFonts w:ascii="Arial" w:eastAsiaTheme="majorEastAsia" w:hAnsi="Arial" w:cs="Arial"/>
          <w:sz w:val="22"/>
          <w:szCs w:val="22"/>
        </w:rPr>
        <w:t>Jones and Smith (1976) 1 WLR, 672. </w:t>
      </w:r>
      <w:r w:rsidRPr="00307783">
        <w:rPr>
          <w:rStyle w:val="eop"/>
          <w:rFonts w:ascii="Arial" w:eastAsiaTheme="majorEastAsia" w:hAnsi="Arial" w:cs="Arial"/>
          <w:sz w:val="22"/>
          <w:szCs w:val="22"/>
        </w:rPr>
        <w:t> </w:t>
      </w:r>
    </w:p>
    <w:p w14:paraId="14B5DA2B" w14:textId="77777777" w:rsidR="00BF122A" w:rsidRPr="00307783" w:rsidRDefault="00BF122A" w:rsidP="00BF122A">
      <w:pPr>
        <w:pStyle w:val="paragraph"/>
        <w:spacing w:before="0" w:beforeAutospacing="0" w:after="0" w:afterAutospacing="0" w:line="480" w:lineRule="auto"/>
        <w:textAlignment w:val="baseline"/>
        <w:rPr>
          <w:rFonts w:ascii="Arial" w:hAnsi="Arial" w:cs="Arial"/>
          <w:sz w:val="22"/>
          <w:szCs w:val="22"/>
        </w:rPr>
      </w:pPr>
      <w:r w:rsidRPr="00307783">
        <w:rPr>
          <w:rStyle w:val="normaltextrun"/>
          <w:rFonts w:ascii="Arial" w:eastAsiaTheme="majorEastAsia" w:hAnsi="Arial" w:cs="Arial"/>
          <w:sz w:val="22"/>
          <w:szCs w:val="22"/>
        </w:rPr>
        <w:t>Roe v Kingerlee (1986) Crim LR, 735. </w:t>
      </w:r>
      <w:r w:rsidRPr="00307783">
        <w:rPr>
          <w:rStyle w:val="eop"/>
          <w:rFonts w:ascii="Arial" w:eastAsiaTheme="majorEastAsia" w:hAnsi="Arial" w:cs="Arial"/>
          <w:sz w:val="22"/>
          <w:szCs w:val="22"/>
        </w:rPr>
        <w:t> </w:t>
      </w:r>
    </w:p>
    <w:p w14:paraId="1F7F5779" w14:textId="77777777" w:rsidR="00BF122A" w:rsidRPr="00307783" w:rsidRDefault="00BF122A" w:rsidP="00BF122A">
      <w:pPr>
        <w:pStyle w:val="paragraph"/>
        <w:spacing w:before="0" w:beforeAutospacing="0" w:after="0" w:afterAutospacing="0" w:line="480" w:lineRule="auto"/>
        <w:textAlignment w:val="baseline"/>
        <w:rPr>
          <w:rFonts w:ascii="Arial" w:hAnsi="Arial" w:cs="Arial"/>
          <w:sz w:val="22"/>
          <w:szCs w:val="22"/>
        </w:rPr>
      </w:pPr>
      <w:r w:rsidRPr="00307783">
        <w:rPr>
          <w:rStyle w:val="normaltextrun"/>
          <w:rFonts w:ascii="Arial" w:eastAsiaTheme="majorEastAsia" w:hAnsi="Arial" w:cs="Arial"/>
          <w:sz w:val="22"/>
          <w:szCs w:val="22"/>
        </w:rPr>
        <w:t>Roper v Knott (1898) 1 QB, 868. </w:t>
      </w:r>
      <w:r w:rsidRPr="00307783">
        <w:rPr>
          <w:rStyle w:val="eop"/>
          <w:rFonts w:ascii="Arial" w:eastAsiaTheme="majorEastAsia" w:hAnsi="Arial" w:cs="Arial"/>
          <w:sz w:val="22"/>
          <w:szCs w:val="22"/>
        </w:rPr>
        <w:t> </w:t>
      </w:r>
    </w:p>
    <w:p w14:paraId="734B8B1B" w14:textId="77777777" w:rsidR="00BF122A" w:rsidRPr="00307783" w:rsidRDefault="00BF122A" w:rsidP="00BF122A">
      <w:pPr>
        <w:pStyle w:val="paragraph"/>
        <w:spacing w:before="0" w:beforeAutospacing="0" w:after="0" w:afterAutospacing="0" w:line="480" w:lineRule="auto"/>
        <w:textAlignment w:val="baseline"/>
        <w:rPr>
          <w:rFonts w:ascii="Arial" w:hAnsi="Arial" w:cs="Arial"/>
          <w:sz w:val="22"/>
          <w:szCs w:val="22"/>
        </w:rPr>
      </w:pPr>
      <w:r w:rsidRPr="00307783">
        <w:rPr>
          <w:rStyle w:val="normaltextrun"/>
          <w:rFonts w:ascii="Arial" w:eastAsiaTheme="majorEastAsia" w:hAnsi="Arial" w:cs="Arial"/>
          <w:sz w:val="22"/>
          <w:szCs w:val="22"/>
        </w:rPr>
        <w:t>R v Ryan (1996) Crim LR, 191. </w:t>
      </w:r>
      <w:r w:rsidRPr="00307783">
        <w:rPr>
          <w:rStyle w:val="eop"/>
          <w:rFonts w:ascii="Arial" w:eastAsiaTheme="majorEastAsia" w:hAnsi="Arial" w:cs="Arial"/>
          <w:sz w:val="22"/>
          <w:szCs w:val="22"/>
        </w:rPr>
        <w:t> </w:t>
      </w:r>
    </w:p>
    <w:p w14:paraId="342475F5" w14:textId="77777777" w:rsidR="00BF122A" w:rsidRPr="00307783" w:rsidRDefault="00BF122A" w:rsidP="00BF122A">
      <w:pPr>
        <w:pStyle w:val="paragraph"/>
        <w:spacing w:before="0" w:beforeAutospacing="0" w:after="0" w:afterAutospacing="0" w:line="480" w:lineRule="auto"/>
        <w:textAlignment w:val="baseline"/>
        <w:rPr>
          <w:rFonts w:ascii="Arial" w:hAnsi="Arial" w:cs="Arial"/>
          <w:sz w:val="22"/>
          <w:szCs w:val="22"/>
        </w:rPr>
      </w:pPr>
      <w:r w:rsidRPr="00307783">
        <w:rPr>
          <w:rStyle w:val="normaltextrun"/>
          <w:rFonts w:ascii="Arial" w:eastAsiaTheme="majorEastAsia" w:hAnsi="Arial" w:cs="Arial"/>
          <w:sz w:val="22"/>
          <w:szCs w:val="22"/>
        </w:rPr>
        <w:t>R v Vickers (1975) ER, 945. </w:t>
      </w:r>
      <w:r w:rsidRPr="00307783">
        <w:rPr>
          <w:rStyle w:val="eop"/>
          <w:rFonts w:ascii="Arial" w:eastAsiaTheme="majorEastAsia" w:hAnsi="Arial" w:cs="Arial"/>
          <w:sz w:val="22"/>
          <w:szCs w:val="22"/>
        </w:rPr>
        <w:t> </w:t>
      </w:r>
    </w:p>
    <w:p w14:paraId="75CE0840" w14:textId="77777777" w:rsidR="00BF122A" w:rsidRPr="00307783" w:rsidRDefault="00BF122A" w:rsidP="00BF122A">
      <w:pPr>
        <w:pStyle w:val="paragraph"/>
        <w:spacing w:before="0" w:beforeAutospacing="0" w:after="0" w:afterAutospacing="0" w:line="480" w:lineRule="auto"/>
        <w:textAlignment w:val="baseline"/>
        <w:rPr>
          <w:rFonts w:ascii="Arial" w:hAnsi="Arial" w:cs="Arial"/>
          <w:sz w:val="22"/>
          <w:szCs w:val="22"/>
        </w:rPr>
      </w:pPr>
      <w:r w:rsidRPr="00307783">
        <w:rPr>
          <w:rStyle w:val="normaltextrun"/>
          <w:rFonts w:ascii="Arial" w:eastAsiaTheme="majorEastAsia" w:hAnsi="Arial" w:cs="Arial"/>
          <w:sz w:val="22"/>
          <w:szCs w:val="22"/>
        </w:rPr>
        <w:t>Smith (2011) 1 CR App R, 30. </w:t>
      </w:r>
      <w:r w:rsidRPr="00307783">
        <w:rPr>
          <w:rStyle w:val="eop"/>
          <w:rFonts w:ascii="Arial" w:eastAsiaTheme="majorEastAsia" w:hAnsi="Arial" w:cs="Arial"/>
          <w:sz w:val="22"/>
          <w:szCs w:val="22"/>
        </w:rPr>
        <w:t> </w:t>
      </w:r>
    </w:p>
    <w:p w14:paraId="7C1F6DB1" w14:textId="77777777" w:rsidR="00BF122A" w:rsidRPr="00307783" w:rsidRDefault="00BF122A" w:rsidP="00BF122A">
      <w:pPr>
        <w:pStyle w:val="paragraph"/>
        <w:spacing w:before="0" w:beforeAutospacing="0" w:after="0" w:afterAutospacing="0" w:line="480" w:lineRule="auto"/>
        <w:textAlignment w:val="baseline"/>
        <w:rPr>
          <w:rFonts w:ascii="Arial" w:hAnsi="Arial" w:cs="Arial"/>
          <w:sz w:val="22"/>
          <w:szCs w:val="22"/>
        </w:rPr>
      </w:pPr>
      <w:r w:rsidRPr="00307783">
        <w:rPr>
          <w:rStyle w:val="normaltextrun"/>
          <w:rFonts w:ascii="Arial" w:eastAsiaTheme="majorEastAsia" w:hAnsi="Arial" w:cs="Arial"/>
          <w:sz w:val="22"/>
          <w:szCs w:val="22"/>
        </w:rPr>
        <w:t>Stevens v Gourley (1859) 141 ER, 742. </w:t>
      </w:r>
      <w:r w:rsidRPr="00307783">
        <w:rPr>
          <w:rStyle w:val="eop"/>
          <w:rFonts w:ascii="Arial" w:eastAsiaTheme="majorEastAsia" w:hAnsi="Arial" w:cs="Arial"/>
          <w:sz w:val="22"/>
          <w:szCs w:val="22"/>
        </w:rPr>
        <w:t> </w:t>
      </w:r>
    </w:p>
    <w:p w14:paraId="5CC0159C" w14:textId="77777777" w:rsidR="00BF122A" w:rsidRPr="00307783" w:rsidRDefault="00BF122A" w:rsidP="00BF122A">
      <w:pPr>
        <w:pStyle w:val="paragraph"/>
        <w:spacing w:before="0" w:beforeAutospacing="0" w:after="0" w:afterAutospacing="0" w:line="480" w:lineRule="auto"/>
        <w:textAlignment w:val="baseline"/>
        <w:rPr>
          <w:rFonts w:ascii="Arial" w:hAnsi="Arial" w:cs="Arial"/>
          <w:sz w:val="22"/>
          <w:szCs w:val="22"/>
        </w:rPr>
      </w:pPr>
      <w:r w:rsidRPr="00307783">
        <w:rPr>
          <w:rStyle w:val="normaltextrun"/>
          <w:rFonts w:ascii="Arial" w:eastAsiaTheme="majorEastAsia" w:hAnsi="Arial" w:cs="Arial"/>
          <w:sz w:val="22"/>
          <w:szCs w:val="22"/>
        </w:rPr>
        <w:t xml:space="preserve">Theft Act 1968, c.60, </w:t>
      </w:r>
      <w:r w:rsidRPr="00307783">
        <w:rPr>
          <w:rStyle w:val="normaltextrun"/>
          <w:rFonts w:ascii="Arial" w:eastAsiaTheme="majorEastAsia" w:hAnsi="Arial" w:cs="Arial"/>
          <w:color w:val="000000"/>
          <w:sz w:val="22"/>
          <w:szCs w:val="22"/>
        </w:rPr>
        <w:t>Available at: </w:t>
      </w:r>
      <w:hyperlink r:id="rId7" w:tgtFrame="_blank" w:history="1">
        <w:r w:rsidRPr="00307783">
          <w:rPr>
            <w:rStyle w:val="normaltextrun"/>
            <w:rFonts w:ascii="Arial" w:eastAsiaTheme="majorEastAsia" w:hAnsi="Arial" w:cs="Arial"/>
            <w:color w:val="954F72"/>
            <w:sz w:val="22"/>
            <w:szCs w:val="22"/>
            <w:u w:val="single"/>
          </w:rPr>
          <w:t>https://www.legislation.gov.uk/ukpga/1968/60/contents</w:t>
        </w:r>
      </w:hyperlink>
      <w:r w:rsidRPr="00307783">
        <w:rPr>
          <w:rStyle w:val="normaltextrun"/>
          <w:rFonts w:ascii="Arial" w:eastAsiaTheme="majorEastAsia" w:hAnsi="Arial" w:cs="Arial"/>
          <w:color w:val="000000"/>
          <w:sz w:val="22"/>
          <w:szCs w:val="22"/>
        </w:rPr>
        <w:t> (Accessed:9 May 2024). </w:t>
      </w:r>
      <w:r w:rsidRPr="00307783">
        <w:rPr>
          <w:rStyle w:val="eop"/>
          <w:rFonts w:ascii="Arial" w:eastAsiaTheme="majorEastAsia" w:hAnsi="Arial" w:cs="Arial"/>
          <w:color w:val="000000"/>
          <w:sz w:val="22"/>
          <w:szCs w:val="22"/>
        </w:rPr>
        <w:t> </w:t>
      </w:r>
    </w:p>
    <w:p w14:paraId="5009FAAE" w14:textId="77777777" w:rsidR="00BF122A" w:rsidRPr="00307783" w:rsidRDefault="00BF122A" w:rsidP="00BF122A">
      <w:pPr>
        <w:pStyle w:val="paragraph"/>
        <w:spacing w:before="0" w:beforeAutospacing="0" w:after="0" w:afterAutospacing="0" w:line="480" w:lineRule="auto"/>
        <w:textAlignment w:val="baseline"/>
        <w:rPr>
          <w:rFonts w:ascii="Arial" w:hAnsi="Arial" w:cs="Arial"/>
          <w:sz w:val="22"/>
          <w:szCs w:val="22"/>
        </w:rPr>
      </w:pPr>
      <w:r w:rsidRPr="00307783">
        <w:rPr>
          <w:rStyle w:val="normaltextrun"/>
          <w:rFonts w:ascii="Arial" w:eastAsiaTheme="majorEastAsia" w:hAnsi="Arial" w:cs="Arial"/>
          <w:sz w:val="22"/>
          <w:szCs w:val="22"/>
        </w:rPr>
        <w:t>Vinall (2011) EWCA</w:t>
      </w:r>
      <w:r w:rsidRPr="00307783">
        <w:rPr>
          <w:rStyle w:val="normaltextrun"/>
          <w:rFonts w:ascii="Arial" w:eastAsiaTheme="majorEastAsia" w:hAnsi="Arial" w:cs="Arial"/>
          <w:i/>
          <w:iCs/>
          <w:color w:val="000000"/>
          <w:sz w:val="22"/>
          <w:szCs w:val="22"/>
        </w:rPr>
        <w:t xml:space="preserve"> Crim</w:t>
      </w:r>
      <w:r w:rsidRPr="00307783">
        <w:rPr>
          <w:rStyle w:val="normaltextrun"/>
          <w:rFonts w:ascii="Arial" w:eastAsiaTheme="majorEastAsia" w:hAnsi="Arial" w:cs="Arial"/>
          <w:color w:val="000000"/>
          <w:sz w:val="22"/>
          <w:szCs w:val="22"/>
        </w:rPr>
        <w:t>, 2652, Lexis Plus UK. Available at: </w:t>
      </w:r>
      <w:hyperlink r:id="rId8" w:tgtFrame="_blank" w:history="1">
        <w:r w:rsidRPr="00307783">
          <w:rPr>
            <w:rStyle w:val="normaltextrun"/>
            <w:rFonts w:ascii="Arial" w:eastAsiaTheme="majorEastAsia" w:hAnsi="Arial" w:cs="Arial"/>
            <w:color w:val="954F72"/>
            <w:sz w:val="22"/>
            <w:szCs w:val="22"/>
            <w:u w:val="single"/>
          </w:rPr>
          <w:t>https://plus-lexis-com.ezproxy.uwtsd.ac.uk/uk/cases-uk/r-v-vinall/?crid=94ecf85c-276e-4437-a1ec-72acd2b6107b</w:t>
        </w:r>
      </w:hyperlink>
      <w:r w:rsidRPr="00307783">
        <w:rPr>
          <w:rStyle w:val="normaltextrun"/>
          <w:rFonts w:ascii="Arial" w:eastAsiaTheme="majorEastAsia" w:hAnsi="Arial" w:cs="Arial"/>
          <w:color w:val="000000"/>
          <w:sz w:val="22"/>
          <w:szCs w:val="22"/>
        </w:rPr>
        <w:t> (Accessed: 9 May 2024). </w:t>
      </w:r>
      <w:r w:rsidRPr="00307783">
        <w:rPr>
          <w:rStyle w:val="eop"/>
          <w:rFonts w:ascii="Arial" w:eastAsiaTheme="majorEastAsia" w:hAnsi="Arial" w:cs="Arial"/>
          <w:color w:val="000000"/>
          <w:sz w:val="22"/>
          <w:szCs w:val="22"/>
        </w:rPr>
        <w:t> </w:t>
      </w:r>
    </w:p>
    <w:p w14:paraId="29E2CC77" w14:textId="77777777" w:rsidR="00BF122A" w:rsidRPr="00307783" w:rsidRDefault="00BF122A" w:rsidP="00BF122A">
      <w:pPr>
        <w:pStyle w:val="paragraph"/>
        <w:spacing w:before="0" w:beforeAutospacing="0" w:after="0" w:afterAutospacing="0" w:line="480" w:lineRule="auto"/>
        <w:textAlignment w:val="baseline"/>
        <w:rPr>
          <w:rFonts w:ascii="Arial" w:hAnsi="Arial" w:cs="Arial"/>
          <w:sz w:val="22"/>
          <w:szCs w:val="22"/>
        </w:rPr>
      </w:pPr>
      <w:r w:rsidRPr="00307783">
        <w:rPr>
          <w:rStyle w:val="normaltextrun"/>
          <w:rFonts w:ascii="Arial" w:eastAsiaTheme="majorEastAsia" w:hAnsi="Arial" w:cs="Arial"/>
          <w:sz w:val="22"/>
          <w:szCs w:val="22"/>
        </w:rPr>
        <w:t>Walkington (1979) Crim LR, 526. </w:t>
      </w:r>
      <w:r w:rsidRPr="00307783">
        <w:rPr>
          <w:rStyle w:val="eop"/>
          <w:rFonts w:ascii="Arial" w:eastAsiaTheme="majorEastAsia" w:hAnsi="Arial" w:cs="Arial"/>
          <w:sz w:val="22"/>
          <w:szCs w:val="22"/>
        </w:rPr>
        <w:t> </w:t>
      </w:r>
    </w:p>
    <w:p w14:paraId="7CCAB03E" w14:textId="77777777" w:rsidR="00BF122A" w:rsidRDefault="00BF122A" w:rsidP="00BF122A">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2A4CCC46" w14:textId="77777777" w:rsidR="00E80459" w:rsidRDefault="00E80459"/>
    <w:sectPr w:rsidR="00E80459" w:rsidSect="00F44D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9D6"/>
    <w:rsid w:val="00307783"/>
    <w:rsid w:val="00464F88"/>
    <w:rsid w:val="00BF122A"/>
    <w:rsid w:val="00C179D6"/>
    <w:rsid w:val="00E80459"/>
    <w:rsid w:val="00F44D42"/>
    <w:rsid w:val="00FA0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17939"/>
  <w15:chartTrackingRefBased/>
  <w15:docId w15:val="{EA762AB2-CC8F-42A9-A080-B00033ABC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79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79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79D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79D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79D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79D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79D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79D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79D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9D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79D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79D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79D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79D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79D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79D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79D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79D6"/>
    <w:rPr>
      <w:rFonts w:eastAsiaTheme="majorEastAsia" w:cstheme="majorBidi"/>
      <w:color w:val="272727" w:themeColor="text1" w:themeTint="D8"/>
    </w:rPr>
  </w:style>
  <w:style w:type="paragraph" w:styleId="Title">
    <w:name w:val="Title"/>
    <w:basedOn w:val="Normal"/>
    <w:next w:val="Normal"/>
    <w:link w:val="TitleChar"/>
    <w:uiPriority w:val="10"/>
    <w:qFormat/>
    <w:rsid w:val="00C179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79D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79D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79D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79D6"/>
    <w:pPr>
      <w:spacing w:before="160"/>
      <w:jc w:val="center"/>
    </w:pPr>
    <w:rPr>
      <w:i/>
      <w:iCs/>
      <w:color w:val="404040" w:themeColor="text1" w:themeTint="BF"/>
    </w:rPr>
  </w:style>
  <w:style w:type="character" w:customStyle="1" w:styleId="QuoteChar">
    <w:name w:val="Quote Char"/>
    <w:basedOn w:val="DefaultParagraphFont"/>
    <w:link w:val="Quote"/>
    <w:uiPriority w:val="29"/>
    <w:rsid w:val="00C179D6"/>
    <w:rPr>
      <w:i/>
      <w:iCs/>
      <w:color w:val="404040" w:themeColor="text1" w:themeTint="BF"/>
    </w:rPr>
  </w:style>
  <w:style w:type="paragraph" w:styleId="ListParagraph">
    <w:name w:val="List Paragraph"/>
    <w:basedOn w:val="Normal"/>
    <w:uiPriority w:val="34"/>
    <w:qFormat/>
    <w:rsid w:val="00C179D6"/>
    <w:pPr>
      <w:ind w:left="720"/>
      <w:contextualSpacing/>
    </w:pPr>
  </w:style>
  <w:style w:type="character" w:styleId="IntenseEmphasis">
    <w:name w:val="Intense Emphasis"/>
    <w:basedOn w:val="DefaultParagraphFont"/>
    <w:uiPriority w:val="21"/>
    <w:qFormat/>
    <w:rsid w:val="00C179D6"/>
    <w:rPr>
      <w:i/>
      <w:iCs/>
      <w:color w:val="0F4761" w:themeColor="accent1" w:themeShade="BF"/>
    </w:rPr>
  </w:style>
  <w:style w:type="paragraph" w:styleId="IntenseQuote">
    <w:name w:val="Intense Quote"/>
    <w:basedOn w:val="Normal"/>
    <w:next w:val="Normal"/>
    <w:link w:val="IntenseQuoteChar"/>
    <w:uiPriority w:val="30"/>
    <w:qFormat/>
    <w:rsid w:val="00C179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79D6"/>
    <w:rPr>
      <w:i/>
      <w:iCs/>
      <w:color w:val="0F4761" w:themeColor="accent1" w:themeShade="BF"/>
    </w:rPr>
  </w:style>
  <w:style w:type="character" w:styleId="IntenseReference">
    <w:name w:val="Intense Reference"/>
    <w:basedOn w:val="DefaultParagraphFont"/>
    <w:uiPriority w:val="32"/>
    <w:qFormat/>
    <w:rsid w:val="00C179D6"/>
    <w:rPr>
      <w:b/>
      <w:bCs/>
      <w:smallCaps/>
      <w:color w:val="0F4761" w:themeColor="accent1" w:themeShade="BF"/>
      <w:spacing w:val="5"/>
    </w:rPr>
  </w:style>
  <w:style w:type="paragraph" w:customStyle="1" w:styleId="paragraph">
    <w:name w:val="paragraph"/>
    <w:basedOn w:val="Normal"/>
    <w:rsid w:val="00BF122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BF122A"/>
  </w:style>
  <w:style w:type="character" w:customStyle="1" w:styleId="eop">
    <w:name w:val="eop"/>
    <w:basedOn w:val="DefaultParagraphFont"/>
    <w:rsid w:val="00BF122A"/>
  </w:style>
  <w:style w:type="paragraph" w:styleId="NoSpacing">
    <w:name w:val="No Spacing"/>
    <w:link w:val="NoSpacingChar"/>
    <w:uiPriority w:val="1"/>
    <w:qFormat/>
    <w:rsid w:val="00F44D42"/>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44D42"/>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8206031">
      <w:bodyDiv w:val="1"/>
      <w:marLeft w:val="0"/>
      <w:marRight w:val="0"/>
      <w:marTop w:val="0"/>
      <w:marBottom w:val="0"/>
      <w:divBdr>
        <w:top w:val="none" w:sz="0" w:space="0" w:color="auto"/>
        <w:left w:val="none" w:sz="0" w:space="0" w:color="auto"/>
        <w:bottom w:val="none" w:sz="0" w:space="0" w:color="auto"/>
        <w:right w:val="none" w:sz="0" w:space="0" w:color="auto"/>
      </w:divBdr>
      <w:divsChild>
        <w:div w:id="883563325">
          <w:marLeft w:val="0"/>
          <w:marRight w:val="0"/>
          <w:marTop w:val="0"/>
          <w:marBottom w:val="0"/>
          <w:divBdr>
            <w:top w:val="none" w:sz="0" w:space="0" w:color="auto"/>
            <w:left w:val="none" w:sz="0" w:space="0" w:color="auto"/>
            <w:bottom w:val="none" w:sz="0" w:space="0" w:color="auto"/>
            <w:right w:val="none" w:sz="0" w:space="0" w:color="auto"/>
          </w:divBdr>
        </w:div>
        <w:div w:id="2089184035">
          <w:marLeft w:val="0"/>
          <w:marRight w:val="0"/>
          <w:marTop w:val="0"/>
          <w:marBottom w:val="0"/>
          <w:divBdr>
            <w:top w:val="none" w:sz="0" w:space="0" w:color="auto"/>
            <w:left w:val="none" w:sz="0" w:space="0" w:color="auto"/>
            <w:bottom w:val="none" w:sz="0" w:space="0" w:color="auto"/>
            <w:right w:val="none" w:sz="0" w:space="0" w:color="auto"/>
          </w:divBdr>
        </w:div>
        <w:div w:id="1056470897">
          <w:marLeft w:val="0"/>
          <w:marRight w:val="0"/>
          <w:marTop w:val="0"/>
          <w:marBottom w:val="0"/>
          <w:divBdr>
            <w:top w:val="none" w:sz="0" w:space="0" w:color="auto"/>
            <w:left w:val="none" w:sz="0" w:space="0" w:color="auto"/>
            <w:bottom w:val="none" w:sz="0" w:space="0" w:color="auto"/>
            <w:right w:val="none" w:sz="0" w:space="0" w:color="auto"/>
          </w:divBdr>
        </w:div>
        <w:div w:id="1635285992">
          <w:marLeft w:val="0"/>
          <w:marRight w:val="0"/>
          <w:marTop w:val="0"/>
          <w:marBottom w:val="0"/>
          <w:divBdr>
            <w:top w:val="none" w:sz="0" w:space="0" w:color="auto"/>
            <w:left w:val="none" w:sz="0" w:space="0" w:color="auto"/>
            <w:bottom w:val="none" w:sz="0" w:space="0" w:color="auto"/>
            <w:right w:val="none" w:sz="0" w:space="0" w:color="auto"/>
          </w:divBdr>
        </w:div>
        <w:div w:id="722481799">
          <w:marLeft w:val="0"/>
          <w:marRight w:val="0"/>
          <w:marTop w:val="0"/>
          <w:marBottom w:val="0"/>
          <w:divBdr>
            <w:top w:val="none" w:sz="0" w:space="0" w:color="auto"/>
            <w:left w:val="none" w:sz="0" w:space="0" w:color="auto"/>
            <w:bottom w:val="none" w:sz="0" w:space="0" w:color="auto"/>
            <w:right w:val="none" w:sz="0" w:space="0" w:color="auto"/>
          </w:divBdr>
        </w:div>
        <w:div w:id="1957985853">
          <w:marLeft w:val="0"/>
          <w:marRight w:val="0"/>
          <w:marTop w:val="0"/>
          <w:marBottom w:val="0"/>
          <w:divBdr>
            <w:top w:val="none" w:sz="0" w:space="0" w:color="auto"/>
            <w:left w:val="none" w:sz="0" w:space="0" w:color="auto"/>
            <w:bottom w:val="none" w:sz="0" w:space="0" w:color="auto"/>
            <w:right w:val="none" w:sz="0" w:space="0" w:color="auto"/>
          </w:divBdr>
        </w:div>
        <w:div w:id="473525831">
          <w:marLeft w:val="0"/>
          <w:marRight w:val="0"/>
          <w:marTop w:val="0"/>
          <w:marBottom w:val="0"/>
          <w:divBdr>
            <w:top w:val="none" w:sz="0" w:space="0" w:color="auto"/>
            <w:left w:val="none" w:sz="0" w:space="0" w:color="auto"/>
            <w:bottom w:val="none" w:sz="0" w:space="0" w:color="auto"/>
            <w:right w:val="none" w:sz="0" w:space="0" w:color="auto"/>
          </w:divBdr>
        </w:div>
        <w:div w:id="1042053074">
          <w:marLeft w:val="0"/>
          <w:marRight w:val="0"/>
          <w:marTop w:val="0"/>
          <w:marBottom w:val="0"/>
          <w:divBdr>
            <w:top w:val="none" w:sz="0" w:space="0" w:color="auto"/>
            <w:left w:val="none" w:sz="0" w:space="0" w:color="auto"/>
            <w:bottom w:val="none" w:sz="0" w:space="0" w:color="auto"/>
            <w:right w:val="none" w:sz="0" w:space="0" w:color="auto"/>
          </w:divBdr>
        </w:div>
        <w:div w:id="1816487024">
          <w:marLeft w:val="0"/>
          <w:marRight w:val="0"/>
          <w:marTop w:val="0"/>
          <w:marBottom w:val="0"/>
          <w:divBdr>
            <w:top w:val="none" w:sz="0" w:space="0" w:color="auto"/>
            <w:left w:val="none" w:sz="0" w:space="0" w:color="auto"/>
            <w:bottom w:val="none" w:sz="0" w:space="0" w:color="auto"/>
            <w:right w:val="none" w:sz="0" w:space="0" w:color="auto"/>
          </w:divBdr>
        </w:div>
        <w:div w:id="1075665840">
          <w:marLeft w:val="0"/>
          <w:marRight w:val="0"/>
          <w:marTop w:val="0"/>
          <w:marBottom w:val="0"/>
          <w:divBdr>
            <w:top w:val="none" w:sz="0" w:space="0" w:color="auto"/>
            <w:left w:val="none" w:sz="0" w:space="0" w:color="auto"/>
            <w:bottom w:val="none" w:sz="0" w:space="0" w:color="auto"/>
            <w:right w:val="none" w:sz="0" w:space="0" w:color="auto"/>
          </w:divBdr>
        </w:div>
        <w:div w:id="344329838">
          <w:marLeft w:val="0"/>
          <w:marRight w:val="0"/>
          <w:marTop w:val="0"/>
          <w:marBottom w:val="0"/>
          <w:divBdr>
            <w:top w:val="none" w:sz="0" w:space="0" w:color="auto"/>
            <w:left w:val="none" w:sz="0" w:space="0" w:color="auto"/>
            <w:bottom w:val="none" w:sz="0" w:space="0" w:color="auto"/>
            <w:right w:val="none" w:sz="0" w:space="0" w:color="auto"/>
          </w:divBdr>
        </w:div>
        <w:div w:id="209652135">
          <w:marLeft w:val="0"/>
          <w:marRight w:val="0"/>
          <w:marTop w:val="0"/>
          <w:marBottom w:val="0"/>
          <w:divBdr>
            <w:top w:val="none" w:sz="0" w:space="0" w:color="auto"/>
            <w:left w:val="none" w:sz="0" w:space="0" w:color="auto"/>
            <w:bottom w:val="none" w:sz="0" w:space="0" w:color="auto"/>
            <w:right w:val="none" w:sz="0" w:space="0" w:color="auto"/>
          </w:divBdr>
        </w:div>
        <w:div w:id="1612008110">
          <w:marLeft w:val="0"/>
          <w:marRight w:val="0"/>
          <w:marTop w:val="0"/>
          <w:marBottom w:val="0"/>
          <w:divBdr>
            <w:top w:val="none" w:sz="0" w:space="0" w:color="auto"/>
            <w:left w:val="none" w:sz="0" w:space="0" w:color="auto"/>
            <w:bottom w:val="none" w:sz="0" w:space="0" w:color="auto"/>
            <w:right w:val="none" w:sz="0" w:space="0" w:color="auto"/>
          </w:divBdr>
        </w:div>
        <w:div w:id="555510270">
          <w:marLeft w:val="0"/>
          <w:marRight w:val="0"/>
          <w:marTop w:val="0"/>
          <w:marBottom w:val="0"/>
          <w:divBdr>
            <w:top w:val="none" w:sz="0" w:space="0" w:color="auto"/>
            <w:left w:val="none" w:sz="0" w:space="0" w:color="auto"/>
            <w:bottom w:val="none" w:sz="0" w:space="0" w:color="auto"/>
            <w:right w:val="none" w:sz="0" w:space="0" w:color="auto"/>
          </w:divBdr>
        </w:div>
        <w:div w:id="1325545623">
          <w:marLeft w:val="0"/>
          <w:marRight w:val="0"/>
          <w:marTop w:val="0"/>
          <w:marBottom w:val="0"/>
          <w:divBdr>
            <w:top w:val="none" w:sz="0" w:space="0" w:color="auto"/>
            <w:left w:val="none" w:sz="0" w:space="0" w:color="auto"/>
            <w:bottom w:val="none" w:sz="0" w:space="0" w:color="auto"/>
            <w:right w:val="none" w:sz="0" w:space="0" w:color="auto"/>
          </w:divBdr>
        </w:div>
        <w:div w:id="129327669">
          <w:marLeft w:val="0"/>
          <w:marRight w:val="0"/>
          <w:marTop w:val="0"/>
          <w:marBottom w:val="0"/>
          <w:divBdr>
            <w:top w:val="none" w:sz="0" w:space="0" w:color="auto"/>
            <w:left w:val="none" w:sz="0" w:space="0" w:color="auto"/>
            <w:bottom w:val="none" w:sz="0" w:space="0" w:color="auto"/>
            <w:right w:val="none" w:sz="0" w:space="0" w:color="auto"/>
          </w:divBdr>
        </w:div>
        <w:div w:id="718822154">
          <w:marLeft w:val="0"/>
          <w:marRight w:val="0"/>
          <w:marTop w:val="0"/>
          <w:marBottom w:val="0"/>
          <w:divBdr>
            <w:top w:val="none" w:sz="0" w:space="0" w:color="auto"/>
            <w:left w:val="none" w:sz="0" w:space="0" w:color="auto"/>
            <w:bottom w:val="none" w:sz="0" w:space="0" w:color="auto"/>
            <w:right w:val="none" w:sz="0" w:space="0" w:color="auto"/>
          </w:divBdr>
        </w:div>
        <w:div w:id="595211684">
          <w:marLeft w:val="0"/>
          <w:marRight w:val="0"/>
          <w:marTop w:val="0"/>
          <w:marBottom w:val="0"/>
          <w:divBdr>
            <w:top w:val="none" w:sz="0" w:space="0" w:color="auto"/>
            <w:left w:val="none" w:sz="0" w:space="0" w:color="auto"/>
            <w:bottom w:val="none" w:sz="0" w:space="0" w:color="auto"/>
            <w:right w:val="none" w:sz="0" w:space="0" w:color="auto"/>
          </w:divBdr>
        </w:div>
        <w:div w:id="1867981053">
          <w:marLeft w:val="0"/>
          <w:marRight w:val="0"/>
          <w:marTop w:val="0"/>
          <w:marBottom w:val="0"/>
          <w:divBdr>
            <w:top w:val="none" w:sz="0" w:space="0" w:color="auto"/>
            <w:left w:val="none" w:sz="0" w:space="0" w:color="auto"/>
            <w:bottom w:val="none" w:sz="0" w:space="0" w:color="auto"/>
            <w:right w:val="none" w:sz="0" w:space="0" w:color="auto"/>
          </w:divBdr>
        </w:div>
        <w:div w:id="766119431">
          <w:marLeft w:val="0"/>
          <w:marRight w:val="0"/>
          <w:marTop w:val="0"/>
          <w:marBottom w:val="0"/>
          <w:divBdr>
            <w:top w:val="none" w:sz="0" w:space="0" w:color="auto"/>
            <w:left w:val="none" w:sz="0" w:space="0" w:color="auto"/>
            <w:bottom w:val="none" w:sz="0" w:space="0" w:color="auto"/>
            <w:right w:val="none" w:sz="0" w:space="0" w:color="auto"/>
          </w:divBdr>
        </w:div>
        <w:div w:id="483595224">
          <w:marLeft w:val="0"/>
          <w:marRight w:val="0"/>
          <w:marTop w:val="0"/>
          <w:marBottom w:val="0"/>
          <w:divBdr>
            <w:top w:val="none" w:sz="0" w:space="0" w:color="auto"/>
            <w:left w:val="none" w:sz="0" w:space="0" w:color="auto"/>
            <w:bottom w:val="none" w:sz="0" w:space="0" w:color="auto"/>
            <w:right w:val="none" w:sz="0" w:space="0" w:color="auto"/>
          </w:divBdr>
        </w:div>
        <w:div w:id="1079794987">
          <w:marLeft w:val="0"/>
          <w:marRight w:val="0"/>
          <w:marTop w:val="0"/>
          <w:marBottom w:val="0"/>
          <w:divBdr>
            <w:top w:val="none" w:sz="0" w:space="0" w:color="auto"/>
            <w:left w:val="none" w:sz="0" w:space="0" w:color="auto"/>
            <w:bottom w:val="none" w:sz="0" w:space="0" w:color="auto"/>
            <w:right w:val="none" w:sz="0" w:space="0" w:color="auto"/>
          </w:divBdr>
        </w:div>
        <w:div w:id="1554148784">
          <w:marLeft w:val="0"/>
          <w:marRight w:val="0"/>
          <w:marTop w:val="0"/>
          <w:marBottom w:val="0"/>
          <w:divBdr>
            <w:top w:val="none" w:sz="0" w:space="0" w:color="auto"/>
            <w:left w:val="none" w:sz="0" w:space="0" w:color="auto"/>
            <w:bottom w:val="none" w:sz="0" w:space="0" w:color="auto"/>
            <w:right w:val="none" w:sz="0" w:space="0" w:color="auto"/>
          </w:divBdr>
        </w:div>
        <w:div w:id="469909998">
          <w:marLeft w:val="0"/>
          <w:marRight w:val="0"/>
          <w:marTop w:val="0"/>
          <w:marBottom w:val="0"/>
          <w:divBdr>
            <w:top w:val="none" w:sz="0" w:space="0" w:color="auto"/>
            <w:left w:val="none" w:sz="0" w:space="0" w:color="auto"/>
            <w:bottom w:val="none" w:sz="0" w:space="0" w:color="auto"/>
            <w:right w:val="none" w:sz="0" w:space="0" w:color="auto"/>
          </w:divBdr>
        </w:div>
        <w:div w:id="1374958703">
          <w:marLeft w:val="0"/>
          <w:marRight w:val="0"/>
          <w:marTop w:val="0"/>
          <w:marBottom w:val="0"/>
          <w:divBdr>
            <w:top w:val="none" w:sz="0" w:space="0" w:color="auto"/>
            <w:left w:val="none" w:sz="0" w:space="0" w:color="auto"/>
            <w:bottom w:val="none" w:sz="0" w:space="0" w:color="auto"/>
            <w:right w:val="none" w:sz="0" w:space="0" w:color="auto"/>
          </w:divBdr>
        </w:div>
        <w:div w:id="227805907">
          <w:marLeft w:val="0"/>
          <w:marRight w:val="0"/>
          <w:marTop w:val="0"/>
          <w:marBottom w:val="0"/>
          <w:divBdr>
            <w:top w:val="none" w:sz="0" w:space="0" w:color="auto"/>
            <w:left w:val="none" w:sz="0" w:space="0" w:color="auto"/>
            <w:bottom w:val="none" w:sz="0" w:space="0" w:color="auto"/>
            <w:right w:val="none" w:sz="0" w:space="0" w:color="auto"/>
          </w:divBdr>
        </w:div>
        <w:div w:id="1491406389">
          <w:marLeft w:val="0"/>
          <w:marRight w:val="0"/>
          <w:marTop w:val="0"/>
          <w:marBottom w:val="0"/>
          <w:divBdr>
            <w:top w:val="none" w:sz="0" w:space="0" w:color="auto"/>
            <w:left w:val="none" w:sz="0" w:space="0" w:color="auto"/>
            <w:bottom w:val="none" w:sz="0" w:space="0" w:color="auto"/>
            <w:right w:val="none" w:sz="0" w:space="0" w:color="auto"/>
          </w:divBdr>
        </w:div>
        <w:div w:id="472870830">
          <w:marLeft w:val="0"/>
          <w:marRight w:val="0"/>
          <w:marTop w:val="0"/>
          <w:marBottom w:val="0"/>
          <w:divBdr>
            <w:top w:val="none" w:sz="0" w:space="0" w:color="auto"/>
            <w:left w:val="none" w:sz="0" w:space="0" w:color="auto"/>
            <w:bottom w:val="none" w:sz="0" w:space="0" w:color="auto"/>
            <w:right w:val="none" w:sz="0" w:space="0" w:color="auto"/>
          </w:divBdr>
        </w:div>
        <w:div w:id="531378817">
          <w:marLeft w:val="0"/>
          <w:marRight w:val="0"/>
          <w:marTop w:val="0"/>
          <w:marBottom w:val="0"/>
          <w:divBdr>
            <w:top w:val="none" w:sz="0" w:space="0" w:color="auto"/>
            <w:left w:val="none" w:sz="0" w:space="0" w:color="auto"/>
            <w:bottom w:val="none" w:sz="0" w:space="0" w:color="auto"/>
            <w:right w:val="none" w:sz="0" w:space="0" w:color="auto"/>
          </w:divBdr>
        </w:div>
        <w:div w:id="265190541">
          <w:marLeft w:val="0"/>
          <w:marRight w:val="0"/>
          <w:marTop w:val="0"/>
          <w:marBottom w:val="0"/>
          <w:divBdr>
            <w:top w:val="none" w:sz="0" w:space="0" w:color="auto"/>
            <w:left w:val="none" w:sz="0" w:space="0" w:color="auto"/>
            <w:bottom w:val="none" w:sz="0" w:space="0" w:color="auto"/>
            <w:right w:val="none" w:sz="0" w:space="0" w:color="auto"/>
          </w:divBdr>
        </w:div>
        <w:div w:id="1797480745">
          <w:marLeft w:val="0"/>
          <w:marRight w:val="0"/>
          <w:marTop w:val="0"/>
          <w:marBottom w:val="0"/>
          <w:divBdr>
            <w:top w:val="none" w:sz="0" w:space="0" w:color="auto"/>
            <w:left w:val="none" w:sz="0" w:space="0" w:color="auto"/>
            <w:bottom w:val="none" w:sz="0" w:space="0" w:color="auto"/>
            <w:right w:val="none" w:sz="0" w:space="0" w:color="auto"/>
          </w:divBdr>
        </w:div>
        <w:div w:id="53166837">
          <w:marLeft w:val="0"/>
          <w:marRight w:val="0"/>
          <w:marTop w:val="0"/>
          <w:marBottom w:val="0"/>
          <w:divBdr>
            <w:top w:val="none" w:sz="0" w:space="0" w:color="auto"/>
            <w:left w:val="none" w:sz="0" w:space="0" w:color="auto"/>
            <w:bottom w:val="none" w:sz="0" w:space="0" w:color="auto"/>
            <w:right w:val="none" w:sz="0" w:space="0" w:color="auto"/>
          </w:divBdr>
        </w:div>
        <w:div w:id="1401321845">
          <w:marLeft w:val="0"/>
          <w:marRight w:val="0"/>
          <w:marTop w:val="0"/>
          <w:marBottom w:val="0"/>
          <w:divBdr>
            <w:top w:val="none" w:sz="0" w:space="0" w:color="auto"/>
            <w:left w:val="none" w:sz="0" w:space="0" w:color="auto"/>
            <w:bottom w:val="none" w:sz="0" w:space="0" w:color="auto"/>
            <w:right w:val="none" w:sz="0" w:space="0" w:color="auto"/>
          </w:divBdr>
        </w:div>
        <w:div w:id="596864345">
          <w:marLeft w:val="0"/>
          <w:marRight w:val="0"/>
          <w:marTop w:val="0"/>
          <w:marBottom w:val="0"/>
          <w:divBdr>
            <w:top w:val="none" w:sz="0" w:space="0" w:color="auto"/>
            <w:left w:val="none" w:sz="0" w:space="0" w:color="auto"/>
            <w:bottom w:val="none" w:sz="0" w:space="0" w:color="auto"/>
            <w:right w:val="none" w:sz="0" w:space="0" w:color="auto"/>
          </w:divBdr>
        </w:div>
        <w:div w:id="695811488">
          <w:marLeft w:val="0"/>
          <w:marRight w:val="0"/>
          <w:marTop w:val="0"/>
          <w:marBottom w:val="0"/>
          <w:divBdr>
            <w:top w:val="none" w:sz="0" w:space="0" w:color="auto"/>
            <w:left w:val="none" w:sz="0" w:space="0" w:color="auto"/>
            <w:bottom w:val="none" w:sz="0" w:space="0" w:color="auto"/>
            <w:right w:val="none" w:sz="0" w:space="0" w:color="auto"/>
          </w:divBdr>
        </w:div>
        <w:div w:id="913929422">
          <w:marLeft w:val="0"/>
          <w:marRight w:val="0"/>
          <w:marTop w:val="0"/>
          <w:marBottom w:val="0"/>
          <w:divBdr>
            <w:top w:val="none" w:sz="0" w:space="0" w:color="auto"/>
            <w:left w:val="none" w:sz="0" w:space="0" w:color="auto"/>
            <w:bottom w:val="none" w:sz="0" w:space="0" w:color="auto"/>
            <w:right w:val="none" w:sz="0" w:space="0" w:color="auto"/>
          </w:divBdr>
        </w:div>
        <w:div w:id="655842773">
          <w:marLeft w:val="0"/>
          <w:marRight w:val="0"/>
          <w:marTop w:val="0"/>
          <w:marBottom w:val="0"/>
          <w:divBdr>
            <w:top w:val="none" w:sz="0" w:space="0" w:color="auto"/>
            <w:left w:val="none" w:sz="0" w:space="0" w:color="auto"/>
            <w:bottom w:val="none" w:sz="0" w:space="0" w:color="auto"/>
            <w:right w:val="none" w:sz="0" w:space="0" w:color="auto"/>
          </w:divBdr>
        </w:div>
        <w:div w:id="1563637720">
          <w:marLeft w:val="0"/>
          <w:marRight w:val="0"/>
          <w:marTop w:val="0"/>
          <w:marBottom w:val="0"/>
          <w:divBdr>
            <w:top w:val="none" w:sz="0" w:space="0" w:color="auto"/>
            <w:left w:val="none" w:sz="0" w:space="0" w:color="auto"/>
            <w:bottom w:val="none" w:sz="0" w:space="0" w:color="auto"/>
            <w:right w:val="none" w:sz="0" w:space="0" w:color="auto"/>
          </w:divBdr>
        </w:div>
        <w:div w:id="1940529940">
          <w:marLeft w:val="0"/>
          <w:marRight w:val="0"/>
          <w:marTop w:val="0"/>
          <w:marBottom w:val="0"/>
          <w:divBdr>
            <w:top w:val="none" w:sz="0" w:space="0" w:color="auto"/>
            <w:left w:val="none" w:sz="0" w:space="0" w:color="auto"/>
            <w:bottom w:val="none" w:sz="0" w:space="0" w:color="auto"/>
            <w:right w:val="none" w:sz="0" w:space="0" w:color="auto"/>
          </w:divBdr>
        </w:div>
        <w:div w:id="1219047933">
          <w:marLeft w:val="0"/>
          <w:marRight w:val="0"/>
          <w:marTop w:val="0"/>
          <w:marBottom w:val="0"/>
          <w:divBdr>
            <w:top w:val="none" w:sz="0" w:space="0" w:color="auto"/>
            <w:left w:val="none" w:sz="0" w:space="0" w:color="auto"/>
            <w:bottom w:val="none" w:sz="0" w:space="0" w:color="auto"/>
            <w:right w:val="none" w:sz="0" w:space="0" w:color="auto"/>
          </w:divBdr>
        </w:div>
        <w:div w:id="1490438318">
          <w:marLeft w:val="0"/>
          <w:marRight w:val="0"/>
          <w:marTop w:val="0"/>
          <w:marBottom w:val="0"/>
          <w:divBdr>
            <w:top w:val="none" w:sz="0" w:space="0" w:color="auto"/>
            <w:left w:val="none" w:sz="0" w:space="0" w:color="auto"/>
            <w:bottom w:val="none" w:sz="0" w:space="0" w:color="auto"/>
            <w:right w:val="none" w:sz="0" w:space="0" w:color="auto"/>
          </w:divBdr>
        </w:div>
        <w:div w:id="1444959637">
          <w:marLeft w:val="0"/>
          <w:marRight w:val="0"/>
          <w:marTop w:val="0"/>
          <w:marBottom w:val="0"/>
          <w:divBdr>
            <w:top w:val="none" w:sz="0" w:space="0" w:color="auto"/>
            <w:left w:val="none" w:sz="0" w:space="0" w:color="auto"/>
            <w:bottom w:val="none" w:sz="0" w:space="0" w:color="auto"/>
            <w:right w:val="none" w:sz="0" w:space="0" w:color="auto"/>
          </w:divBdr>
        </w:div>
        <w:div w:id="1552578348">
          <w:marLeft w:val="0"/>
          <w:marRight w:val="0"/>
          <w:marTop w:val="0"/>
          <w:marBottom w:val="0"/>
          <w:divBdr>
            <w:top w:val="none" w:sz="0" w:space="0" w:color="auto"/>
            <w:left w:val="none" w:sz="0" w:space="0" w:color="auto"/>
            <w:bottom w:val="none" w:sz="0" w:space="0" w:color="auto"/>
            <w:right w:val="none" w:sz="0" w:space="0" w:color="auto"/>
          </w:divBdr>
        </w:div>
        <w:div w:id="242227222">
          <w:marLeft w:val="0"/>
          <w:marRight w:val="0"/>
          <w:marTop w:val="0"/>
          <w:marBottom w:val="0"/>
          <w:divBdr>
            <w:top w:val="none" w:sz="0" w:space="0" w:color="auto"/>
            <w:left w:val="none" w:sz="0" w:space="0" w:color="auto"/>
            <w:bottom w:val="none" w:sz="0" w:space="0" w:color="auto"/>
            <w:right w:val="none" w:sz="0" w:space="0" w:color="auto"/>
          </w:divBdr>
        </w:div>
        <w:div w:id="595866391">
          <w:marLeft w:val="0"/>
          <w:marRight w:val="0"/>
          <w:marTop w:val="0"/>
          <w:marBottom w:val="0"/>
          <w:divBdr>
            <w:top w:val="none" w:sz="0" w:space="0" w:color="auto"/>
            <w:left w:val="none" w:sz="0" w:space="0" w:color="auto"/>
            <w:bottom w:val="none" w:sz="0" w:space="0" w:color="auto"/>
            <w:right w:val="none" w:sz="0" w:space="0" w:color="auto"/>
          </w:divBdr>
        </w:div>
        <w:div w:id="564072281">
          <w:marLeft w:val="0"/>
          <w:marRight w:val="0"/>
          <w:marTop w:val="0"/>
          <w:marBottom w:val="0"/>
          <w:divBdr>
            <w:top w:val="none" w:sz="0" w:space="0" w:color="auto"/>
            <w:left w:val="none" w:sz="0" w:space="0" w:color="auto"/>
            <w:bottom w:val="none" w:sz="0" w:space="0" w:color="auto"/>
            <w:right w:val="none" w:sz="0" w:space="0" w:color="auto"/>
          </w:divBdr>
        </w:div>
        <w:div w:id="1585608122">
          <w:marLeft w:val="0"/>
          <w:marRight w:val="0"/>
          <w:marTop w:val="0"/>
          <w:marBottom w:val="0"/>
          <w:divBdr>
            <w:top w:val="none" w:sz="0" w:space="0" w:color="auto"/>
            <w:left w:val="none" w:sz="0" w:space="0" w:color="auto"/>
            <w:bottom w:val="none" w:sz="0" w:space="0" w:color="auto"/>
            <w:right w:val="none" w:sz="0" w:space="0" w:color="auto"/>
          </w:divBdr>
        </w:div>
        <w:div w:id="280570866">
          <w:marLeft w:val="0"/>
          <w:marRight w:val="0"/>
          <w:marTop w:val="0"/>
          <w:marBottom w:val="0"/>
          <w:divBdr>
            <w:top w:val="none" w:sz="0" w:space="0" w:color="auto"/>
            <w:left w:val="none" w:sz="0" w:space="0" w:color="auto"/>
            <w:bottom w:val="none" w:sz="0" w:space="0" w:color="auto"/>
            <w:right w:val="none" w:sz="0" w:space="0" w:color="auto"/>
          </w:divBdr>
        </w:div>
        <w:div w:id="1994410649">
          <w:marLeft w:val="0"/>
          <w:marRight w:val="0"/>
          <w:marTop w:val="0"/>
          <w:marBottom w:val="0"/>
          <w:divBdr>
            <w:top w:val="none" w:sz="0" w:space="0" w:color="auto"/>
            <w:left w:val="none" w:sz="0" w:space="0" w:color="auto"/>
            <w:bottom w:val="none" w:sz="0" w:space="0" w:color="auto"/>
            <w:right w:val="none" w:sz="0" w:space="0" w:color="auto"/>
          </w:divBdr>
        </w:div>
        <w:div w:id="2131432877">
          <w:marLeft w:val="0"/>
          <w:marRight w:val="0"/>
          <w:marTop w:val="0"/>
          <w:marBottom w:val="0"/>
          <w:divBdr>
            <w:top w:val="none" w:sz="0" w:space="0" w:color="auto"/>
            <w:left w:val="none" w:sz="0" w:space="0" w:color="auto"/>
            <w:bottom w:val="none" w:sz="0" w:space="0" w:color="auto"/>
            <w:right w:val="none" w:sz="0" w:space="0" w:color="auto"/>
          </w:divBdr>
        </w:div>
        <w:div w:id="560363107">
          <w:marLeft w:val="0"/>
          <w:marRight w:val="0"/>
          <w:marTop w:val="0"/>
          <w:marBottom w:val="0"/>
          <w:divBdr>
            <w:top w:val="none" w:sz="0" w:space="0" w:color="auto"/>
            <w:left w:val="none" w:sz="0" w:space="0" w:color="auto"/>
            <w:bottom w:val="none" w:sz="0" w:space="0" w:color="auto"/>
            <w:right w:val="none" w:sz="0" w:space="0" w:color="auto"/>
          </w:divBdr>
        </w:div>
        <w:div w:id="1368337341">
          <w:marLeft w:val="0"/>
          <w:marRight w:val="0"/>
          <w:marTop w:val="0"/>
          <w:marBottom w:val="0"/>
          <w:divBdr>
            <w:top w:val="none" w:sz="0" w:space="0" w:color="auto"/>
            <w:left w:val="none" w:sz="0" w:space="0" w:color="auto"/>
            <w:bottom w:val="none" w:sz="0" w:space="0" w:color="auto"/>
            <w:right w:val="none" w:sz="0" w:space="0" w:color="auto"/>
          </w:divBdr>
        </w:div>
        <w:div w:id="99028938">
          <w:marLeft w:val="0"/>
          <w:marRight w:val="0"/>
          <w:marTop w:val="0"/>
          <w:marBottom w:val="0"/>
          <w:divBdr>
            <w:top w:val="none" w:sz="0" w:space="0" w:color="auto"/>
            <w:left w:val="none" w:sz="0" w:space="0" w:color="auto"/>
            <w:bottom w:val="none" w:sz="0" w:space="0" w:color="auto"/>
            <w:right w:val="none" w:sz="0" w:space="0" w:color="auto"/>
          </w:divBdr>
        </w:div>
        <w:div w:id="843667197">
          <w:marLeft w:val="0"/>
          <w:marRight w:val="0"/>
          <w:marTop w:val="0"/>
          <w:marBottom w:val="0"/>
          <w:divBdr>
            <w:top w:val="none" w:sz="0" w:space="0" w:color="auto"/>
            <w:left w:val="none" w:sz="0" w:space="0" w:color="auto"/>
            <w:bottom w:val="none" w:sz="0" w:space="0" w:color="auto"/>
            <w:right w:val="none" w:sz="0" w:space="0" w:color="auto"/>
          </w:divBdr>
        </w:div>
        <w:div w:id="1143081652">
          <w:marLeft w:val="0"/>
          <w:marRight w:val="0"/>
          <w:marTop w:val="0"/>
          <w:marBottom w:val="0"/>
          <w:divBdr>
            <w:top w:val="none" w:sz="0" w:space="0" w:color="auto"/>
            <w:left w:val="none" w:sz="0" w:space="0" w:color="auto"/>
            <w:bottom w:val="none" w:sz="0" w:space="0" w:color="auto"/>
            <w:right w:val="none" w:sz="0" w:space="0" w:color="auto"/>
          </w:divBdr>
        </w:div>
        <w:div w:id="334916770">
          <w:marLeft w:val="0"/>
          <w:marRight w:val="0"/>
          <w:marTop w:val="0"/>
          <w:marBottom w:val="0"/>
          <w:divBdr>
            <w:top w:val="none" w:sz="0" w:space="0" w:color="auto"/>
            <w:left w:val="none" w:sz="0" w:space="0" w:color="auto"/>
            <w:bottom w:val="none" w:sz="0" w:space="0" w:color="auto"/>
            <w:right w:val="none" w:sz="0" w:space="0" w:color="auto"/>
          </w:divBdr>
        </w:div>
        <w:div w:id="504243757">
          <w:marLeft w:val="0"/>
          <w:marRight w:val="0"/>
          <w:marTop w:val="0"/>
          <w:marBottom w:val="0"/>
          <w:divBdr>
            <w:top w:val="none" w:sz="0" w:space="0" w:color="auto"/>
            <w:left w:val="none" w:sz="0" w:space="0" w:color="auto"/>
            <w:bottom w:val="none" w:sz="0" w:space="0" w:color="auto"/>
            <w:right w:val="none" w:sz="0" w:space="0" w:color="auto"/>
          </w:divBdr>
        </w:div>
        <w:div w:id="746220913">
          <w:marLeft w:val="0"/>
          <w:marRight w:val="0"/>
          <w:marTop w:val="0"/>
          <w:marBottom w:val="0"/>
          <w:divBdr>
            <w:top w:val="none" w:sz="0" w:space="0" w:color="auto"/>
            <w:left w:val="none" w:sz="0" w:space="0" w:color="auto"/>
            <w:bottom w:val="none" w:sz="0" w:space="0" w:color="auto"/>
            <w:right w:val="none" w:sz="0" w:space="0" w:color="auto"/>
          </w:divBdr>
        </w:div>
        <w:div w:id="788940227">
          <w:marLeft w:val="0"/>
          <w:marRight w:val="0"/>
          <w:marTop w:val="0"/>
          <w:marBottom w:val="0"/>
          <w:divBdr>
            <w:top w:val="none" w:sz="0" w:space="0" w:color="auto"/>
            <w:left w:val="none" w:sz="0" w:space="0" w:color="auto"/>
            <w:bottom w:val="none" w:sz="0" w:space="0" w:color="auto"/>
            <w:right w:val="none" w:sz="0" w:space="0" w:color="auto"/>
          </w:divBdr>
        </w:div>
        <w:div w:id="2028360831">
          <w:marLeft w:val="0"/>
          <w:marRight w:val="0"/>
          <w:marTop w:val="0"/>
          <w:marBottom w:val="0"/>
          <w:divBdr>
            <w:top w:val="none" w:sz="0" w:space="0" w:color="auto"/>
            <w:left w:val="none" w:sz="0" w:space="0" w:color="auto"/>
            <w:bottom w:val="none" w:sz="0" w:space="0" w:color="auto"/>
            <w:right w:val="none" w:sz="0" w:space="0" w:color="auto"/>
          </w:divBdr>
        </w:div>
        <w:div w:id="532041561">
          <w:marLeft w:val="0"/>
          <w:marRight w:val="0"/>
          <w:marTop w:val="0"/>
          <w:marBottom w:val="0"/>
          <w:divBdr>
            <w:top w:val="none" w:sz="0" w:space="0" w:color="auto"/>
            <w:left w:val="none" w:sz="0" w:space="0" w:color="auto"/>
            <w:bottom w:val="none" w:sz="0" w:space="0" w:color="auto"/>
            <w:right w:val="none" w:sz="0" w:space="0" w:color="auto"/>
          </w:divBdr>
        </w:div>
        <w:div w:id="916204928">
          <w:marLeft w:val="0"/>
          <w:marRight w:val="0"/>
          <w:marTop w:val="0"/>
          <w:marBottom w:val="0"/>
          <w:divBdr>
            <w:top w:val="none" w:sz="0" w:space="0" w:color="auto"/>
            <w:left w:val="none" w:sz="0" w:space="0" w:color="auto"/>
            <w:bottom w:val="none" w:sz="0" w:space="0" w:color="auto"/>
            <w:right w:val="none" w:sz="0" w:space="0" w:color="auto"/>
          </w:divBdr>
        </w:div>
        <w:div w:id="726957020">
          <w:marLeft w:val="0"/>
          <w:marRight w:val="0"/>
          <w:marTop w:val="0"/>
          <w:marBottom w:val="0"/>
          <w:divBdr>
            <w:top w:val="none" w:sz="0" w:space="0" w:color="auto"/>
            <w:left w:val="none" w:sz="0" w:space="0" w:color="auto"/>
            <w:bottom w:val="none" w:sz="0" w:space="0" w:color="auto"/>
            <w:right w:val="none" w:sz="0" w:space="0" w:color="auto"/>
          </w:divBdr>
        </w:div>
        <w:div w:id="1173489433">
          <w:marLeft w:val="0"/>
          <w:marRight w:val="0"/>
          <w:marTop w:val="0"/>
          <w:marBottom w:val="0"/>
          <w:divBdr>
            <w:top w:val="none" w:sz="0" w:space="0" w:color="auto"/>
            <w:left w:val="none" w:sz="0" w:space="0" w:color="auto"/>
            <w:bottom w:val="none" w:sz="0" w:space="0" w:color="auto"/>
            <w:right w:val="none" w:sz="0" w:space="0" w:color="auto"/>
          </w:divBdr>
        </w:div>
        <w:div w:id="1526282584">
          <w:marLeft w:val="0"/>
          <w:marRight w:val="0"/>
          <w:marTop w:val="0"/>
          <w:marBottom w:val="0"/>
          <w:divBdr>
            <w:top w:val="none" w:sz="0" w:space="0" w:color="auto"/>
            <w:left w:val="none" w:sz="0" w:space="0" w:color="auto"/>
            <w:bottom w:val="none" w:sz="0" w:space="0" w:color="auto"/>
            <w:right w:val="none" w:sz="0" w:space="0" w:color="auto"/>
          </w:divBdr>
        </w:div>
        <w:div w:id="192960521">
          <w:marLeft w:val="0"/>
          <w:marRight w:val="0"/>
          <w:marTop w:val="0"/>
          <w:marBottom w:val="0"/>
          <w:divBdr>
            <w:top w:val="none" w:sz="0" w:space="0" w:color="auto"/>
            <w:left w:val="none" w:sz="0" w:space="0" w:color="auto"/>
            <w:bottom w:val="none" w:sz="0" w:space="0" w:color="auto"/>
            <w:right w:val="none" w:sz="0" w:space="0" w:color="auto"/>
          </w:divBdr>
        </w:div>
        <w:div w:id="50153589">
          <w:marLeft w:val="0"/>
          <w:marRight w:val="0"/>
          <w:marTop w:val="0"/>
          <w:marBottom w:val="0"/>
          <w:divBdr>
            <w:top w:val="none" w:sz="0" w:space="0" w:color="auto"/>
            <w:left w:val="none" w:sz="0" w:space="0" w:color="auto"/>
            <w:bottom w:val="none" w:sz="0" w:space="0" w:color="auto"/>
            <w:right w:val="none" w:sz="0" w:space="0" w:color="auto"/>
          </w:divBdr>
        </w:div>
        <w:div w:id="1499078767">
          <w:marLeft w:val="0"/>
          <w:marRight w:val="0"/>
          <w:marTop w:val="0"/>
          <w:marBottom w:val="0"/>
          <w:divBdr>
            <w:top w:val="none" w:sz="0" w:space="0" w:color="auto"/>
            <w:left w:val="none" w:sz="0" w:space="0" w:color="auto"/>
            <w:bottom w:val="none" w:sz="0" w:space="0" w:color="auto"/>
            <w:right w:val="none" w:sz="0" w:space="0" w:color="auto"/>
          </w:divBdr>
        </w:div>
        <w:div w:id="1590263532">
          <w:marLeft w:val="0"/>
          <w:marRight w:val="0"/>
          <w:marTop w:val="0"/>
          <w:marBottom w:val="0"/>
          <w:divBdr>
            <w:top w:val="none" w:sz="0" w:space="0" w:color="auto"/>
            <w:left w:val="none" w:sz="0" w:space="0" w:color="auto"/>
            <w:bottom w:val="none" w:sz="0" w:space="0" w:color="auto"/>
            <w:right w:val="none" w:sz="0" w:space="0" w:color="auto"/>
          </w:divBdr>
        </w:div>
        <w:div w:id="1626352978">
          <w:marLeft w:val="0"/>
          <w:marRight w:val="0"/>
          <w:marTop w:val="0"/>
          <w:marBottom w:val="0"/>
          <w:divBdr>
            <w:top w:val="none" w:sz="0" w:space="0" w:color="auto"/>
            <w:left w:val="none" w:sz="0" w:space="0" w:color="auto"/>
            <w:bottom w:val="none" w:sz="0" w:space="0" w:color="auto"/>
            <w:right w:val="none" w:sz="0" w:space="0" w:color="auto"/>
          </w:divBdr>
        </w:div>
        <w:div w:id="1087651513">
          <w:marLeft w:val="0"/>
          <w:marRight w:val="0"/>
          <w:marTop w:val="0"/>
          <w:marBottom w:val="0"/>
          <w:divBdr>
            <w:top w:val="none" w:sz="0" w:space="0" w:color="auto"/>
            <w:left w:val="none" w:sz="0" w:space="0" w:color="auto"/>
            <w:bottom w:val="none" w:sz="0" w:space="0" w:color="auto"/>
            <w:right w:val="none" w:sz="0" w:space="0" w:color="auto"/>
          </w:divBdr>
        </w:div>
        <w:div w:id="1818104099">
          <w:marLeft w:val="0"/>
          <w:marRight w:val="0"/>
          <w:marTop w:val="0"/>
          <w:marBottom w:val="0"/>
          <w:divBdr>
            <w:top w:val="none" w:sz="0" w:space="0" w:color="auto"/>
            <w:left w:val="none" w:sz="0" w:space="0" w:color="auto"/>
            <w:bottom w:val="none" w:sz="0" w:space="0" w:color="auto"/>
            <w:right w:val="none" w:sz="0" w:space="0" w:color="auto"/>
          </w:divBdr>
        </w:div>
        <w:div w:id="2040009390">
          <w:marLeft w:val="0"/>
          <w:marRight w:val="0"/>
          <w:marTop w:val="0"/>
          <w:marBottom w:val="0"/>
          <w:divBdr>
            <w:top w:val="none" w:sz="0" w:space="0" w:color="auto"/>
            <w:left w:val="none" w:sz="0" w:space="0" w:color="auto"/>
            <w:bottom w:val="none" w:sz="0" w:space="0" w:color="auto"/>
            <w:right w:val="none" w:sz="0" w:space="0" w:color="auto"/>
          </w:divBdr>
        </w:div>
        <w:div w:id="941449708">
          <w:marLeft w:val="0"/>
          <w:marRight w:val="0"/>
          <w:marTop w:val="0"/>
          <w:marBottom w:val="0"/>
          <w:divBdr>
            <w:top w:val="none" w:sz="0" w:space="0" w:color="auto"/>
            <w:left w:val="none" w:sz="0" w:space="0" w:color="auto"/>
            <w:bottom w:val="none" w:sz="0" w:space="0" w:color="auto"/>
            <w:right w:val="none" w:sz="0" w:space="0" w:color="auto"/>
          </w:divBdr>
        </w:div>
        <w:div w:id="1350064220">
          <w:marLeft w:val="0"/>
          <w:marRight w:val="0"/>
          <w:marTop w:val="0"/>
          <w:marBottom w:val="0"/>
          <w:divBdr>
            <w:top w:val="none" w:sz="0" w:space="0" w:color="auto"/>
            <w:left w:val="none" w:sz="0" w:space="0" w:color="auto"/>
            <w:bottom w:val="none" w:sz="0" w:space="0" w:color="auto"/>
            <w:right w:val="none" w:sz="0" w:space="0" w:color="auto"/>
          </w:divBdr>
        </w:div>
        <w:div w:id="17780169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us-lexis-com.ezproxy.uwtsd.ac.uk/uk/cases-uk/r-v-vinall/?crid=94ecf85c-276e-4437-a1ec-72acd2b6107b" TargetMode="External"/><Relationship Id="rId3" Type="http://schemas.openxmlformats.org/officeDocument/2006/relationships/webSettings" Target="webSettings.xml"/><Relationship Id="rId7" Type="http://schemas.openxmlformats.org/officeDocument/2006/relationships/hyperlink" Target="https://www.legislation.gov.uk/ukpga/1968/60/conte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lus-lexis-com.ezproxy.uwtsd.ac.uk/uk/cases-uk/ivey-v-genting-casinos-uk-ltd-trading-as-croc_5/?crid=dda24bac-492c-49f0-8106-c5c5f2211b1a" TargetMode="External"/><Relationship Id="rId5" Type="http://schemas.openxmlformats.org/officeDocument/2006/relationships/hyperlink" Target="https://www.legislation.gov.uk/ukpga/1988/33/section/39" TargetMode="External"/><Relationship Id="rId10" Type="http://schemas.openxmlformats.org/officeDocument/2006/relationships/theme" Target="theme/theme1.xml"/><Relationship Id="rId4" Type="http://schemas.openxmlformats.org/officeDocument/2006/relationships/hyperlink" Target="https://www.legislation.gov.uk/ukpga/1971/48/contents"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1707</Words>
  <Characters>9730</Characters>
  <Application>Microsoft Office Word</Application>
  <DocSecurity>0</DocSecurity>
  <Lines>81</Lines>
  <Paragraphs>22</Paragraphs>
  <ScaleCrop>false</ScaleCrop>
  <Company/>
  <LinksUpToDate>false</LinksUpToDate>
  <CharactersWithSpaces>11415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Scenario question</dc:title>
  <dc:subject/>
  <dc:creator>Ffion Jones</dc:creator>
  <cp:keywords/>
  <dc:description/>
  <cp:lastModifiedBy>Ffion Jones</cp:lastModifiedBy>
  <cp:revision>6</cp:revision>
  <dcterms:created xsi:type="dcterms:W3CDTF">2024-05-10T21:46:00Z</dcterms:created>
  <dcterms:modified xsi:type="dcterms:W3CDTF">2024-05-10T21:56:00Z</dcterms:modified>
</cp:coreProperties>
</file>