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E5EB00" w14:textId="77777777" w:rsidR="004D4347" w:rsidRPr="00455AE4" w:rsidRDefault="007D7BDB" w:rsidP="00455AE4">
      <w:pPr>
        <w:jc w:val="left"/>
        <w:rPr>
          <w:b/>
          <w:bCs/>
          <w:lang w:val="en-GB"/>
        </w:rPr>
      </w:pPr>
      <w:r w:rsidRPr="00455AE4">
        <w:rPr>
          <w:b/>
          <w:bCs/>
          <w:lang w:val="en-GB"/>
        </w:rPr>
        <w:t>PROGRAMME: CERTIFICATE OF HIGHER EDUCATION SKILLS FOR THE WORKPLACE (HEALTH &amp; SOCIAL CARE)</w:t>
      </w:r>
    </w:p>
    <w:p w14:paraId="1CC09504" w14:textId="77777777" w:rsidR="00291572" w:rsidRPr="00455AE4" w:rsidRDefault="00291572" w:rsidP="00455AE4">
      <w:pPr>
        <w:jc w:val="left"/>
        <w:rPr>
          <w:b/>
          <w:bCs/>
          <w:lang w:val="en-GB"/>
        </w:rPr>
      </w:pPr>
    </w:p>
    <w:p w14:paraId="2FE5EB01" w14:textId="6A781B6A" w:rsidR="004D4347" w:rsidRPr="00455AE4" w:rsidRDefault="007D7BDB" w:rsidP="00455AE4">
      <w:pPr>
        <w:jc w:val="left"/>
        <w:rPr>
          <w:b/>
          <w:bCs/>
          <w:lang w:val="en-GB"/>
        </w:rPr>
      </w:pPr>
      <w:r w:rsidRPr="00455AE4">
        <w:rPr>
          <w:b/>
          <w:bCs/>
          <w:lang w:val="en-GB"/>
        </w:rPr>
        <w:t>MODULE: INTRODUCTION TO HEALTH AND SOCIAL CARE</w:t>
      </w:r>
    </w:p>
    <w:p w14:paraId="2FE5EB02" w14:textId="3FD5034E" w:rsidR="004D4347" w:rsidRPr="00455AE4" w:rsidRDefault="007D7BDB" w:rsidP="00455AE4">
      <w:pPr>
        <w:jc w:val="left"/>
        <w:rPr>
          <w:b/>
          <w:bCs/>
          <w:lang w:val="en-GB"/>
        </w:rPr>
      </w:pPr>
      <w:r w:rsidRPr="00455AE4">
        <w:rPr>
          <w:b/>
          <w:bCs/>
          <w:lang w:val="en-GB"/>
        </w:rPr>
        <w:t xml:space="preserve">MODULE CODE: LCHS4003 </w:t>
      </w:r>
    </w:p>
    <w:p w14:paraId="55C506A6" w14:textId="77777777" w:rsidR="00291572" w:rsidRPr="00455AE4" w:rsidRDefault="00291572" w:rsidP="00455AE4">
      <w:pPr>
        <w:jc w:val="left"/>
        <w:rPr>
          <w:b/>
          <w:bCs/>
          <w:lang w:val="en-GB"/>
        </w:rPr>
      </w:pPr>
    </w:p>
    <w:p w14:paraId="6D7DD444" w14:textId="77777777" w:rsidR="001C7926" w:rsidRPr="00455AE4" w:rsidRDefault="007D7BDB" w:rsidP="00455AE4">
      <w:pPr>
        <w:jc w:val="left"/>
        <w:rPr>
          <w:b/>
          <w:bCs/>
          <w:lang w:val="en-GB"/>
        </w:rPr>
      </w:pPr>
      <w:r w:rsidRPr="00455AE4">
        <w:rPr>
          <w:b/>
          <w:bCs/>
          <w:lang w:val="en-GB"/>
        </w:rPr>
        <w:t>ASSIGNMENT TITLE: WRITTEN ASSIGNMENT</w:t>
      </w:r>
    </w:p>
    <w:p w14:paraId="71AB56E9" w14:textId="77777777" w:rsidR="001C7926" w:rsidRPr="00455AE4" w:rsidRDefault="001C7926" w:rsidP="00455AE4">
      <w:pPr>
        <w:sectPr w:rsidR="001C7926" w:rsidRPr="00455AE4" w:rsidSect="001C7926">
          <w:headerReference w:type="default" r:id="rId7"/>
          <w:footerReference w:type="default" r:id="rId8"/>
          <w:pgSz w:w="11906" w:h="16838"/>
          <w:pgMar w:top="1440" w:right="1440" w:bottom="1440" w:left="1440" w:header="708" w:footer="708" w:gutter="0"/>
          <w:cols w:space="708"/>
          <w:docGrid w:linePitch="360"/>
        </w:sectPr>
      </w:pPr>
      <w:r w:rsidRPr="00455AE4">
        <w:rPr>
          <w:b/>
          <w:bCs/>
        </w:rPr>
        <w:t>Lecturer name</w:t>
      </w:r>
      <w:proofErr w:type="gramStart"/>
      <w:r w:rsidRPr="00455AE4">
        <w:t xml:space="preserve">: </w:t>
      </w:r>
      <w:r w:rsidRPr="00455AE4">
        <w:rPr>
          <w:b/>
          <w:bCs/>
        </w:rPr>
        <w:t> Eleni</w:t>
      </w:r>
      <w:proofErr w:type="gramEnd"/>
      <w:r w:rsidRPr="00455AE4">
        <w:rPr>
          <w:b/>
          <w:bCs/>
        </w:rPr>
        <w:t xml:space="preserve"> </w:t>
      </w:r>
      <w:proofErr w:type="spellStart"/>
      <w:r w:rsidRPr="00455AE4">
        <w:rPr>
          <w:b/>
          <w:bCs/>
        </w:rPr>
        <w:t>Koutsogeorgou</w:t>
      </w:r>
      <w:proofErr w:type="spellEnd"/>
      <w:r w:rsidRPr="00455AE4">
        <w:rPr>
          <w:b/>
          <w:bCs/>
        </w:rPr>
        <w:t>-Andreou</w:t>
      </w:r>
    </w:p>
    <w:p w14:paraId="4609666E" w14:textId="7820EF9B" w:rsidR="001C7926" w:rsidRPr="00455AE4" w:rsidRDefault="001C7926" w:rsidP="00455AE4">
      <w:pPr>
        <w:jc w:val="left"/>
        <w:rPr>
          <w:b/>
          <w:bCs/>
        </w:rPr>
      </w:pPr>
    </w:p>
    <w:p w14:paraId="2FE5EB03" w14:textId="4C36CDB1" w:rsidR="004D4347" w:rsidRPr="00455AE4" w:rsidRDefault="007D7BDB" w:rsidP="00455AE4">
      <w:pPr>
        <w:jc w:val="left"/>
        <w:rPr>
          <w:lang w:val="en-GB"/>
        </w:rPr>
      </w:pPr>
      <w:r w:rsidRPr="00455AE4">
        <w:rPr>
          <w:lang w:val="en-GB"/>
        </w:rPr>
        <w:br w:type="page"/>
      </w:r>
    </w:p>
    <w:bookmarkStart w:id="0" w:name="_h0io41dfh5n0" w:colFirst="0" w:colLast="0" w:displacedByCustomXml="next"/>
    <w:bookmarkEnd w:id="0" w:displacedByCustomXml="next"/>
    <w:sdt>
      <w:sdtPr>
        <w:rPr>
          <w:rFonts w:ascii="Arial" w:eastAsia="Arial" w:hAnsi="Arial" w:cs="Arial"/>
          <w:color w:val="auto"/>
          <w:sz w:val="22"/>
          <w:szCs w:val="22"/>
          <w:lang w:eastAsia="zh-TW"/>
        </w:rPr>
        <w:id w:val="-1550757096"/>
        <w:docPartObj>
          <w:docPartGallery w:val="Table of Contents"/>
          <w:docPartUnique/>
        </w:docPartObj>
      </w:sdtPr>
      <w:sdtEndPr>
        <w:rPr>
          <w:b/>
          <w:bCs/>
          <w:noProof/>
        </w:rPr>
      </w:sdtEndPr>
      <w:sdtContent>
        <w:p w14:paraId="2FE5EB04" w14:textId="77777777" w:rsidR="00727622" w:rsidRPr="00455AE4" w:rsidRDefault="00727622" w:rsidP="00455AE4">
          <w:pPr>
            <w:pStyle w:val="TOCHeading"/>
            <w:spacing w:before="0" w:line="360" w:lineRule="auto"/>
            <w:jc w:val="center"/>
            <w:rPr>
              <w:rFonts w:ascii="Arial" w:hAnsi="Arial" w:cs="Arial"/>
              <w:b/>
              <w:bCs/>
              <w:color w:val="auto"/>
              <w:sz w:val="22"/>
              <w:szCs w:val="22"/>
            </w:rPr>
          </w:pPr>
          <w:r w:rsidRPr="00455AE4">
            <w:rPr>
              <w:rFonts w:ascii="Arial" w:hAnsi="Arial" w:cs="Arial"/>
              <w:b/>
              <w:bCs/>
              <w:color w:val="auto"/>
              <w:sz w:val="22"/>
              <w:szCs w:val="22"/>
            </w:rPr>
            <w:t>Table of Contents</w:t>
          </w:r>
        </w:p>
        <w:p w14:paraId="2FE5EB05" w14:textId="77777777" w:rsidR="00727622" w:rsidRPr="00455AE4" w:rsidRDefault="00727622" w:rsidP="00455AE4">
          <w:pPr>
            <w:pStyle w:val="TOC1"/>
            <w:tabs>
              <w:tab w:val="right" w:leader="dot" w:pos="9019"/>
            </w:tabs>
            <w:rPr>
              <w:noProof/>
            </w:rPr>
          </w:pPr>
          <w:r w:rsidRPr="00455AE4">
            <w:fldChar w:fldCharType="begin"/>
          </w:r>
          <w:r w:rsidRPr="00455AE4">
            <w:instrText xml:space="preserve"> TOC \o "1-3" \h \z \u </w:instrText>
          </w:r>
          <w:r w:rsidRPr="00455AE4">
            <w:fldChar w:fldCharType="separate"/>
          </w:r>
          <w:hyperlink w:anchor="_Toc223178099" w:history="1">
            <w:r w:rsidRPr="00455AE4">
              <w:rPr>
                <w:rStyle w:val="Hyperlink"/>
                <w:noProof/>
                <w:lang w:val="en-GB"/>
              </w:rPr>
              <w:t>1. Introduction</w:t>
            </w:r>
            <w:r w:rsidRPr="00455AE4">
              <w:rPr>
                <w:noProof/>
                <w:webHidden/>
              </w:rPr>
              <w:tab/>
            </w:r>
            <w:r w:rsidRPr="00455AE4">
              <w:rPr>
                <w:noProof/>
                <w:webHidden/>
              </w:rPr>
              <w:fldChar w:fldCharType="begin"/>
            </w:r>
            <w:r w:rsidRPr="00455AE4">
              <w:rPr>
                <w:noProof/>
                <w:webHidden/>
              </w:rPr>
              <w:instrText xml:space="preserve"> PAGEREF _Toc223178099 \h </w:instrText>
            </w:r>
            <w:r w:rsidRPr="00455AE4">
              <w:rPr>
                <w:noProof/>
                <w:webHidden/>
              </w:rPr>
            </w:r>
            <w:r w:rsidRPr="00455AE4">
              <w:rPr>
                <w:noProof/>
                <w:webHidden/>
              </w:rPr>
              <w:fldChar w:fldCharType="separate"/>
            </w:r>
            <w:r w:rsidRPr="00455AE4">
              <w:rPr>
                <w:noProof/>
                <w:webHidden/>
              </w:rPr>
              <w:t>3</w:t>
            </w:r>
            <w:r w:rsidRPr="00455AE4">
              <w:rPr>
                <w:noProof/>
                <w:webHidden/>
              </w:rPr>
              <w:fldChar w:fldCharType="end"/>
            </w:r>
          </w:hyperlink>
        </w:p>
        <w:p w14:paraId="2FE5EB06" w14:textId="77777777" w:rsidR="00727622" w:rsidRPr="00455AE4" w:rsidRDefault="00727622" w:rsidP="00455AE4">
          <w:pPr>
            <w:pStyle w:val="TOC1"/>
            <w:tabs>
              <w:tab w:val="right" w:leader="dot" w:pos="9019"/>
            </w:tabs>
            <w:rPr>
              <w:noProof/>
            </w:rPr>
          </w:pPr>
          <w:hyperlink w:anchor="_Toc223178100" w:history="1">
            <w:r w:rsidRPr="00455AE4">
              <w:rPr>
                <w:rStyle w:val="Hyperlink"/>
                <w:noProof/>
                <w:lang w:val="en-GB"/>
              </w:rPr>
              <w:t>2. Importance of Effective Communication in Mr. Ahmed’s Care</w:t>
            </w:r>
            <w:r w:rsidRPr="00455AE4">
              <w:rPr>
                <w:noProof/>
                <w:webHidden/>
              </w:rPr>
              <w:tab/>
            </w:r>
            <w:r w:rsidRPr="00455AE4">
              <w:rPr>
                <w:noProof/>
                <w:webHidden/>
              </w:rPr>
              <w:fldChar w:fldCharType="begin"/>
            </w:r>
            <w:r w:rsidRPr="00455AE4">
              <w:rPr>
                <w:noProof/>
                <w:webHidden/>
              </w:rPr>
              <w:instrText xml:space="preserve"> PAGEREF _Toc223178100 \h </w:instrText>
            </w:r>
            <w:r w:rsidRPr="00455AE4">
              <w:rPr>
                <w:noProof/>
                <w:webHidden/>
              </w:rPr>
            </w:r>
            <w:r w:rsidRPr="00455AE4">
              <w:rPr>
                <w:noProof/>
                <w:webHidden/>
              </w:rPr>
              <w:fldChar w:fldCharType="separate"/>
            </w:r>
            <w:r w:rsidRPr="00455AE4">
              <w:rPr>
                <w:noProof/>
                <w:webHidden/>
              </w:rPr>
              <w:t>3</w:t>
            </w:r>
            <w:r w:rsidRPr="00455AE4">
              <w:rPr>
                <w:noProof/>
                <w:webHidden/>
              </w:rPr>
              <w:fldChar w:fldCharType="end"/>
            </w:r>
          </w:hyperlink>
        </w:p>
        <w:p w14:paraId="2FE5EB07" w14:textId="77777777" w:rsidR="00727622" w:rsidRPr="00455AE4" w:rsidRDefault="00727622" w:rsidP="00455AE4">
          <w:pPr>
            <w:pStyle w:val="TOC1"/>
            <w:tabs>
              <w:tab w:val="right" w:leader="dot" w:pos="9019"/>
            </w:tabs>
            <w:rPr>
              <w:noProof/>
            </w:rPr>
          </w:pPr>
          <w:hyperlink w:anchor="_Toc223178101" w:history="1">
            <w:r w:rsidRPr="00455AE4">
              <w:rPr>
                <w:rStyle w:val="Hyperlink"/>
                <w:noProof/>
                <w:lang w:val="en-GB"/>
              </w:rPr>
              <w:t>3. Importance of Good Administrative Skills in Mr. Ahmed’s Care</w:t>
            </w:r>
            <w:r w:rsidRPr="00455AE4">
              <w:rPr>
                <w:noProof/>
                <w:webHidden/>
              </w:rPr>
              <w:tab/>
            </w:r>
            <w:r w:rsidRPr="00455AE4">
              <w:rPr>
                <w:noProof/>
                <w:webHidden/>
              </w:rPr>
              <w:fldChar w:fldCharType="begin"/>
            </w:r>
            <w:r w:rsidRPr="00455AE4">
              <w:rPr>
                <w:noProof/>
                <w:webHidden/>
              </w:rPr>
              <w:instrText xml:space="preserve"> PAGEREF _Toc223178101 \h </w:instrText>
            </w:r>
            <w:r w:rsidRPr="00455AE4">
              <w:rPr>
                <w:noProof/>
                <w:webHidden/>
              </w:rPr>
            </w:r>
            <w:r w:rsidRPr="00455AE4">
              <w:rPr>
                <w:noProof/>
                <w:webHidden/>
              </w:rPr>
              <w:fldChar w:fldCharType="separate"/>
            </w:r>
            <w:r w:rsidRPr="00455AE4">
              <w:rPr>
                <w:noProof/>
                <w:webHidden/>
              </w:rPr>
              <w:t>4</w:t>
            </w:r>
            <w:r w:rsidRPr="00455AE4">
              <w:rPr>
                <w:noProof/>
                <w:webHidden/>
              </w:rPr>
              <w:fldChar w:fldCharType="end"/>
            </w:r>
          </w:hyperlink>
        </w:p>
        <w:p w14:paraId="2FE5EB08" w14:textId="77777777" w:rsidR="00727622" w:rsidRPr="00455AE4" w:rsidRDefault="00727622" w:rsidP="00455AE4">
          <w:pPr>
            <w:pStyle w:val="TOC1"/>
            <w:tabs>
              <w:tab w:val="right" w:leader="dot" w:pos="9019"/>
            </w:tabs>
            <w:rPr>
              <w:noProof/>
            </w:rPr>
          </w:pPr>
          <w:hyperlink w:anchor="_Toc223178102" w:history="1">
            <w:r w:rsidRPr="00455AE4">
              <w:rPr>
                <w:rStyle w:val="Hyperlink"/>
                <w:noProof/>
                <w:lang w:val="en-GB"/>
              </w:rPr>
              <w:t>4. Importance of Collaborative Working</w:t>
            </w:r>
            <w:r w:rsidRPr="00455AE4">
              <w:rPr>
                <w:noProof/>
                <w:webHidden/>
              </w:rPr>
              <w:tab/>
            </w:r>
            <w:r w:rsidRPr="00455AE4">
              <w:rPr>
                <w:noProof/>
                <w:webHidden/>
              </w:rPr>
              <w:fldChar w:fldCharType="begin"/>
            </w:r>
            <w:r w:rsidRPr="00455AE4">
              <w:rPr>
                <w:noProof/>
                <w:webHidden/>
              </w:rPr>
              <w:instrText xml:space="preserve"> PAGEREF _Toc223178102 \h </w:instrText>
            </w:r>
            <w:r w:rsidRPr="00455AE4">
              <w:rPr>
                <w:noProof/>
                <w:webHidden/>
              </w:rPr>
            </w:r>
            <w:r w:rsidRPr="00455AE4">
              <w:rPr>
                <w:noProof/>
                <w:webHidden/>
              </w:rPr>
              <w:fldChar w:fldCharType="separate"/>
            </w:r>
            <w:r w:rsidRPr="00455AE4">
              <w:rPr>
                <w:noProof/>
                <w:webHidden/>
              </w:rPr>
              <w:t>5</w:t>
            </w:r>
            <w:r w:rsidRPr="00455AE4">
              <w:rPr>
                <w:noProof/>
                <w:webHidden/>
              </w:rPr>
              <w:fldChar w:fldCharType="end"/>
            </w:r>
          </w:hyperlink>
        </w:p>
        <w:p w14:paraId="2FE5EB09" w14:textId="53BE438F" w:rsidR="00727622" w:rsidRPr="00455AE4" w:rsidRDefault="00727622" w:rsidP="00455AE4">
          <w:pPr>
            <w:pStyle w:val="TOC1"/>
            <w:tabs>
              <w:tab w:val="right" w:leader="dot" w:pos="9019"/>
            </w:tabs>
            <w:rPr>
              <w:noProof/>
            </w:rPr>
          </w:pPr>
          <w:hyperlink w:anchor="_Toc223178103" w:history="1">
            <w:r w:rsidRPr="00455AE4">
              <w:rPr>
                <w:rStyle w:val="Hyperlink"/>
                <w:noProof/>
                <w:lang w:val="en-GB"/>
              </w:rPr>
              <w:t>5. Conclusion</w:t>
            </w:r>
            <w:r w:rsidRPr="00455AE4">
              <w:rPr>
                <w:noProof/>
                <w:webHidden/>
              </w:rPr>
              <w:tab/>
            </w:r>
            <w:r w:rsidRPr="00455AE4">
              <w:rPr>
                <w:noProof/>
                <w:webHidden/>
              </w:rPr>
              <w:fldChar w:fldCharType="begin"/>
            </w:r>
            <w:r w:rsidRPr="00455AE4">
              <w:rPr>
                <w:noProof/>
                <w:webHidden/>
              </w:rPr>
              <w:instrText xml:space="preserve"> PAGEREF _Toc223178103 \h </w:instrText>
            </w:r>
            <w:r w:rsidRPr="00455AE4">
              <w:rPr>
                <w:noProof/>
                <w:webHidden/>
              </w:rPr>
            </w:r>
            <w:r w:rsidRPr="00455AE4">
              <w:rPr>
                <w:noProof/>
                <w:webHidden/>
              </w:rPr>
              <w:fldChar w:fldCharType="separate"/>
            </w:r>
            <w:r w:rsidRPr="00455AE4">
              <w:rPr>
                <w:noProof/>
                <w:webHidden/>
              </w:rPr>
              <w:t>5</w:t>
            </w:r>
            <w:r w:rsidRPr="00455AE4">
              <w:rPr>
                <w:noProof/>
                <w:webHidden/>
              </w:rPr>
              <w:fldChar w:fldCharType="end"/>
            </w:r>
          </w:hyperlink>
          <w:r w:rsidR="00077D17" w:rsidRPr="00455AE4">
            <w:t>-6</w:t>
          </w:r>
        </w:p>
        <w:p w14:paraId="2FE5EB0A" w14:textId="77777777" w:rsidR="00727622" w:rsidRPr="00455AE4" w:rsidRDefault="00727622" w:rsidP="00455AE4">
          <w:pPr>
            <w:pStyle w:val="TOC1"/>
            <w:tabs>
              <w:tab w:val="right" w:leader="dot" w:pos="9019"/>
            </w:tabs>
            <w:rPr>
              <w:noProof/>
            </w:rPr>
          </w:pPr>
          <w:hyperlink w:anchor="_Toc223178104" w:history="1">
            <w:r w:rsidRPr="00455AE4">
              <w:rPr>
                <w:rStyle w:val="Hyperlink"/>
                <w:noProof/>
                <w:lang w:val="en-GB"/>
              </w:rPr>
              <w:t>References</w:t>
            </w:r>
            <w:r w:rsidRPr="00455AE4">
              <w:rPr>
                <w:noProof/>
                <w:webHidden/>
              </w:rPr>
              <w:tab/>
            </w:r>
            <w:r w:rsidRPr="00455AE4">
              <w:rPr>
                <w:noProof/>
                <w:webHidden/>
              </w:rPr>
              <w:fldChar w:fldCharType="begin"/>
            </w:r>
            <w:r w:rsidRPr="00455AE4">
              <w:rPr>
                <w:noProof/>
                <w:webHidden/>
              </w:rPr>
              <w:instrText xml:space="preserve"> PAGEREF _Toc223178104 \h </w:instrText>
            </w:r>
            <w:r w:rsidRPr="00455AE4">
              <w:rPr>
                <w:noProof/>
                <w:webHidden/>
              </w:rPr>
            </w:r>
            <w:r w:rsidRPr="00455AE4">
              <w:rPr>
                <w:noProof/>
                <w:webHidden/>
              </w:rPr>
              <w:fldChar w:fldCharType="separate"/>
            </w:r>
            <w:r w:rsidRPr="00455AE4">
              <w:rPr>
                <w:noProof/>
                <w:webHidden/>
              </w:rPr>
              <w:t>7</w:t>
            </w:r>
            <w:r w:rsidRPr="00455AE4">
              <w:rPr>
                <w:noProof/>
                <w:webHidden/>
              </w:rPr>
              <w:fldChar w:fldCharType="end"/>
            </w:r>
          </w:hyperlink>
        </w:p>
        <w:p w14:paraId="2FE5EB0B" w14:textId="77777777" w:rsidR="00727622" w:rsidRPr="00455AE4" w:rsidRDefault="00727622" w:rsidP="00455AE4">
          <w:r w:rsidRPr="00455AE4">
            <w:rPr>
              <w:b/>
              <w:bCs/>
              <w:noProof/>
            </w:rPr>
            <w:fldChar w:fldCharType="end"/>
          </w:r>
        </w:p>
      </w:sdtContent>
    </w:sdt>
    <w:p w14:paraId="2FE5EB0C" w14:textId="77777777" w:rsidR="00727622" w:rsidRPr="00455AE4" w:rsidRDefault="00727622" w:rsidP="00455AE4">
      <w:pPr>
        <w:rPr>
          <w:b/>
          <w:bCs/>
          <w:lang w:val="en-GB"/>
        </w:rPr>
      </w:pPr>
      <w:r w:rsidRPr="00455AE4">
        <w:rPr>
          <w:lang w:val="en-GB"/>
        </w:rPr>
        <w:br w:type="page"/>
      </w:r>
    </w:p>
    <w:p w14:paraId="2FE5EB0D" w14:textId="77777777" w:rsidR="004D4347" w:rsidRPr="00455AE4" w:rsidRDefault="007D7BDB" w:rsidP="00455AE4">
      <w:pPr>
        <w:pStyle w:val="Heading1"/>
        <w:rPr>
          <w:sz w:val="22"/>
          <w:szCs w:val="22"/>
          <w:lang w:val="en-GB"/>
        </w:rPr>
      </w:pPr>
      <w:bookmarkStart w:id="1" w:name="_Toc223178099"/>
      <w:r w:rsidRPr="00455AE4">
        <w:rPr>
          <w:sz w:val="22"/>
          <w:szCs w:val="22"/>
          <w:lang w:val="en-GB"/>
        </w:rPr>
        <w:lastRenderedPageBreak/>
        <w:t>1. Introduction</w:t>
      </w:r>
      <w:bookmarkEnd w:id="1"/>
      <w:r w:rsidRPr="00455AE4">
        <w:rPr>
          <w:sz w:val="22"/>
          <w:szCs w:val="22"/>
          <w:lang w:val="en-GB"/>
        </w:rPr>
        <w:t xml:space="preserve"> </w:t>
      </w:r>
    </w:p>
    <w:p w14:paraId="2FE5EB0E" w14:textId="77777777" w:rsidR="004D4347" w:rsidRPr="00455AE4" w:rsidRDefault="007D7BDB" w:rsidP="00455AE4">
      <w:pPr>
        <w:rPr>
          <w:lang w:val="en-GB"/>
        </w:rPr>
      </w:pPr>
      <w:r w:rsidRPr="00455AE4">
        <w:rPr>
          <w:lang w:val="en-GB"/>
        </w:rPr>
        <w:t>In this report, the author argues about treating Mr. Ahmed, a 68-year-old man, who survived a stroke. He is living with his wife and is assisted by a specialised care agency thrice per day. Moreover, various health-care providers are availed such as the general practitioner, a district nurse, and a speech and language therapist. Mr. Ahmed also speaks the native language, Bengali, and faces difficulties in understanding very complicated English. This means that his wife often plays an intermediary between him and the health-care providers. Late routine visits have led to medication adherence failures on the part of Mr. Ahmed, which makes the inter-professional team suspicious about communication, medication administration, and teamwork. This report expounds on the value of proper communication in the case of Mr. Ahmed, describes how a good administration department, which includes record keeping and data protection, as well as the importance of the interviewees involved in his care collaborating are important.</w:t>
      </w:r>
    </w:p>
    <w:p w14:paraId="35E66D75" w14:textId="77777777" w:rsidR="00A8427E" w:rsidRPr="00455AE4" w:rsidRDefault="00A8427E" w:rsidP="00455AE4">
      <w:pPr>
        <w:rPr>
          <w:lang w:val="en-GB"/>
        </w:rPr>
      </w:pPr>
    </w:p>
    <w:p w14:paraId="2FE5EB0F" w14:textId="77777777" w:rsidR="004D4347" w:rsidRPr="00455AE4" w:rsidRDefault="007D7BDB" w:rsidP="00455AE4">
      <w:pPr>
        <w:pStyle w:val="Heading1"/>
        <w:rPr>
          <w:sz w:val="22"/>
          <w:szCs w:val="22"/>
          <w:lang w:val="en-GB"/>
        </w:rPr>
      </w:pPr>
      <w:bookmarkStart w:id="2" w:name="_ekhvvnpemhsq" w:colFirst="0" w:colLast="0"/>
      <w:bookmarkStart w:id="3" w:name="_Toc223178100"/>
      <w:bookmarkEnd w:id="2"/>
      <w:r w:rsidRPr="00455AE4">
        <w:rPr>
          <w:sz w:val="22"/>
          <w:szCs w:val="22"/>
          <w:lang w:val="en-GB"/>
        </w:rPr>
        <w:t>2. Importance of Effective Communication in Mr. Ahmed’s Care</w:t>
      </w:r>
      <w:bookmarkEnd w:id="3"/>
      <w:r w:rsidRPr="00455AE4">
        <w:rPr>
          <w:sz w:val="22"/>
          <w:szCs w:val="22"/>
          <w:lang w:val="en-GB"/>
        </w:rPr>
        <w:t xml:space="preserve"> </w:t>
      </w:r>
    </w:p>
    <w:p w14:paraId="2FE5EB10" w14:textId="77777777" w:rsidR="004D4347" w:rsidRPr="00455AE4" w:rsidRDefault="007D7BDB" w:rsidP="00455AE4">
      <w:pPr>
        <w:rPr>
          <w:lang w:val="en-GB"/>
        </w:rPr>
      </w:pPr>
      <w:r w:rsidRPr="00455AE4">
        <w:rPr>
          <w:lang w:val="en-GB"/>
        </w:rPr>
        <w:t>The care of Mr. Ahmed will require effective communication because of the consequences of stroke and a language barrier. The stroke survivors are usually typified by the inability to produce, comprehend, and swallow; with a fluent command of the Bengali language, but a limited command of English, Mr. Ahmed is further affected by this dual language problem. Clear and respectful communication in simple and straightforward English, formatted in short sentences and spoken in slow rate, is necessary. To establish understanding, it is possible to ask Mr. Ahmed to paraphrase information. Supportive measures to the understanding include written instructions in Bengali, visual aids, and gestures. A professional interpreter must be hired when there is a need, not to provide his wife with the resources, because Mr. Ahmed also should not suffer as his voice is interpreted.</w:t>
      </w:r>
    </w:p>
    <w:p w14:paraId="2FE5EB11" w14:textId="77777777" w:rsidR="004D4347" w:rsidRPr="00455AE4" w:rsidRDefault="007D7BDB" w:rsidP="00455AE4">
      <w:pPr>
        <w:rPr>
          <w:lang w:val="en-GB"/>
        </w:rPr>
      </w:pPr>
      <w:r w:rsidRPr="00455AE4">
        <w:rPr>
          <w:lang w:val="en-GB"/>
        </w:rPr>
        <w:t xml:space="preserve">It is especially applicable to the Equality Act 2010. The Act guards against discrimination based on such characteristics as age, disability, and ethnicity (legislation.gov.uk, 2026). The fact that Mr. Ahmed is an individual with post-stroke disability and an ethnic minority requires a health-care provider to make the best adjustments possible, such as language support and special communication techniques. Equality is not only the ability to treat everyone the same way, but support should be established </w:t>
      </w:r>
      <w:proofErr w:type="gramStart"/>
      <w:r w:rsidRPr="00455AE4">
        <w:rPr>
          <w:lang w:val="en-GB"/>
        </w:rPr>
        <w:t>in order to</w:t>
      </w:r>
      <w:proofErr w:type="gramEnd"/>
      <w:r w:rsidRPr="00455AE4">
        <w:rPr>
          <w:lang w:val="en-GB"/>
        </w:rPr>
        <w:t xml:space="preserve"> grant access to safe and effective care. The Shannon and Weaver model of communication comes in handy in this context. It demonstrates the method of passing a message from the sender to the receiver </w:t>
      </w:r>
      <w:proofErr w:type="gramStart"/>
      <w:r w:rsidRPr="00455AE4">
        <w:rPr>
          <w:lang w:val="en-GB"/>
        </w:rPr>
        <w:t>and also</w:t>
      </w:r>
      <w:proofErr w:type="gramEnd"/>
      <w:r w:rsidRPr="00455AE4">
        <w:rPr>
          <w:lang w:val="en-GB"/>
        </w:rPr>
        <w:t xml:space="preserve"> recognizes the fact that noise, linguistic differences, hearing impairment, and post-stroke speech disorders </w:t>
      </w:r>
      <w:proofErr w:type="gramStart"/>
      <w:r w:rsidRPr="00455AE4">
        <w:rPr>
          <w:lang w:val="en-GB"/>
        </w:rPr>
        <w:t>are able to</w:t>
      </w:r>
      <w:proofErr w:type="gramEnd"/>
      <w:r w:rsidRPr="00455AE4">
        <w:rPr>
          <w:lang w:val="en-GB"/>
        </w:rPr>
        <w:t xml:space="preserve"> alter this message (</w:t>
      </w:r>
      <w:proofErr w:type="spellStart"/>
      <w:r w:rsidRPr="00455AE4">
        <w:rPr>
          <w:lang w:val="en-GB"/>
        </w:rPr>
        <w:t>Omojuwa</w:t>
      </w:r>
      <w:proofErr w:type="spellEnd"/>
      <w:r w:rsidRPr="00455AE4">
        <w:rPr>
          <w:lang w:val="en-GB"/>
        </w:rPr>
        <w:t xml:space="preserve">, 2025). It has mitigation strategies such as a quiet environment, eye contact, and a check of understanding by feedback. In an </w:t>
      </w:r>
      <w:r w:rsidRPr="00455AE4">
        <w:rPr>
          <w:lang w:val="en-GB"/>
        </w:rPr>
        <w:lastRenderedPageBreak/>
        <w:t xml:space="preserve">instance, the care worker ought to ask Mr. Ahmed or his wife confirm that the medication schedule recommended has been </w:t>
      </w:r>
      <w:proofErr w:type="gramStart"/>
      <w:r w:rsidRPr="00455AE4">
        <w:rPr>
          <w:lang w:val="en-GB"/>
        </w:rPr>
        <w:t>followed after</w:t>
      </w:r>
      <w:proofErr w:type="gramEnd"/>
      <w:r w:rsidRPr="00455AE4">
        <w:rPr>
          <w:lang w:val="en-GB"/>
        </w:rPr>
        <w:t xml:space="preserve"> the explanation.</w:t>
      </w:r>
    </w:p>
    <w:p w14:paraId="2FE5EB12" w14:textId="77777777" w:rsidR="004D4347" w:rsidRPr="00455AE4" w:rsidRDefault="007D7BDB" w:rsidP="00455AE4">
      <w:pPr>
        <w:rPr>
          <w:lang w:val="en-GB"/>
        </w:rPr>
      </w:pPr>
      <w:r w:rsidRPr="00455AE4">
        <w:rPr>
          <w:lang w:val="en-GB"/>
        </w:rPr>
        <w:t>Communication is an element that builds trust between Mr. Ahmed and his wife, in addition to his care team. Hurried reporting of issues prevents mistakes, such as errors related to documentation. This trust is further promoted by showing respect to the cultural preferences and personal interests of Mr. Ahmed as they are based on the principles of person -centred care. In the end, it is by encouraging the presence of health, dignity, and quality of life through effective, open communication means.</w:t>
      </w:r>
    </w:p>
    <w:p w14:paraId="3A4AF9B2" w14:textId="77777777" w:rsidR="00A8427E" w:rsidRPr="00455AE4" w:rsidRDefault="00A8427E" w:rsidP="00455AE4">
      <w:pPr>
        <w:rPr>
          <w:lang w:val="en-GB"/>
        </w:rPr>
      </w:pPr>
    </w:p>
    <w:p w14:paraId="2FE5EB13" w14:textId="77777777" w:rsidR="004D4347" w:rsidRPr="00455AE4" w:rsidRDefault="007D7BDB" w:rsidP="00455AE4">
      <w:pPr>
        <w:pStyle w:val="Heading1"/>
        <w:rPr>
          <w:sz w:val="22"/>
          <w:szCs w:val="22"/>
          <w:lang w:val="en-GB"/>
        </w:rPr>
      </w:pPr>
      <w:bookmarkStart w:id="4" w:name="_5n4umbl09qvg" w:colFirst="0" w:colLast="0"/>
      <w:bookmarkStart w:id="5" w:name="_Toc223178101"/>
      <w:bookmarkEnd w:id="4"/>
      <w:r w:rsidRPr="00455AE4">
        <w:rPr>
          <w:sz w:val="22"/>
          <w:szCs w:val="22"/>
          <w:lang w:val="en-GB"/>
        </w:rPr>
        <w:t>3. Importance of Good Administrative Skills in Mr. Ahmed’s Care</w:t>
      </w:r>
      <w:bookmarkEnd w:id="5"/>
    </w:p>
    <w:p w14:paraId="2FE5EB14" w14:textId="77777777" w:rsidR="004D4347" w:rsidRPr="00455AE4" w:rsidRDefault="007D7BDB" w:rsidP="00455AE4">
      <w:pPr>
        <w:rPr>
          <w:lang w:val="en-GB"/>
        </w:rPr>
      </w:pPr>
      <w:r w:rsidRPr="00455AE4">
        <w:rPr>
          <w:lang w:val="en-GB"/>
        </w:rPr>
        <w:t xml:space="preserve">The vital administrative competencies needed in taking care of Mr. Ahmed are those of safety and accountability safeguards, and continuity of care. The other responsibilities in administration include the accurate keeping of records, reporting of incidents, scheduling of appointments, and keeping of drug information. Specific attention is given to record keeping, as a prior missed visit resulted in a missed dosage of medication. Care workers need to record all the interactions they have with the patient, including arrival time and departure time, medications to be used, and other interesting observations (Fabbri </w:t>
      </w:r>
      <w:r w:rsidRPr="00455AE4">
        <w:rPr>
          <w:i/>
          <w:iCs/>
          <w:lang w:val="en-GB"/>
        </w:rPr>
        <w:t>et al</w:t>
      </w:r>
      <w:r w:rsidRPr="00455AE4">
        <w:rPr>
          <w:lang w:val="en-GB"/>
        </w:rPr>
        <w:t>., 2024). Any break of the set routine must be noted and reported immediately, following organisational incident-reporting algorithms. Proper documentation is used to define operational failures, and it aids in reducing risk in the future.</w:t>
      </w:r>
    </w:p>
    <w:p w14:paraId="2FE5EB15" w14:textId="77777777" w:rsidR="004D4347" w:rsidRPr="00455AE4" w:rsidRDefault="007D7BDB" w:rsidP="00455AE4">
      <w:pPr>
        <w:rPr>
          <w:lang w:val="en-GB"/>
        </w:rPr>
      </w:pPr>
      <w:r w:rsidRPr="00455AE4">
        <w:rPr>
          <w:lang w:val="en-GB"/>
        </w:rPr>
        <w:t>The Data Protection Act 2018 provides some protection for the safe processing of personal data. Under the Act, the processing of information concerning patients should be done objectively, transparently, and legally. Access to the health records, contact, and health records of Mr. Ahmed may only be accessed by professionals directly engaged in the treatment of Mr. Ahmed, such as the GP, District nurse, and other authorized employees. It is highly forbidden to disclose them to third parties. Under UK GDPR, organisations involved in healthcare should make sure that the data is correct, current, safe, and kept within the minimum possible time (Tzanou, 2023). The current measures, such as ensuring password-secured electronic records and protecting paper records, are also practical and accompanied by continuous preparation of staff on matters of data-protection and confidentiality expectations (Jarva, 2024).</w:t>
      </w:r>
    </w:p>
    <w:p w14:paraId="2FE5EB16" w14:textId="77777777" w:rsidR="004D4347" w:rsidRPr="00455AE4" w:rsidRDefault="007D7BDB" w:rsidP="00455AE4">
      <w:pPr>
        <w:rPr>
          <w:lang w:val="en-GB"/>
        </w:rPr>
      </w:pPr>
      <w:r w:rsidRPr="00455AE4">
        <w:rPr>
          <w:lang w:val="en-GB"/>
        </w:rPr>
        <w:t xml:space="preserve">The Care Act 2014 supports the importance of the appropriate documentation, especially in the case of vulnerable adults (legislation.gov.uk, 2026). Being a vulnerable person with a stroke, Mr. Ahmed is at risk in case it is visited and negligence is not immediately diagnosed. With strong record keeping and prompt, simple reporting of the incident, the organisation will show responsibility and care that Mr. Ahmed will not be hurt. The Medication management </w:t>
      </w:r>
      <w:r w:rsidRPr="00455AE4">
        <w:rPr>
          <w:lang w:val="en-GB"/>
        </w:rPr>
        <w:lastRenderedPageBreak/>
        <w:t xml:space="preserve">policies give guidelines on the safe administration of medicine and record keeping. After every dose, a Medication Administration Record (MAR) chart should be signed. In case the medication is not taken accidentally, the cause should be well written and communicated to the GP, where necessary (Maddock </w:t>
      </w:r>
      <w:r w:rsidRPr="00455AE4">
        <w:rPr>
          <w:i/>
          <w:iCs/>
          <w:lang w:val="en-GB"/>
        </w:rPr>
        <w:t>et al</w:t>
      </w:r>
      <w:r w:rsidRPr="00455AE4">
        <w:rPr>
          <w:lang w:val="en-GB"/>
        </w:rPr>
        <w:t>., 2022). The administrative competence helps in proper scheduling and intra-departmental communication. Managers need to be cautious when making visits and covering the gaps in case of the absence of staff. Strong scheduling programmes minimize the chances of a lack of appointments.</w:t>
      </w:r>
    </w:p>
    <w:p w14:paraId="4900655E" w14:textId="77777777" w:rsidR="00A8427E" w:rsidRPr="00455AE4" w:rsidRDefault="00A8427E" w:rsidP="00455AE4">
      <w:pPr>
        <w:rPr>
          <w:lang w:val="en-GB"/>
        </w:rPr>
      </w:pPr>
    </w:p>
    <w:p w14:paraId="2FE5EB17" w14:textId="77777777" w:rsidR="004D4347" w:rsidRPr="00455AE4" w:rsidRDefault="007D7BDB" w:rsidP="00455AE4">
      <w:pPr>
        <w:pStyle w:val="Heading1"/>
        <w:rPr>
          <w:sz w:val="22"/>
          <w:szCs w:val="22"/>
          <w:lang w:val="en-GB"/>
        </w:rPr>
      </w:pPr>
      <w:bookmarkStart w:id="6" w:name="_i75hkbimitqd" w:colFirst="0" w:colLast="0"/>
      <w:bookmarkStart w:id="7" w:name="_Toc223178102"/>
      <w:bookmarkEnd w:id="6"/>
      <w:r w:rsidRPr="00455AE4">
        <w:rPr>
          <w:sz w:val="22"/>
          <w:szCs w:val="22"/>
          <w:lang w:val="en-GB"/>
        </w:rPr>
        <w:t>4. Importance of Collaborative Working</w:t>
      </w:r>
      <w:bookmarkEnd w:id="7"/>
    </w:p>
    <w:p w14:paraId="2FE5EB18" w14:textId="77777777" w:rsidR="004D4347" w:rsidRPr="00455AE4" w:rsidRDefault="007D7BDB" w:rsidP="00455AE4">
      <w:pPr>
        <w:rPr>
          <w:lang w:val="en-GB"/>
        </w:rPr>
      </w:pPr>
      <w:r w:rsidRPr="00455AE4">
        <w:rPr>
          <w:lang w:val="en-GB"/>
        </w:rPr>
        <w:t xml:space="preserve">Mr. Ahmed will </w:t>
      </w:r>
      <w:proofErr w:type="gramStart"/>
      <w:r w:rsidRPr="00455AE4">
        <w:rPr>
          <w:lang w:val="en-GB"/>
        </w:rPr>
        <w:t>be in need of</w:t>
      </w:r>
      <w:proofErr w:type="gramEnd"/>
      <w:r w:rsidRPr="00455AE4">
        <w:rPr>
          <w:lang w:val="en-GB"/>
        </w:rPr>
        <w:t xml:space="preserve"> collaborative working since he will have a variety of professionals working with him, such as the GP, district nurse, speech and language therapist, and domiciliary care workers. The professionals who have different roles </w:t>
      </w:r>
      <w:proofErr w:type="gramStart"/>
      <w:r w:rsidRPr="00455AE4">
        <w:rPr>
          <w:lang w:val="en-GB"/>
        </w:rPr>
        <w:t>have to</w:t>
      </w:r>
      <w:proofErr w:type="gramEnd"/>
      <w:r w:rsidRPr="00455AE4">
        <w:rPr>
          <w:lang w:val="en-GB"/>
        </w:rPr>
        <w:t xml:space="preserve"> collaborate </w:t>
      </w:r>
      <w:proofErr w:type="gramStart"/>
      <w:r w:rsidRPr="00455AE4">
        <w:rPr>
          <w:lang w:val="en-GB"/>
        </w:rPr>
        <w:t>in order to</w:t>
      </w:r>
      <w:proofErr w:type="gramEnd"/>
      <w:r w:rsidRPr="00455AE4">
        <w:rPr>
          <w:lang w:val="en-GB"/>
        </w:rPr>
        <w:t xml:space="preserve"> deliver coordinated care, even though they have specific functions (Persson </w:t>
      </w:r>
      <w:r w:rsidRPr="00455AE4">
        <w:rPr>
          <w:i/>
          <w:iCs/>
          <w:lang w:val="en-GB"/>
        </w:rPr>
        <w:t>et al</w:t>
      </w:r>
      <w:r w:rsidRPr="00455AE4">
        <w:rPr>
          <w:lang w:val="en-GB"/>
        </w:rPr>
        <w:t>., 2022). Frequent and open exchange of information will lead to good cooperation. The needs of Mr. Ahmed can be learned by all stakeholders with the help of the team meetings, joint care plans, and continuously updated records. In other words, in case the speech and language therapist alters his swallowing routine, he or she should notify the care staff to make safe food.</w:t>
      </w:r>
    </w:p>
    <w:p w14:paraId="2FE5EB19" w14:textId="77777777" w:rsidR="004D4347" w:rsidRPr="00455AE4" w:rsidRDefault="007D7BDB" w:rsidP="00455AE4">
      <w:pPr>
        <w:rPr>
          <w:lang w:val="en-GB"/>
        </w:rPr>
      </w:pPr>
      <w:r w:rsidRPr="00455AE4">
        <w:rPr>
          <w:lang w:val="en-GB"/>
        </w:rPr>
        <w:t xml:space="preserve">Another strategy that can be used to promote collaboration is person-centred care planning; in this approach, all professionals will focus on the goals and preferences of Ahmed. The second flaw </w:t>
      </w:r>
      <w:proofErr w:type="gramStart"/>
      <w:r w:rsidRPr="00455AE4">
        <w:rPr>
          <w:lang w:val="en-GB"/>
        </w:rPr>
        <w:t>in the area of</w:t>
      </w:r>
      <w:proofErr w:type="gramEnd"/>
      <w:r w:rsidRPr="00455AE4">
        <w:rPr>
          <w:lang w:val="en-GB"/>
        </w:rPr>
        <w:t xml:space="preserve"> the establishment of effective communication channels must be addressed next </w:t>
      </w:r>
      <w:proofErr w:type="gramStart"/>
      <w:r w:rsidRPr="00455AE4">
        <w:rPr>
          <w:lang w:val="en-GB"/>
        </w:rPr>
        <w:t>in order to</w:t>
      </w:r>
      <w:proofErr w:type="gramEnd"/>
      <w:r w:rsidRPr="00455AE4">
        <w:rPr>
          <w:lang w:val="en-GB"/>
        </w:rPr>
        <w:t xml:space="preserve"> reinforce teamwork, such as effective communications via a secure email or shared electronic records. However, several obstacles are involved in multi- agency cooperation, such as a lack of communication, division of responsibility, time management, and cultural differences (Okolo </w:t>
      </w:r>
      <w:r w:rsidRPr="00455AE4">
        <w:rPr>
          <w:i/>
          <w:iCs/>
          <w:lang w:val="en-GB"/>
        </w:rPr>
        <w:t>et al</w:t>
      </w:r>
      <w:r w:rsidRPr="00455AE4">
        <w:rPr>
          <w:lang w:val="en-GB"/>
        </w:rPr>
        <w:t>., 2022). As an example, in case the care agency is unable to inform the district nurse about a missed drug, it can adversely impact health outcomes. These problems can be solved through defining roles and responsibilities, conducting regular team meetings, and open reporting systems, which are adopted by organisations. Findings imply the use of a key worker or perspective organizer to provide the movement of information between professionals. In addition, admiration of the professional scope and competence of every party also enhances collaboration (</w:t>
      </w:r>
      <w:proofErr w:type="spellStart"/>
      <w:r w:rsidRPr="00455AE4">
        <w:rPr>
          <w:lang w:val="en-GB"/>
        </w:rPr>
        <w:t>Dowongi</w:t>
      </w:r>
      <w:proofErr w:type="spellEnd"/>
      <w:r w:rsidRPr="00455AE4">
        <w:rPr>
          <w:lang w:val="en-GB"/>
        </w:rPr>
        <w:t xml:space="preserve"> </w:t>
      </w:r>
      <w:r w:rsidRPr="00455AE4">
        <w:rPr>
          <w:i/>
          <w:iCs/>
          <w:lang w:val="en-GB"/>
        </w:rPr>
        <w:t>et al</w:t>
      </w:r>
      <w:r w:rsidRPr="00455AE4">
        <w:rPr>
          <w:lang w:val="en-GB"/>
        </w:rPr>
        <w:t>., 2025). Effective collaboration eliminates risks, not duplicating efforts, and is the means to guarantee Mr. Ahmed can be taken care of safely, continuously, and of high quality.</w:t>
      </w:r>
    </w:p>
    <w:p w14:paraId="7B26DEFF" w14:textId="77777777" w:rsidR="00A8427E" w:rsidRPr="00455AE4" w:rsidRDefault="00A8427E" w:rsidP="00455AE4">
      <w:pPr>
        <w:rPr>
          <w:lang w:val="en-GB"/>
        </w:rPr>
      </w:pPr>
    </w:p>
    <w:p w14:paraId="2FE5EB1A" w14:textId="77777777" w:rsidR="004D4347" w:rsidRPr="00455AE4" w:rsidRDefault="007D7BDB" w:rsidP="00455AE4">
      <w:pPr>
        <w:pStyle w:val="Heading1"/>
        <w:rPr>
          <w:sz w:val="22"/>
          <w:szCs w:val="22"/>
          <w:lang w:val="en-GB"/>
        </w:rPr>
      </w:pPr>
      <w:bookmarkStart w:id="8" w:name="_7mdm2awxz32w" w:colFirst="0" w:colLast="0"/>
      <w:bookmarkStart w:id="9" w:name="_Toc223178103"/>
      <w:bookmarkEnd w:id="8"/>
      <w:r w:rsidRPr="00455AE4">
        <w:rPr>
          <w:sz w:val="22"/>
          <w:szCs w:val="22"/>
          <w:lang w:val="en-GB"/>
        </w:rPr>
        <w:t>5. Conclusion</w:t>
      </w:r>
      <w:bookmarkEnd w:id="9"/>
      <w:r w:rsidRPr="00455AE4">
        <w:rPr>
          <w:sz w:val="22"/>
          <w:szCs w:val="22"/>
          <w:lang w:val="en-GB"/>
        </w:rPr>
        <w:t xml:space="preserve"> </w:t>
      </w:r>
    </w:p>
    <w:p w14:paraId="2FE5EB1B" w14:textId="77777777" w:rsidR="004D4347" w:rsidRPr="00455AE4" w:rsidRDefault="007D7BDB" w:rsidP="00455AE4">
      <w:pPr>
        <w:rPr>
          <w:lang w:val="en-GB"/>
        </w:rPr>
      </w:pPr>
      <w:r w:rsidRPr="00455AE4">
        <w:rPr>
          <w:lang w:val="en-GB"/>
        </w:rPr>
        <w:t xml:space="preserve">Conclusively, effective communication, proper administration, and collaboration are indispensable in the care of Mr. Ahmed. His communication should be straightforward, </w:t>
      </w:r>
      <w:r w:rsidRPr="00455AE4">
        <w:rPr>
          <w:lang w:val="en-GB"/>
        </w:rPr>
        <w:lastRenderedPageBreak/>
        <w:t>interesting, and, to the extent that he can manage, as he has a stroke and speech requirements. The Equality Act 2010 protects fair treatment and reasonable accommodation. The right of Mr. Ahmed to protection and the confidentiality of his information can be ensured by means of proper administrative practice, such as the observance of meticulous records and the Data Protection Act 2018. The failure in reporting and documentation highlighted as an issue in the recently highlighted missed visit explains the reason why an appropriate documentation and reporting mechanism is important. Lastly, it is integral and individualized care offered by the cooperation of all GPs, district nurses, speech and language therapists, and domiciliary workers. Utilizing effective communication and cooperation, the quality of life, dignity, and health of Mr. Ahmed have been highly improved.</w:t>
      </w:r>
    </w:p>
    <w:p w14:paraId="2FE5EB1C" w14:textId="77777777" w:rsidR="004D4347" w:rsidRPr="00455AE4" w:rsidRDefault="007D7BDB" w:rsidP="00455AE4">
      <w:pPr>
        <w:rPr>
          <w:lang w:val="en-GB"/>
        </w:rPr>
      </w:pPr>
      <w:r w:rsidRPr="00455AE4">
        <w:rPr>
          <w:lang w:val="en-GB"/>
        </w:rPr>
        <w:br w:type="page"/>
      </w:r>
    </w:p>
    <w:p w14:paraId="2FE5EB1D" w14:textId="77777777" w:rsidR="004D4347" w:rsidRPr="00455AE4" w:rsidRDefault="007D7BDB" w:rsidP="0013685E">
      <w:pPr>
        <w:pStyle w:val="Heading1"/>
        <w:rPr>
          <w:sz w:val="22"/>
          <w:szCs w:val="22"/>
          <w:lang w:val="en-GB"/>
        </w:rPr>
      </w:pPr>
      <w:bookmarkStart w:id="10" w:name="_1x0uimi9jqp" w:colFirst="0" w:colLast="0"/>
      <w:bookmarkStart w:id="11" w:name="_Toc223178104"/>
      <w:bookmarkEnd w:id="10"/>
      <w:r w:rsidRPr="00455AE4">
        <w:rPr>
          <w:sz w:val="22"/>
          <w:szCs w:val="22"/>
          <w:lang w:val="en-GB"/>
        </w:rPr>
        <w:lastRenderedPageBreak/>
        <w:t>References</w:t>
      </w:r>
      <w:bookmarkEnd w:id="11"/>
    </w:p>
    <w:p w14:paraId="2BE35012" w14:textId="77777777" w:rsidR="00C74A00" w:rsidRPr="00C74A00" w:rsidRDefault="00C74A00" w:rsidP="0013685E">
      <w:pPr>
        <w:rPr>
          <w:color w:val="222222"/>
          <w:highlight w:val="white"/>
          <w:lang w:val="en-GB"/>
        </w:rPr>
      </w:pPr>
      <w:r w:rsidRPr="00C74A00">
        <w:rPr>
          <w:color w:val="222222"/>
          <w:highlight w:val="white"/>
          <w:lang w:val="en-GB"/>
        </w:rPr>
        <w:t>Communication Theory (2024). </w:t>
      </w:r>
      <w:r w:rsidRPr="00C74A00">
        <w:rPr>
          <w:i/>
          <w:iCs/>
          <w:color w:val="222222"/>
          <w:highlight w:val="white"/>
          <w:lang w:val="en-GB"/>
        </w:rPr>
        <w:t>Shannon and Weaver Model of Communication</w:t>
      </w:r>
      <w:r w:rsidRPr="00C74A00">
        <w:rPr>
          <w:color w:val="222222"/>
          <w:highlight w:val="white"/>
          <w:lang w:val="en-GB"/>
        </w:rPr>
        <w:t>. [online] Communication Theory. Available at: https://www.communicationtheory.org/shannon-and-weaver-model-of-communication/.</w:t>
      </w:r>
    </w:p>
    <w:p w14:paraId="2FE5EB1E" w14:textId="7D6B2D65" w:rsidR="00727622" w:rsidRPr="00C74A00" w:rsidRDefault="00C74A00" w:rsidP="0013685E">
      <w:pPr>
        <w:rPr>
          <w:color w:val="222222"/>
          <w:highlight w:val="white"/>
          <w:lang w:val="en-GB"/>
        </w:rPr>
      </w:pPr>
      <w:r w:rsidRPr="00C74A00">
        <w:rPr>
          <w:color w:val="222222"/>
          <w:highlight w:val="white"/>
          <w:lang w:val="en-GB"/>
        </w:rPr>
        <w:t>‌</w:t>
      </w:r>
      <w:proofErr w:type="spellStart"/>
      <w:r w:rsidR="00727622" w:rsidRPr="00455AE4">
        <w:rPr>
          <w:color w:val="222222"/>
          <w:highlight w:val="white"/>
          <w:lang w:val="en-GB"/>
        </w:rPr>
        <w:t>Dowongi</w:t>
      </w:r>
      <w:proofErr w:type="spellEnd"/>
      <w:r w:rsidR="00727622" w:rsidRPr="00455AE4">
        <w:rPr>
          <w:color w:val="222222"/>
          <w:highlight w:val="white"/>
          <w:lang w:val="en-GB"/>
        </w:rPr>
        <w:t xml:space="preserve">, S.R., Tahir, R.E.P., </w:t>
      </w:r>
      <w:proofErr w:type="spellStart"/>
      <w:r w:rsidR="00727622" w:rsidRPr="00455AE4">
        <w:rPr>
          <w:color w:val="222222"/>
          <w:highlight w:val="white"/>
          <w:lang w:val="en-GB"/>
        </w:rPr>
        <w:t>Moniaga</w:t>
      </w:r>
      <w:proofErr w:type="spellEnd"/>
      <w:r w:rsidR="00727622" w:rsidRPr="00455AE4">
        <w:rPr>
          <w:color w:val="222222"/>
          <w:highlight w:val="white"/>
          <w:lang w:val="en-GB"/>
        </w:rPr>
        <w:t xml:space="preserve">, H.R.R., </w:t>
      </w:r>
      <w:proofErr w:type="spellStart"/>
      <w:r w:rsidR="00727622" w:rsidRPr="00455AE4">
        <w:rPr>
          <w:color w:val="222222"/>
          <w:highlight w:val="white"/>
          <w:lang w:val="en-GB"/>
        </w:rPr>
        <w:t>Mamengko</w:t>
      </w:r>
      <w:proofErr w:type="spellEnd"/>
      <w:r w:rsidR="00727622" w:rsidRPr="00455AE4">
        <w:rPr>
          <w:color w:val="222222"/>
          <w:highlight w:val="white"/>
          <w:lang w:val="en-GB"/>
        </w:rPr>
        <w:t xml:space="preserve">, M.S., </w:t>
      </w:r>
      <w:proofErr w:type="spellStart"/>
      <w:r w:rsidR="00727622" w:rsidRPr="00455AE4">
        <w:rPr>
          <w:color w:val="222222"/>
          <w:highlight w:val="white"/>
          <w:lang w:val="en-GB"/>
        </w:rPr>
        <w:t>Walelang</w:t>
      </w:r>
      <w:proofErr w:type="spellEnd"/>
      <w:r w:rsidR="00727622" w:rsidRPr="00455AE4">
        <w:rPr>
          <w:color w:val="222222"/>
          <w:highlight w:val="white"/>
          <w:lang w:val="en-GB"/>
        </w:rPr>
        <w:t xml:space="preserve">, C.R. and </w:t>
      </w:r>
      <w:proofErr w:type="spellStart"/>
      <w:r w:rsidR="00727622" w:rsidRPr="00455AE4">
        <w:rPr>
          <w:color w:val="222222"/>
          <w:highlight w:val="white"/>
          <w:lang w:val="en-GB"/>
        </w:rPr>
        <w:t>Ngion</w:t>
      </w:r>
      <w:proofErr w:type="spellEnd"/>
      <w:r w:rsidR="00727622" w:rsidRPr="00455AE4">
        <w:rPr>
          <w:color w:val="222222"/>
          <w:highlight w:val="white"/>
          <w:lang w:val="en-GB"/>
        </w:rPr>
        <w:t xml:space="preserve">, W.M.C., 2025. The role of information technology in managing employee diversity and improving company performance. </w:t>
      </w:r>
      <w:proofErr w:type="spellStart"/>
      <w:r w:rsidR="00727622" w:rsidRPr="00455AE4">
        <w:rPr>
          <w:i/>
          <w:iCs/>
          <w:color w:val="222222"/>
          <w:highlight w:val="white"/>
          <w:lang w:val="en-GB"/>
        </w:rPr>
        <w:t>Jurnal</w:t>
      </w:r>
      <w:proofErr w:type="spellEnd"/>
      <w:r w:rsidR="00727622" w:rsidRPr="00455AE4">
        <w:rPr>
          <w:i/>
          <w:iCs/>
          <w:color w:val="222222"/>
          <w:highlight w:val="white"/>
          <w:lang w:val="en-GB"/>
        </w:rPr>
        <w:t xml:space="preserve"> Syntax Admiration</w:t>
      </w:r>
      <w:r w:rsidR="00727622" w:rsidRPr="00455AE4">
        <w:rPr>
          <w:color w:val="222222"/>
          <w:highlight w:val="white"/>
          <w:lang w:val="en-GB"/>
        </w:rPr>
        <w:t xml:space="preserve">, </w:t>
      </w:r>
      <w:r w:rsidR="00727622" w:rsidRPr="00455AE4">
        <w:rPr>
          <w:i/>
          <w:iCs/>
          <w:color w:val="222222"/>
          <w:highlight w:val="white"/>
          <w:lang w:val="en-GB"/>
        </w:rPr>
        <w:t>6</w:t>
      </w:r>
      <w:r w:rsidR="00727622" w:rsidRPr="00455AE4">
        <w:rPr>
          <w:color w:val="222222"/>
          <w:highlight w:val="white"/>
          <w:lang w:val="en-GB"/>
        </w:rPr>
        <w:t xml:space="preserve">(2), pp.1306-1314. </w:t>
      </w:r>
    </w:p>
    <w:p w14:paraId="2FE5EB1F" w14:textId="77777777" w:rsidR="00727622" w:rsidRPr="00455AE4" w:rsidRDefault="00727622" w:rsidP="0013685E">
      <w:pPr>
        <w:rPr>
          <w:color w:val="222222"/>
          <w:highlight w:val="white"/>
          <w:lang w:val="en-GB"/>
        </w:rPr>
      </w:pPr>
      <w:r w:rsidRPr="00455AE4">
        <w:rPr>
          <w:color w:val="222222"/>
          <w:highlight w:val="white"/>
          <w:lang w:val="en-GB"/>
        </w:rPr>
        <w:t xml:space="preserve">Fabbri, C., Lombardi, M., Malaguti, E. and </w:t>
      </w:r>
      <w:proofErr w:type="spellStart"/>
      <w:r w:rsidRPr="00455AE4">
        <w:rPr>
          <w:color w:val="222222"/>
          <w:highlight w:val="white"/>
          <w:lang w:val="en-GB"/>
        </w:rPr>
        <w:t>Monaci</w:t>
      </w:r>
      <w:proofErr w:type="spellEnd"/>
      <w:r w:rsidRPr="00455AE4">
        <w:rPr>
          <w:color w:val="222222"/>
          <w:highlight w:val="white"/>
          <w:lang w:val="en-GB"/>
        </w:rPr>
        <w:t xml:space="preserve">, M., 2024. On-line strategy selection for reducing overcrowding in an Emergency Department. </w:t>
      </w:r>
      <w:r w:rsidRPr="00455AE4">
        <w:rPr>
          <w:i/>
          <w:iCs/>
          <w:color w:val="222222"/>
          <w:highlight w:val="white"/>
          <w:lang w:val="en-GB"/>
        </w:rPr>
        <w:t>Omega</w:t>
      </w:r>
      <w:r w:rsidRPr="00455AE4">
        <w:rPr>
          <w:color w:val="222222"/>
          <w:highlight w:val="white"/>
          <w:lang w:val="en-GB"/>
        </w:rPr>
        <w:t xml:space="preserve">, </w:t>
      </w:r>
      <w:r w:rsidRPr="00455AE4">
        <w:rPr>
          <w:i/>
          <w:iCs/>
          <w:color w:val="222222"/>
          <w:highlight w:val="white"/>
          <w:lang w:val="en-GB"/>
        </w:rPr>
        <w:t>127</w:t>
      </w:r>
      <w:r w:rsidRPr="00455AE4">
        <w:rPr>
          <w:color w:val="222222"/>
          <w:highlight w:val="white"/>
          <w:lang w:val="en-GB"/>
        </w:rPr>
        <w:t xml:space="preserve">, p.103098. </w:t>
      </w:r>
    </w:p>
    <w:p w14:paraId="2FE5EB20" w14:textId="77777777" w:rsidR="00727622" w:rsidRPr="00455AE4" w:rsidRDefault="00727622" w:rsidP="0013685E">
      <w:pPr>
        <w:rPr>
          <w:color w:val="222222"/>
          <w:highlight w:val="white"/>
          <w:lang w:val="en-GB"/>
        </w:rPr>
      </w:pPr>
      <w:r w:rsidRPr="00455AE4">
        <w:rPr>
          <w:color w:val="222222"/>
          <w:highlight w:val="white"/>
          <w:lang w:val="en-GB"/>
        </w:rPr>
        <w:t xml:space="preserve">Jarva, E., 2024. Digital health competence of healthcare professionals in healthcare settings. </w:t>
      </w:r>
    </w:p>
    <w:p w14:paraId="2FE5EB21" w14:textId="77777777" w:rsidR="00727622" w:rsidRPr="00455AE4" w:rsidRDefault="00727622" w:rsidP="0013685E">
      <w:pPr>
        <w:rPr>
          <w:lang w:val="en-GB"/>
        </w:rPr>
      </w:pPr>
      <w:r w:rsidRPr="00455AE4">
        <w:rPr>
          <w:lang w:val="en-GB"/>
        </w:rPr>
        <w:t xml:space="preserve">legislation.gov.uk, (2026). </w:t>
      </w:r>
      <w:r w:rsidRPr="00455AE4">
        <w:rPr>
          <w:i/>
          <w:iCs/>
          <w:lang w:val="en-GB"/>
        </w:rPr>
        <w:t xml:space="preserve">Care Act 2014. </w:t>
      </w:r>
      <w:r w:rsidRPr="00455AE4">
        <w:rPr>
          <w:lang w:val="en-GB"/>
        </w:rPr>
        <w:t xml:space="preserve">Available at: </w:t>
      </w:r>
      <w:hyperlink r:id="rId9">
        <w:r w:rsidRPr="00455AE4">
          <w:rPr>
            <w:color w:val="1155CC"/>
            <w:u w:val="single"/>
            <w:lang w:val="en-GB"/>
          </w:rPr>
          <w:t>https://www.legislation.gov.uk/ukpga/2014/23/contents</w:t>
        </w:r>
      </w:hyperlink>
      <w:r w:rsidRPr="00455AE4">
        <w:rPr>
          <w:lang w:val="en-GB"/>
        </w:rPr>
        <w:t xml:space="preserve"> [Accessed on: 28.2.26]  </w:t>
      </w:r>
    </w:p>
    <w:p w14:paraId="2FE5EB22" w14:textId="77777777" w:rsidR="00727622" w:rsidRPr="00455AE4" w:rsidRDefault="00727622" w:rsidP="0013685E">
      <w:pPr>
        <w:rPr>
          <w:lang w:val="en-GB"/>
        </w:rPr>
      </w:pPr>
      <w:r w:rsidRPr="00455AE4">
        <w:rPr>
          <w:lang w:val="en-GB"/>
        </w:rPr>
        <w:t xml:space="preserve">legislation.gov.uk, (2026). </w:t>
      </w:r>
      <w:r w:rsidRPr="00455AE4">
        <w:rPr>
          <w:i/>
          <w:iCs/>
          <w:lang w:val="en-GB"/>
        </w:rPr>
        <w:t>Equality Act 2010.</w:t>
      </w:r>
      <w:r w:rsidRPr="00455AE4">
        <w:rPr>
          <w:lang w:val="en-GB"/>
        </w:rPr>
        <w:t xml:space="preserve"> Available at: </w:t>
      </w:r>
      <w:hyperlink r:id="rId10">
        <w:r w:rsidRPr="00455AE4">
          <w:rPr>
            <w:color w:val="1155CC"/>
            <w:u w:val="single"/>
            <w:lang w:val="en-GB"/>
          </w:rPr>
          <w:t>https://www.legislation.gov.uk/ukpga/2010/15/contents</w:t>
        </w:r>
      </w:hyperlink>
      <w:r w:rsidRPr="00455AE4">
        <w:rPr>
          <w:lang w:val="en-GB"/>
        </w:rPr>
        <w:t xml:space="preserve"> [Accessed on: 28.2.26] </w:t>
      </w:r>
    </w:p>
    <w:p w14:paraId="2FE5EB23" w14:textId="77777777" w:rsidR="00727622" w:rsidRPr="00455AE4" w:rsidRDefault="00727622" w:rsidP="0013685E">
      <w:pPr>
        <w:rPr>
          <w:color w:val="222222"/>
          <w:highlight w:val="white"/>
          <w:lang w:val="en-GB"/>
        </w:rPr>
      </w:pPr>
      <w:r w:rsidRPr="00455AE4">
        <w:rPr>
          <w:color w:val="222222"/>
          <w:highlight w:val="white"/>
          <w:lang w:val="en-GB"/>
        </w:rPr>
        <w:t xml:space="preserve">Maddock, M., Moylan, M., O’Keeffe, M. and Butler, H., 2022. Medication Management/Administration Policy. </w:t>
      </w:r>
      <w:r w:rsidRPr="00455AE4">
        <w:rPr>
          <w:i/>
          <w:iCs/>
          <w:color w:val="222222"/>
          <w:highlight w:val="white"/>
          <w:lang w:val="en-GB"/>
        </w:rPr>
        <w:t>Policy</w:t>
      </w:r>
      <w:r w:rsidRPr="00455AE4">
        <w:rPr>
          <w:color w:val="222222"/>
          <w:highlight w:val="white"/>
          <w:lang w:val="en-GB"/>
        </w:rPr>
        <w:t xml:space="preserve">, </w:t>
      </w:r>
      <w:r w:rsidRPr="00455AE4">
        <w:rPr>
          <w:i/>
          <w:iCs/>
          <w:color w:val="222222"/>
          <w:highlight w:val="white"/>
          <w:lang w:val="en-GB"/>
        </w:rPr>
        <w:t>19</w:t>
      </w:r>
      <w:r w:rsidRPr="00455AE4">
        <w:rPr>
          <w:color w:val="222222"/>
          <w:highlight w:val="white"/>
          <w:lang w:val="en-GB"/>
        </w:rPr>
        <w:t xml:space="preserve">, p.2023. </w:t>
      </w:r>
    </w:p>
    <w:p w14:paraId="2FE5EB24" w14:textId="77777777" w:rsidR="00727622" w:rsidRPr="00455AE4" w:rsidRDefault="00727622" w:rsidP="0013685E">
      <w:pPr>
        <w:rPr>
          <w:color w:val="222222"/>
          <w:highlight w:val="white"/>
          <w:lang w:val="en-GB"/>
        </w:rPr>
      </w:pPr>
      <w:r w:rsidRPr="00455AE4">
        <w:rPr>
          <w:color w:val="222222"/>
          <w:highlight w:val="white"/>
          <w:lang w:val="en-GB"/>
        </w:rPr>
        <w:t xml:space="preserve">Okolo, F.C., </w:t>
      </w:r>
      <w:proofErr w:type="spellStart"/>
      <w:r w:rsidRPr="00455AE4">
        <w:rPr>
          <w:color w:val="222222"/>
          <w:highlight w:val="white"/>
          <w:lang w:val="en-GB"/>
        </w:rPr>
        <w:t>Etukudoh</w:t>
      </w:r>
      <w:proofErr w:type="spellEnd"/>
      <w:r w:rsidRPr="00455AE4">
        <w:rPr>
          <w:color w:val="222222"/>
          <w:highlight w:val="white"/>
          <w:lang w:val="en-GB"/>
        </w:rPr>
        <w:t xml:space="preserve">, E.A., </w:t>
      </w:r>
      <w:proofErr w:type="spellStart"/>
      <w:r w:rsidRPr="00455AE4">
        <w:rPr>
          <w:color w:val="222222"/>
          <w:highlight w:val="white"/>
          <w:lang w:val="en-GB"/>
        </w:rPr>
        <w:t>Ogunwole</w:t>
      </w:r>
      <w:proofErr w:type="spellEnd"/>
      <w:r w:rsidRPr="00455AE4">
        <w:rPr>
          <w:color w:val="222222"/>
          <w:highlight w:val="white"/>
          <w:lang w:val="en-GB"/>
        </w:rPr>
        <w:t xml:space="preserve">, O., Osho, G.O. and Basiru, J.O., 2022. Policy-oriented framework for multi-agency data integration across national transportation and infrastructure systems. </w:t>
      </w:r>
      <w:r w:rsidRPr="00455AE4">
        <w:rPr>
          <w:i/>
          <w:iCs/>
          <w:color w:val="222222"/>
          <w:highlight w:val="white"/>
          <w:lang w:val="en-GB"/>
        </w:rPr>
        <w:t>Journal name missing</w:t>
      </w:r>
      <w:r w:rsidRPr="00455AE4">
        <w:rPr>
          <w:color w:val="222222"/>
          <w:highlight w:val="white"/>
          <w:lang w:val="en-GB"/>
        </w:rPr>
        <w:t xml:space="preserve">. </w:t>
      </w:r>
    </w:p>
    <w:p w14:paraId="2FE5EB25" w14:textId="77777777" w:rsidR="00727622" w:rsidRPr="00455AE4" w:rsidRDefault="00727622" w:rsidP="0013685E">
      <w:pPr>
        <w:rPr>
          <w:color w:val="222222"/>
          <w:highlight w:val="white"/>
          <w:lang w:val="en-GB"/>
        </w:rPr>
      </w:pPr>
      <w:proofErr w:type="spellStart"/>
      <w:r w:rsidRPr="00455AE4">
        <w:rPr>
          <w:color w:val="222222"/>
          <w:highlight w:val="white"/>
          <w:lang w:val="en-GB"/>
        </w:rPr>
        <w:t>Omojuwa</w:t>
      </w:r>
      <w:proofErr w:type="spellEnd"/>
      <w:r w:rsidRPr="00455AE4">
        <w:rPr>
          <w:color w:val="222222"/>
          <w:highlight w:val="white"/>
          <w:lang w:val="en-GB"/>
        </w:rPr>
        <w:t xml:space="preserve">, B.A., 2025. Exploring the Communication Process Model. </w:t>
      </w:r>
      <w:r w:rsidRPr="00455AE4">
        <w:rPr>
          <w:i/>
          <w:iCs/>
          <w:color w:val="222222"/>
          <w:highlight w:val="white"/>
          <w:lang w:val="en-GB"/>
        </w:rPr>
        <w:t>Mount Saint Vincent University</w:t>
      </w:r>
      <w:r w:rsidRPr="00455AE4">
        <w:rPr>
          <w:color w:val="222222"/>
          <w:highlight w:val="white"/>
          <w:lang w:val="en-GB"/>
        </w:rPr>
        <w:t xml:space="preserve">. </w:t>
      </w:r>
    </w:p>
    <w:p w14:paraId="2FE5EB26" w14:textId="77777777" w:rsidR="00727622" w:rsidRPr="00455AE4" w:rsidRDefault="00727622" w:rsidP="0013685E">
      <w:pPr>
        <w:rPr>
          <w:color w:val="222222"/>
          <w:highlight w:val="white"/>
          <w:lang w:val="en-GB"/>
        </w:rPr>
      </w:pPr>
      <w:r w:rsidRPr="00455AE4">
        <w:rPr>
          <w:color w:val="222222"/>
          <w:highlight w:val="white"/>
          <w:lang w:val="en-GB"/>
        </w:rPr>
        <w:t xml:space="preserve">Persson, M.H., Søndergaard, J., Mogensen, C.B., Skjøt-Arkil, H. and Andersen, P.T., 2022. Healthcare professionals’ experiences and attitudes to care coordination across health sectors: an interview study. </w:t>
      </w:r>
      <w:r w:rsidRPr="00455AE4">
        <w:rPr>
          <w:i/>
          <w:iCs/>
          <w:color w:val="222222"/>
          <w:highlight w:val="white"/>
          <w:lang w:val="en-GB"/>
        </w:rPr>
        <w:t>BMC geriatrics</w:t>
      </w:r>
      <w:r w:rsidRPr="00455AE4">
        <w:rPr>
          <w:color w:val="222222"/>
          <w:highlight w:val="white"/>
          <w:lang w:val="en-GB"/>
        </w:rPr>
        <w:t xml:space="preserve">, </w:t>
      </w:r>
      <w:r w:rsidRPr="00455AE4">
        <w:rPr>
          <w:i/>
          <w:iCs/>
          <w:color w:val="222222"/>
          <w:highlight w:val="white"/>
          <w:lang w:val="en-GB"/>
        </w:rPr>
        <w:t>22</w:t>
      </w:r>
      <w:r w:rsidRPr="00455AE4">
        <w:rPr>
          <w:color w:val="222222"/>
          <w:highlight w:val="white"/>
          <w:lang w:val="en-GB"/>
        </w:rPr>
        <w:t xml:space="preserve">(1), p.509. </w:t>
      </w:r>
    </w:p>
    <w:p w14:paraId="2FE5EB27" w14:textId="77777777" w:rsidR="00727622" w:rsidRPr="00455AE4" w:rsidRDefault="00727622" w:rsidP="0013685E">
      <w:pPr>
        <w:rPr>
          <w:color w:val="222222"/>
          <w:highlight w:val="white"/>
          <w:lang w:val="en-GB"/>
        </w:rPr>
      </w:pPr>
      <w:r w:rsidRPr="00455AE4">
        <w:rPr>
          <w:color w:val="222222"/>
          <w:highlight w:val="white"/>
          <w:lang w:val="en-GB"/>
        </w:rPr>
        <w:t xml:space="preserve">Tzanou, M., 2023. </w:t>
      </w:r>
      <w:r w:rsidRPr="00455AE4">
        <w:rPr>
          <w:i/>
          <w:iCs/>
          <w:color w:val="222222"/>
          <w:highlight w:val="white"/>
          <w:lang w:val="en-GB"/>
        </w:rPr>
        <w:t>Health Data Privacy Under the GDPR</w:t>
      </w:r>
      <w:r w:rsidRPr="00455AE4">
        <w:rPr>
          <w:color w:val="222222"/>
          <w:highlight w:val="white"/>
          <w:lang w:val="en-GB"/>
        </w:rPr>
        <w:t xml:space="preserve">. Taylor Francis Limited. </w:t>
      </w:r>
    </w:p>
    <w:p w14:paraId="2FE5EB28" w14:textId="77777777" w:rsidR="004D4347" w:rsidRPr="00455AE4" w:rsidRDefault="004D4347" w:rsidP="00455AE4">
      <w:pPr>
        <w:rPr>
          <w:lang w:val="en-GB"/>
        </w:rPr>
      </w:pPr>
    </w:p>
    <w:sectPr w:rsidR="004D4347" w:rsidRPr="00455AE4" w:rsidSect="00727622">
      <w:headerReference w:type="default" r:id="rId11"/>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C2B512" w14:textId="77777777" w:rsidR="00A2442C" w:rsidRDefault="00A2442C">
      <w:pPr>
        <w:spacing w:line="240" w:lineRule="auto"/>
      </w:pPr>
      <w:r>
        <w:separator/>
      </w:r>
    </w:p>
  </w:endnote>
  <w:endnote w:type="continuationSeparator" w:id="0">
    <w:p w14:paraId="626C0F83" w14:textId="77777777" w:rsidR="00A2442C" w:rsidRDefault="00A244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4B21D56-B5DE-4AA7-99F5-6950DA994042}"/>
  </w:font>
  <w:font w:name="PMingLiU">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embedRegular r:id="rId2" w:fontKey="{70CDE80F-9CB9-41DD-A387-D1A87C2A49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915208" w14:textId="77777777" w:rsidR="001C7926" w:rsidRDefault="001C7926">
    <w:pPr>
      <w:pStyle w:val="Footer"/>
      <w:jc w:val="right"/>
    </w:pPr>
  </w:p>
  <w:p w14:paraId="7404BF37" w14:textId="77777777" w:rsidR="001C7926" w:rsidRDefault="001C79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5EB2E" w14:textId="77777777" w:rsidR="004D4347" w:rsidRDefault="007D7BDB">
    <w:pPr>
      <w:jc w:val="right"/>
      <w:rPr>
        <w:sz w:val="20"/>
        <w:szCs w:val="20"/>
      </w:rPr>
    </w:pPr>
    <w:r>
      <w:rPr>
        <w:sz w:val="20"/>
        <w:szCs w:val="20"/>
      </w:rPr>
      <w:fldChar w:fldCharType="begin"/>
    </w:r>
    <w:r>
      <w:rPr>
        <w:sz w:val="20"/>
        <w:szCs w:val="20"/>
      </w:rPr>
      <w:instrText>PAGE</w:instrText>
    </w:r>
    <w:r>
      <w:rPr>
        <w:sz w:val="20"/>
        <w:szCs w:val="20"/>
      </w:rPr>
      <w:fldChar w:fldCharType="separate"/>
    </w:r>
    <w:r w:rsidR="00727622">
      <w:rPr>
        <w:noProof/>
        <w:sz w:val="20"/>
        <w:szCs w:val="20"/>
      </w:rPr>
      <w:t>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1926A" w14:textId="77777777" w:rsidR="00A2442C" w:rsidRDefault="00A2442C">
      <w:pPr>
        <w:spacing w:line="240" w:lineRule="auto"/>
      </w:pPr>
      <w:r>
        <w:separator/>
      </w:r>
    </w:p>
  </w:footnote>
  <w:footnote w:type="continuationSeparator" w:id="0">
    <w:p w14:paraId="0C3287ED" w14:textId="77777777" w:rsidR="00A2442C" w:rsidRDefault="00A244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21763" w14:textId="5037A64D" w:rsidR="001C7926" w:rsidRDefault="00223F47" w:rsidP="00BE6BE0">
    <w:pPr>
      <w:pStyle w:val="Header"/>
      <w:ind w:left="11520"/>
    </w:pPr>
    <w:r w:rsidRPr="00545F16">
      <w:rPr>
        <w:noProof/>
      </w:rPr>
      <w:drawing>
        <wp:anchor distT="0" distB="0" distL="114300" distR="114300" simplePos="0" relativeHeight="251659264" behindDoc="0" locked="0" layoutInCell="1" allowOverlap="1" wp14:anchorId="01F3A5FA" wp14:editId="3EBF5C72">
          <wp:simplePos x="0" y="0"/>
          <wp:positionH relativeFrom="column">
            <wp:posOffset>4235450</wp:posOffset>
          </wp:positionH>
          <wp:positionV relativeFrom="paragraph">
            <wp:posOffset>-45085</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C7926">
      <w:rPr>
        <w:noProof/>
      </w:rPr>
      <w:drawing>
        <wp:inline distT="0" distB="0" distL="0" distR="0" wp14:anchorId="1B353379" wp14:editId="63046486">
          <wp:extent cx="2181225" cy="436245"/>
          <wp:effectExtent l="0" t="0" r="9525" b="1905"/>
          <wp:docPr id="2068664394" name="Picture 206866439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3">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E5EB2D" w14:textId="77777777" w:rsidR="004D4347" w:rsidRDefault="007D7BDB">
    <w:pPr>
      <w:jc w:val="right"/>
    </w:pPr>
    <w:r>
      <w:rPr>
        <w:noProof/>
      </w:rPr>
      <w:drawing>
        <wp:inline distT="114300" distB="114300" distL="114300" distR="114300" wp14:anchorId="2FE5EB2F" wp14:editId="2FE5EB30">
          <wp:extent cx="1292369" cy="5000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292369" cy="50006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347"/>
    <w:rsid w:val="00077D17"/>
    <w:rsid w:val="0013685E"/>
    <w:rsid w:val="001B0BE6"/>
    <w:rsid w:val="001C7926"/>
    <w:rsid w:val="001D728C"/>
    <w:rsid w:val="00223F47"/>
    <w:rsid w:val="00291572"/>
    <w:rsid w:val="002D4F95"/>
    <w:rsid w:val="00455AE4"/>
    <w:rsid w:val="004D4347"/>
    <w:rsid w:val="005213C9"/>
    <w:rsid w:val="00542573"/>
    <w:rsid w:val="00642128"/>
    <w:rsid w:val="00727622"/>
    <w:rsid w:val="007B3A39"/>
    <w:rsid w:val="007C3F05"/>
    <w:rsid w:val="007D7BDB"/>
    <w:rsid w:val="0090498F"/>
    <w:rsid w:val="0095650C"/>
    <w:rsid w:val="009C3C33"/>
    <w:rsid w:val="00A2442C"/>
    <w:rsid w:val="00A8427E"/>
    <w:rsid w:val="00B77B7B"/>
    <w:rsid w:val="00BF0FD9"/>
    <w:rsid w:val="00C37258"/>
    <w:rsid w:val="00C74A00"/>
    <w:rsid w:val="00D21EE8"/>
    <w:rsid w:val="00E01E1A"/>
    <w:rsid w:val="00E12B10"/>
    <w:rsid w:val="00F12C56"/>
    <w:rsid w:val="00FF5425"/>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5EAFC"/>
  <w15:docId w15:val="{0820CCBD-552F-4CA8-B2BF-17B4C440A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zh-T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27622"/>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eastAsia="en-US"/>
    </w:rPr>
  </w:style>
  <w:style w:type="paragraph" w:styleId="TOC1">
    <w:name w:val="toc 1"/>
    <w:basedOn w:val="Normal"/>
    <w:next w:val="Normal"/>
    <w:autoRedefine/>
    <w:uiPriority w:val="39"/>
    <w:unhideWhenUsed/>
    <w:rsid w:val="00727622"/>
    <w:pPr>
      <w:spacing w:after="100"/>
    </w:pPr>
  </w:style>
  <w:style w:type="character" w:styleId="Hyperlink">
    <w:name w:val="Hyperlink"/>
    <w:basedOn w:val="DefaultParagraphFont"/>
    <w:uiPriority w:val="99"/>
    <w:unhideWhenUsed/>
    <w:rsid w:val="00727622"/>
    <w:rPr>
      <w:color w:val="0000FF" w:themeColor="hyperlink"/>
      <w:u w:val="single"/>
    </w:rPr>
  </w:style>
  <w:style w:type="paragraph" w:styleId="Header">
    <w:name w:val="header"/>
    <w:basedOn w:val="Normal"/>
    <w:link w:val="HeaderChar"/>
    <w:uiPriority w:val="99"/>
    <w:unhideWhenUsed/>
    <w:rsid w:val="00D21EE8"/>
    <w:pPr>
      <w:tabs>
        <w:tab w:val="center" w:pos="4513"/>
        <w:tab w:val="right" w:pos="9026"/>
      </w:tabs>
      <w:spacing w:line="240" w:lineRule="auto"/>
    </w:pPr>
  </w:style>
  <w:style w:type="character" w:customStyle="1" w:styleId="HeaderChar">
    <w:name w:val="Header Char"/>
    <w:basedOn w:val="DefaultParagraphFont"/>
    <w:link w:val="Header"/>
    <w:uiPriority w:val="99"/>
    <w:rsid w:val="00D21EE8"/>
  </w:style>
  <w:style w:type="paragraph" w:styleId="Footer">
    <w:name w:val="footer"/>
    <w:basedOn w:val="Normal"/>
    <w:link w:val="FooterChar"/>
    <w:uiPriority w:val="99"/>
    <w:unhideWhenUsed/>
    <w:rsid w:val="00D21EE8"/>
    <w:pPr>
      <w:tabs>
        <w:tab w:val="center" w:pos="4513"/>
        <w:tab w:val="right" w:pos="9026"/>
      </w:tabs>
      <w:spacing w:line="240" w:lineRule="auto"/>
    </w:pPr>
  </w:style>
  <w:style w:type="character" w:customStyle="1" w:styleId="FooterChar">
    <w:name w:val="Footer Char"/>
    <w:basedOn w:val="DefaultParagraphFont"/>
    <w:link w:val="Footer"/>
    <w:uiPriority w:val="99"/>
    <w:rsid w:val="00D21E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legislation.gov.uk/ukpga/2014/23/contents"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3" Type="http://schemas.openxmlformats.org/officeDocument/2006/relationships/image" Target="media/image2.png"/><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ED17718-98FF-4927-A519-9341700B8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8</Pages>
  <Words>1866</Words>
  <Characters>10642</Characters>
  <Application>Microsoft Office Word</Application>
  <DocSecurity>0</DocSecurity>
  <Lines>88</Lines>
  <Paragraphs>24</Paragraphs>
  <ScaleCrop>false</ScaleCrop>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Ashraful Mokhlook Talukdar (2441949)</cp:lastModifiedBy>
  <cp:revision>18</cp:revision>
  <dcterms:created xsi:type="dcterms:W3CDTF">2026-02-28T08:04:00Z</dcterms:created>
  <dcterms:modified xsi:type="dcterms:W3CDTF">2026-03-23T09:01:00Z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67a39573-5352-4090-9d32-855f8639e134</vt:lpwstr>
  </property>
</Properties>
</file>