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2">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4">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5">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6">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7">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8">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9">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A">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B">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C">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D">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E">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F">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0">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1">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2">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3">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4">
      <w:pPr>
        <w:spacing w:before="240" w:line="360" w:lineRule="auto"/>
        <w:jc w:val="left"/>
        <w:rPr>
          <w:rFonts w:ascii="Arial" w:cs="Arial" w:eastAsia="Arial" w:hAnsi="Arial"/>
          <w:b w:val="1"/>
        </w:rPr>
      </w:pPr>
      <w:r w:rsidDel="00000000" w:rsidR="00000000" w:rsidRPr="00000000">
        <w:rPr>
          <w:rtl w:val="0"/>
        </w:rPr>
      </w:r>
    </w:p>
    <w:p w:rsidR="00000000" w:rsidDel="00000000" w:rsidP="00000000" w:rsidRDefault="00000000" w:rsidRPr="00000000" w14:paraId="00000015">
      <w:pPr>
        <w:spacing w:before="240" w:line="360" w:lineRule="auto"/>
        <w:jc w:val="left"/>
        <w:rPr>
          <w:rFonts w:ascii="Arial" w:cs="Arial" w:eastAsia="Arial" w:hAnsi="Arial"/>
          <w:b w:val="1"/>
        </w:rPr>
      </w:pPr>
      <w:r w:rsidDel="00000000" w:rsidR="00000000" w:rsidRPr="00000000">
        <w:rPr>
          <w:rFonts w:ascii="Arial" w:cs="Arial" w:eastAsia="Arial" w:hAnsi="Arial"/>
          <w:b w:val="1"/>
        </w:rPr>
        <w:drawing>
          <wp:inline distB="114300" distT="114300" distL="114300" distR="114300">
            <wp:extent cx="2857500" cy="2857500"/>
            <wp:effectExtent b="0" l="0" r="0" t="0"/>
            <wp:docPr id="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8575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before="240" w:line="360" w:lineRule="auto"/>
        <w:jc w:val="center"/>
        <w:rPr>
          <w:rFonts w:ascii="Arial" w:cs="Arial" w:eastAsia="Arial" w:hAnsi="Arial"/>
          <w:b w:val="1"/>
        </w:rPr>
      </w:pPr>
      <w:r w:rsidDel="00000000" w:rsidR="00000000" w:rsidRPr="00000000">
        <w:rPr>
          <w:rFonts w:ascii="Arial" w:cs="Arial" w:eastAsia="Arial" w:hAnsi="Arial"/>
          <w:b w:val="1"/>
          <w:rtl w:val="0"/>
        </w:rPr>
        <w:t xml:space="preserve">Name: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Linda Dufie Gyamfi</w:t>
      </w:r>
    </w:p>
    <w:p w:rsidR="00000000" w:rsidDel="00000000" w:rsidP="00000000" w:rsidRDefault="00000000" w:rsidRPr="00000000" w14:paraId="00000017">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8">
      <w:pPr>
        <w:spacing w:before="240" w:line="360" w:lineRule="auto"/>
        <w:jc w:val="center"/>
        <w:rPr>
          <w:rFonts w:ascii="Arial" w:cs="Arial" w:eastAsia="Arial" w:hAnsi="Arial"/>
          <w:b w:val="1"/>
        </w:rPr>
      </w:pPr>
      <w:r w:rsidDel="00000000" w:rsidR="00000000" w:rsidRPr="00000000">
        <w:rPr>
          <w:rFonts w:ascii="Arial" w:cs="Arial" w:eastAsia="Arial" w:hAnsi="Arial"/>
          <w:b w:val="1"/>
          <w:rtl w:val="0"/>
        </w:rPr>
        <w:t xml:space="preserve">Student Number:</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2009287</w:t>
      </w:r>
    </w:p>
    <w:p w:rsidR="00000000" w:rsidDel="00000000" w:rsidP="00000000" w:rsidRDefault="00000000" w:rsidRPr="00000000" w14:paraId="00000019">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A">
      <w:pPr>
        <w:spacing w:before="240" w:line="360" w:lineRule="auto"/>
        <w:jc w:val="center"/>
        <w:rPr>
          <w:rFonts w:ascii="Arial" w:cs="Arial" w:eastAsia="Arial" w:hAnsi="Arial"/>
          <w:b w:val="1"/>
        </w:rPr>
      </w:pPr>
      <w:r w:rsidDel="00000000" w:rsidR="00000000" w:rsidRPr="00000000">
        <w:rPr>
          <w:rFonts w:ascii="Arial" w:cs="Arial" w:eastAsia="Arial" w:hAnsi="Arial"/>
          <w:b w:val="1"/>
          <w:rtl w:val="0"/>
        </w:rPr>
        <w:t xml:space="preserve">Module Code: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BMSW4005</w:t>
      </w:r>
    </w:p>
    <w:p w:rsidR="00000000" w:rsidDel="00000000" w:rsidP="00000000" w:rsidRDefault="00000000" w:rsidRPr="00000000" w14:paraId="0000001B">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C">
      <w:pPr>
        <w:spacing w:before="240" w:line="360" w:lineRule="auto"/>
        <w:jc w:val="center"/>
        <w:rPr>
          <w:rFonts w:ascii="Arial" w:cs="Arial" w:eastAsia="Arial" w:hAnsi="Arial"/>
          <w:b w:val="1"/>
        </w:rPr>
      </w:pPr>
      <w:r w:rsidDel="00000000" w:rsidR="00000000" w:rsidRPr="00000000">
        <w:rPr>
          <w:rFonts w:ascii="Arial" w:cs="Arial" w:eastAsia="Arial" w:hAnsi="Arial"/>
          <w:b w:val="1"/>
          <w:rtl w:val="0"/>
        </w:rPr>
        <w:t xml:space="preserve">Module Title: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Professional Career Development</w:t>
      </w:r>
    </w:p>
    <w:p w:rsidR="00000000" w:rsidDel="00000000" w:rsidP="00000000" w:rsidRDefault="00000000" w:rsidRPr="00000000" w14:paraId="0000001D">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E">
      <w:pPr>
        <w:spacing w:before="240" w:line="360" w:lineRule="auto"/>
        <w:jc w:val="center"/>
        <w:rPr>
          <w:rFonts w:ascii="Arial" w:cs="Arial" w:eastAsia="Arial" w:hAnsi="Arial"/>
          <w:b w:val="1"/>
        </w:rPr>
      </w:pPr>
      <w:r w:rsidDel="00000000" w:rsidR="00000000" w:rsidRPr="00000000">
        <w:rPr>
          <w:rFonts w:ascii="Arial" w:cs="Arial" w:eastAsia="Arial" w:hAnsi="Arial"/>
          <w:b w:val="1"/>
          <w:rtl w:val="0"/>
        </w:rPr>
        <w:t xml:space="preserve">Lecturer’s Name: Mary March</w:t>
      </w:r>
    </w:p>
    <w:p w:rsidR="00000000" w:rsidDel="00000000" w:rsidP="00000000" w:rsidRDefault="00000000" w:rsidRPr="00000000" w14:paraId="0000001F">
      <w:pPr>
        <w:spacing w:before="24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0">
      <w:pPr>
        <w:spacing w:before="240" w:line="360" w:lineRule="auto"/>
        <w:jc w:val="center"/>
        <w:rPr>
          <w:rFonts w:ascii="Arial" w:cs="Arial" w:eastAsia="Arial" w:hAnsi="Arial"/>
          <w:b w:val="1"/>
        </w:rPr>
      </w:pPr>
      <w:r w:rsidDel="00000000" w:rsidR="00000000" w:rsidRPr="00000000">
        <w:rPr>
          <w:rFonts w:ascii="Arial" w:cs="Arial" w:eastAsia="Arial" w:hAnsi="Arial"/>
          <w:b w:val="1"/>
          <w:rtl w:val="0"/>
        </w:rPr>
        <w:t xml:space="preserve">Assignment Title: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Professional career development report and role play (interviewee and interviewer)</w:t>
      </w:r>
    </w:p>
    <w:p w:rsidR="00000000" w:rsidDel="00000000" w:rsidP="00000000" w:rsidRDefault="00000000" w:rsidRPr="00000000" w14:paraId="00000021">
      <w:pPr>
        <w:spacing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2">
      <w:pPr>
        <w:spacing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3">
      <w:pPr>
        <w:spacing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4">
      <w:pPr>
        <w:spacing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5">
      <w:pPr>
        <w:spacing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6">
      <w:pPr>
        <w:spacing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7">
      <w:pPr>
        <w:spacing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8">
      <w:pPr>
        <w:spacing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9">
      <w:pPr>
        <w:spacing w:before="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A">
      <w:pPr>
        <w:tabs>
          <w:tab w:val="left" w:pos="2684"/>
        </w:tabs>
        <w:spacing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Introduction</w:t>
      </w:r>
    </w:p>
    <w:p w:rsidR="00000000" w:rsidDel="00000000" w:rsidP="00000000" w:rsidRDefault="00000000" w:rsidRPr="00000000" w14:paraId="0000002B">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This report is expected to use the reflective cycle to present a personal reflection on role play and career development planning. The information will show that potential employees need to possess employment goals, develop a personal action plan, understand specific skills and knowledge that will contribute to effective working, be ready for employment, and understand individual strengths and professional development. The report will include the recruitment and selection section, which will present the role-play in class under task 1. It will be delivered mainly on a personal view of students' skills, skills gaps, career goals and experience, with few empirical works.</w:t>
      </w:r>
    </w:p>
    <w:p w:rsidR="00000000" w:rsidDel="00000000" w:rsidP="00000000" w:rsidRDefault="00000000" w:rsidRPr="00000000" w14:paraId="0000002C">
      <w:pPr>
        <w:spacing w:before="240" w:line="360" w:lineRule="auto"/>
        <w:jc w:val="both"/>
        <w:rPr>
          <w:rFonts w:ascii="Arial" w:cs="Arial" w:eastAsia="Arial" w:hAnsi="Arial"/>
          <w:b w:val="1"/>
        </w:rPr>
      </w:pPr>
      <w:bookmarkStart w:colFirst="0" w:colLast="0" w:name="_heading=h.gjdgxs" w:id="0"/>
      <w:bookmarkEnd w:id="0"/>
      <w:r w:rsidDel="00000000" w:rsidR="00000000" w:rsidRPr="00000000">
        <w:rPr>
          <w:rFonts w:ascii="Arial" w:cs="Arial" w:eastAsia="Arial" w:hAnsi="Arial"/>
          <w:b w:val="1"/>
          <w:rtl w:val="0"/>
        </w:rPr>
        <w:t xml:space="preserve">Reflection on Role Play and Career Development Planning</w:t>
      </w:r>
    </w:p>
    <w:p w:rsidR="00000000" w:rsidDel="00000000" w:rsidP="00000000" w:rsidRDefault="00000000" w:rsidRPr="00000000" w14:paraId="0000002D">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Jasper and Rolfe (2011) define reflection as a conscious and systematic approach to thinking about experiences to learn and change behaviours. Reflection is expected to challenge my understanding of myself, my attitudes and behaviours so that any biases are unearthed, thus becoming more critical about my views of the practice and the world. Reflection can be viewed as a method of learning from practice (Jasper &amp; Rolfe, 2011). Reflection is an integral part that develops deep learning. It seems integrally related and mutually enhancing with a deep approach to learning (Mann, Gordon &amp; MacLeod, 2009). This personal reflection on role-playing has undoubtedly helped in my career development.</w:t>
      </w:r>
    </w:p>
    <w:p w:rsidR="00000000" w:rsidDel="00000000" w:rsidP="00000000" w:rsidRDefault="00000000" w:rsidRPr="00000000" w14:paraId="0000002E">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There are several reflective models available in the literature, each of them has its benefits and limitations. All these reflective models encourage more profound levels of practical reflection (Mann et al., 2009). For this report, Kolb’s model of 1984 has been chosen to illustrate different approaches to critical thinking on role play and career development planning as it is commonly used by health care practitioners (Rolfe, 2011).</w:t>
      </w:r>
    </w:p>
    <w:p w:rsidR="00000000" w:rsidDel="00000000" w:rsidP="00000000" w:rsidRDefault="00000000" w:rsidRPr="00000000" w14:paraId="0000002F">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Figure 1 below displays the experiential learning cycle in Kolb's reflective model. Kolb developed the experiential learning cycle, which encapsulates four stages in 1984. Kolb synthesised goal-directed and behaviour learning theories together to create a cycle of learning that values process and the ongoing nature of learning (Kolb, 1984). The four stages are Concrete Experience; Reflective Observation; Abstract Conceptualisation; and Active Experimentation (McLeod, 2013). How Kolb's reflective model of the cycle of experiential learning assists my career development planning as a flight attendant are presented below under the model’s four stages.</w:t>
      </w:r>
    </w:p>
    <w:p w:rsidR="00000000" w:rsidDel="00000000" w:rsidP="00000000" w:rsidRDefault="00000000" w:rsidRPr="00000000" w14:paraId="00000030">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The Concrete Experience: This first stage of Kolb’s model describes the actual event to achieve. Kolb highlights the significance of the reflection component in the cycle of learning. This stage allows students to process what just happened during the experience. The student will think about her goal at this stage, makes a note of it, describe what she sees, how she feels and what she thinks is her goal. The situation requires reflection on your feelings and what you think about it. This is where you need to provide a solid platform to build your review. The student experiences a conscious and physical situation that makes her realise that she needs to reflect systematically to learn new things and improve on her existing skill and practice. As a flight attendant, this first stage of concrete experience has equipped me with skills and knowledge that contribute to understanding my strengths and areas that I need to develop areas like roles and functions of a flight attendant.</w:t>
      </w:r>
    </w:p>
    <w:p w:rsidR="00000000" w:rsidDel="00000000" w:rsidP="00000000" w:rsidRDefault="00000000" w:rsidRPr="00000000" w14:paraId="00000031">
      <w:pPr>
        <w:spacing w:line="360" w:lineRule="auto"/>
        <w:jc w:val="both"/>
        <w:rPr>
          <w:rFonts w:ascii="Arial" w:cs="Arial" w:eastAsia="Arial" w:hAnsi="Arial"/>
        </w:rPr>
      </w:pPr>
      <w:r w:rsidDel="00000000" w:rsidR="00000000" w:rsidRPr="00000000">
        <w:rPr>
          <w:rFonts w:ascii="Arial" w:cs="Arial" w:eastAsia="Arial" w:hAnsi="Arial"/>
          <w:rtl w:val="0"/>
        </w:rPr>
        <w:t xml:space="preserve">The Reflective Observation: This second stage of Kolb’s model links past knowledge and experiences to achieving career objectives. At this stage, a student recounts and evaluate their experiences. At this stage, students gather necessary information for other locations of the model. After writing down the goal, a student asks herself specific questions like what has worked well? What has not been working well? How do I account for the failure or success so far? What has been contributing to the experience? At this stage, the student reflects deeply on what has happened. Reflective observation is the second stage of Kolb’s model has equipped me with skills and knowledge that contribute to establishing my career goal and developing a personal action plan as a flight attendant. At this stage, I put down my career goal as a flight attendant. I evaluate the strength and weaknesses of the profession. I put down what I need to learn in subsequent stages.</w:t>
      </w:r>
    </w:p>
    <w:p w:rsidR="00000000" w:rsidDel="00000000" w:rsidP="00000000" w:rsidRDefault="00000000" w:rsidRPr="00000000" w14:paraId="00000032">
      <w:pPr>
        <w:spacing w:line="360" w:lineRule="auto"/>
        <w:jc w:val="both"/>
        <w:rPr>
          <w:rFonts w:ascii="Arial" w:cs="Arial" w:eastAsia="Arial" w:hAnsi="Arial"/>
        </w:rPr>
      </w:pPr>
      <w:r w:rsidDel="00000000" w:rsidR="00000000" w:rsidRPr="00000000">
        <w:rPr>
          <w:rFonts w:ascii="Arial" w:cs="Arial" w:eastAsia="Arial" w:hAnsi="Arial"/>
          <w:rtl w:val="0"/>
        </w:rPr>
        <w:t xml:space="preserve">The Abstract Conceptualisation: This third stage of Kolb’s model enables the student to consult literature and discuss with colleagues with like minds. The student modifies her thinking and reappraises the situation at this stage. In this third stage, the student takes her reflection to the next level by understanding why the experience went as it did. She uses some theoretical ideas to gain some insight into the background. Students explicitly link her experiences with her preparatory learning, her expectations, and the outcome of the experience. Through this reflection process, the experience can be truly transformed, as the knowledge that a student carries into a learning activity is evaluated in terms of her personal experience. The guiding question for the third stage comes from the previous step's questions. The student will ask herself questions like: what could I have done differently or better? Can I improve on what I have done?</w:t>
      </w:r>
    </w:p>
    <w:p w:rsidR="00000000" w:rsidDel="00000000" w:rsidP="00000000" w:rsidRDefault="00000000" w:rsidRPr="00000000" w14:paraId="00000033">
      <w:pPr>
        <w:spacing w:line="360" w:lineRule="auto"/>
        <w:jc w:val="both"/>
        <w:rPr>
          <w:rFonts w:ascii="Arial" w:cs="Arial" w:eastAsia="Arial" w:hAnsi="Arial"/>
        </w:rPr>
      </w:pPr>
      <w:r w:rsidDel="00000000" w:rsidR="00000000" w:rsidRPr="00000000">
        <w:rPr>
          <w:rFonts w:ascii="Arial" w:cs="Arial" w:eastAsia="Arial" w:hAnsi="Arial"/>
          <w:rtl w:val="0"/>
        </w:rPr>
        <w:t xml:space="preserve">Furthermore, the student tries to find different techniques for dealing with the situations. She thinks up different strategies in case a similar problem occurs again. Abstract conceptualisation as the third stage of Kolb’s model has equipped me with skills and knowledge to work effectively as a potential flight attendant. At this stage, I work more and consult on my career goal as a flight attendant. I learn and relearn both theories and practices of the profession. I am more equipped than before at this stage.</w:t>
      </w:r>
    </w:p>
    <w:p w:rsidR="00000000" w:rsidDel="00000000" w:rsidP="00000000" w:rsidRDefault="00000000" w:rsidRPr="00000000" w14:paraId="00000034">
      <w:pPr>
        <w:spacing w:line="360" w:lineRule="auto"/>
        <w:jc w:val="both"/>
        <w:rPr>
          <w:rFonts w:ascii="Arial" w:cs="Arial" w:eastAsia="Arial" w:hAnsi="Arial"/>
        </w:rPr>
      </w:pPr>
      <w:r w:rsidDel="00000000" w:rsidR="00000000" w:rsidRPr="00000000">
        <w:rPr>
          <w:rFonts w:ascii="Arial" w:cs="Arial" w:eastAsia="Arial" w:hAnsi="Arial"/>
          <w:rtl w:val="0"/>
        </w:rPr>
        <w:t xml:space="preserve">The Active Experimentation: This fourth and final stage of Kolb’s model enables the student to try out modern approaches, theories, or solutions in the same ways or new situations. This then gives students more experience on which subsequent reflections can be made. As students analyses her experience at this stage, she then comes up with a blueprint on how things will be done differently. She may have a chance to test her modern approaches, theories or solutions in a relevant context. The student uses reflection to create plans for further learning experiences. She practises newly acquired theoretical knowledge by taking her ideas, reviews and thoughts about improvements back into her practice to try out new strategies. Not all modern approaches, theories, or solutions will work at this final stage. Some will work, while some will not, so this is then automatically the basis for a new cycle. As this continues, experiences within the active experimentation stage become new concrete experiences. As the final stage of Kolb's model, active experimentation has enhanced my skills and knowledge as a potential flight attendant. At this stage, I acquire the new concrete experiences that were learnt through modern approaches, theories, and solutions. This stage makes me ready for employment by providing the necessary skills and knowledge to become a professional flight attendant. Though I have acquired essential skills and knowledge, yet there are some other skills and knowledge that may be lacking as a flight attendant; I believe that training on-the-job will take care of that (Kolb, 1984; McLeod, 2013; Rolfe, 2001; Rolfe, 2011). </w:t>
      </w:r>
    </w:p>
    <w:p w:rsidR="00000000" w:rsidDel="00000000" w:rsidP="00000000" w:rsidRDefault="00000000" w:rsidRPr="00000000" w14:paraId="00000035">
      <w:pPr>
        <w:spacing w:line="360" w:lineRule="auto"/>
        <w:jc w:val="both"/>
        <w:rPr>
          <w:rFonts w:ascii="Arial" w:cs="Arial" w:eastAsia="Arial" w:hAnsi="Arial"/>
          <w:b w:val="1"/>
        </w:rPr>
      </w:pP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3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7">
      <w:pPr>
        <w:spacing w:before="240" w:line="360" w:lineRule="auto"/>
        <w:jc w:val="both"/>
        <w:rPr>
          <w:rFonts w:ascii="Arial" w:cs="Arial" w:eastAsia="Arial" w:hAnsi="Arial"/>
        </w:rPr>
      </w:pPr>
      <w:r w:rsidDel="00000000" w:rsidR="00000000" w:rsidRPr="00000000">
        <w:rPr>
          <w:rFonts w:ascii="Arial" w:cs="Arial" w:eastAsia="Arial" w:hAnsi="Arial"/>
        </w:rPr>
        <mc:AlternateContent>
          <mc:Choice Requires="wpg">
            <w:drawing>
              <wp:inline distB="0" distT="0" distL="0" distR="0">
                <wp:extent cx="5486400" cy="3200400"/>
                <wp:effectExtent b="0" l="0" r="0" t="0"/>
                <wp:docPr id="5" name=""/>
                <a:graphic>
                  <a:graphicData uri="http://schemas.microsoft.com/office/word/2010/wordprocessingGroup">
                    <wpg:wgp>
                      <wpg:cNvGrpSpPr/>
                      <wpg:grpSpPr>
                        <a:xfrm>
                          <a:off x="0" y="0"/>
                          <a:ext cx="5486400" cy="3200400"/>
                          <a:chOff x="0" y="0"/>
                          <a:chExt cx="5486400" cy="3200400"/>
                        </a:xfrm>
                      </wpg:grpSpPr>
                      <wpg:grpSp>
                        <wpg:cNvGrpSpPr/>
                        <wpg:grpSpPr>
                          <a:xfrm>
                            <a:off x="0" y="0"/>
                            <a:ext cx="5486400" cy="3200400"/>
                            <a:chOff x="0" y="0"/>
                            <a:chExt cx="5486400" cy="3200400"/>
                          </a:xfrm>
                        </wpg:grpSpPr>
                        <wps:wsp>
                          <wps:cNvSpPr/>
                          <wps:cNvPr id="3" name="Shape 3"/>
                          <wps:spPr>
                            <a:xfrm>
                              <a:off x="0" y="0"/>
                              <a:ext cx="5486400"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012868" y="1764"/>
                              <a:ext cx="1460663" cy="742659"/>
                            </a:xfrm>
                            <a:prstGeom prst="roundRect">
                              <a:avLst>
                                <a:gd fmla="val 16667" name="adj"/>
                              </a:avLst>
                            </a:prstGeom>
                            <a:gradFill>
                              <a:gsLst>
                                <a:gs pos="0">
                                  <a:srgbClr val="A6B6DE"/>
                                </a:gs>
                                <a:gs pos="50000">
                                  <a:srgbClr val="97AAD8"/>
                                </a:gs>
                                <a:gs pos="100000">
                                  <a:srgbClr val="859CD6"/>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 name="Shape 5"/>
                          <wps:spPr>
                            <a:xfrm>
                              <a:off x="2049122" y="38018"/>
                              <a:ext cx="1388155" cy="67015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t xml:space="preserve">Concrete Experience</w:t>
                                </w:r>
                              </w:p>
                            </w:txbxContent>
                          </wps:txbx>
                          <wps:bodyPr anchorCtr="0" anchor="ctr" bIns="41900" lIns="41900" spcFirstLastPara="1" rIns="41900" wrap="square" tIns="41900">
                            <a:noAutofit/>
                          </wps:bodyPr>
                        </wps:wsp>
                        <wps:wsp>
                          <wps:cNvSpPr/>
                          <wps:cNvPr id="6" name="Shape 6"/>
                          <wps:spPr>
                            <a:xfrm>
                              <a:off x="1516093" y="373093"/>
                              <a:ext cx="2454212" cy="2454212"/>
                            </a:xfrm>
                            <a:custGeom>
                              <a:rect b="b" l="l" r="r" t="t"/>
                              <a:pathLst>
                                <a:path extrusionOk="0" h="120000" w="120000">
                                  <a:moveTo>
                                    <a:pt x="101362" y="16535"/>
                                  </a:moveTo>
                                  <a:lnTo>
                                    <a:pt x="101362" y="16535"/>
                                  </a:lnTo>
                                  <a:cubicBezTo>
                                    <a:pt x="106878" y="21785"/>
                                    <a:pt x="111345" y="28036"/>
                                    <a:pt x="114523" y="34956"/>
                                  </a:cubicBezTo>
                                </a:path>
                              </a:pathLst>
                            </a:custGeom>
                            <a:noFill/>
                            <a:ln cap="flat" cmpd="sng" w="9525">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3239974" y="1228870"/>
                              <a:ext cx="1460663" cy="742659"/>
                            </a:xfrm>
                            <a:prstGeom prst="roundRect">
                              <a:avLst>
                                <a:gd fmla="val 16667" name="adj"/>
                              </a:avLst>
                            </a:prstGeom>
                            <a:gradFill>
                              <a:gsLst>
                                <a:gs pos="0">
                                  <a:srgbClr val="A6B6DE"/>
                                </a:gs>
                                <a:gs pos="50000">
                                  <a:srgbClr val="97AAD8"/>
                                </a:gs>
                                <a:gs pos="100000">
                                  <a:srgbClr val="859CD6"/>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8" name="Shape 8"/>
                          <wps:spPr>
                            <a:xfrm>
                              <a:off x="3276228" y="1265124"/>
                              <a:ext cx="1388155" cy="67015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t xml:space="preserve">Reflective Observation</w:t>
                                </w:r>
                              </w:p>
                            </w:txbxContent>
                          </wps:txbx>
                          <wps:bodyPr anchorCtr="0" anchor="ctr" bIns="41900" lIns="41900" spcFirstLastPara="1" rIns="41900" wrap="square" tIns="41900">
                            <a:noAutofit/>
                          </wps:bodyPr>
                        </wps:wsp>
                        <wps:wsp>
                          <wps:cNvSpPr/>
                          <wps:cNvPr id="9" name="Shape 9"/>
                          <wps:spPr>
                            <a:xfrm>
                              <a:off x="1516093" y="373093"/>
                              <a:ext cx="2454212" cy="2454212"/>
                            </a:xfrm>
                            <a:custGeom>
                              <a:rect b="b" l="l" r="r" t="t"/>
                              <a:pathLst>
                                <a:path extrusionOk="0" h="120000" w="120000">
                                  <a:moveTo>
                                    <a:pt x="114524" y="85043"/>
                                  </a:moveTo>
                                  <a:cubicBezTo>
                                    <a:pt x="111346" y="91963"/>
                                    <a:pt x="106879" y="98215"/>
                                    <a:pt x="101363" y="103464"/>
                                  </a:cubicBezTo>
                                </a:path>
                              </a:pathLst>
                            </a:custGeom>
                            <a:noFill/>
                            <a:ln cap="flat" cmpd="sng" w="9525">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2012868" y="2455976"/>
                              <a:ext cx="1460663" cy="742659"/>
                            </a:xfrm>
                            <a:prstGeom prst="roundRect">
                              <a:avLst>
                                <a:gd fmla="val 16667" name="adj"/>
                              </a:avLst>
                            </a:prstGeom>
                            <a:gradFill>
                              <a:gsLst>
                                <a:gs pos="0">
                                  <a:srgbClr val="A6B6DE"/>
                                </a:gs>
                                <a:gs pos="50000">
                                  <a:srgbClr val="97AAD8"/>
                                </a:gs>
                                <a:gs pos="100000">
                                  <a:srgbClr val="859CD6"/>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a:off x="2049122" y="2492230"/>
                              <a:ext cx="1388155" cy="67015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t xml:space="preserve">Abstract Conceptualisation</w:t>
                                </w:r>
                              </w:p>
                            </w:txbxContent>
                          </wps:txbx>
                          <wps:bodyPr anchorCtr="0" anchor="ctr" bIns="41900" lIns="41900" spcFirstLastPara="1" rIns="41900" wrap="square" tIns="41900">
                            <a:noAutofit/>
                          </wps:bodyPr>
                        </wps:wsp>
                        <wps:wsp>
                          <wps:cNvSpPr/>
                          <wps:cNvPr id="12" name="Shape 12"/>
                          <wps:spPr>
                            <a:xfrm>
                              <a:off x="1516093" y="373093"/>
                              <a:ext cx="2454212" cy="2454212"/>
                            </a:xfrm>
                            <a:custGeom>
                              <a:rect b="b" l="l" r="r" t="t"/>
                              <a:pathLst>
                                <a:path extrusionOk="0" h="120000" w="120000">
                                  <a:moveTo>
                                    <a:pt x="18638" y="103465"/>
                                  </a:moveTo>
                                  <a:lnTo>
                                    <a:pt x="18638" y="103465"/>
                                  </a:lnTo>
                                  <a:cubicBezTo>
                                    <a:pt x="13122" y="98215"/>
                                    <a:pt x="8655" y="91964"/>
                                    <a:pt x="5477" y="85044"/>
                                  </a:cubicBezTo>
                                </a:path>
                              </a:pathLst>
                            </a:custGeom>
                            <a:noFill/>
                            <a:ln cap="flat" cmpd="sng" w="9525">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785762" y="1228870"/>
                              <a:ext cx="1460663" cy="742659"/>
                            </a:xfrm>
                            <a:prstGeom prst="roundRect">
                              <a:avLst>
                                <a:gd fmla="val 16667" name="adj"/>
                              </a:avLst>
                            </a:prstGeom>
                            <a:gradFill>
                              <a:gsLst>
                                <a:gs pos="0">
                                  <a:srgbClr val="A6B6DE"/>
                                </a:gs>
                                <a:gs pos="50000">
                                  <a:srgbClr val="97AAD8"/>
                                </a:gs>
                                <a:gs pos="100000">
                                  <a:srgbClr val="859CD6"/>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4" name="Shape 14"/>
                          <wps:spPr>
                            <a:xfrm>
                              <a:off x="822016" y="1265124"/>
                              <a:ext cx="1388155" cy="67015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t xml:space="preserve">Active Experimentation</w:t>
                                </w:r>
                              </w:p>
                            </w:txbxContent>
                          </wps:txbx>
                          <wps:bodyPr anchorCtr="0" anchor="ctr" bIns="41900" lIns="41900" spcFirstLastPara="1" rIns="41900" wrap="square" tIns="41900">
                            <a:noAutofit/>
                          </wps:bodyPr>
                        </wps:wsp>
                        <wps:wsp>
                          <wps:cNvSpPr/>
                          <wps:cNvPr id="15" name="Shape 15"/>
                          <wps:spPr>
                            <a:xfrm>
                              <a:off x="1516093" y="373093"/>
                              <a:ext cx="2454212" cy="2454212"/>
                            </a:xfrm>
                            <a:custGeom>
                              <a:rect b="b" l="l" r="r" t="t"/>
                              <a:pathLst>
                                <a:path extrusionOk="0" h="120000" w="120000">
                                  <a:moveTo>
                                    <a:pt x="5476" y="34957"/>
                                  </a:moveTo>
                                  <a:lnTo>
                                    <a:pt x="5476" y="34957"/>
                                  </a:lnTo>
                                  <a:cubicBezTo>
                                    <a:pt x="8654" y="28037"/>
                                    <a:pt x="13121" y="21785"/>
                                    <a:pt x="18637" y="16536"/>
                                  </a:cubicBezTo>
                                </a:path>
                              </a:pathLst>
                            </a:custGeom>
                            <a:noFill/>
                            <a:ln cap="flat" cmpd="sng" w="9525">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inline>
            </w:drawing>
          </mc:Choice>
          <mc:Fallback>
            <w:drawing>
              <wp:inline distB="0" distT="0" distL="0" distR="0">
                <wp:extent cx="5486400" cy="3200400"/>
                <wp:effectExtent b="0" l="0" r="0" t="0"/>
                <wp:docPr id="5"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5486400" cy="3200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8">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Figure 1: The Cycle of Experiential Learning in Kolb's Reflective Model</w:t>
      </w:r>
    </w:p>
    <w:p w:rsidR="00000000" w:rsidDel="00000000" w:rsidP="00000000" w:rsidRDefault="00000000" w:rsidRPr="00000000" w14:paraId="00000039">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These boxes may be used to analyse and reflect on a situation, habit, mode of practise or service delivery. The models can be used for expedience or more profound reflections at different times. Both feature the need to consult the literature and discuss the situation with others, such as colleagues, service users, managers or family and friends. The model enables the development of reflection (Mann et al., 2009).</w:t>
      </w:r>
    </w:p>
    <w:p w:rsidR="00000000" w:rsidDel="00000000" w:rsidP="00000000" w:rsidRDefault="00000000" w:rsidRPr="00000000" w14:paraId="0000003A">
      <w:pPr>
        <w:spacing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Recruitment and Selection </w:t>
      </w:r>
    </w:p>
    <w:p w:rsidR="00000000" w:rsidDel="00000000" w:rsidP="00000000" w:rsidRDefault="00000000" w:rsidRPr="00000000" w14:paraId="0000003B">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This section evaluates the personal reflection on the role play in a class task. This role play enables students to act as interviewers and interviewers for a position linked to my career ambition as a flight attendant. This role play allows me to complete an application form based on my career ambition as a flight attendant. It also gives me another opportunity to experience practical job interview sessions.</w:t>
      </w:r>
    </w:p>
    <w:p w:rsidR="00000000" w:rsidDel="00000000" w:rsidP="00000000" w:rsidRDefault="00000000" w:rsidRPr="00000000" w14:paraId="0000003C">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The practical role play in the class under task 1 exposed students to relevant skills and knowledge needed to work effectively in any organisation. Practical experience in the role-play taught some employability skills and areas to develop to be relevant in the labour market. Having travelled around a few countries in and outside Europe, I ambition to become a flight attendant. As a potential flight attendant, practical role play in the class had solved issues that I used to think of in establishing employment goals and developing a personal action plan.</w:t>
      </w:r>
    </w:p>
    <w:p w:rsidR="00000000" w:rsidDel="00000000" w:rsidP="00000000" w:rsidRDefault="00000000" w:rsidRPr="00000000" w14:paraId="0000003D">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The job description, principal accountabilities and the essential individual qualities according to The Cabin Crew-London City that was used in the role play opened my eyes to several skills and knowledge gaps that I need to cover to become a professional flight attendant. Some of these skill gaps are presented below.</w:t>
      </w:r>
    </w:p>
    <w:p w:rsidR="00000000" w:rsidDel="00000000" w:rsidP="00000000" w:rsidRDefault="00000000" w:rsidRPr="00000000" w14:paraId="0000003E">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As a professional flight attendant, I need to provide high-quality customer service to passengers based on market specifications and individual needs. I need to enroute cabin service to cancelled passengers. I need to read, interpret, demonstrate and provide safety briefings to passengers. I need to communicate and ensure compliance with company and government safety and security rules and procedures. I should manage crew and passengers in any potential onboard event. I need to organise events like medical emergencies, assessment of security threats and relevant difficult situations. I will prevent unauthorised personnel by providing leadership, direction, and assistance to passengers and other crew members in either emergency or stressful situations.</w:t>
      </w:r>
    </w:p>
    <w:p w:rsidR="00000000" w:rsidDel="00000000" w:rsidP="00000000" w:rsidRDefault="00000000" w:rsidRPr="00000000" w14:paraId="0000003F">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I have also developed skills in being professional, courteous at all times, completing paperwork, writing flight reports from the practical role play in the class. The activities in the role margin increased my knowledge and gave me more experience as a flight attendant on some of the activities to expect as I move on with my career. Some of the challenging activities are requiring staff to live within a certain distance of the airport, working in confined spaces, spending a lot of time on their feet, being in an enclosed space with difficult passengers, and dealing with different people from various cultures.</w:t>
      </w:r>
    </w:p>
    <w:p w:rsidR="00000000" w:rsidDel="00000000" w:rsidP="00000000" w:rsidRDefault="00000000" w:rsidRPr="00000000" w14:paraId="00000040">
      <w:pPr>
        <w:spacing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Conclusion </w:t>
      </w:r>
    </w:p>
    <w:p w:rsidR="00000000" w:rsidDel="00000000" w:rsidP="00000000" w:rsidRDefault="00000000" w:rsidRPr="00000000" w14:paraId="00000041">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This report was presented with few empirical works, primarily on a personal view of students' skills, skills gaps, career goals, and experience. The information has been successfully used in Kolb's reflective model of the cycle of experiential learning to present a personal reflection on role play and career development planning. It showed that potential workers are expected to possess employment goals, develop a personal action plan, understand specific skills and knowledge that will contribute toward effective working, be ready for employment, understand individual strengths and professional development. Lastly, the report had a section under recruitment and selection that presented the role-play in class under task 1.</w:t>
      </w:r>
    </w:p>
    <w:p w:rsidR="00000000" w:rsidDel="00000000" w:rsidP="00000000" w:rsidRDefault="00000000" w:rsidRPr="00000000" w14:paraId="00000042">
      <w:pPr>
        <w:tabs>
          <w:tab w:val="left" w:pos="2210"/>
        </w:tabs>
        <w:spacing w:before="240" w:line="360" w:lineRule="auto"/>
        <w:jc w:val="both"/>
        <w:rPr>
          <w:rFonts w:ascii="Arial" w:cs="Arial" w:eastAsia="Arial" w:hAnsi="Arial"/>
        </w:rPr>
      </w:pPr>
      <w:r w:rsidDel="00000000" w:rsidR="00000000" w:rsidRPr="00000000">
        <w:rPr>
          <w:rFonts w:ascii="Arial" w:cs="Arial" w:eastAsia="Arial" w:hAnsi="Arial"/>
          <w:b w:val="1"/>
          <w:rtl w:val="0"/>
        </w:rPr>
        <w:t xml:space="preserve">References</w:t>
      </w:r>
      <w:r w:rsidDel="00000000" w:rsidR="00000000" w:rsidRPr="00000000">
        <w:rPr>
          <w:rFonts w:ascii="Arial" w:cs="Arial" w:eastAsia="Arial" w:hAnsi="Arial"/>
          <w:rtl w:val="0"/>
        </w:rPr>
        <w:t xml:space="preserve"> </w:t>
      </w:r>
    </w:p>
    <w:p w:rsidR="00000000" w:rsidDel="00000000" w:rsidP="00000000" w:rsidRDefault="00000000" w:rsidRPr="00000000" w14:paraId="00000043">
      <w:pPr>
        <w:tabs>
          <w:tab w:val="left" w:pos="993"/>
        </w:tabs>
        <w:spacing w:before="240" w:line="360" w:lineRule="auto"/>
        <w:ind w:left="851" w:hanging="851"/>
        <w:jc w:val="both"/>
        <w:rPr>
          <w:rFonts w:ascii="Arial" w:cs="Arial" w:eastAsia="Arial" w:hAnsi="Arial"/>
        </w:rPr>
      </w:pPr>
      <w:r w:rsidDel="00000000" w:rsidR="00000000" w:rsidRPr="00000000">
        <w:rPr>
          <w:rFonts w:ascii="Arial" w:cs="Arial" w:eastAsia="Arial" w:hAnsi="Arial"/>
          <w:rtl w:val="0"/>
        </w:rPr>
        <w:t xml:space="preserve">Jasper, M., &amp; Rolfe, G. (2011). Critical reflection and emergence of professional knowledge. in. Critical Reflection in Practice. Generating Knowledge for Care. (Eds) Rolfe, G., Jasper, M., &amp; Freshwater, D. pp 1-10. London: Palgrave Macmillan.</w:t>
      </w:r>
    </w:p>
    <w:p w:rsidR="00000000" w:rsidDel="00000000" w:rsidP="00000000" w:rsidRDefault="00000000" w:rsidRPr="00000000" w14:paraId="00000044">
      <w:pPr>
        <w:tabs>
          <w:tab w:val="left" w:pos="993"/>
        </w:tabs>
        <w:spacing w:before="240" w:line="360" w:lineRule="auto"/>
        <w:ind w:left="851" w:hanging="851"/>
        <w:jc w:val="both"/>
        <w:rPr>
          <w:rFonts w:ascii="Arial" w:cs="Arial" w:eastAsia="Arial" w:hAnsi="Arial"/>
        </w:rPr>
      </w:pPr>
      <w:r w:rsidDel="00000000" w:rsidR="00000000" w:rsidRPr="00000000">
        <w:rPr>
          <w:rFonts w:ascii="Arial" w:cs="Arial" w:eastAsia="Arial" w:hAnsi="Arial"/>
          <w:rtl w:val="0"/>
        </w:rPr>
        <w:t xml:space="preserve">Kolb, D. A. (1984). Experiential learning: experience as the source of learning and development. Englewood Cliffs, NJ: Prentice Hall.</w:t>
      </w:r>
    </w:p>
    <w:p w:rsidR="00000000" w:rsidDel="00000000" w:rsidP="00000000" w:rsidRDefault="00000000" w:rsidRPr="00000000" w14:paraId="00000045">
      <w:pPr>
        <w:tabs>
          <w:tab w:val="left" w:pos="993"/>
        </w:tabs>
        <w:spacing w:before="240" w:line="360" w:lineRule="auto"/>
        <w:ind w:left="851" w:hanging="851"/>
        <w:jc w:val="both"/>
        <w:rPr>
          <w:rFonts w:ascii="Arial" w:cs="Arial" w:eastAsia="Arial" w:hAnsi="Arial"/>
        </w:rPr>
      </w:pPr>
      <w:r w:rsidDel="00000000" w:rsidR="00000000" w:rsidRPr="00000000">
        <w:rPr>
          <w:rFonts w:ascii="Arial" w:cs="Arial" w:eastAsia="Arial" w:hAnsi="Arial"/>
          <w:rtl w:val="0"/>
        </w:rPr>
        <w:t xml:space="preserve">Mann, K., Gordon, J., &amp; MacLeod, A. (2009). Reflection and reflective practice in health professions education: a systematic review. Advances in Health Science Education. 14; 595-621</w:t>
      </w:r>
    </w:p>
    <w:p w:rsidR="00000000" w:rsidDel="00000000" w:rsidP="00000000" w:rsidRDefault="00000000" w:rsidRPr="00000000" w14:paraId="00000046">
      <w:pPr>
        <w:tabs>
          <w:tab w:val="left" w:pos="993"/>
        </w:tabs>
        <w:spacing w:before="240" w:line="360" w:lineRule="auto"/>
        <w:ind w:left="851" w:hanging="851"/>
        <w:jc w:val="both"/>
        <w:rPr>
          <w:rFonts w:ascii="Arial" w:cs="Arial" w:eastAsia="Arial" w:hAnsi="Arial"/>
        </w:rPr>
      </w:pPr>
      <w:r w:rsidDel="00000000" w:rsidR="00000000" w:rsidRPr="00000000">
        <w:rPr>
          <w:rFonts w:ascii="Arial" w:cs="Arial" w:eastAsia="Arial" w:hAnsi="Arial"/>
          <w:rtl w:val="0"/>
        </w:rPr>
        <w:t xml:space="preserve">McLeod, S. A. (2013). Kolb - Learning Styles. Retrieved from www.simplypsychology.org/learning-kolb.html </w:t>
      </w:r>
    </w:p>
    <w:p w:rsidR="00000000" w:rsidDel="00000000" w:rsidP="00000000" w:rsidRDefault="00000000" w:rsidRPr="00000000" w14:paraId="00000047">
      <w:pPr>
        <w:tabs>
          <w:tab w:val="left" w:pos="993"/>
        </w:tabs>
        <w:spacing w:before="240" w:line="360" w:lineRule="auto"/>
        <w:ind w:left="851" w:hanging="851"/>
        <w:jc w:val="both"/>
        <w:rPr>
          <w:rFonts w:ascii="Arial" w:cs="Arial" w:eastAsia="Arial" w:hAnsi="Arial"/>
        </w:rPr>
      </w:pPr>
      <w:r w:rsidDel="00000000" w:rsidR="00000000" w:rsidRPr="00000000">
        <w:rPr>
          <w:rFonts w:ascii="Arial" w:cs="Arial" w:eastAsia="Arial" w:hAnsi="Arial"/>
          <w:rtl w:val="0"/>
        </w:rPr>
        <w:t xml:space="preserve">Rolfe, G. (2001). Reflective Practice. Where Now? Nurse Education in Practice. 2(1); 21-29</w:t>
      </w:r>
    </w:p>
    <w:p w:rsidR="00000000" w:rsidDel="00000000" w:rsidP="00000000" w:rsidRDefault="00000000" w:rsidRPr="00000000" w14:paraId="00000048">
      <w:pPr>
        <w:tabs>
          <w:tab w:val="left" w:pos="993"/>
        </w:tabs>
        <w:spacing w:before="240" w:line="360" w:lineRule="auto"/>
        <w:ind w:left="851" w:hanging="851"/>
        <w:jc w:val="both"/>
        <w:rPr>
          <w:rFonts w:ascii="Arial" w:cs="Arial" w:eastAsia="Arial" w:hAnsi="Arial"/>
        </w:rPr>
      </w:pPr>
      <w:r w:rsidDel="00000000" w:rsidR="00000000" w:rsidRPr="00000000">
        <w:rPr>
          <w:rFonts w:ascii="Arial" w:cs="Arial" w:eastAsia="Arial" w:hAnsi="Arial"/>
          <w:rtl w:val="0"/>
        </w:rPr>
        <w:t xml:space="preserve">Rolfe, G. (2011). Knowledge and Practice. in. Critical Reflection in Practice. Generating Knowledge for Care. (Eds) Rolfe, G., Jasper, M., &amp; Freshwater, D. pp 11-29. London: Palgrave Macmillan.</w:t>
      </w:r>
    </w:p>
    <w:p w:rsidR="00000000" w:rsidDel="00000000" w:rsidP="00000000" w:rsidRDefault="00000000" w:rsidRPr="00000000" w14:paraId="00000049">
      <w:pPr>
        <w:tabs>
          <w:tab w:val="left" w:pos="2210"/>
        </w:tabs>
        <w:spacing w:before="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A">
      <w:pPr>
        <w:tabs>
          <w:tab w:val="left" w:pos="2210"/>
        </w:tabs>
        <w:spacing w:before="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B">
      <w:pPr>
        <w:tabs>
          <w:tab w:val="left" w:pos="2210"/>
        </w:tabs>
        <w:spacing w:before="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C">
      <w:pPr>
        <w:tabs>
          <w:tab w:val="left" w:pos="2210"/>
        </w:tabs>
        <w:spacing w:before="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D">
      <w:pPr>
        <w:tabs>
          <w:tab w:val="left" w:pos="2210"/>
        </w:tabs>
        <w:spacing w:before="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E">
      <w:pPr>
        <w:tabs>
          <w:tab w:val="left" w:pos="2210"/>
        </w:tabs>
        <w:spacing w:before="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F">
      <w:pPr>
        <w:tabs>
          <w:tab w:val="left" w:pos="2210"/>
        </w:tabs>
        <w:spacing w:before="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0">
      <w:pPr>
        <w:tabs>
          <w:tab w:val="left" w:pos="2210"/>
        </w:tabs>
        <w:spacing w:before="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1">
      <w:pPr>
        <w:tabs>
          <w:tab w:val="left" w:pos="2210"/>
        </w:tabs>
        <w:spacing w:before="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2">
      <w:pPr>
        <w:tabs>
          <w:tab w:val="left" w:pos="2210"/>
        </w:tabs>
        <w:spacing w:before="240" w:line="360" w:lineRule="auto"/>
        <w:jc w:val="both"/>
        <w:rPr>
          <w:rFonts w:ascii="Arial" w:cs="Arial" w:eastAsia="Arial" w:hAnsi="Arial"/>
          <w:b w:val="1"/>
        </w:rPr>
      </w:pPr>
      <w:r w:rsidDel="00000000" w:rsidR="00000000" w:rsidRPr="00000000">
        <w:rPr>
          <w:rFonts w:ascii="Arial" w:cs="Arial" w:eastAsia="Arial" w:hAnsi="Arial"/>
          <w:b w:val="1"/>
          <w:rtl w:val="0"/>
        </w:rPr>
        <w:t xml:space="preserve">Appendices</w:t>
      </w:r>
    </w:p>
    <w:p w:rsidR="00000000" w:rsidDel="00000000" w:rsidP="00000000" w:rsidRDefault="00000000" w:rsidRPr="00000000" w14:paraId="00000053">
      <w:pPr>
        <w:tabs>
          <w:tab w:val="left" w:pos="2210"/>
        </w:tabs>
        <w:spacing w:before="240" w:line="360" w:lineRule="auto"/>
        <w:jc w:val="both"/>
        <w:rPr>
          <w:rFonts w:ascii="Arial" w:cs="Arial" w:eastAsia="Arial" w:hAnsi="Arial"/>
        </w:rPr>
      </w:pPr>
      <w:r w:rsidDel="00000000" w:rsidR="00000000" w:rsidRPr="00000000">
        <w:rPr>
          <w:rFonts w:ascii="Arial" w:cs="Arial" w:eastAsia="Arial" w:hAnsi="Arial"/>
        </w:rPr>
        <w:drawing>
          <wp:inline distB="0" distT="0" distL="0" distR="0">
            <wp:extent cx="5043225" cy="6771691"/>
            <wp:effectExtent b="0" l="0" r="0" t="0"/>
            <wp:docPr id="7" name="image2.jpg"/>
            <a:graphic>
              <a:graphicData uri="http://schemas.openxmlformats.org/drawingml/2006/picture">
                <pic:pic>
                  <pic:nvPicPr>
                    <pic:cNvPr id="0" name="image2.jpg"/>
                    <pic:cNvPicPr preferRelativeResize="0"/>
                  </pic:nvPicPr>
                  <pic:blipFill>
                    <a:blip r:embed="rId9"/>
                    <a:srcRect b="13027" l="2725" r="866" t="14178"/>
                    <a:stretch>
                      <a:fillRect/>
                    </a:stretch>
                  </pic:blipFill>
                  <pic:spPr>
                    <a:xfrm>
                      <a:off x="0" y="0"/>
                      <a:ext cx="5043225" cy="6771691"/>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7">
      <w:pPr>
        <w:tabs>
          <w:tab w:val="left" w:pos="1241"/>
        </w:tabs>
        <w:spacing w:line="360" w:lineRule="auto"/>
        <w:jc w:val="both"/>
        <w:rPr>
          <w:rFonts w:ascii="Arial" w:cs="Arial" w:eastAsia="Arial" w:hAnsi="Arial"/>
        </w:rPr>
      </w:pPr>
      <w:r w:rsidDel="00000000" w:rsidR="00000000" w:rsidRPr="00000000">
        <w:rPr/>
        <w:drawing>
          <wp:inline distB="0" distT="0" distL="0" distR="0">
            <wp:extent cx="5943600" cy="7924800"/>
            <wp:effectExtent b="0" l="0" r="0" t="0"/>
            <wp:docPr id="8"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943600" cy="7924800"/>
                    </a:xfrm>
                    <a:prstGeom prst="rect"/>
                    <a:ln/>
                  </pic:spPr>
                </pic:pic>
              </a:graphicData>
            </a:graphic>
          </wp:inline>
        </w:drawing>
      </w:r>
      <w:r w:rsidDel="00000000" w:rsidR="00000000" w:rsidRPr="00000000">
        <w:rPr>
          <w:rtl w:val="0"/>
        </w:rPr>
      </w:r>
    </w:p>
    <w:sectPr>
      <w:headerReference r:id="rId11" w:type="default"/>
      <w:footerReference r:id="rId12"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G"/>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link w:val="Heading1Char"/>
    <w:uiPriority w:val="9"/>
    <w:qFormat w:val="1"/>
    <w:rsid w:val="00D6184F"/>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lang w:eastAsia="en-UG"/>
    </w:rPr>
  </w:style>
  <w:style w:type="paragraph" w:styleId="Heading2">
    <w:name w:val="heading 2"/>
    <w:basedOn w:val="Normal"/>
    <w:next w:val="Normal"/>
    <w:link w:val="Heading2Char"/>
    <w:uiPriority w:val="9"/>
    <w:semiHidden w:val="1"/>
    <w:unhideWhenUsed w:val="1"/>
    <w:qFormat w:val="1"/>
    <w:rsid w:val="00A00E04"/>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383E71"/>
    <w:pPr>
      <w:tabs>
        <w:tab w:val="center" w:pos="4680"/>
        <w:tab w:val="right" w:pos="9360"/>
      </w:tabs>
      <w:spacing w:after="0" w:line="240" w:lineRule="auto"/>
    </w:pPr>
  </w:style>
  <w:style w:type="character" w:styleId="HeaderChar" w:customStyle="1">
    <w:name w:val="Header Char"/>
    <w:basedOn w:val="DefaultParagraphFont"/>
    <w:link w:val="Header"/>
    <w:uiPriority w:val="99"/>
    <w:rsid w:val="00383E71"/>
  </w:style>
  <w:style w:type="paragraph" w:styleId="Footer">
    <w:name w:val="footer"/>
    <w:basedOn w:val="Normal"/>
    <w:link w:val="FooterChar"/>
    <w:uiPriority w:val="99"/>
    <w:unhideWhenUsed w:val="1"/>
    <w:rsid w:val="00383E71"/>
    <w:pPr>
      <w:tabs>
        <w:tab w:val="center" w:pos="4680"/>
        <w:tab w:val="right" w:pos="9360"/>
      </w:tabs>
      <w:spacing w:after="0" w:line="240" w:lineRule="auto"/>
    </w:pPr>
  </w:style>
  <w:style w:type="character" w:styleId="FooterChar" w:customStyle="1">
    <w:name w:val="Footer Char"/>
    <w:basedOn w:val="DefaultParagraphFont"/>
    <w:link w:val="Footer"/>
    <w:uiPriority w:val="99"/>
    <w:rsid w:val="00383E71"/>
  </w:style>
  <w:style w:type="paragraph" w:styleId="NormalWeb">
    <w:name w:val="Normal (Web)"/>
    <w:basedOn w:val="Normal"/>
    <w:uiPriority w:val="99"/>
    <w:unhideWhenUsed w:val="1"/>
    <w:rsid w:val="00544FCF"/>
    <w:pPr>
      <w:spacing w:after="100" w:afterAutospacing="1" w:before="100" w:beforeAutospacing="1" w:line="240" w:lineRule="auto"/>
    </w:pPr>
    <w:rPr>
      <w:rFonts w:ascii="Times New Roman" w:cs="Times New Roman" w:eastAsia="Times New Roman" w:hAnsi="Times New Roman"/>
      <w:sz w:val="24"/>
      <w:szCs w:val="24"/>
      <w:lang w:eastAsia="en-UG"/>
    </w:rPr>
  </w:style>
  <w:style w:type="character" w:styleId="Hyperlink">
    <w:name w:val="Hyperlink"/>
    <w:basedOn w:val="DefaultParagraphFont"/>
    <w:uiPriority w:val="99"/>
    <w:semiHidden w:val="1"/>
    <w:unhideWhenUsed w:val="1"/>
    <w:rsid w:val="00544FCF"/>
    <w:rPr>
      <w:color w:val="0000ff"/>
      <w:u w:val="single"/>
    </w:rPr>
  </w:style>
  <w:style w:type="character" w:styleId="ref-journal" w:customStyle="1">
    <w:name w:val="ref-journal"/>
    <w:basedOn w:val="DefaultParagraphFont"/>
    <w:rsid w:val="00544FCF"/>
  </w:style>
  <w:style w:type="character" w:styleId="ref-vol" w:customStyle="1">
    <w:name w:val="ref-vol"/>
    <w:basedOn w:val="DefaultParagraphFont"/>
    <w:rsid w:val="00544FCF"/>
  </w:style>
  <w:style w:type="character" w:styleId="Heading1Char" w:customStyle="1">
    <w:name w:val="Heading 1 Char"/>
    <w:basedOn w:val="DefaultParagraphFont"/>
    <w:link w:val="Heading1"/>
    <w:uiPriority w:val="9"/>
    <w:rsid w:val="00D6184F"/>
    <w:rPr>
      <w:rFonts w:ascii="Times New Roman" w:cs="Times New Roman" w:eastAsia="Times New Roman" w:hAnsi="Times New Roman"/>
      <w:b w:val="1"/>
      <w:bCs w:val="1"/>
      <w:kern w:val="36"/>
      <w:sz w:val="48"/>
      <w:szCs w:val="48"/>
      <w:lang w:eastAsia="en-UG"/>
    </w:rPr>
  </w:style>
  <w:style w:type="character" w:styleId="Title1" w:customStyle="1">
    <w:name w:val="Title1"/>
    <w:basedOn w:val="DefaultParagraphFont"/>
    <w:rsid w:val="00D6184F"/>
  </w:style>
  <w:style w:type="paragraph" w:styleId="contrib-group" w:customStyle="1">
    <w:name w:val="contrib-group"/>
    <w:basedOn w:val="Normal"/>
    <w:rsid w:val="00D6184F"/>
    <w:pPr>
      <w:spacing w:after="100" w:afterAutospacing="1" w:before="100" w:beforeAutospacing="1" w:line="240" w:lineRule="auto"/>
    </w:pPr>
    <w:rPr>
      <w:rFonts w:ascii="Times New Roman" w:cs="Times New Roman" w:eastAsia="Times New Roman" w:hAnsi="Times New Roman"/>
      <w:sz w:val="24"/>
      <w:szCs w:val="24"/>
      <w:lang w:eastAsia="en-UG"/>
    </w:rPr>
  </w:style>
  <w:style w:type="character" w:styleId="Strong">
    <w:name w:val="Strong"/>
    <w:basedOn w:val="DefaultParagraphFont"/>
    <w:uiPriority w:val="22"/>
    <w:qFormat w:val="1"/>
    <w:rsid w:val="000F2482"/>
    <w:rPr>
      <w:b w:val="1"/>
      <w:bCs w:val="1"/>
    </w:rPr>
  </w:style>
  <w:style w:type="character" w:styleId="Heading2Char" w:customStyle="1">
    <w:name w:val="Heading 2 Char"/>
    <w:basedOn w:val="DefaultParagraphFont"/>
    <w:link w:val="Heading2"/>
    <w:uiPriority w:val="9"/>
    <w:semiHidden w:val="1"/>
    <w:rsid w:val="00A00E04"/>
    <w:rPr>
      <w:rFonts w:asciiTheme="majorHAnsi" w:cstheme="majorBidi" w:eastAsiaTheme="majorEastAsia" w:hAnsiTheme="majorHAnsi"/>
      <w:color w:val="2f5496" w:themeColor="accent1" w:themeShade="0000BF"/>
      <w:sz w:val="26"/>
      <w:szCs w:val="2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1.jpg"/><Relationship Id="rId12" Type="http://schemas.openxmlformats.org/officeDocument/2006/relationships/footer" Target="footer1.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XkRDkCRPdQBHMzZsMqVf4uT5wA==">AMUW2mWEKFJBFEybHQR7uu2UMhRnfao/zJxTvn6lH0EbMnC8+0r7LUSkn1QBRQkjIxk5MMo/o+cYQSQEZADd1+3LFbJiysrI5bft7SO6O5bERmthrAjtciVD1YOUutprnv3V49N27HTL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2021-12-30T20:16:00Z</dcterms:created>
  <dc:creator>AMINAT AMINU</dc:creator>
</cp:coreProperties>
</file>